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52645" w14:textId="77777777" w:rsidR="00C92ED4" w:rsidRPr="0013234D" w:rsidRDefault="00C92ED4" w:rsidP="00333BB7">
      <w:pPr>
        <w:suppressAutoHyphens/>
        <w:spacing w:after="0" w:line="240" w:lineRule="auto"/>
        <w:jc w:val="right"/>
        <w:rPr>
          <w:rFonts w:ascii="Roobert" w:eastAsia="Arial" w:hAnsi="Roobert" w:cs="Arial"/>
          <w:b/>
          <w:kern w:val="0"/>
          <w:sz w:val="20"/>
          <w:szCs w:val="20"/>
          <w:lang w:eastAsia="pt-BR"/>
          <w14:ligatures w14:val="none"/>
        </w:rPr>
      </w:pPr>
      <w:r w:rsidRPr="0013234D">
        <w:rPr>
          <w:rFonts w:ascii="Roobert" w:eastAsia="Arial" w:hAnsi="Roobert" w:cs="Arial"/>
          <w:b/>
          <w:kern w:val="0"/>
          <w:sz w:val="20"/>
          <w:szCs w:val="20"/>
          <w:lang w:eastAsia="pt-BR"/>
          <w14:ligatures w14:val="none"/>
        </w:rPr>
        <w:t xml:space="preserve">Local </w:t>
      </w:r>
      <w:proofErr w:type="spellStart"/>
      <w:r w:rsidRPr="0013234D">
        <w:rPr>
          <w:rFonts w:ascii="Roobert" w:eastAsia="Arial" w:hAnsi="Roobert" w:cs="Arial"/>
          <w:b/>
          <w:kern w:val="0"/>
          <w:sz w:val="20"/>
          <w:szCs w:val="20"/>
          <w:lang w:eastAsia="pt-BR"/>
          <w14:ligatures w14:val="none"/>
        </w:rPr>
        <w:t>Conference</w:t>
      </w:r>
      <w:proofErr w:type="spellEnd"/>
      <w:r w:rsidRPr="0013234D">
        <w:rPr>
          <w:rFonts w:ascii="Roobert" w:eastAsia="Arial" w:hAnsi="Roobert" w:cs="Arial"/>
          <w:b/>
          <w:kern w:val="0"/>
          <w:sz w:val="20"/>
          <w:szCs w:val="20"/>
          <w:lang w:eastAsia="pt-BR"/>
          <w14:ligatures w14:val="none"/>
        </w:rPr>
        <w:t xml:space="preserve"> </w:t>
      </w:r>
      <w:proofErr w:type="spellStart"/>
      <w:r w:rsidRPr="0013234D">
        <w:rPr>
          <w:rFonts w:ascii="Roobert" w:eastAsia="Arial" w:hAnsi="Roobert" w:cs="Arial"/>
          <w:b/>
          <w:kern w:val="0"/>
          <w:sz w:val="20"/>
          <w:szCs w:val="20"/>
          <w:lang w:eastAsia="pt-BR"/>
          <w14:ligatures w14:val="none"/>
        </w:rPr>
        <w:t>Call</w:t>
      </w:r>
      <w:proofErr w:type="spellEnd"/>
    </w:p>
    <w:p w14:paraId="17D9D5FF" w14:textId="77777777" w:rsidR="00C92ED4" w:rsidRPr="0013234D" w:rsidRDefault="00C92ED4" w:rsidP="00333BB7">
      <w:pPr>
        <w:suppressAutoHyphens/>
        <w:spacing w:after="0" w:line="240" w:lineRule="auto"/>
        <w:jc w:val="right"/>
        <w:rPr>
          <w:rFonts w:ascii="Roobert" w:eastAsia="Arial" w:hAnsi="Roobert" w:cs="Arial"/>
          <w:b/>
          <w:kern w:val="0"/>
          <w:sz w:val="20"/>
          <w:szCs w:val="20"/>
          <w:lang w:eastAsia="pt-BR"/>
          <w14:ligatures w14:val="none"/>
        </w:rPr>
      </w:pPr>
      <w:r w:rsidRPr="0013234D">
        <w:rPr>
          <w:rFonts w:ascii="Roobert" w:eastAsia="Arial" w:hAnsi="Roobert" w:cs="Arial"/>
          <w:b/>
          <w:kern w:val="0"/>
          <w:sz w:val="20"/>
          <w:szCs w:val="20"/>
          <w:lang w:eastAsia="pt-BR"/>
          <w14:ligatures w14:val="none"/>
        </w:rPr>
        <w:t>Localiza S/A (RENT3)</w:t>
      </w:r>
    </w:p>
    <w:p w14:paraId="1AF36291" w14:textId="65EF65AD" w:rsidR="00C92ED4" w:rsidRPr="0013234D" w:rsidRDefault="00C92ED4" w:rsidP="00333BB7">
      <w:pPr>
        <w:suppressAutoHyphens/>
        <w:spacing w:after="0" w:line="240" w:lineRule="auto"/>
        <w:jc w:val="right"/>
        <w:rPr>
          <w:rFonts w:ascii="Roobert" w:eastAsia="Arial" w:hAnsi="Roobert" w:cs="Arial"/>
          <w:b/>
          <w:kern w:val="0"/>
          <w:sz w:val="20"/>
          <w:szCs w:val="20"/>
          <w:lang w:eastAsia="pt-BR"/>
          <w14:ligatures w14:val="none"/>
        </w:rPr>
      </w:pPr>
      <w:r w:rsidRPr="0013234D">
        <w:rPr>
          <w:rFonts w:ascii="Roobert" w:eastAsia="Arial" w:hAnsi="Roobert" w:cs="Arial"/>
          <w:b/>
          <w:kern w:val="0"/>
          <w:sz w:val="20"/>
          <w:szCs w:val="20"/>
          <w:lang w:eastAsia="pt-BR"/>
          <w14:ligatures w14:val="none"/>
        </w:rPr>
        <w:t xml:space="preserve">Transcrição Resultados do </w:t>
      </w:r>
      <w:r w:rsidR="001B7564">
        <w:rPr>
          <w:rFonts w:ascii="Roobert" w:eastAsia="Arial" w:hAnsi="Roobert" w:cs="Arial"/>
          <w:b/>
          <w:kern w:val="0"/>
          <w:sz w:val="20"/>
          <w:szCs w:val="20"/>
          <w:lang w:eastAsia="pt-BR"/>
          <w14:ligatures w14:val="none"/>
        </w:rPr>
        <w:t>2</w:t>
      </w:r>
      <w:r w:rsidRPr="0013234D">
        <w:rPr>
          <w:rFonts w:ascii="Roobert" w:eastAsia="Arial" w:hAnsi="Roobert" w:cs="Arial"/>
          <w:b/>
          <w:kern w:val="0"/>
          <w:sz w:val="20"/>
          <w:szCs w:val="20"/>
          <w:lang w:eastAsia="pt-BR"/>
          <w14:ligatures w14:val="none"/>
        </w:rPr>
        <w:t>T2</w:t>
      </w:r>
      <w:r w:rsidR="00AE33B6">
        <w:rPr>
          <w:rFonts w:ascii="Roobert" w:eastAsia="Arial" w:hAnsi="Roobert" w:cs="Arial"/>
          <w:b/>
          <w:kern w:val="0"/>
          <w:sz w:val="20"/>
          <w:szCs w:val="20"/>
          <w:lang w:eastAsia="pt-BR"/>
          <w14:ligatures w14:val="none"/>
        </w:rPr>
        <w:t>6</w:t>
      </w:r>
    </w:p>
    <w:p w14:paraId="061920BB" w14:textId="67BD7155" w:rsidR="00C92ED4" w:rsidRPr="0013234D" w:rsidRDefault="00AE33B6" w:rsidP="00333BB7">
      <w:pPr>
        <w:suppressAutoHyphens/>
        <w:spacing w:after="0" w:line="240" w:lineRule="auto"/>
        <w:jc w:val="right"/>
        <w:rPr>
          <w:rFonts w:ascii="Roobert" w:eastAsia="Arial" w:hAnsi="Roobert" w:cs="Arial"/>
          <w:b/>
          <w:kern w:val="0"/>
          <w:sz w:val="20"/>
          <w:szCs w:val="20"/>
          <w:lang w:eastAsia="pt-BR"/>
          <w14:ligatures w14:val="none"/>
        </w:rPr>
      </w:pPr>
      <w:r>
        <w:rPr>
          <w:rFonts w:ascii="Roobert" w:eastAsia="Arial" w:hAnsi="Roobert" w:cs="Arial"/>
          <w:b/>
          <w:kern w:val="0"/>
          <w:sz w:val="20"/>
          <w:szCs w:val="20"/>
          <w:lang w:eastAsia="pt-BR"/>
          <w14:ligatures w14:val="none"/>
        </w:rPr>
        <w:t>0</w:t>
      </w:r>
      <w:r w:rsidR="001B7564">
        <w:rPr>
          <w:rFonts w:ascii="Roobert" w:eastAsia="Arial" w:hAnsi="Roobert" w:cs="Arial"/>
          <w:b/>
          <w:kern w:val="0"/>
          <w:sz w:val="20"/>
          <w:szCs w:val="20"/>
          <w:lang w:eastAsia="pt-BR"/>
          <w14:ligatures w14:val="none"/>
        </w:rPr>
        <w:t>7</w:t>
      </w:r>
      <w:r w:rsidR="00C92ED4" w:rsidRPr="0013234D">
        <w:rPr>
          <w:rFonts w:ascii="Roobert" w:eastAsia="Arial" w:hAnsi="Roobert" w:cs="Arial"/>
          <w:b/>
          <w:kern w:val="0"/>
          <w:sz w:val="20"/>
          <w:szCs w:val="20"/>
          <w:lang w:eastAsia="pt-BR"/>
          <w14:ligatures w14:val="none"/>
        </w:rPr>
        <w:t xml:space="preserve"> de </w:t>
      </w:r>
      <w:r w:rsidR="001B7564">
        <w:rPr>
          <w:rFonts w:ascii="Roobert" w:eastAsia="Arial" w:hAnsi="Roobert" w:cs="Arial"/>
          <w:b/>
          <w:kern w:val="0"/>
          <w:sz w:val="20"/>
          <w:szCs w:val="20"/>
          <w:lang w:eastAsia="pt-BR"/>
          <w14:ligatures w14:val="none"/>
        </w:rPr>
        <w:t>agosto</w:t>
      </w:r>
      <w:r w:rsidR="00C92ED4" w:rsidRPr="0013234D">
        <w:rPr>
          <w:rFonts w:ascii="Roobert" w:eastAsia="Arial" w:hAnsi="Roobert" w:cs="Arial"/>
          <w:b/>
          <w:kern w:val="0"/>
          <w:sz w:val="20"/>
          <w:szCs w:val="20"/>
          <w:lang w:eastAsia="pt-BR"/>
          <w14:ligatures w14:val="none"/>
        </w:rPr>
        <w:t xml:space="preserve"> de 202</w:t>
      </w:r>
      <w:r>
        <w:rPr>
          <w:rFonts w:ascii="Roobert" w:eastAsia="Arial" w:hAnsi="Roobert" w:cs="Arial"/>
          <w:b/>
          <w:kern w:val="0"/>
          <w:sz w:val="20"/>
          <w:szCs w:val="20"/>
          <w:lang w:eastAsia="pt-BR"/>
          <w14:ligatures w14:val="none"/>
        </w:rPr>
        <w:t>6</w:t>
      </w:r>
    </w:p>
    <w:p w14:paraId="252AEED4" w14:textId="77777777" w:rsidR="00A87011" w:rsidRPr="0013234D" w:rsidRDefault="00A87011" w:rsidP="00A87011">
      <w:pPr>
        <w:jc w:val="both"/>
        <w:rPr>
          <w:rFonts w:ascii="Roobert" w:hAnsi="Roobert"/>
          <w:b/>
          <w:bCs/>
          <w:sz w:val="20"/>
          <w:szCs w:val="20"/>
        </w:rPr>
      </w:pPr>
    </w:p>
    <w:p w14:paraId="48224E8C" w14:textId="77777777" w:rsidR="00D50F34" w:rsidRPr="00D50F34" w:rsidRDefault="00A87011" w:rsidP="00D50F34">
      <w:pPr>
        <w:jc w:val="both"/>
        <w:rPr>
          <w:rFonts w:ascii="Roobert" w:hAnsi="Roobert"/>
          <w:sz w:val="20"/>
          <w:szCs w:val="20"/>
        </w:rPr>
      </w:pPr>
      <w:r w:rsidRPr="0013234D">
        <w:rPr>
          <w:rFonts w:ascii="Roobert" w:hAnsi="Roobert"/>
          <w:b/>
          <w:bCs/>
          <w:sz w:val="20"/>
          <w:szCs w:val="20"/>
        </w:rPr>
        <w:t>Operadora:</w:t>
      </w:r>
      <w:r w:rsidRPr="0013234D">
        <w:rPr>
          <w:rFonts w:ascii="Roobert" w:hAnsi="Roobert"/>
          <w:sz w:val="20"/>
          <w:szCs w:val="20"/>
        </w:rPr>
        <w:t xml:space="preserve"> </w:t>
      </w:r>
      <w:r w:rsidR="00D50F34" w:rsidRPr="00D50F34">
        <w:rPr>
          <w:rFonts w:ascii="Roobert" w:hAnsi="Roobert"/>
          <w:sz w:val="20"/>
          <w:szCs w:val="20"/>
        </w:rPr>
        <w:t xml:space="preserve">Bom dia. Antes de iniciarmos, gostaria de lembrar que essa conferência será feita em inglês. Para aqueles que precisarem de tradução para o português, cliquem no botão de tradução, com ícone de globo e escolha seu idioma de preferência. Você poderá mutar ou </w:t>
      </w:r>
      <w:proofErr w:type="spellStart"/>
      <w:r w:rsidR="00D50F34" w:rsidRPr="00D50F34">
        <w:rPr>
          <w:rFonts w:ascii="Roobert" w:hAnsi="Roobert"/>
          <w:sz w:val="20"/>
          <w:szCs w:val="20"/>
        </w:rPr>
        <w:t>desmutar</w:t>
      </w:r>
      <w:proofErr w:type="spellEnd"/>
      <w:r w:rsidR="00D50F34" w:rsidRPr="00D50F34">
        <w:rPr>
          <w:rFonts w:ascii="Roobert" w:hAnsi="Roobert"/>
          <w:sz w:val="20"/>
          <w:szCs w:val="20"/>
        </w:rPr>
        <w:t xml:space="preserve"> o áudio original clicando no botão “mutar o áudio original”.</w:t>
      </w:r>
    </w:p>
    <w:p w14:paraId="2712684F" w14:textId="1D4D10E4" w:rsidR="00D50F34" w:rsidRPr="00D50F34" w:rsidRDefault="00D50F34" w:rsidP="00D50F34">
      <w:pPr>
        <w:jc w:val="both"/>
        <w:rPr>
          <w:rFonts w:ascii="Roobert" w:hAnsi="Roobert"/>
          <w:sz w:val="20"/>
          <w:szCs w:val="20"/>
        </w:rPr>
      </w:pPr>
      <w:r w:rsidRPr="00D50F34">
        <w:rPr>
          <w:rFonts w:ascii="Roobert" w:hAnsi="Roobert"/>
          <w:sz w:val="20"/>
          <w:szCs w:val="20"/>
        </w:rPr>
        <w:t xml:space="preserve">Bom dia, sejam bem-vindos ao webinar da </w:t>
      </w:r>
      <w:proofErr w:type="spellStart"/>
      <w:r w:rsidRPr="00D50F34">
        <w:rPr>
          <w:rFonts w:ascii="Roobert" w:hAnsi="Roobert"/>
          <w:sz w:val="20"/>
          <w:szCs w:val="20"/>
        </w:rPr>
        <w:t>Localiza&amp;Co</w:t>
      </w:r>
      <w:proofErr w:type="spellEnd"/>
      <w:r w:rsidRPr="00D50F34">
        <w:rPr>
          <w:rFonts w:ascii="Roobert" w:hAnsi="Roobert"/>
          <w:sz w:val="20"/>
          <w:szCs w:val="20"/>
        </w:rPr>
        <w:t xml:space="preserve"> sobre os resultados do </w:t>
      </w:r>
      <w:r w:rsidR="00B949FC">
        <w:rPr>
          <w:rFonts w:ascii="Roobert" w:hAnsi="Roobert"/>
          <w:sz w:val="20"/>
          <w:szCs w:val="20"/>
        </w:rPr>
        <w:t>segundo</w:t>
      </w:r>
      <w:r w:rsidRPr="00D50F34">
        <w:rPr>
          <w:rFonts w:ascii="Roobert" w:hAnsi="Roobert"/>
          <w:sz w:val="20"/>
          <w:szCs w:val="20"/>
        </w:rPr>
        <w:t xml:space="preserve"> trimestre de 2026. Estão conosco Rodrigo Tavares, CFO, e Nora Lanari, Diretora de Relações com Investidores da Companhia.</w:t>
      </w:r>
    </w:p>
    <w:p w14:paraId="77FC88BE" w14:textId="77777777" w:rsidR="00D50F34" w:rsidRPr="00D50F34" w:rsidRDefault="00D50F34" w:rsidP="00D50F34">
      <w:pPr>
        <w:jc w:val="both"/>
        <w:rPr>
          <w:rFonts w:ascii="Roobert" w:hAnsi="Roobert"/>
          <w:sz w:val="20"/>
          <w:szCs w:val="20"/>
        </w:rPr>
      </w:pPr>
      <w:r w:rsidRPr="00D50F34">
        <w:rPr>
          <w:rFonts w:ascii="Roobert" w:hAnsi="Roobert"/>
          <w:sz w:val="20"/>
          <w:szCs w:val="20"/>
        </w:rPr>
        <w:t>Informamos que este webinar está sendo gravado e estará disponível em ri.localiza.com, onde o material completo da divulgação dos resultados está disponível. A apresentação também está disponível para download no site de RI.</w:t>
      </w:r>
    </w:p>
    <w:p w14:paraId="3F245BE2" w14:textId="77777777" w:rsidR="00D50F34" w:rsidRPr="00D50F34" w:rsidRDefault="00D50F34" w:rsidP="00D50F34">
      <w:pPr>
        <w:jc w:val="both"/>
        <w:rPr>
          <w:rFonts w:ascii="Roobert" w:hAnsi="Roobert"/>
          <w:sz w:val="20"/>
          <w:szCs w:val="20"/>
        </w:rPr>
      </w:pPr>
      <w:r w:rsidRPr="00D50F34">
        <w:rPr>
          <w:rFonts w:ascii="Roobert" w:hAnsi="Roobert"/>
          <w:sz w:val="20"/>
          <w:szCs w:val="20"/>
        </w:rPr>
        <w:t xml:space="preserve">Para a sessão de perguntas e respostas para analistas e investidores, aconselhamos que sinalizem seu interesse em participar através do ícone de Q&amp;A na parte inferior de suas telas, digitando seu NOME, INSTITUIÇÃO e IDIOMA. Quando chamados, aparecerá na tela um pedido para ativar seu microfone. As perguntas poderão ser feitas tanto em </w:t>
      </w:r>
      <w:proofErr w:type="gramStart"/>
      <w:r w:rsidRPr="00D50F34">
        <w:rPr>
          <w:rFonts w:ascii="Roobert" w:hAnsi="Roobert"/>
          <w:sz w:val="20"/>
          <w:szCs w:val="20"/>
        </w:rPr>
        <w:t>Português</w:t>
      </w:r>
      <w:proofErr w:type="gramEnd"/>
      <w:r w:rsidRPr="00D50F34">
        <w:rPr>
          <w:rFonts w:ascii="Roobert" w:hAnsi="Roobert"/>
          <w:sz w:val="20"/>
          <w:szCs w:val="20"/>
        </w:rPr>
        <w:t xml:space="preserve">, quanto em </w:t>
      </w:r>
      <w:proofErr w:type="gramStart"/>
      <w:r w:rsidRPr="00D50F34">
        <w:rPr>
          <w:rFonts w:ascii="Roobert" w:hAnsi="Roobert"/>
          <w:sz w:val="20"/>
          <w:szCs w:val="20"/>
        </w:rPr>
        <w:t>Inglês</w:t>
      </w:r>
      <w:proofErr w:type="gramEnd"/>
      <w:r w:rsidRPr="00D50F34">
        <w:rPr>
          <w:rFonts w:ascii="Roobert" w:hAnsi="Roobert"/>
          <w:sz w:val="20"/>
          <w:szCs w:val="20"/>
        </w:rPr>
        <w:t>.</w:t>
      </w:r>
    </w:p>
    <w:p w14:paraId="3A2D7BCD" w14:textId="77777777" w:rsidR="00D50F34" w:rsidRPr="00D50F34" w:rsidRDefault="00D50F34" w:rsidP="00D50F34">
      <w:pPr>
        <w:jc w:val="both"/>
        <w:rPr>
          <w:rFonts w:ascii="Roobert" w:hAnsi="Roobert"/>
          <w:sz w:val="20"/>
          <w:szCs w:val="20"/>
        </w:rPr>
      </w:pPr>
      <w:r w:rsidRPr="00D50F34">
        <w:rPr>
          <w:rFonts w:ascii="Roobert" w:hAnsi="Roobert"/>
          <w:sz w:val="20"/>
          <w:szCs w:val="20"/>
        </w:rPr>
        <w:t>Para enviar perguntas por escrito, use o ícone de Q&amp;A na parte inferior de suas telas e preencha seu NOME e INSTITUIÇÃO antes da pergunta.</w:t>
      </w:r>
    </w:p>
    <w:p w14:paraId="7703B868" w14:textId="77777777" w:rsidR="00D50F34" w:rsidRPr="00D50F34" w:rsidRDefault="00D50F34" w:rsidP="00D50F34">
      <w:pPr>
        <w:jc w:val="both"/>
        <w:rPr>
          <w:rFonts w:ascii="Roobert" w:hAnsi="Roobert"/>
          <w:sz w:val="20"/>
          <w:szCs w:val="20"/>
        </w:rPr>
      </w:pPr>
      <w:r w:rsidRPr="00D50F34">
        <w:rPr>
          <w:rFonts w:ascii="Roobert" w:hAnsi="Roobert"/>
          <w:sz w:val="20"/>
          <w:szCs w:val="20"/>
        </w:rPr>
        <w:t>Informamos que os valores nesta apresentação estão em milhões de Reais e em IFRS. Ressaltamos que as informações contidas nesta apresentação e quaisquer declarações que possam ser feitas durante a conferência, sobre perspectivas de negócios, projeções e metas operacionais e financeiras da Localiza, constituem crenças e premissas da Administração da Companhia, bem como informações atualmente disponíveis. Considerações futuras não são garantias de desempenho. Elas envolvem riscos, incertezas e premissas, pois se referem a eventos futuros e, portanto, dependem de circunstâncias que podem ou não ocorrer.</w:t>
      </w:r>
    </w:p>
    <w:p w14:paraId="1EFE92E7" w14:textId="5768DA41" w:rsidR="009F252D" w:rsidRPr="005E2BAD" w:rsidRDefault="00D50F34" w:rsidP="00D50F34">
      <w:pPr>
        <w:jc w:val="both"/>
        <w:rPr>
          <w:rFonts w:ascii="Roobert" w:hAnsi="Roobert"/>
          <w:sz w:val="20"/>
          <w:szCs w:val="20"/>
        </w:rPr>
      </w:pPr>
      <w:r w:rsidRPr="00D50F34">
        <w:rPr>
          <w:rFonts w:ascii="Roobert" w:hAnsi="Roobert"/>
          <w:sz w:val="20"/>
          <w:szCs w:val="20"/>
        </w:rPr>
        <w:t>Agora, passo a palavra para Rodrigo Tavares, CFO da Companhia, para iniciar a apresentação.</w:t>
      </w:r>
    </w:p>
    <w:p w14:paraId="125A6809" w14:textId="77777777" w:rsidR="00BF23B4" w:rsidRPr="006F1AFE" w:rsidRDefault="00BF23B4" w:rsidP="006F1AFE">
      <w:pPr>
        <w:pStyle w:val="PargrafodaLista"/>
        <w:spacing w:line="264" w:lineRule="auto"/>
        <w:ind w:left="0" w:right="-1"/>
        <w:jc w:val="both"/>
        <w:rPr>
          <w:rFonts w:ascii="Roobert" w:hAnsi="Roobert"/>
          <w:b/>
          <w:bCs/>
          <w:sz w:val="20"/>
          <w:szCs w:val="20"/>
        </w:rPr>
      </w:pPr>
      <w:r w:rsidRPr="006F1AFE">
        <w:rPr>
          <w:rFonts w:ascii="Roobert" w:hAnsi="Roobert"/>
          <w:b/>
          <w:bCs/>
          <w:sz w:val="20"/>
          <w:szCs w:val="20"/>
        </w:rPr>
        <w:t>RODRIGO TAVARES:</w:t>
      </w:r>
    </w:p>
    <w:p w14:paraId="3155E0A9" w14:textId="77777777" w:rsidR="00BF23B4" w:rsidRPr="006F1AFE" w:rsidRDefault="00BF23B4" w:rsidP="006F1AFE">
      <w:pPr>
        <w:pStyle w:val="PargrafodaLista"/>
        <w:spacing w:line="264" w:lineRule="auto"/>
        <w:ind w:left="0" w:right="-1"/>
        <w:jc w:val="both"/>
        <w:rPr>
          <w:rFonts w:ascii="Roobert" w:hAnsi="Roobert"/>
          <w:sz w:val="20"/>
          <w:szCs w:val="20"/>
        </w:rPr>
      </w:pPr>
      <w:r w:rsidRPr="006F1AFE">
        <w:rPr>
          <w:rFonts w:ascii="Roobert" w:hAnsi="Roobert"/>
          <w:sz w:val="20"/>
          <w:szCs w:val="20"/>
        </w:rPr>
        <w:t>Bom dia e bem-vindos ao webinar da Localiza.</w:t>
      </w:r>
    </w:p>
    <w:p w14:paraId="4698807F" w14:textId="77777777" w:rsidR="00BF23B4" w:rsidRPr="006F1AFE" w:rsidRDefault="00BF23B4" w:rsidP="00BF23B4">
      <w:pPr>
        <w:pStyle w:val="PargrafodaLista"/>
        <w:spacing w:line="264" w:lineRule="auto"/>
        <w:ind w:right="-1"/>
        <w:jc w:val="both"/>
        <w:rPr>
          <w:rFonts w:ascii="Roobert" w:hAnsi="Roobert"/>
          <w:sz w:val="20"/>
          <w:szCs w:val="20"/>
        </w:rPr>
      </w:pPr>
    </w:p>
    <w:p w14:paraId="63865E74" w14:textId="0BB205C1" w:rsidR="00BF23B4" w:rsidRDefault="00BF23B4" w:rsidP="0056515B">
      <w:pPr>
        <w:pStyle w:val="PargrafodaLista"/>
        <w:spacing w:line="264" w:lineRule="auto"/>
        <w:ind w:left="0" w:right="-1"/>
        <w:jc w:val="both"/>
        <w:rPr>
          <w:rFonts w:ascii="Roobert" w:hAnsi="Roobert"/>
          <w:sz w:val="20"/>
          <w:szCs w:val="20"/>
        </w:rPr>
      </w:pPr>
      <w:r w:rsidRPr="0056515B">
        <w:rPr>
          <w:rFonts w:ascii="Roobert" w:hAnsi="Roobert"/>
          <w:sz w:val="20"/>
          <w:szCs w:val="20"/>
        </w:rPr>
        <w:t xml:space="preserve">O forte resultado do início do ano foi mantido no 2T26 – com aceleração do crescimento de receita, ano contra ano, em </w:t>
      </w:r>
      <w:r w:rsidR="0056515B" w:rsidRPr="0056515B">
        <w:rPr>
          <w:rFonts w:ascii="Roobert" w:hAnsi="Roobert"/>
          <w:sz w:val="20"/>
          <w:szCs w:val="20"/>
        </w:rPr>
        <w:t>todas as linhas</w:t>
      </w:r>
      <w:r w:rsidRPr="0056515B">
        <w:rPr>
          <w:rFonts w:ascii="Roobert" w:hAnsi="Roobert"/>
          <w:sz w:val="20"/>
          <w:szCs w:val="20"/>
        </w:rPr>
        <w:t xml:space="preserve"> de negócio – sustentado pela consistência na execução, pela disciplina na alocação de capital e pelo avanço contínuo na recomposição dos retornos, reforçando a geração de valor para os acionistas da Companhia.</w:t>
      </w:r>
    </w:p>
    <w:p w14:paraId="332D6A49" w14:textId="77777777" w:rsidR="005E1978" w:rsidRPr="0056515B" w:rsidRDefault="005E1978" w:rsidP="0056515B">
      <w:pPr>
        <w:pStyle w:val="PargrafodaLista"/>
        <w:spacing w:line="264" w:lineRule="auto"/>
        <w:ind w:left="0" w:right="-1"/>
        <w:jc w:val="both"/>
        <w:rPr>
          <w:rFonts w:ascii="Roobert" w:hAnsi="Roobert"/>
          <w:sz w:val="20"/>
          <w:szCs w:val="20"/>
        </w:rPr>
      </w:pPr>
    </w:p>
    <w:p w14:paraId="6D459B4D" w14:textId="7AE74DDB" w:rsidR="00BF23B4"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sz w:val="20"/>
          <w:szCs w:val="20"/>
        </w:rPr>
        <w:t>No Aluguel de Carros (RAC), apresentamos crescimento de dois dígitos na receita líquida, que avançou 11,2% em relação ao 2T25, refletindo a combinação de aumento de volume com avanço de preço. Em Gestão de Frotas voltamos a apresentar crescimento do número de diárias na comparação anual, com uma originação positiva</w:t>
      </w:r>
      <w:r w:rsidRPr="0056515B">
        <w:rPr>
          <w:rFonts w:ascii="Roobert" w:hAnsi="Roobert" w:cs="Arial"/>
          <w:sz w:val="20"/>
          <w:szCs w:val="20"/>
        </w:rPr>
        <w:t xml:space="preserve"> de contratos de frotas leves e </w:t>
      </w:r>
      <w:r w:rsidRPr="0056515B">
        <w:rPr>
          <w:rFonts w:ascii="Roobert" w:hAnsi="Roobert" w:cs="Arial"/>
          <w:sz w:val="20"/>
          <w:szCs w:val="20"/>
        </w:rPr>
        <w:lastRenderedPageBreak/>
        <w:t xml:space="preserve">carros por assinatura e menor peso da redução do portfólio de contratos de uso severo, que vem acontecendo desde 2024. </w:t>
      </w:r>
      <w:r w:rsidR="003E4909">
        <w:rPr>
          <w:rFonts w:ascii="Roobert" w:hAnsi="Roobert" w:cs="Arial"/>
          <w:sz w:val="20"/>
          <w:szCs w:val="20"/>
        </w:rPr>
        <w:t xml:space="preserve"> </w:t>
      </w:r>
      <w:r w:rsidRPr="0056515B">
        <w:rPr>
          <w:rFonts w:ascii="Roobert" w:hAnsi="Roobert" w:cs="Arial"/>
          <w:sz w:val="20"/>
          <w:szCs w:val="20"/>
        </w:rPr>
        <w:t xml:space="preserve">Em Seminovos, vendemos 92 mil carros no trimestre, frente aos 68 mil vendidos no 2T25, impulsionando o avanço de 38,9% na receita líquida. Com a manutenção do ritmo necessário para otimizar o ciclo de vida da frota do RAC, direcionamos investimentos para aumentar a capacidade do varejo, por meio da expansão das equipes de venda e do fortalecimento das iniciativas de marketing. Além disso, concluímos nesse trimestre o rebranding das nossas lojas </w:t>
      </w:r>
      <w:proofErr w:type="gramStart"/>
      <w:r w:rsidRPr="0056515B">
        <w:rPr>
          <w:rFonts w:ascii="Roobert" w:hAnsi="Roobert" w:cs="Arial"/>
          <w:sz w:val="20"/>
          <w:szCs w:val="20"/>
        </w:rPr>
        <w:t>de Seminovos</w:t>
      </w:r>
      <w:proofErr w:type="gramEnd"/>
      <w:r w:rsidRPr="0056515B">
        <w:rPr>
          <w:rFonts w:ascii="Roobert" w:hAnsi="Roobert" w:cs="Arial"/>
          <w:sz w:val="20"/>
          <w:szCs w:val="20"/>
        </w:rPr>
        <w:t>. Embora esses investimentos tenham impactado a margem do trimestre, deverão contribuir para o aumento da participação do varejo no mix de venda ao longo do 2S26.</w:t>
      </w:r>
    </w:p>
    <w:p w14:paraId="7E776A84" w14:textId="77777777" w:rsidR="003E4909" w:rsidRPr="0056515B" w:rsidRDefault="003E4909" w:rsidP="0056515B">
      <w:pPr>
        <w:pStyle w:val="PargrafodaLista"/>
        <w:spacing w:line="264" w:lineRule="auto"/>
        <w:ind w:left="0" w:right="-1"/>
        <w:jc w:val="both"/>
        <w:rPr>
          <w:rFonts w:ascii="Roobert" w:hAnsi="Roobert" w:cs="Arial"/>
          <w:sz w:val="20"/>
          <w:szCs w:val="20"/>
        </w:rPr>
      </w:pPr>
    </w:p>
    <w:p w14:paraId="2263BBF4" w14:textId="77777777" w:rsidR="00BF23B4"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O forte avanço no processo de rejuvenescimento da frota contribuiu para a redução de 24,1% na idade média da frota operacional do Aluguel de Carros, que encerrou o período em 8,2 meses em comparação aos 10,8 meses do 2T25.</w:t>
      </w:r>
    </w:p>
    <w:p w14:paraId="5B87F6B1" w14:textId="77777777" w:rsidR="003E4909" w:rsidRPr="0056515B" w:rsidRDefault="003E4909" w:rsidP="0056515B">
      <w:pPr>
        <w:pStyle w:val="PargrafodaLista"/>
        <w:spacing w:line="264" w:lineRule="auto"/>
        <w:ind w:left="0" w:right="-1"/>
        <w:jc w:val="both"/>
        <w:rPr>
          <w:rFonts w:ascii="Roobert" w:hAnsi="Roobert" w:cs="Arial"/>
          <w:sz w:val="20"/>
          <w:szCs w:val="20"/>
        </w:rPr>
      </w:pPr>
    </w:p>
    <w:p w14:paraId="672E5788" w14:textId="77777777" w:rsidR="00BF23B4"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Durante o 2T26 observamos o comportamento dos preços de carros novos e seminovos em linha com nossas expectativas. Ainda assim, conforme sinalizado na divulgação dos resultados do 1T26, seguimos ajustando as taxas de depreciação da frota para refletir a dinâmica da indústria automobilística, caracterizada pela entrada de novos competidores e pelo lançamento de veículos mais tecnológicos e competitivos.</w:t>
      </w:r>
    </w:p>
    <w:p w14:paraId="1C14B930" w14:textId="77777777" w:rsidR="003E4909" w:rsidRPr="0056515B" w:rsidRDefault="003E4909" w:rsidP="0056515B">
      <w:pPr>
        <w:pStyle w:val="PargrafodaLista"/>
        <w:spacing w:line="264" w:lineRule="auto"/>
        <w:ind w:left="0" w:right="-1"/>
        <w:jc w:val="both"/>
        <w:rPr>
          <w:rFonts w:ascii="Roobert" w:hAnsi="Roobert" w:cs="Arial"/>
          <w:sz w:val="20"/>
          <w:szCs w:val="20"/>
        </w:rPr>
      </w:pPr>
    </w:p>
    <w:p w14:paraId="77E0D8B7" w14:textId="77777777" w:rsidR="00BF23B4"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 xml:space="preserve">Em antecipação a esse movimento, a Companhia veio ajustando os preços de aluguel e as taxas de depreciação da frota para refletir as estimativas de valor residual alinhadas às perspectivas do setor. </w:t>
      </w:r>
    </w:p>
    <w:p w14:paraId="47AE3A10" w14:textId="77777777" w:rsidR="003E4909" w:rsidRPr="0056515B" w:rsidRDefault="003E4909" w:rsidP="0056515B">
      <w:pPr>
        <w:pStyle w:val="PargrafodaLista"/>
        <w:spacing w:line="264" w:lineRule="auto"/>
        <w:ind w:left="0" w:right="-1"/>
        <w:jc w:val="both"/>
        <w:rPr>
          <w:rFonts w:ascii="Roobert" w:hAnsi="Roobert" w:cs="Arial"/>
          <w:sz w:val="20"/>
          <w:szCs w:val="20"/>
        </w:rPr>
      </w:pPr>
    </w:p>
    <w:p w14:paraId="07E6DC4B" w14:textId="77777777"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 xml:space="preserve">Como resultado, no 2T26 entregamos uma receita líquida de R$12,3 bilhões, um crescimento de 24,5% na comparação anual. O EBIT somou R$ 2,3 bilhões, 15,1% superior ao do 2T25 e o lucro líquido alcançou R$1,0 bilhão no trimestre, avanço de 30,6% na comparação anual. </w:t>
      </w:r>
    </w:p>
    <w:p w14:paraId="3E9DEDCE" w14:textId="77777777"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O lucro líquido de R$1 bilhão e ROIC spread de 6,1 pontos percentuais, dentro da faixa-alvo da Companhia mesmo adotando premissas mais duras de depreciação, reforçam a assertividade da estratégia adotada e o avanço contínuo na recomposição dos retornos.</w:t>
      </w:r>
    </w:p>
    <w:p w14:paraId="4BB8D964" w14:textId="77777777"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 xml:space="preserve">Para o segundo semestre de 2026, buscaremos o crescimento da receita líquida de Aluguel de Carros e Gestão de Frotas, bem como a sustentação do ritmo de venda </w:t>
      </w:r>
      <w:proofErr w:type="gramStart"/>
      <w:r w:rsidRPr="0056515B">
        <w:rPr>
          <w:rFonts w:ascii="Roobert" w:hAnsi="Roobert" w:cs="Arial"/>
          <w:sz w:val="20"/>
          <w:szCs w:val="20"/>
        </w:rPr>
        <w:t>de Seminovos</w:t>
      </w:r>
      <w:proofErr w:type="gramEnd"/>
      <w:r w:rsidRPr="0056515B">
        <w:rPr>
          <w:rFonts w:ascii="Roobert" w:hAnsi="Roobert" w:cs="Arial"/>
          <w:sz w:val="20"/>
          <w:szCs w:val="20"/>
        </w:rPr>
        <w:t xml:space="preserve"> com ampliação do mix de venda ao varejo. Além disso, seguiremos obstinados na busca por eficiência operacional em todas as linhas do negócio e na ampliação do uso de tecnologia para melhorar a experiência dos nossos clientes. </w:t>
      </w:r>
    </w:p>
    <w:p w14:paraId="0D78BE34" w14:textId="77777777" w:rsidR="00BF23B4" w:rsidRPr="0056515B" w:rsidRDefault="00BF23B4" w:rsidP="0056515B">
      <w:pPr>
        <w:pStyle w:val="PargrafodaLista"/>
        <w:spacing w:line="264" w:lineRule="auto"/>
        <w:ind w:left="0" w:right="-1"/>
        <w:jc w:val="both"/>
        <w:rPr>
          <w:rFonts w:ascii="Roobert" w:hAnsi="Roobert" w:cs="Arial"/>
          <w:sz w:val="20"/>
          <w:szCs w:val="20"/>
        </w:rPr>
      </w:pPr>
    </w:p>
    <w:p w14:paraId="6C258171" w14:textId="77777777" w:rsidR="00BF23B4"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Entusiasmados com os avanços e resultados do 1S26, permanecemos atentos ao ambiente macroeconômico e na dinâmica da indústria automobilística, e seguiremos disciplinados na alocação de capital, com foco no crescimento sustentável com geração de valor.</w:t>
      </w:r>
    </w:p>
    <w:p w14:paraId="63E34B9A" w14:textId="77777777" w:rsidR="003E4909" w:rsidRPr="0056515B" w:rsidRDefault="003E4909" w:rsidP="0056515B">
      <w:pPr>
        <w:pStyle w:val="PargrafodaLista"/>
        <w:spacing w:line="264" w:lineRule="auto"/>
        <w:ind w:left="0" w:right="-1"/>
        <w:jc w:val="both"/>
        <w:rPr>
          <w:rFonts w:ascii="Roobert" w:hAnsi="Roobert" w:cs="Arial"/>
          <w:sz w:val="20"/>
          <w:szCs w:val="20"/>
        </w:rPr>
      </w:pPr>
    </w:p>
    <w:p w14:paraId="75E3C0DC" w14:textId="77777777"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Agradecemos a confiança de nossos clientes, acionistas, parceiros e colaboradores.</w:t>
      </w:r>
    </w:p>
    <w:p w14:paraId="3D6ABF05" w14:textId="77777777"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Para os detalhes do resultado, passo a palavra para a nossa diretora de relações com investidores, Nora.</w:t>
      </w:r>
    </w:p>
    <w:p w14:paraId="432EE979" w14:textId="77777777" w:rsidR="00BF23B4" w:rsidRDefault="00BF23B4" w:rsidP="0056515B">
      <w:pPr>
        <w:pStyle w:val="PargrafodaLista"/>
        <w:spacing w:line="264" w:lineRule="auto"/>
        <w:ind w:left="0" w:right="-1"/>
        <w:jc w:val="both"/>
        <w:rPr>
          <w:rFonts w:ascii="Roobert" w:hAnsi="Roobert" w:cs="Arial"/>
          <w:sz w:val="20"/>
          <w:szCs w:val="20"/>
        </w:rPr>
      </w:pPr>
    </w:p>
    <w:p w14:paraId="51A220A0" w14:textId="77777777" w:rsidR="00DB6A50" w:rsidRPr="0056515B" w:rsidRDefault="00DB6A50" w:rsidP="0056515B">
      <w:pPr>
        <w:pStyle w:val="PargrafodaLista"/>
        <w:spacing w:line="264" w:lineRule="auto"/>
        <w:ind w:left="0" w:right="-1"/>
        <w:jc w:val="both"/>
        <w:rPr>
          <w:rFonts w:ascii="Roobert" w:hAnsi="Roobert" w:cs="Arial"/>
          <w:sz w:val="20"/>
          <w:szCs w:val="20"/>
        </w:rPr>
      </w:pPr>
    </w:p>
    <w:p w14:paraId="79BFABCF" w14:textId="77777777" w:rsidR="00BF23B4" w:rsidRPr="0056515B" w:rsidRDefault="00BF23B4" w:rsidP="0056515B">
      <w:pPr>
        <w:pStyle w:val="PargrafodaLista"/>
        <w:spacing w:line="264" w:lineRule="auto"/>
        <w:ind w:left="0" w:right="-1"/>
        <w:jc w:val="both"/>
        <w:rPr>
          <w:rFonts w:ascii="Roobert" w:hAnsi="Roobert" w:cs="Arial"/>
          <w:b/>
          <w:bCs/>
          <w:sz w:val="20"/>
          <w:szCs w:val="20"/>
        </w:rPr>
      </w:pPr>
      <w:r w:rsidRPr="0056515B">
        <w:rPr>
          <w:rFonts w:ascii="Roobert" w:hAnsi="Roobert" w:cs="Arial"/>
          <w:b/>
          <w:bCs/>
          <w:sz w:val="20"/>
          <w:szCs w:val="20"/>
        </w:rPr>
        <w:lastRenderedPageBreak/>
        <w:t>NORA:</w:t>
      </w:r>
    </w:p>
    <w:p w14:paraId="492F10C5" w14:textId="77777777" w:rsidR="00BF23B4"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Obrigada Rodrigo, e bom dia a todos.</w:t>
      </w:r>
    </w:p>
    <w:p w14:paraId="19DAF061" w14:textId="77777777" w:rsidR="00DB6A50" w:rsidRPr="0056515B" w:rsidRDefault="00DB6A50" w:rsidP="0056515B">
      <w:pPr>
        <w:pStyle w:val="PargrafodaLista"/>
        <w:spacing w:line="264" w:lineRule="auto"/>
        <w:ind w:left="0" w:right="-1"/>
        <w:jc w:val="both"/>
        <w:rPr>
          <w:rFonts w:ascii="Roobert" w:hAnsi="Roobert" w:cs="Arial"/>
          <w:sz w:val="20"/>
          <w:szCs w:val="20"/>
        </w:rPr>
      </w:pPr>
    </w:p>
    <w:p w14:paraId="2DA3370D" w14:textId="77777777"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Na página 3, começaremos pela divisão de Aluguel de Carros no Brasil. No 2T26, a receita líquida da divisão de Aluguel de Carros atingiu R$2,8 bilhões, crescimento de 11,2% em relação ao 2T25. Esse desempenho foi impulsionado pela aceleração do crescimento das diárias, superior em 6,8% na comparação anual, e pelo avanço da diária média, que segue o processo de recomposição.</w:t>
      </w:r>
    </w:p>
    <w:p w14:paraId="6983AD42" w14:textId="77777777" w:rsidR="00BF23B4"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Na página 4, apresentamos o crescimento de 3,7% na diária média do trimestre e o avanço de 3,3p.p. na taxa de utilização, que alcançou 81,9% no 2T26, evidenciando uma combinação saudável entre volume, preço e produtividade.</w:t>
      </w:r>
    </w:p>
    <w:p w14:paraId="0FB6AA65" w14:textId="6606866A"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 xml:space="preserve">Passando para a página 5, trazemos a evolução da divisão de Gestão de Frotas. A receita líquida desta divisão somou R$2,4 bilhões no 2T26, crescimento de 5,8% frente ao mesmo período de 2T25.Depois da leve redução dos volumes em 2025, em função da redução da exposição a contratos de uso severo, a divisão de Gestão de Frotas voltou a apresentar crescimento no número de diárias na comparação anual, suportada pela expansão dos segmentos-alvo de frotas leves e carro por assinatura, que ampliaram receita em cerca de 13% no 2T26 em relação ao 2T25. </w:t>
      </w:r>
    </w:p>
    <w:p w14:paraId="6DB3A08F" w14:textId="77777777"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Na página 6, apresentamos a diária média, com avanço de 5,7% na comparação anual e a taxa de utilização desta divisão, que alcançou 96,7% no trimestre evidenciando maior eficiência operacional e produtividade.</w:t>
      </w:r>
    </w:p>
    <w:p w14:paraId="1F236CD0" w14:textId="77777777"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Passando para a página 7, apresentamos a evolução do Seminovos.</w:t>
      </w:r>
    </w:p>
    <w:p w14:paraId="57F7E3E9" w14:textId="3BD8E7F2"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No segundo trimestre, vendemos 92.043 carros no Brasil, sustentando o ritmo de venda acima dos 90 mil por trimestre, o que permitirá a redução do ciclo do RAC para cerca de 15 meses ao longo dos próximos trimestres. O preço médio de venda também avançou, refletindo uma maior participação de SUVs no mix de venda, contribuindo para uma receita líquida de vendas no Brasil de R$7.144 milhões, forte crescimento de 39,0% em relação ao mesmo período do ano anterior. O forte desempenho da Localiza Seminovos reflete o amadurecimento de iniciativas voltadas à excelência comercial, à expansão da rede e ao aumento de produtividade. Uma vez mantida a velocidade de venda necessária para otimizar o ciclo da frota, o foco da Companhia se volta para a ampliação da participação das vendas para o varejo no mix de venda.</w:t>
      </w:r>
    </w:p>
    <w:p w14:paraId="06AC947C" w14:textId="10CACEBD"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Passando para a página 8, apresentamos os saldos de compra e venda de carros. O forte ritmo de venda de carros é acompanhado pelo maior ritmo de compras. No trimestre, foram vendidos 92.043 carros e comprados 120.626 carros, contribuindo para o avanço do processo de rejuvenescimento da frota do Aluguel de Carros, refletido na redução da idade média dos veículos vendidos para 19,4 meses, frente a 22,2 meses no 2T25. A idade média da frota operacional também apresentou evolução relevante, encerrando o período em 8,2 meses, ante 10,8 meses no 2T25, redução de 24,1% na comparação anual, contribuindo para ganhos de eficiência e menores custos de manutenção e preparação por carro.</w:t>
      </w:r>
      <w:r w:rsidR="00F82369">
        <w:rPr>
          <w:rFonts w:ascii="Roobert" w:hAnsi="Roobert" w:cs="Arial"/>
          <w:sz w:val="20"/>
          <w:szCs w:val="20"/>
        </w:rPr>
        <w:t xml:space="preserve"> </w:t>
      </w:r>
      <w:r w:rsidRPr="0056515B">
        <w:rPr>
          <w:rFonts w:ascii="Roobert" w:hAnsi="Roobert" w:cs="Arial"/>
          <w:sz w:val="20"/>
          <w:szCs w:val="20"/>
        </w:rPr>
        <w:t>Foram investidos R$11,6 bilhões na compra e gerados R$7,1 bilhões na venda de carros, resultando em um investimento líquido de R$4,5 bilhões na operação do Brasil.</w:t>
      </w:r>
    </w:p>
    <w:p w14:paraId="25C91B23" w14:textId="77777777"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 xml:space="preserve">Na página 9, apresentamos a evolução dos preços médios dos carros comprados e vendidos. </w:t>
      </w:r>
    </w:p>
    <w:p w14:paraId="648AF8C3" w14:textId="09371689"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 xml:space="preserve">Na divisão de Aluguel de Carros, o preço médio de compra dos últimos 12 meses foi de R$86,1 mil, e o de venda alcançou R$74,0 mil, refletindo principalmente o rejuvenescimento da frota e a menor idade média dos veículos vendidos. Como consequência, o </w:t>
      </w:r>
      <w:proofErr w:type="spellStart"/>
      <w:r w:rsidRPr="0056515B">
        <w:rPr>
          <w:rFonts w:ascii="Roobert" w:hAnsi="Roobert" w:cs="Arial"/>
          <w:sz w:val="20"/>
          <w:szCs w:val="20"/>
        </w:rPr>
        <w:t>capex</w:t>
      </w:r>
      <w:proofErr w:type="spellEnd"/>
      <w:r w:rsidRPr="0056515B">
        <w:rPr>
          <w:rFonts w:ascii="Roobert" w:hAnsi="Roobert" w:cs="Arial"/>
          <w:sz w:val="20"/>
          <w:szCs w:val="20"/>
        </w:rPr>
        <w:t xml:space="preserve"> de reposição da </w:t>
      </w:r>
      <w:r w:rsidRPr="0056515B">
        <w:rPr>
          <w:rFonts w:ascii="Roobert" w:hAnsi="Roobert" w:cs="Arial"/>
          <w:sz w:val="20"/>
          <w:szCs w:val="20"/>
        </w:rPr>
        <w:lastRenderedPageBreak/>
        <w:t>divisão totalizou R$ 12,1 mil por carro.</w:t>
      </w:r>
      <w:r w:rsidR="00F82369">
        <w:rPr>
          <w:rFonts w:ascii="Roobert" w:hAnsi="Roobert" w:cs="Arial"/>
          <w:sz w:val="20"/>
          <w:szCs w:val="20"/>
        </w:rPr>
        <w:t xml:space="preserve"> </w:t>
      </w:r>
      <w:r w:rsidRPr="0056515B">
        <w:rPr>
          <w:rFonts w:ascii="Roobert" w:hAnsi="Roobert" w:cs="Arial"/>
          <w:sz w:val="20"/>
          <w:szCs w:val="20"/>
        </w:rPr>
        <w:t>Em Gestão de Frotas, o preço médio de compra dos últimos 12 meses atingiu R$99,7 mil enquanto o preço médio de venda foi de R$79,8 mil, resultando em um investimento para renovação de R$19,9 mil.</w:t>
      </w:r>
    </w:p>
    <w:p w14:paraId="427641C2" w14:textId="77777777"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Na página 10, mostramos a frota de final de período. A Companhia encerrou o trimestre com 670.446 carros em sua frota, um crescimento de 6,3% na comparação com o 2T25, antecipando a demanda das férias de julho.</w:t>
      </w:r>
    </w:p>
    <w:p w14:paraId="4DC57F0D" w14:textId="77777777"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Na página 11, apresentamos a receita líquida consolidada do trimestre que segue avançando dois dígitos. Na comparação anual, a receita avança 24,5%, somando R$12,3 bilhões.</w:t>
      </w:r>
    </w:p>
    <w:p w14:paraId="2CA7EBD1" w14:textId="77777777"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 xml:space="preserve">A receita de aluguéis apresentou crescimento de 8,8%, totalizando R$5,2 bilhões, enquanto a receita </w:t>
      </w:r>
      <w:proofErr w:type="gramStart"/>
      <w:r w:rsidRPr="0056515B">
        <w:rPr>
          <w:rFonts w:ascii="Roobert" w:hAnsi="Roobert" w:cs="Arial"/>
          <w:sz w:val="20"/>
          <w:szCs w:val="20"/>
        </w:rPr>
        <w:t>de Seminovos</w:t>
      </w:r>
      <w:proofErr w:type="gramEnd"/>
      <w:r w:rsidRPr="0056515B">
        <w:rPr>
          <w:rFonts w:ascii="Roobert" w:hAnsi="Roobert" w:cs="Arial"/>
          <w:sz w:val="20"/>
          <w:szCs w:val="20"/>
        </w:rPr>
        <w:t xml:space="preserve"> somou R$7,2 bilhões, alta de 38,9% em relação ao mesmo período do ano anterior. </w:t>
      </w:r>
    </w:p>
    <w:p w14:paraId="643C4667" w14:textId="7847400A"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Na página 12, apresentamos o forte avanço no EBITDA, que alcançou R$3,8 bilhões no 2T26, crescimento de 14,1% na comparação com o mesmo período do ano anterior. Apresentamos avanço nas margens do Aluguel de Carros, Gestão de Frotas e Seminovos na comparação anual, refletindo a combinação do avanço dos preços e volumes de aluguel, a frota mais nova e menor exposição a contratos de uso severo, bem como a disciplina na gestão de custos e produtividade.</w:t>
      </w:r>
      <w:r w:rsidR="00F82369">
        <w:rPr>
          <w:rFonts w:ascii="Roobert" w:hAnsi="Roobert" w:cs="Arial"/>
          <w:sz w:val="20"/>
          <w:szCs w:val="20"/>
        </w:rPr>
        <w:t xml:space="preserve"> </w:t>
      </w:r>
      <w:r w:rsidRPr="0056515B">
        <w:rPr>
          <w:rFonts w:ascii="Roobert" w:hAnsi="Roobert" w:cs="Arial"/>
          <w:sz w:val="20"/>
          <w:szCs w:val="20"/>
        </w:rPr>
        <w:t xml:space="preserve">Em Aluguel de Carros, a margem EBITDA atingiu 67,6%, aumento de 1,1 </w:t>
      </w:r>
      <w:proofErr w:type="spellStart"/>
      <w:r w:rsidRPr="0056515B">
        <w:rPr>
          <w:rFonts w:ascii="Roobert" w:hAnsi="Roobert" w:cs="Arial"/>
          <w:sz w:val="20"/>
          <w:szCs w:val="20"/>
        </w:rPr>
        <w:t>p.p</w:t>
      </w:r>
      <w:proofErr w:type="spellEnd"/>
      <w:r w:rsidRPr="0056515B">
        <w:rPr>
          <w:rFonts w:ascii="Roobert" w:hAnsi="Roobert" w:cs="Arial"/>
          <w:sz w:val="20"/>
          <w:szCs w:val="20"/>
        </w:rPr>
        <w:t xml:space="preserve">. na comparação com 2T25, refletindo os efeitos do aumento da diária média e do número de diárias, melhora nos custos de manutenção e preparação por carro, parcialmente compensados pelo maior volume de carros preparados e maior nível de créditos de fiscais. </w:t>
      </w:r>
    </w:p>
    <w:p w14:paraId="7765BF45" w14:textId="77777777"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 xml:space="preserve">Em Gestão de Frotas, a margem EBITDA atingiu 75,6% representando um aumento de 4,6 </w:t>
      </w:r>
      <w:proofErr w:type="spellStart"/>
      <w:r w:rsidRPr="0056515B">
        <w:rPr>
          <w:rFonts w:ascii="Roobert" w:hAnsi="Roobert" w:cs="Arial"/>
          <w:sz w:val="20"/>
          <w:szCs w:val="20"/>
        </w:rPr>
        <w:t>p.p</w:t>
      </w:r>
      <w:proofErr w:type="spellEnd"/>
      <w:r w:rsidRPr="0056515B">
        <w:rPr>
          <w:rFonts w:ascii="Roobert" w:hAnsi="Roobert" w:cs="Arial"/>
          <w:sz w:val="20"/>
          <w:szCs w:val="20"/>
        </w:rPr>
        <w:t xml:space="preserve">. em relação à do 2T25, explicado pelo aumento da diária média, maior eficiência nos custos de preparação, maior taxa de utilização da frota e maior nível de créditos fiscais, além da redução da PDD - em razão da melhora na qualidade da carteira de clientes em relação ao 2T25. </w:t>
      </w:r>
    </w:p>
    <w:p w14:paraId="48A96C12" w14:textId="27C6F61E"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 xml:space="preserve">Seminovos apresentou margem de 1,9%, no Brasil, ligeiramente superior à do mesmo período do ano anterior, refletindo a manutenção da margem bruta e a maior diluição do SG&amp;A em relação à receita. </w:t>
      </w:r>
      <w:r w:rsidR="00F82369">
        <w:rPr>
          <w:rFonts w:ascii="Roobert" w:hAnsi="Roobert" w:cs="Arial"/>
          <w:sz w:val="20"/>
          <w:szCs w:val="20"/>
        </w:rPr>
        <w:t xml:space="preserve"> </w:t>
      </w:r>
      <w:r w:rsidRPr="0056515B">
        <w:rPr>
          <w:rFonts w:ascii="Roobert" w:hAnsi="Roobert" w:cs="Arial"/>
          <w:sz w:val="20"/>
          <w:szCs w:val="20"/>
        </w:rPr>
        <w:t xml:space="preserve">Em comparação com o 1T26, a redução de 1,2 </w:t>
      </w:r>
      <w:proofErr w:type="spellStart"/>
      <w:r w:rsidRPr="0056515B">
        <w:rPr>
          <w:rFonts w:ascii="Roobert" w:hAnsi="Roobert" w:cs="Arial"/>
          <w:sz w:val="20"/>
          <w:szCs w:val="20"/>
        </w:rPr>
        <w:t>p.p</w:t>
      </w:r>
      <w:proofErr w:type="spellEnd"/>
      <w:r w:rsidRPr="0056515B">
        <w:rPr>
          <w:rFonts w:ascii="Roobert" w:hAnsi="Roobert" w:cs="Arial"/>
          <w:sz w:val="20"/>
          <w:szCs w:val="20"/>
        </w:rPr>
        <w:t xml:space="preserve">. na margem Seminovos é explicada pelo aumento do mix de SUV nas vendas do 2T26, com margem bruta menor, somado ao maior gasto com abertura e rebranding de loja, pessoal e marketing. Estamos fortalecendo ainda mais a infraestrutura comercial </w:t>
      </w:r>
      <w:proofErr w:type="gramStart"/>
      <w:r w:rsidRPr="0056515B">
        <w:rPr>
          <w:rFonts w:ascii="Roobert" w:hAnsi="Roobert" w:cs="Arial"/>
          <w:sz w:val="20"/>
          <w:szCs w:val="20"/>
        </w:rPr>
        <w:t>de Seminovos</w:t>
      </w:r>
      <w:proofErr w:type="gramEnd"/>
      <w:r w:rsidRPr="0056515B">
        <w:rPr>
          <w:rFonts w:ascii="Roobert" w:hAnsi="Roobert" w:cs="Arial"/>
          <w:sz w:val="20"/>
          <w:szCs w:val="20"/>
        </w:rPr>
        <w:t xml:space="preserve">. Esses investimentos pressionam a margem no curto prazo, mas aumentam nossa capacidade de capturar valor no varejo e manter velocidade de giro. </w:t>
      </w:r>
    </w:p>
    <w:p w14:paraId="26A3C575" w14:textId="77777777"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Na página 13 trazemos a evolução da depreciação média anualizada por carro.</w:t>
      </w:r>
    </w:p>
    <w:p w14:paraId="30015C4D" w14:textId="00FA6ABC"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Ao longo do trimestre, os preços de veículos novos e seminovos apresentaram comportamento alinhado à expectativa da Companhia. Seguiremos atentos à dinâmica do mercado automotivo brasileiro ajustando, quando necessário, a depreciação, precificação e alocação de capital.</w:t>
      </w:r>
      <w:r w:rsidR="00F82369">
        <w:rPr>
          <w:rFonts w:ascii="Roobert" w:hAnsi="Roobert" w:cs="Arial"/>
          <w:sz w:val="20"/>
          <w:szCs w:val="20"/>
        </w:rPr>
        <w:t xml:space="preserve"> </w:t>
      </w:r>
      <w:r w:rsidRPr="0056515B">
        <w:rPr>
          <w:rFonts w:ascii="Roobert" w:hAnsi="Roobert" w:cs="Arial"/>
          <w:sz w:val="20"/>
          <w:szCs w:val="20"/>
        </w:rPr>
        <w:t>Em Aluguel de Carros, a depreciação média anualizada por carro foi de R$8.243 no 2T26, mantendo a trajetória de aumento sequencial observada nos últimos trimestres. Considerando a dinâmica atual da indústria automobilística brasileira e seus impactos sobre as expectativas de valor residual dos veículos, esperamos a continuidade dessa tendência.</w:t>
      </w:r>
    </w:p>
    <w:p w14:paraId="3F3EB5BD" w14:textId="77777777"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 xml:space="preserve">Em Gestão de Frotas, a depreciação média anualizada por carro foi de R$9.198 no 2T26. </w:t>
      </w:r>
    </w:p>
    <w:p w14:paraId="63CEDD3D" w14:textId="77777777"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 xml:space="preserve">O aumento sequencial mais acentuado na depreciação do Aluguel de Carros reflete seu ciclo mais curto em relação à Gestão de Frotas (cerca de 15 meses versus cerca de 33 meses). Como a diferença entre o custo de aquisição e o preço líquido de venda estimado é apropriada no resultado ao longo da vida útil remanescente do ativo, eventuais revisões para baixo no valor </w:t>
      </w:r>
      <w:r w:rsidRPr="0056515B">
        <w:rPr>
          <w:rFonts w:ascii="Roobert" w:hAnsi="Roobert" w:cs="Arial"/>
          <w:sz w:val="20"/>
          <w:szCs w:val="20"/>
        </w:rPr>
        <w:lastRenderedPageBreak/>
        <w:t>residual são diluídas em um período menor no Aluguel de Carros, ampliando seu impacto sobre a depreciação.</w:t>
      </w:r>
    </w:p>
    <w:p w14:paraId="3174C41A" w14:textId="77777777"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Passando para a página 14, vemos o EBIT consolidado do 2T26 de R$2,3 bilhões, alta de 15,1% frente a 2T25, com ampliação nas margens de Aluguel de Carros e Gestão de Frotas.</w:t>
      </w:r>
    </w:p>
    <w:p w14:paraId="6793E319" w14:textId="77777777"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 xml:space="preserve">Em Aluguel de Carros a margem EBIT foi de 44,5% avanço de 2,5p.p., enquanto Gestão de Frotas registrou margem de 49,2% no trimestre, com avanço de 3,4 </w:t>
      </w:r>
      <w:proofErr w:type="spellStart"/>
      <w:r w:rsidRPr="0056515B">
        <w:rPr>
          <w:rFonts w:ascii="Roobert" w:hAnsi="Roobert" w:cs="Arial"/>
          <w:sz w:val="20"/>
          <w:szCs w:val="20"/>
        </w:rPr>
        <w:t>p.p</w:t>
      </w:r>
      <w:proofErr w:type="spellEnd"/>
      <w:r w:rsidRPr="0056515B">
        <w:rPr>
          <w:rFonts w:ascii="Roobert" w:hAnsi="Roobert" w:cs="Arial"/>
          <w:sz w:val="20"/>
          <w:szCs w:val="20"/>
        </w:rPr>
        <w:t xml:space="preserve">. na comparação anual. </w:t>
      </w:r>
    </w:p>
    <w:p w14:paraId="2F7C2521" w14:textId="77777777" w:rsidR="00BF23B4"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 xml:space="preserve">Passando para a página 15, como resultado da aceleração do crescimento de receita ano contra ano, e da contínua disciplina na gestão de custos e produtividade, mesmo num contexto de maior depreciação, alcançamos novamente a marca de R$1bilhão de lucro líquido, um forte aumento de 30,6% em relação ao 2T25. </w:t>
      </w:r>
    </w:p>
    <w:p w14:paraId="4305B13C" w14:textId="77777777" w:rsidR="00F82369" w:rsidRPr="0056515B" w:rsidRDefault="00F82369" w:rsidP="0056515B">
      <w:pPr>
        <w:pStyle w:val="PargrafodaLista"/>
        <w:spacing w:line="264" w:lineRule="auto"/>
        <w:ind w:left="0" w:right="-1"/>
        <w:jc w:val="both"/>
        <w:rPr>
          <w:rFonts w:ascii="Roobert" w:hAnsi="Roobert" w:cs="Arial"/>
          <w:sz w:val="20"/>
          <w:szCs w:val="20"/>
        </w:rPr>
      </w:pPr>
    </w:p>
    <w:p w14:paraId="48A91DCF" w14:textId="208355D7"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 xml:space="preserve">Para apresentar o fluxo de caixa, os </w:t>
      </w:r>
      <w:proofErr w:type="spellStart"/>
      <w:r w:rsidRPr="0056515B">
        <w:rPr>
          <w:rFonts w:ascii="Roobert" w:hAnsi="Roobert" w:cs="Arial"/>
          <w:sz w:val="20"/>
          <w:szCs w:val="20"/>
        </w:rPr>
        <w:t>ratios</w:t>
      </w:r>
      <w:proofErr w:type="spellEnd"/>
      <w:r w:rsidRPr="0056515B">
        <w:rPr>
          <w:rFonts w:ascii="Roobert" w:hAnsi="Roobert" w:cs="Arial"/>
          <w:sz w:val="20"/>
          <w:szCs w:val="20"/>
        </w:rPr>
        <w:t xml:space="preserve"> de dívida e o ROIC spread, passo a palavra ao Rodrigo.</w:t>
      </w:r>
      <w:r w:rsidR="0059581D">
        <w:rPr>
          <w:rFonts w:ascii="Roobert" w:hAnsi="Roobert" w:cs="Arial"/>
          <w:sz w:val="20"/>
          <w:szCs w:val="20"/>
        </w:rPr>
        <w:br/>
      </w:r>
    </w:p>
    <w:p w14:paraId="1AE9583B" w14:textId="5BDA4168" w:rsidR="00BF23B4" w:rsidRPr="0056515B" w:rsidRDefault="0059581D" w:rsidP="0056515B">
      <w:pPr>
        <w:pStyle w:val="PargrafodaLista"/>
        <w:spacing w:line="264" w:lineRule="auto"/>
        <w:ind w:left="0" w:right="-1"/>
        <w:jc w:val="both"/>
        <w:rPr>
          <w:rFonts w:ascii="Roobert" w:hAnsi="Roobert" w:cs="Arial"/>
          <w:sz w:val="20"/>
          <w:szCs w:val="20"/>
        </w:rPr>
      </w:pPr>
      <w:r w:rsidRPr="0059581D">
        <w:rPr>
          <w:rFonts w:ascii="Roobert" w:hAnsi="Roobert" w:cs="Arial"/>
          <w:b/>
          <w:bCs/>
          <w:sz w:val="20"/>
          <w:szCs w:val="20"/>
        </w:rPr>
        <w:t>RODRIGO TAVARES</w:t>
      </w:r>
      <w:r w:rsidR="00BF23B4" w:rsidRPr="0059581D">
        <w:rPr>
          <w:rFonts w:ascii="Roobert" w:hAnsi="Roobert" w:cs="Arial"/>
          <w:b/>
          <w:bCs/>
          <w:sz w:val="20"/>
          <w:szCs w:val="20"/>
        </w:rPr>
        <w:t>:</w:t>
      </w:r>
      <w:r w:rsidR="00BF23B4" w:rsidRPr="0056515B">
        <w:rPr>
          <w:rFonts w:ascii="Roobert" w:hAnsi="Roobert" w:cs="Arial"/>
          <w:sz w:val="20"/>
          <w:szCs w:val="20"/>
        </w:rPr>
        <w:t xml:space="preserve"> Obrigada, Nora</w:t>
      </w:r>
    </w:p>
    <w:p w14:paraId="04EA9499" w14:textId="77777777" w:rsidR="00BF23B4"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 xml:space="preserve">Na página 16, apresentamos o Fluxo de caixa livre antes de juros. No 1S26, o caixa gerado pelas atividades de aluguel R$5,2 bilhões foi consumido pelo </w:t>
      </w:r>
      <w:proofErr w:type="spellStart"/>
      <w:r w:rsidRPr="0056515B">
        <w:rPr>
          <w:rFonts w:ascii="Roobert" w:hAnsi="Roobert" w:cs="Arial"/>
          <w:sz w:val="20"/>
          <w:szCs w:val="20"/>
        </w:rPr>
        <w:t>capex</w:t>
      </w:r>
      <w:proofErr w:type="spellEnd"/>
      <w:r w:rsidRPr="0056515B">
        <w:rPr>
          <w:rFonts w:ascii="Roobert" w:hAnsi="Roobert" w:cs="Arial"/>
          <w:sz w:val="20"/>
          <w:szCs w:val="20"/>
        </w:rPr>
        <w:t xml:space="preserve"> líquido de carros, negativo em R$5,2 bilhões, e pelos investimentos em outros imobilizados e intangíveis em R$161 milhões, parcialmente compensados pelo aumento no contas a pagar para fornecedores de carros, em R$ 2 bilhões. Como resultado, a geração de caixa antes de juros e outros somou R$1,8 bilhões.</w:t>
      </w:r>
    </w:p>
    <w:p w14:paraId="0AE806DD" w14:textId="77777777" w:rsidR="00F82369" w:rsidRPr="0056515B" w:rsidRDefault="00F82369" w:rsidP="0056515B">
      <w:pPr>
        <w:pStyle w:val="PargrafodaLista"/>
        <w:spacing w:line="264" w:lineRule="auto"/>
        <w:ind w:left="0" w:right="-1"/>
        <w:jc w:val="both"/>
        <w:rPr>
          <w:rFonts w:ascii="Roobert" w:hAnsi="Roobert" w:cs="Arial"/>
          <w:sz w:val="20"/>
          <w:szCs w:val="20"/>
        </w:rPr>
      </w:pPr>
    </w:p>
    <w:p w14:paraId="365357CC" w14:textId="77777777"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 xml:space="preserve">Na página 17, apresentamos movimentação da dívida líquida, que encerrou o trimestre em R$32,4 bilhões, aumento de 4,2% quando comparada ao final de 2025. Em julho, concluímos a maior operação de Exchange </w:t>
      </w:r>
      <w:proofErr w:type="spellStart"/>
      <w:r w:rsidRPr="0056515B">
        <w:rPr>
          <w:rFonts w:ascii="Roobert" w:hAnsi="Roobert" w:cs="Arial"/>
          <w:sz w:val="20"/>
          <w:szCs w:val="20"/>
        </w:rPr>
        <w:t>Offer</w:t>
      </w:r>
      <w:proofErr w:type="spellEnd"/>
      <w:r w:rsidRPr="0056515B">
        <w:rPr>
          <w:rFonts w:ascii="Roobert" w:hAnsi="Roobert" w:cs="Arial"/>
          <w:sz w:val="20"/>
          <w:szCs w:val="20"/>
        </w:rPr>
        <w:t xml:space="preserve"> já realizada no mercado brasileiro, com a rolagem de aproximadamente R$7 bilhões em dívidas. A transação também representou a maior emissão em volume agregado da história da Companhia e reforça a consistente estratégia de </w:t>
      </w:r>
      <w:proofErr w:type="spellStart"/>
      <w:r w:rsidRPr="0056515B">
        <w:rPr>
          <w:rFonts w:ascii="Roobert" w:hAnsi="Roobert" w:cs="Arial"/>
          <w:sz w:val="20"/>
          <w:szCs w:val="20"/>
        </w:rPr>
        <w:t>liability</w:t>
      </w:r>
      <w:proofErr w:type="spellEnd"/>
      <w:r w:rsidRPr="0056515B">
        <w:rPr>
          <w:rFonts w:ascii="Roobert" w:hAnsi="Roobert" w:cs="Arial"/>
          <w:sz w:val="20"/>
          <w:szCs w:val="20"/>
        </w:rPr>
        <w:t xml:space="preserve"> management adotada pela Companhia nos últimos anos. Além de antecipar a gestão de vencimentos futuros, a operação contribui para o alongamento do prazo médio da dívida e redução do seu custo médio, fortalecendo ainda mais o perfil financeiro da Localiza, conforme demonstrado na página 18. </w:t>
      </w:r>
    </w:p>
    <w:p w14:paraId="365BF903" w14:textId="77777777"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 xml:space="preserve">Encerramos o trimestre com R$11,4 bilhões em caixa, quantia suficiente para cobrir a dívida deste e dos próximos 2 anos. </w:t>
      </w:r>
    </w:p>
    <w:p w14:paraId="016CC202" w14:textId="77777777" w:rsidR="00BF23B4" w:rsidRPr="0056515B"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 xml:space="preserve">Na página 19, apresentamos os </w:t>
      </w:r>
      <w:proofErr w:type="spellStart"/>
      <w:r w:rsidRPr="0056515B">
        <w:rPr>
          <w:rFonts w:ascii="Roobert" w:hAnsi="Roobert" w:cs="Arial"/>
          <w:sz w:val="20"/>
          <w:szCs w:val="20"/>
        </w:rPr>
        <w:t>ratios</w:t>
      </w:r>
      <w:proofErr w:type="spellEnd"/>
      <w:r w:rsidRPr="0056515B">
        <w:rPr>
          <w:rFonts w:ascii="Roobert" w:hAnsi="Roobert" w:cs="Arial"/>
          <w:sz w:val="20"/>
          <w:szCs w:val="20"/>
        </w:rPr>
        <w:t xml:space="preserve"> de dívida em patamares confortáveis, apresentando melhora em relação ao mesmo período do ano passado. A relação dívida líquida sobre valor da frota, passou de 59% para 55% na comparação anual, enquanto o indicador de dívida líquida/EBITDA, encerrou o período em 2,16x.</w:t>
      </w:r>
    </w:p>
    <w:p w14:paraId="445B7901" w14:textId="77777777" w:rsidR="00BF23B4"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Por fim, na página 20, apresentamos o ROIC anualizado do 1º semestre de 16,1%, com spread de 6,1p.p. para o custo de dívida após impostos em linha com a expectativa da Companhia e evidenciando a sólida trajetória de recomposição de spreads, mesmo em contexto de maior depreciação e juros.</w:t>
      </w:r>
    </w:p>
    <w:p w14:paraId="235FEE95" w14:textId="77777777" w:rsidR="007C1DAB" w:rsidRPr="0056515B" w:rsidRDefault="007C1DAB" w:rsidP="0056515B">
      <w:pPr>
        <w:pStyle w:val="PargrafodaLista"/>
        <w:spacing w:line="264" w:lineRule="auto"/>
        <w:ind w:left="0" w:right="-1"/>
        <w:jc w:val="both"/>
        <w:rPr>
          <w:rFonts w:ascii="Roobert" w:hAnsi="Roobert" w:cs="Arial"/>
          <w:sz w:val="20"/>
          <w:szCs w:val="20"/>
        </w:rPr>
      </w:pPr>
    </w:p>
    <w:p w14:paraId="1DDCB709" w14:textId="043DF0A3" w:rsidR="00A0593A" w:rsidRDefault="00BF23B4" w:rsidP="0056515B">
      <w:pPr>
        <w:pStyle w:val="PargrafodaLista"/>
        <w:spacing w:line="264" w:lineRule="auto"/>
        <w:ind w:left="0" w:right="-1"/>
        <w:jc w:val="both"/>
        <w:rPr>
          <w:rFonts w:ascii="Roobert" w:hAnsi="Roobert" w:cs="Arial"/>
          <w:sz w:val="20"/>
          <w:szCs w:val="20"/>
        </w:rPr>
      </w:pPr>
      <w:r w:rsidRPr="0056515B">
        <w:rPr>
          <w:rFonts w:ascii="Roobert" w:hAnsi="Roobert" w:cs="Arial"/>
          <w:sz w:val="20"/>
          <w:szCs w:val="20"/>
        </w:rPr>
        <w:t>Ficamos agora à disposição de vocês para responder às perguntas.</w:t>
      </w:r>
    </w:p>
    <w:p w14:paraId="70EA6C47" w14:textId="77777777" w:rsidR="0059581D" w:rsidRDefault="0059581D" w:rsidP="0056515B">
      <w:pPr>
        <w:pStyle w:val="PargrafodaLista"/>
        <w:spacing w:line="264" w:lineRule="auto"/>
        <w:ind w:left="0" w:right="-1"/>
        <w:jc w:val="both"/>
        <w:rPr>
          <w:rFonts w:ascii="Roobert" w:hAnsi="Roobert" w:cs="Arial"/>
          <w:sz w:val="20"/>
          <w:szCs w:val="20"/>
        </w:rPr>
      </w:pPr>
    </w:p>
    <w:p w14:paraId="29C94E0D" w14:textId="77777777" w:rsidR="0059581D" w:rsidRDefault="0059581D" w:rsidP="0056515B">
      <w:pPr>
        <w:pStyle w:val="PargrafodaLista"/>
        <w:spacing w:line="264" w:lineRule="auto"/>
        <w:ind w:left="0" w:right="-1"/>
        <w:jc w:val="both"/>
        <w:rPr>
          <w:rFonts w:ascii="Roobert" w:hAnsi="Roobert" w:cs="Arial"/>
          <w:sz w:val="20"/>
          <w:szCs w:val="20"/>
        </w:rPr>
      </w:pPr>
    </w:p>
    <w:p w14:paraId="404C6D0C" w14:textId="77777777" w:rsidR="0059581D" w:rsidRPr="0056515B" w:rsidRDefault="0059581D" w:rsidP="0056515B">
      <w:pPr>
        <w:pStyle w:val="PargrafodaLista"/>
        <w:spacing w:line="264" w:lineRule="auto"/>
        <w:ind w:left="0" w:right="-1"/>
        <w:jc w:val="both"/>
        <w:rPr>
          <w:rFonts w:ascii="Roobert" w:hAnsi="Roobert" w:cs="Arial"/>
          <w:sz w:val="20"/>
          <w:szCs w:val="20"/>
        </w:rPr>
      </w:pPr>
    </w:p>
    <w:p w14:paraId="3766A199" w14:textId="77777777" w:rsidR="00A0593A" w:rsidRPr="00F60AF0" w:rsidRDefault="00A0593A" w:rsidP="000061BE">
      <w:pPr>
        <w:pStyle w:val="PargrafodaLista"/>
        <w:spacing w:line="264" w:lineRule="auto"/>
        <w:ind w:left="0" w:right="-1"/>
        <w:jc w:val="both"/>
        <w:rPr>
          <w:rFonts w:ascii="Roobert" w:hAnsi="Roobert" w:cs="Arial"/>
          <w:b/>
          <w:bCs/>
          <w:sz w:val="20"/>
          <w:szCs w:val="20"/>
        </w:rPr>
      </w:pPr>
      <w:r w:rsidRPr="00F60AF0">
        <w:rPr>
          <w:rFonts w:ascii="Roobert" w:hAnsi="Roobert" w:cs="Arial"/>
          <w:b/>
          <w:bCs/>
          <w:sz w:val="20"/>
          <w:szCs w:val="20"/>
        </w:rPr>
        <w:lastRenderedPageBreak/>
        <w:t>Operadora:</w:t>
      </w:r>
    </w:p>
    <w:p w14:paraId="77522F70" w14:textId="77777777" w:rsidR="00A0593A" w:rsidRPr="00A0593A" w:rsidRDefault="00A0593A" w:rsidP="000061BE">
      <w:pPr>
        <w:pStyle w:val="PargrafodaLista"/>
        <w:spacing w:line="264" w:lineRule="auto"/>
        <w:ind w:left="0" w:right="-1"/>
        <w:jc w:val="both"/>
        <w:rPr>
          <w:rFonts w:ascii="Roobert" w:hAnsi="Roobert" w:cs="Arial"/>
          <w:sz w:val="20"/>
          <w:szCs w:val="20"/>
        </w:rPr>
      </w:pPr>
      <w:r w:rsidRPr="00A0593A">
        <w:rPr>
          <w:rFonts w:ascii="Roobert" w:hAnsi="Roobert" w:cs="Arial"/>
          <w:sz w:val="20"/>
          <w:szCs w:val="20"/>
        </w:rPr>
        <w:t>Lembramos que para o Q&amp;A, orientamos que sinalize o seu interesse em participar via ícone de Q&amp;A, no botão inferior de suas telas, indicando o seu NOME, INSTITUIÇÃO e IDIOMA. Ao ser chamado, uma solicitação para ativar seu microfone aparecerá na tela.</w:t>
      </w:r>
    </w:p>
    <w:p w14:paraId="26F2D91F" w14:textId="77777777" w:rsidR="00A0593A" w:rsidRPr="00A0593A" w:rsidRDefault="00A0593A" w:rsidP="000061BE">
      <w:pPr>
        <w:pStyle w:val="PargrafodaLista"/>
        <w:spacing w:line="264" w:lineRule="auto"/>
        <w:ind w:left="0" w:right="-1"/>
        <w:jc w:val="both"/>
        <w:rPr>
          <w:rFonts w:ascii="Roobert" w:hAnsi="Roobert" w:cs="Arial"/>
          <w:sz w:val="20"/>
          <w:szCs w:val="20"/>
        </w:rPr>
      </w:pPr>
      <w:r w:rsidRPr="00A0593A">
        <w:rPr>
          <w:rFonts w:ascii="Roobert" w:hAnsi="Roobert" w:cs="Arial"/>
          <w:sz w:val="20"/>
          <w:szCs w:val="20"/>
        </w:rPr>
        <w:t>Para enviar perguntas por escrito, utilize o ícone de Q&amp;A, no botão inferior de suas telas, e preencha com seu NOME e INSTITUIÇÃO antes da pergunta.</w:t>
      </w:r>
    </w:p>
    <w:p w14:paraId="02EC0F98" w14:textId="77777777" w:rsidR="00A0593A" w:rsidRPr="00A0593A" w:rsidRDefault="00A0593A" w:rsidP="000061BE">
      <w:pPr>
        <w:pStyle w:val="PargrafodaLista"/>
        <w:spacing w:line="264" w:lineRule="auto"/>
        <w:ind w:left="0" w:right="-1"/>
        <w:jc w:val="both"/>
        <w:rPr>
          <w:rFonts w:ascii="Roobert" w:hAnsi="Roobert" w:cs="Arial"/>
          <w:sz w:val="20"/>
          <w:szCs w:val="20"/>
        </w:rPr>
      </w:pPr>
    </w:p>
    <w:p w14:paraId="7DB70778" w14:textId="77777777" w:rsidR="00AA4941" w:rsidRDefault="00AA4941" w:rsidP="00AA4941">
      <w:pPr>
        <w:spacing w:afterAutospacing="1" w:line="240" w:lineRule="auto"/>
        <w:jc w:val="center"/>
        <w:rPr>
          <w:rFonts w:ascii="Roobert" w:hAnsi="Roobert"/>
          <w:b/>
          <w:bCs/>
          <w:u w:val="single"/>
        </w:rPr>
      </w:pPr>
      <w:r w:rsidRPr="00AA4941">
        <w:rPr>
          <w:rFonts w:ascii="Roobert" w:hAnsi="Roobert"/>
          <w:b/>
          <w:bCs/>
          <w:u w:val="single"/>
        </w:rPr>
        <w:t>Sessão de Perguntas e Respostas</w:t>
      </w:r>
    </w:p>
    <w:p w14:paraId="23C5E8AA" w14:textId="419D2ECE" w:rsidR="00FC4741" w:rsidRPr="00FC4741" w:rsidRDefault="00196E0F" w:rsidP="00FC4741">
      <w:pPr>
        <w:rPr>
          <w:rFonts w:ascii="Roobert" w:hAnsi="Roobert"/>
          <w:sz w:val="20"/>
          <w:szCs w:val="20"/>
        </w:rPr>
      </w:pPr>
      <w:r w:rsidRPr="00196E0F">
        <w:rPr>
          <w:rFonts w:ascii="Roobert" w:hAnsi="Roobert"/>
          <w:b/>
          <w:bCs/>
          <w:sz w:val="20"/>
          <w:szCs w:val="20"/>
        </w:rPr>
        <w:t>Lucas Marchiori, BTG Pactual</w:t>
      </w:r>
      <w:r w:rsidR="00BA1276" w:rsidRPr="0013234D">
        <w:rPr>
          <w:rFonts w:ascii="Roobert" w:hAnsi="Roobert"/>
          <w:b/>
          <w:bCs/>
          <w:sz w:val="20"/>
          <w:szCs w:val="20"/>
        </w:rPr>
        <w:t>:</w:t>
      </w:r>
      <w:r w:rsidR="00BA1276" w:rsidRPr="0013234D">
        <w:rPr>
          <w:rFonts w:ascii="Roobert" w:hAnsi="Roobert"/>
          <w:sz w:val="20"/>
          <w:szCs w:val="20"/>
        </w:rPr>
        <w:t xml:space="preserve"> </w:t>
      </w:r>
      <w:r w:rsidR="00FC4741" w:rsidRPr="00FC4741">
        <w:rPr>
          <w:rFonts w:ascii="Roobert" w:hAnsi="Roobert"/>
          <w:sz w:val="20"/>
          <w:szCs w:val="20"/>
        </w:rPr>
        <w:t xml:space="preserve">Muito obrigado. Bom dia. Primeiro, sobre a depreciação. Nesse assunto, eu queria entender e esclarecer uma coisa. Quando olhamos a depreciação nominal, subiu trimestre contra trimestre, mas quando olhamos porcentagem do ativo, na verdade, diminuiu trimestre sobre trimestre. E eu sei que existe certo conservadorismo em declarações futuras, na área da macroeconomia e automotiva, mas eu queria entender a tendência disso. Eu sei que vocês não dão </w:t>
      </w:r>
      <w:proofErr w:type="spellStart"/>
      <w:r w:rsidR="00FC4741" w:rsidRPr="007C1DAB">
        <w:rPr>
          <w:rFonts w:ascii="Roobert" w:hAnsi="Roobert"/>
          <w:i/>
          <w:iCs/>
          <w:sz w:val="20"/>
          <w:szCs w:val="20"/>
        </w:rPr>
        <w:t>guidance</w:t>
      </w:r>
      <w:proofErr w:type="spellEnd"/>
      <w:r w:rsidR="00FC4741" w:rsidRPr="00FC4741">
        <w:rPr>
          <w:rFonts w:ascii="Roobert" w:hAnsi="Roobert"/>
          <w:sz w:val="20"/>
          <w:szCs w:val="20"/>
        </w:rPr>
        <w:t xml:space="preserve"> de inflexão, mas, em termos percentuais, houve uma inflexão. Então, eu queria esclarecer essa tendência.</w:t>
      </w:r>
    </w:p>
    <w:p w14:paraId="576CE077" w14:textId="7A7B8C02" w:rsidR="00317046" w:rsidRDefault="00FC4741" w:rsidP="00FC4741">
      <w:pPr>
        <w:rPr>
          <w:rFonts w:ascii="Roobert" w:hAnsi="Roobert"/>
          <w:sz w:val="20"/>
          <w:szCs w:val="20"/>
        </w:rPr>
      </w:pPr>
      <w:r w:rsidRPr="00FC4741">
        <w:rPr>
          <w:rFonts w:ascii="Roobert" w:hAnsi="Roobert"/>
          <w:sz w:val="20"/>
          <w:szCs w:val="20"/>
        </w:rPr>
        <w:t>E, número dois, sobre a margem EBITDA dos seminovos, também esclarecer qual seria a tendência implícita, sazonal, no trimestre, comparado ao 2T, e quanto poderíamos esperar desses investimentos e essa capacidade de expansão até o final do ano? Para entendermos a tendência de margens de seminovos na segunda metade do ano. Muito obrigado.</w:t>
      </w:r>
    </w:p>
    <w:p w14:paraId="59BB383C" w14:textId="281BA932" w:rsidR="001C2186" w:rsidRPr="001C2186" w:rsidRDefault="00BD0ADA" w:rsidP="001C2186">
      <w:pPr>
        <w:rPr>
          <w:rFonts w:ascii="Roobert" w:hAnsi="Roobert"/>
          <w:sz w:val="20"/>
          <w:szCs w:val="20"/>
        </w:rPr>
      </w:pPr>
      <w:r w:rsidRPr="0013234D">
        <w:rPr>
          <w:rFonts w:ascii="Roobert" w:hAnsi="Roobert"/>
          <w:b/>
          <w:bCs/>
          <w:sz w:val="20"/>
          <w:szCs w:val="20"/>
        </w:rPr>
        <w:t>R</w:t>
      </w:r>
      <w:r w:rsidR="008A6353" w:rsidRPr="0013234D">
        <w:rPr>
          <w:rFonts w:ascii="Roobert" w:hAnsi="Roobert"/>
          <w:b/>
          <w:bCs/>
          <w:sz w:val="20"/>
          <w:szCs w:val="20"/>
        </w:rPr>
        <w:t>odrigo Tavares</w:t>
      </w:r>
      <w:r w:rsidRPr="0013234D">
        <w:rPr>
          <w:rFonts w:ascii="Roobert" w:hAnsi="Roobert"/>
          <w:b/>
          <w:bCs/>
          <w:sz w:val="20"/>
          <w:szCs w:val="20"/>
        </w:rPr>
        <w:t>:</w:t>
      </w:r>
      <w:r w:rsidRPr="0013234D">
        <w:rPr>
          <w:rFonts w:ascii="Roobert" w:hAnsi="Roobert"/>
          <w:sz w:val="20"/>
          <w:szCs w:val="20"/>
        </w:rPr>
        <w:t xml:space="preserve"> </w:t>
      </w:r>
      <w:r w:rsidR="001C2186" w:rsidRPr="001C2186">
        <w:rPr>
          <w:rFonts w:ascii="Roobert" w:hAnsi="Roobert"/>
          <w:sz w:val="20"/>
          <w:szCs w:val="20"/>
        </w:rPr>
        <w:t xml:space="preserve">Primeiro, a depreciação aumentou em termos nominais, mas quando você olha a porcentagem, tem um grande volume de carros que foram comprados no final do período para nos prepararmos para a alta temporada de julho. Por conta disso, quando ativam os carros, você não deprecia os carros nesse período. Então, em termos percentuais, podemos ter alguns efeitos no curto prazo por conta do período de ativação, mas quando olhamos a tendência da depreciação, ela continua. Então, esperamos que a depreciação continue em uma tendência de subida, principalmente em RAC. É isso que nós esperamos. </w:t>
      </w:r>
    </w:p>
    <w:p w14:paraId="2B34ED53" w14:textId="4F1B3692" w:rsidR="001C2186" w:rsidRPr="001C2186" w:rsidRDefault="001C2186" w:rsidP="001C2186">
      <w:pPr>
        <w:rPr>
          <w:rFonts w:ascii="Roobert" w:hAnsi="Roobert"/>
          <w:sz w:val="20"/>
          <w:szCs w:val="20"/>
        </w:rPr>
      </w:pPr>
      <w:r w:rsidRPr="001C2186">
        <w:rPr>
          <w:rFonts w:ascii="Roobert" w:hAnsi="Roobert"/>
          <w:sz w:val="20"/>
          <w:szCs w:val="20"/>
        </w:rPr>
        <w:t>Mas é importante destacar também que, apesar do fato de que estamos aumentando a depreciação, podemos fazer isso ao mesmo tempo em que aumentamos o lucro e retorno. Isso mostra que estamos imbuindo todas essas premissas corretamente em nossos preços.</w:t>
      </w:r>
      <w:r>
        <w:rPr>
          <w:rFonts w:ascii="Roobert" w:hAnsi="Roobert"/>
          <w:sz w:val="20"/>
          <w:szCs w:val="20"/>
        </w:rPr>
        <w:t xml:space="preserve"> </w:t>
      </w:r>
      <w:r w:rsidRPr="001C2186">
        <w:rPr>
          <w:rFonts w:ascii="Roobert" w:hAnsi="Roobert"/>
          <w:sz w:val="20"/>
          <w:szCs w:val="20"/>
        </w:rPr>
        <w:t>Então, a depreciação é visão futura. Precisamos antecipar o que será daqui a um ou dois anos e precisamos considerar as coisas conforme temos novas dinâmicas de mercado. Mas isso só está embutido nas premissas de preço. Então, apesar de aumentarmos a depreciação, temos um aumento de retorno e lucro em recordes.</w:t>
      </w:r>
    </w:p>
    <w:p w14:paraId="28815342" w14:textId="77777777" w:rsidR="001C2186" w:rsidRPr="001C2186" w:rsidRDefault="001C2186" w:rsidP="001C2186">
      <w:pPr>
        <w:rPr>
          <w:rFonts w:ascii="Roobert" w:hAnsi="Roobert"/>
          <w:sz w:val="20"/>
          <w:szCs w:val="20"/>
        </w:rPr>
      </w:pPr>
      <w:r w:rsidRPr="001C2186">
        <w:rPr>
          <w:rFonts w:ascii="Roobert" w:hAnsi="Roobert"/>
          <w:sz w:val="20"/>
          <w:szCs w:val="20"/>
        </w:rPr>
        <w:t>Seminovos foi a primeira, então vou dar um passo para trás. Primeiro, era renovar a frota e entrar em um ciclo ótimo. Fizemos no 1T, chegamos 90.000 carros por trimestre. A segunda missão era ter o mesmo nível em SUVs. Então, conseguimos chegar ao ciclo de vida ótimo nos carros de entrada e agora precisamos fazer isso em outras categorias. No 2T, conseguimos provar que realmente somos capazes de vender SUVs e otimizar o ciclo de vida deles também. Isso provavelmente continuará nos próximos trimestres.</w:t>
      </w:r>
    </w:p>
    <w:p w14:paraId="0463D71C" w14:textId="77777777" w:rsidR="001C2186" w:rsidRPr="001C2186" w:rsidRDefault="001C2186" w:rsidP="001C2186">
      <w:pPr>
        <w:rPr>
          <w:rFonts w:ascii="Roobert" w:hAnsi="Roobert"/>
          <w:sz w:val="20"/>
          <w:szCs w:val="20"/>
        </w:rPr>
      </w:pPr>
    </w:p>
    <w:p w14:paraId="6FBA14A6" w14:textId="77777777" w:rsidR="001C2186" w:rsidRDefault="001C2186" w:rsidP="001C2186">
      <w:pPr>
        <w:rPr>
          <w:rFonts w:ascii="Roobert" w:hAnsi="Roobert"/>
          <w:sz w:val="20"/>
          <w:szCs w:val="20"/>
        </w:rPr>
      </w:pPr>
      <w:r w:rsidRPr="001C2186">
        <w:rPr>
          <w:rFonts w:ascii="Roobert" w:hAnsi="Roobert"/>
          <w:sz w:val="20"/>
          <w:szCs w:val="20"/>
        </w:rPr>
        <w:lastRenderedPageBreak/>
        <w:t xml:space="preserve">Qual o próximo passo para seminovos? Precisamos aumentar o mix de vendas no varejo. Para fazer isso, precisamos investir antecipadamente em pessoas abrindo lojas, marketing e, neste trimestre especificamente, fizemos o rebranding das lojas também. Então, nos próximos trimestres, esses investimentos irão continuar, conforme o mix também continuará de SUVs. </w:t>
      </w:r>
    </w:p>
    <w:p w14:paraId="1CD13B21" w14:textId="0673D9F4" w:rsidR="005156B5" w:rsidRDefault="000064A1" w:rsidP="005156B5">
      <w:pPr>
        <w:rPr>
          <w:rFonts w:ascii="Roobert" w:hAnsi="Roobert"/>
          <w:sz w:val="20"/>
          <w:szCs w:val="20"/>
        </w:rPr>
      </w:pPr>
      <w:r w:rsidRPr="005156B5">
        <w:rPr>
          <w:rFonts w:ascii="Roobert" w:hAnsi="Roobert"/>
          <w:b/>
          <w:bCs/>
          <w:sz w:val="20"/>
          <w:szCs w:val="20"/>
        </w:rPr>
        <w:t>André Ferreira, Bradesco BBI:</w:t>
      </w:r>
      <w:r w:rsidR="007A741A" w:rsidRPr="005156B5">
        <w:rPr>
          <w:rFonts w:ascii="Roobert" w:hAnsi="Roobert"/>
          <w:b/>
          <w:bCs/>
          <w:sz w:val="20"/>
          <w:szCs w:val="20"/>
        </w:rPr>
        <w:t xml:space="preserve"> </w:t>
      </w:r>
      <w:r w:rsidR="005156B5" w:rsidRPr="005156B5">
        <w:rPr>
          <w:rFonts w:ascii="Roobert" w:hAnsi="Roobert"/>
          <w:sz w:val="20"/>
          <w:szCs w:val="20"/>
        </w:rPr>
        <w:t xml:space="preserve">Obrigado por pegarem minha pergunta. Dois assuntos. Primeiro, suas expectativas sobre a venda de usados futura. Quais são as principais demandas, qual é o risco em relação ao volume, </w:t>
      </w:r>
      <w:r w:rsidR="005156B5" w:rsidRPr="005156B5">
        <w:rPr>
          <w:rFonts w:ascii="Roobert" w:hAnsi="Roobert"/>
          <w:sz w:val="20"/>
          <w:szCs w:val="20"/>
        </w:rPr>
        <w:t>e</w:t>
      </w:r>
      <w:r w:rsidR="005156B5" w:rsidRPr="005156B5">
        <w:rPr>
          <w:rFonts w:ascii="Roobert" w:hAnsi="Roobert"/>
          <w:sz w:val="20"/>
          <w:szCs w:val="20"/>
        </w:rPr>
        <w:t xml:space="preserve"> volumes de julho? E o segundo ponto, a compra de carros líquida foi alto. Então, eu diria que tem um otimismo na demanda. É uma boa suposição, ou foi uma janela oportunista para comprar carros? E onde esses carros estão sendo mais alocados? Obrigado.</w:t>
      </w:r>
    </w:p>
    <w:p w14:paraId="70BAEB23" w14:textId="50789121" w:rsidR="00F33BC6" w:rsidRPr="00F33BC6" w:rsidRDefault="00066B7B" w:rsidP="00F33BC6">
      <w:pPr>
        <w:rPr>
          <w:rFonts w:ascii="Roobert" w:hAnsi="Roobert"/>
          <w:sz w:val="20"/>
          <w:szCs w:val="20"/>
        </w:rPr>
      </w:pPr>
      <w:r w:rsidRPr="0013234D">
        <w:rPr>
          <w:rFonts w:ascii="Roobert" w:hAnsi="Roobert"/>
          <w:b/>
          <w:bCs/>
          <w:sz w:val="20"/>
          <w:szCs w:val="20"/>
        </w:rPr>
        <w:t>R</w:t>
      </w:r>
      <w:r w:rsidR="00176583" w:rsidRPr="0013234D">
        <w:rPr>
          <w:rFonts w:ascii="Roobert" w:hAnsi="Roobert"/>
          <w:b/>
          <w:bCs/>
          <w:sz w:val="20"/>
          <w:szCs w:val="20"/>
        </w:rPr>
        <w:t>odrigo Tavares</w:t>
      </w:r>
      <w:r w:rsidRPr="0013234D">
        <w:rPr>
          <w:rFonts w:ascii="Roobert" w:hAnsi="Roobert"/>
          <w:b/>
          <w:bCs/>
          <w:sz w:val="20"/>
          <w:szCs w:val="20"/>
        </w:rPr>
        <w:t>:</w:t>
      </w:r>
      <w:r w:rsidRPr="0013234D">
        <w:rPr>
          <w:rFonts w:ascii="Roobert" w:hAnsi="Roobert"/>
          <w:sz w:val="20"/>
          <w:szCs w:val="20"/>
        </w:rPr>
        <w:t xml:space="preserve"> </w:t>
      </w:r>
      <w:r w:rsidR="00F33BC6" w:rsidRPr="00F33BC6">
        <w:rPr>
          <w:rFonts w:ascii="Roobert" w:hAnsi="Roobert"/>
          <w:sz w:val="20"/>
          <w:szCs w:val="20"/>
        </w:rPr>
        <w:t xml:space="preserve">Obrigado, André. Primeiramente, esperamos que o nível de seminovos se mantenha nesses níveis atuais, em torno de 90.000, que é um nível ótimo para nós alcançarmos o ciclo de vidas que esperamos. Em julho, seguiu a mesma tendência. Então, o mesmo ritmo que nós vimos no 1T e 2T, nós esperamos que isso continue no 3T também. </w:t>
      </w:r>
    </w:p>
    <w:p w14:paraId="55D2BB77" w14:textId="6D5E4003" w:rsidR="00F33BC6" w:rsidRPr="00F33BC6" w:rsidRDefault="00F33BC6" w:rsidP="00F33BC6">
      <w:pPr>
        <w:rPr>
          <w:rFonts w:ascii="Roobert" w:hAnsi="Roobert"/>
          <w:sz w:val="20"/>
          <w:szCs w:val="20"/>
        </w:rPr>
      </w:pPr>
      <w:r w:rsidRPr="00F33BC6">
        <w:rPr>
          <w:rFonts w:ascii="Roobert" w:hAnsi="Roobert"/>
          <w:sz w:val="20"/>
          <w:szCs w:val="20"/>
        </w:rPr>
        <w:t>Sobre os riscos, vimos uma pequena redução na aprovação de financiamento, mas isso foi compensado pela eficiência comercial. Então, vimos que os clientes tinham menos apetite para conceder novos financiamentos, mas não sofremos esse efeito porque conseguimos compensar isso com eficiências internas. Mas, olhando para o futuro, acho que isso vai depender mais do ambiente macro do que qualquer outra coisa. E sempre melhoramos nossas operações, e estamos confiantes de que podemos alcançar esses níveis de vendas para o 3T, também.</w:t>
      </w:r>
      <w:r>
        <w:rPr>
          <w:rFonts w:ascii="Roobert" w:hAnsi="Roobert"/>
          <w:sz w:val="20"/>
          <w:szCs w:val="20"/>
        </w:rPr>
        <w:t xml:space="preserve"> </w:t>
      </w:r>
      <w:r w:rsidRPr="00F33BC6">
        <w:rPr>
          <w:rFonts w:ascii="Roobert" w:hAnsi="Roobert"/>
          <w:sz w:val="20"/>
          <w:szCs w:val="20"/>
        </w:rPr>
        <w:t xml:space="preserve">Sobre a compra de carros líquidos, sim, compramos 125.000 carros no 2T, que é um nível maior do que normalmente temos. Isso foi uma combinação de uma demanda mais alta, e vocês podem ver que retomamos o crescimento em RAC. Receitas aumentaram 11,2% ano contra ano. Então, essa tendência de julho foi uma temporada alta muito forte também. </w:t>
      </w:r>
    </w:p>
    <w:p w14:paraId="044AFC7C" w14:textId="77777777" w:rsidR="00F33BC6" w:rsidRDefault="00F33BC6" w:rsidP="00F33BC6">
      <w:pPr>
        <w:rPr>
          <w:rFonts w:ascii="Roobert" w:hAnsi="Roobert"/>
          <w:sz w:val="20"/>
          <w:szCs w:val="20"/>
        </w:rPr>
      </w:pPr>
      <w:r w:rsidRPr="00F33BC6">
        <w:rPr>
          <w:rFonts w:ascii="Roobert" w:hAnsi="Roobert"/>
          <w:sz w:val="20"/>
          <w:szCs w:val="20"/>
        </w:rPr>
        <w:t xml:space="preserve">Além disso, claro, temos oportunidades em compras que acreditávamos que seria interessante de aproveitar essa oportunidade ao final do trimestre. </w:t>
      </w:r>
    </w:p>
    <w:p w14:paraId="11628ADC" w14:textId="77777777" w:rsidR="005C0C65" w:rsidRDefault="00B416EA" w:rsidP="005C0C65">
      <w:pPr>
        <w:rPr>
          <w:rFonts w:ascii="Roobert" w:hAnsi="Roobert"/>
          <w:sz w:val="20"/>
          <w:szCs w:val="20"/>
        </w:rPr>
      </w:pPr>
      <w:r>
        <w:rPr>
          <w:rFonts w:ascii="Roobert" w:hAnsi="Roobert"/>
          <w:b/>
          <w:bCs/>
          <w:sz w:val="20"/>
          <w:szCs w:val="20"/>
        </w:rPr>
        <w:t>Nora Lanari</w:t>
      </w:r>
      <w:r w:rsidR="00176583" w:rsidRPr="0013234D">
        <w:rPr>
          <w:rFonts w:ascii="Roobert" w:hAnsi="Roobert"/>
          <w:b/>
          <w:bCs/>
          <w:sz w:val="20"/>
          <w:szCs w:val="20"/>
        </w:rPr>
        <w:t>:</w:t>
      </w:r>
      <w:r w:rsidR="00176583" w:rsidRPr="0013234D">
        <w:rPr>
          <w:rFonts w:ascii="Roobert" w:hAnsi="Roobert"/>
          <w:sz w:val="20"/>
          <w:szCs w:val="20"/>
        </w:rPr>
        <w:t xml:space="preserve"> </w:t>
      </w:r>
      <w:r w:rsidR="005C0C65" w:rsidRPr="005C0C65">
        <w:rPr>
          <w:rFonts w:ascii="Roobert" w:hAnsi="Roobert"/>
          <w:sz w:val="20"/>
          <w:szCs w:val="20"/>
        </w:rPr>
        <w:t xml:space="preserve">Eu gostaria de acrescentar, André, que depois de julho iremos ajustar a frota. Ainda estamos vivendo em um ambiente de alta depreciação e taxa de juros, então iremos priorizar preços sobre volume para mantermos a trajetória consistente de ROIC spread e a recomposição. </w:t>
      </w:r>
    </w:p>
    <w:p w14:paraId="6CBBB010" w14:textId="57C98DBB" w:rsidR="00410575" w:rsidRDefault="000D1257" w:rsidP="005C0C65">
      <w:pPr>
        <w:rPr>
          <w:rFonts w:ascii="Roobert" w:hAnsi="Roobert"/>
          <w:sz w:val="20"/>
          <w:szCs w:val="20"/>
        </w:rPr>
      </w:pPr>
      <w:r w:rsidRPr="000D1257">
        <w:rPr>
          <w:rFonts w:ascii="Roobert" w:hAnsi="Roobert"/>
          <w:b/>
          <w:bCs/>
          <w:sz w:val="20"/>
          <w:szCs w:val="20"/>
        </w:rPr>
        <w:t xml:space="preserve">Guilherme Mendes, JP Morgan: </w:t>
      </w:r>
      <w:r w:rsidR="00473F14" w:rsidRPr="00473F14">
        <w:rPr>
          <w:rFonts w:ascii="Roobert" w:hAnsi="Roobert"/>
          <w:sz w:val="20"/>
          <w:szCs w:val="20"/>
        </w:rPr>
        <w:t>Obrigado por pegarem a minha pergunta. Eu tenho um follow-up na depreciação. Falamos que se as margens de seminovos se mantiverem a nível saudáveis, poderíamos ver um reflexo na depreciação. Não vimos isso em vendas de margens e, ainda assim, estão falando sobre o aumento da depreciação no futuro, e até em um ritmo mais rápido. Então, minha pergunta é, o que mudou sobre o que nós vemos hoje comparado às suas expectativas há um ano? E no futuro, sobre esse comentário de depreciação que continuará aumentando, quais são as outras variáveis sendo monitoradas para ter certo conforto no nível de depreciação que vocês estão incluindo nos contratos para o futuro? Muito obrigado.</w:t>
      </w:r>
    </w:p>
    <w:p w14:paraId="0A528B25" w14:textId="77777777" w:rsidR="006F4294" w:rsidRDefault="006F4294" w:rsidP="005C0C65">
      <w:pPr>
        <w:rPr>
          <w:rFonts w:ascii="Roobert" w:hAnsi="Roobert"/>
          <w:sz w:val="20"/>
          <w:szCs w:val="20"/>
        </w:rPr>
      </w:pPr>
    </w:p>
    <w:p w14:paraId="4D9568D0" w14:textId="39FFBBED" w:rsidR="00A84C74" w:rsidRDefault="00CD3D0C" w:rsidP="006F4294">
      <w:pPr>
        <w:rPr>
          <w:rFonts w:ascii="Roobert" w:hAnsi="Roobert"/>
          <w:sz w:val="20"/>
          <w:szCs w:val="20"/>
        </w:rPr>
      </w:pPr>
      <w:r w:rsidRPr="0013234D">
        <w:rPr>
          <w:rFonts w:ascii="Roobert" w:hAnsi="Roobert"/>
          <w:b/>
          <w:bCs/>
          <w:sz w:val="20"/>
          <w:szCs w:val="20"/>
        </w:rPr>
        <w:lastRenderedPageBreak/>
        <w:t>R</w:t>
      </w:r>
      <w:r w:rsidR="00A01A4E">
        <w:rPr>
          <w:rFonts w:ascii="Roobert" w:hAnsi="Roobert"/>
          <w:b/>
          <w:bCs/>
          <w:sz w:val="20"/>
          <w:szCs w:val="20"/>
        </w:rPr>
        <w:t>odrigo Tavares</w:t>
      </w:r>
      <w:r w:rsidRPr="0013234D">
        <w:rPr>
          <w:rFonts w:ascii="Roobert" w:hAnsi="Roobert"/>
          <w:b/>
          <w:bCs/>
          <w:sz w:val="20"/>
          <w:szCs w:val="20"/>
        </w:rPr>
        <w:t>:</w:t>
      </w:r>
      <w:r w:rsidRPr="0013234D">
        <w:rPr>
          <w:rFonts w:ascii="Roobert" w:hAnsi="Roobert"/>
          <w:sz w:val="20"/>
          <w:szCs w:val="20"/>
        </w:rPr>
        <w:t xml:space="preserve"> </w:t>
      </w:r>
      <w:r w:rsidR="006F4294" w:rsidRPr="006F4294">
        <w:rPr>
          <w:rFonts w:ascii="Roobert" w:hAnsi="Roobert"/>
          <w:sz w:val="20"/>
          <w:szCs w:val="20"/>
        </w:rPr>
        <w:t>Obrigado pela pergunta. Não vou dizer que isso mudou nossa expectativa. No último trimestre, apesar das perguntas, nunca declaramos que haveria uma inflexão na</w:t>
      </w:r>
      <w:r w:rsidR="006F4294">
        <w:rPr>
          <w:rFonts w:ascii="Roobert" w:hAnsi="Roobert"/>
          <w:sz w:val="20"/>
          <w:szCs w:val="20"/>
        </w:rPr>
        <w:t xml:space="preserve"> </w:t>
      </w:r>
      <w:r w:rsidR="006F4294" w:rsidRPr="006F4294">
        <w:rPr>
          <w:rFonts w:ascii="Roobert" w:hAnsi="Roobert"/>
          <w:sz w:val="20"/>
          <w:szCs w:val="20"/>
        </w:rPr>
        <w:t>depreciação. Na verdade, foi o contrário. Sinalizamos que a tendência de depreciação estava subindo, e o que aconteceu neste trimestre também.</w:t>
      </w:r>
      <w:r w:rsidR="006F4294">
        <w:rPr>
          <w:rFonts w:ascii="Roobert" w:hAnsi="Roobert"/>
          <w:sz w:val="20"/>
          <w:szCs w:val="20"/>
        </w:rPr>
        <w:t xml:space="preserve"> </w:t>
      </w:r>
      <w:proofErr w:type="gramStart"/>
      <w:r w:rsidR="006F4294" w:rsidRPr="006F4294">
        <w:rPr>
          <w:rFonts w:ascii="Roobert" w:hAnsi="Roobert"/>
          <w:sz w:val="20"/>
          <w:szCs w:val="20"/>
        </w:rPr>
        <w:t>Estamos</w:t>
      </w:r>
      <w:proofErr w:type="gramEnd"/>
      <w:r w:rsidR="006F4294" w:rsidRPr="006F4294">
        <w:rPr>
          <w:rFonts w:ascii="Roobert" w:hAnsi="Roobert"/>
          <w:sz w:val="20"/>
          <w:szCs w:val="20"/>
        </w:rPr>
        <w:t xml:space="preserve"> em uma fase de uma nova dinâmica do mercado automobilístico e, conforme eu disse, são projeções futuras. Precisamos antecipar isso considerando o que pode acontecer. Iremos impor essas suposições e premissas nas informações.</w:t>
      </w:r>
      <w:r w:rsidR="006F4294">
        <w:rPr>
          <w:rFonts w:ascii="Roobert" w:hAnsi="Roobert"/>
          <w:sz w:val="20"/>
          <w:szCs w:val="20"/>
        </w:rPr>
        <w:t xml:space="preserve"> </w:t>
      </w:r>
      <w:proofErr w:type="gramStart"/>
      <w:r w:rsidR="006F4294" w:rsidRPr="006F4294">
        <w:rPr>
          <w:rFonts w:ascii="Roobert" w:hAnsi="Roobert"/>
          <w:sz w:val="20"/>
          <w:szCs w:val="20"/>
        </w:rPr>
        <w:t>Quando</w:t>
      </w:r>
      <w:proofErr w:type="gramEnd"/>
      <w:r w:rsidR="006F4294" w:rsidRPr="006F4294">
        <w:rPr>
          <w:rFonts w:ascii="Roobert" w:hAnsi="Roobert"/>
          <w:sz w:val="20"/>
          <w:szCs w:val="20"/>
        </w:rPr>
        <w:t xml:space="preserve"> você pensa em alocar o seu capital, você precisa ser mais conservador. E isso que melhoramos aqui, porque o nosso preço consegue lidar com esse ambiente mais alto de depreciação e aumentar o retorno. Existem forças que podem ajudar nos preços do carro, também. Por exemplo, o imposto sobre os importados foi de 28% a 35%. Então, pode gerar uma pressão de subida nos preços. Além disso, a importação dos kits tem a cota de impostos que irá acabar no final do ano. Tudo isso irá contribuir para melhorar os preços. Dito isso, estamos falando de muitos novos entrantes, muitos novos modelos e empresas que estão competindo para ter mais participação de mercado, o que pode levar a mais pressão competitiva. Dito isso, é importante lembrá-los de que isso é positivo no médio prazo, porque conforme temos mais fornecimento local, mais concorrência local, isso pode levar a melhores negócios e oportunidades para o maior comprador, como a Localiza.</w:t>
      </w:r>
      <w:r w:rsidR="006F4294">
        <w:rPr>
          <w:rFonts w:ascii="Roobert" w:hAnsi="Roobert"/>
          <w:sz w:val="20"/>
          <w:szCs w:val="20"/>
        </w:rPr>
        <w:t xml:space="preserve"> </w:t>
      </w:r>
      <w:r w:rsidR="006F4294" w:rsidRPr="006F4294">
        <w:rPr>
          <w:rFonts w:ascii="Roobert" w:hAnsi="Roobert"/>
          <w:sz w:val="20"/>
          <w:szCs w:val="20"/>
        </w:rPr>
        <w:t xml:space="preserve">Então, olhando para o futuro, principalmente no curto prazo, a tendência de depreciação irá continuar conforme estava no 1T para o 2T. </w:t>
      </w:r>
    </w:p>
    <w:p w14:paraId="11944308" w14:textId="3551F3AE" w:rsidR="00A84C74" w:rsidRDefault="00A84C74" w:rsidP="00A84C74">
      <w:pPr>
        <w:jc w:val="both"/>
        <w:rPr>
          <w:rFonts w:eastAsia="Calibri"/>
        </w:rPr>
      </w:pPr>
      <w:r w:rsidRPr="000D1257">
        <w:rPr>
          <w:rFonts w:ascii="Roobert" w:hAnsi="Roobert"/>
          <w:b/>
          <w:bCs/>
          <w:sz w:val="20"/>
          <w:szCs w:val="20"/>
        </w:rPr>
        <w:t xml:space="preserve">Guilherme Mendes, JP Morgan: </w:t>
      </w:r>
      <w:r w:rsidRPr="00D029E0">
        <w:rPr>
          <w:rFonts w:eastAsia="Calibri"/>
        </w:rPr>
        <w:t>Muito claro</w:t>
      </w:r>
      <w:r>
        <w:rPr>
          <w:rFonts w:eastAsia="Calibri"/>
        </w:rPr>
        <w:t>. O</w:t>
      </w:r>
      <w:r w:rsidRPr="00D029E0">
        <w:rPr>
          <w:rFonts w:eastAsia="Calibri"/>
        </w:rPr>
        <w:t>brigado Rodrigo. Eu tenho um follow-up na pergunta do André sobre expansão de frota.</w:t>
      </w:r>
      <w:r>
        <w:rPr>
          <w:rFonts w:eastAsia="Calibri"/>
        </w:rPr>
        <w:t xml:space="preserve"> </w:t>
      </w:r>
      <w:r w:rsidRPr="00D029E0">
        <w:rPr>
          <w:rFonts w:eastAsia="Calibri"/>
        </w:rPr>
        <w:t xml:space="preserve">Alguns </w:t>
      </w:r>
      <w:proofErr w:type="spellStart"/>
      <w:r w:rsidRPr="00B16ADC">
        <w:rPr>
          <w:rFonts w:eastAsia="Calibri"/>
          <w:i/>
          <w:iCs/>
        </w:rPr>
        <w:t>calls</w:t>
      </w:r>
      <w:proofErr w:type="spellEnd"/>
      <w:r w:rsidRPr="00D029E0">
        <w:rPr>
          <w:rFonts w:eastAsia="Calibri"/>
        </w:rPr>
        <w:t xml:space="preserve"> atrás</w:t>
      </w:r>
      <w:r>
        <w:rPr>
          <w:rFonts w:eastAsia="Calibri"/>
        </w:rPr>
        <w:t>,</w:t>
      </w:r>
      <w:r w:rsidRPr="00D029E0">
        <w:rPr>
          <w:rFonts w:eastAsia="Calibri"/>
        </w:rPr>
        <w:t xml:space="preserve"> falaram sobre 2027 sendo o ano em que a Localiza retomaria o ritmo de crescimento. </w:t>
      </w:r>
      <w:r>
        <w:rPr>
          <w:rFonts w:eastAsia="Calibri"/>
        </w:rPr>
        <w:t xml:space="preserve">Dadas </w:t>
      </w:r>
      <w:r w:rsidRPr="00D029E0">
        <w:rPr>
          <w:rFonts w:eastAsia="Calibri"/>
        </w:rPr>
        <w:t>as taxas mais altas e o aumento de depreciação, ainda devemos esperar isso</w:t>
      </w:r>
      <w:r>
        <w:rPr>
          <w:rFonts w:eastAsia="Calibri"/>
        </w:rPr>
        <w:t>,</w:t>
      </w:r>
      <w:r w:rsidRPr="00D029E0">
        <w:rPr>
          <w:rFonts w:eastAsia="Calibri"/>
        </w:rPr>
        <w:t xml:space="preserve"> ou não seria mais provável </w:t>
      </w:r>
      <w:r>
        <w:rPr>
          <w:rFonts w:eastAsia="Calibri"/>
        </w:rPr>
        <w:t xml:space="preserve">neste </w:t>
      </w:r>
      <w:r w:rsidRPr="00D029E0">
        <w:rPr>
          <w:rFonts w:eastAsia="Calibri"/>
        </w:rPr>
        <w:t>momento? Obrigado.</w:t>
      </w:r>
    </w:p>
    <w:p w14:paraId="543F0AF5" w14:textId="6C4E1B13" w:rsidR="00A84C74" w:rsidRPr="00A3774F" w:rsidRDefault="00A3774F" w:rsidP="00A3774F">
      <w:pPr>
        <w:jc w:val="both"/>
        <w:rPr>
          <w:rFonts w:eastAsia="Calibri"/>
        </w:rPr>
      </w:pPr>
      <w:r w:rsidRPr="00A3774F">
        <w:rPr>
          <w:rFonts w:eastAsia="Calibri"/>
          <w:b/>
          <w:bCs/>
        </w:rPr>
        <w:t>Rodrigo Tavares:</w:t>
      </w:r>
      <w:r>
        <w:rPr>
          <w:rFonts w:eastAsia="Calibri"/>
        </w:rPr>
        <w:t xml:space="preserve"> </w:t>
      </w:r>
      <w:r w:rsidR="00E14DCF">
        <w:rPr>
          <w:rFonts w:eastAsia="Calibri"/>
        </w:rPr>
        <w:t>C</w:t>
      </w:r>
      <w:r w:rsidR="00E14DCF" w:rsidRPr="00D029E0">
        <w:rPr>
          <w:rFonts w:eastAsia="Calibri"/>
        </w:rPr>
        <w:t xml:space="preserve">onseguimos comprovar que no </w:t>
      </w:r>
      <w:r w:rsidR="00E14DCF">
        <w:rPr>
          <w:rFonts w:eastAsia="Calibri"/>
        </w:rPr>
        <w:t>2T</w:t>
      </w:r>
      <w:r w:rsidR="00E14DCF" w:rsidRPr="00D029E0">
        <w:rPr>
          <w:rFonts w:eastAsia="Calibri"/>
        </w:rPr>
        <w:t xml:space="preserve">, apesar da depreciação maior e preço também, o crescimento também aumentou. Dito isso, o nosso objetivo é continuar aumentando o </w:t>
      </w:r>
      <w:r w:rsidR="00E14DCF">
        <w:rPr>
          <w:rFonts w:eastAsia="Calibri"/>
        </w:rPr>
        <w:t>ROIC s</w:t>
      </w:r>
      <w:r w:rsidR="00E14DCF" w:rsidRPr="00D029E0">
        <w:rPr>
          <w:rFonts w:eastAsia="Calibri"/>
        </w:rPr>
        <w:t>pread.</w:t>
      </w:r>
      <w:r w:rsidR="00E14DCF">
        <w:rPr>
          <w:rFonts w:eastAsia="Calibri"/>
        </w:rPr>
        <w:t xml:space="preserve"> </w:t>
      </w:r>
      <w:r w:rsidR="00E14DCF" w:rsidRPr="00D029E0">
        <w:rPr>
          <w:rFonts w:eastAsia="Calibri"/>
        </w:rPr>
        <w:t xml:space="preserve">O nosso principal objetivo aqui é termos o </w:t>
      </w:r>
      <w:r w:rsidR="00E14DCF">
        <w:rPr>
          <w:rFonts w:eastAsia="Calibri"/>
        </w:rPr>
        <w:t>ROIC s</w:t>
      </w:r>
      <w:r w:rsidR="00E14DCF" w:rsidRPr="00D029E0">
        <w:rPr>
          <w:rFonts w:eastAsia="Calibri"/>
        </w:rPr>
        <w:t xml:space="preserve">pread no nível mais alto da nossa faixa. </w:t>
      </w:r>
      <w:r w:rsidR="00E14DCF">
        <w:rPr>
          <w:rFonts w:eastAsia="Calibri"/>
        </w:rPr>
        <w:t xml:space="preserve">Mas </w:t>
      </w:r>
      <w:r w:rsidR="00E14DCF" w:rsidRPr="00D029E0">
        <w:rPr>
          <w:rFonts w:eastAsia="Calibri"/>
        </w:rPr>
        <w:t xml:space="preserve">a demanda tem se mostrado muito resiliente e robusta. A melhor prova disso foi o </w:t>
      </w:r>
      <w:r w:rsidR="00E14DCF">
        <w:rPr>
          <w:rFonts w:eastAsia="Calibri"/>
        </w:rPr>
        <w:t>2T,</w:t>
      </w:r>
      <w:r w:rsidR="00E14DCF" w:rsidRPr="00D029E0">
        <w:rPr>
          <w:rFonts w:eastAsia="Calibri"/>
        </w:rPr>
        <w:t xml:space="preserve"> e um julho muito forte que tivemos.</w:t>
      </w:r>
      <w:r w:rsidR="00E14DCF">
        <w:rPr>
          <w:rFonts w:eastAsia="Calibri"/>
        </w:rPr>
        <w:t xml:space="preserve"> </w:t>
      </w:r>
      <w:r w:rsidR="00E14DCF" w:rsidRPr="00D029E0">
        <w:rPr>
          <w:rFonts w:eastAsia="Calibri"/>
        </w:rPr>
        <w:t xml:space="preserve">Mas, mais uma vez, por conta da alta depreciação e altos gastos com juros, teremos que continuar aumentando a tarifa, </w:t>
      </w:r>
      <w:r w:rsidR="00E14DCF">
        <w:rPr>
          <w:rFonts w:eastAsia="Calibri"/>
        </w:rPr>
        <w:t xml:space="preserve">o </w:t>
      </w:r>
      <w:r w:rsidR="00E14DCF" w:rsidRPr="00D029E0">
        <w:rPr>
          <w:rFonts w:eastAsia="Calibri"/>
        </w:rPr>
        <w:t>que pode afetar a demanda. Mas, até agora, vemos uma demanda muito resiliente. Então, em 2027, se isso persistir, podemos continuar crescendo.</w:t>
      </w:r>
      <w:r w:rsidR="00E14DCF">
        <w:rPr>
          <w:rFonts w:eastAsia="Calibri"/>
        </w:rPr>
        <w:t xml:space="preserve"> </w:t>
      </w:r>
      <w:r w:rsidR="00E14DCF" w:rsidRPr="00D029E0">
        <w:rPr>
          <w:rFonts w:eastAsia="Calibri"/>
        </w:rPr>
        <w:t xml:space="preserve">Mas, mais uma vez, o nosso foco é o retorno da lucratividade, conforme era antes. </w:t>
      </w:r>
    </w:p>
    <w:p w14:paraId="4D7D6730" w14:textId="002B2615" w:rsidR="00037B9C" w:rsidRDefault="00052E8C" w:rsidP="00037B9C">
      <w:pPr>
        <w:rPr>
          <w:rFonts w:ascii="Roobert" w:hAnsi="Roobert"/>
          <w:sz w:val="20"/>
          <w:szCs w:val="20"/>
        </w:rPr>
      </w:pPr>
      <w:r w:rsidRPr="00052E8C">
        <w:rPr>
          <w:rFonts w:ascii="Roobert" w:hAnsi="Roobert"/>
          <w:b/>
          <w:bCs/>
          <w:sz w:val="20"/>
          <w:szCs w:val="20"/>
        </w:rPr>
        <w:t>Filipe Nielsen, Citi:</w:t>
      </w:r>
      <w:r>
        <w:rPr>
          <w:rFonts w:ascii="Roobert" w:hAnsi="Roobert"/>
          <w:b/>
          <w:bCs/>
          <w:sz w:val="20"/>
          <w:szCs w:val="20"/>
        </w:rPr>
        <w:t xml:space="preserve"> </w:t>
      </w:r>
      <w:r w:rsidR="00037B9C" w:rsidRPr="00037B9C">
        <w:rPr>
          <w:rFonts w:ascii="Roobert" w:hAnsi="Roobert"/>
          <w:sz w:val="20"/>
          <w:szCs w:val="20"/>
        </w:rPr>
        <w:t xml:space="preserve">Obrigado por pegarem a minha pergunta. Também tenho duas do meu lado. A primeira é sobre demanda e preços. Estou curioso. Vocês expandiram a frota significativamente no trimestre, falamos sobre isso em perguntas anteriores. Mas eu queria entender um pouco mais sobre o que vocês esperam em termos de elasticidade de preço e os fatores que levam vocês a ter essa confiança de que continuarão aumentando os preços, mesmo com esse nível de compras e aumento de frota. Essa é a primeira pergunta. A segunda pergunta é um follow-up da depreciação. Já falamos muito sobre as condições de mercado de veículos, o seu conservadorismo. Mas eu queria entender como vocês incluem essa redução da idade da frota, e como podemos esperar que isso terá um impacto positivo na tendência de depreciação? E como você equilibra esse fator com todos os demais? Muito obrigado. </w:t>
      </w:r>
    </w:p>
    <w:p w14:paraId="48EA998C" w14:textId="5DF2214E" w:rsidR="0023278C" w:rsidRDefault="006F7F79" w:rsidP="0023278C">
      <w:pPr>
        <w:rPr>
          <w:rFonts w:ascii="Roobert" w:hAnsi="Roobert"/>
          <w:sz w:val="20"/>
          <w:szCs w:val="20"/>
        </w:rPr>
      </w:pPr>
      <w:r w:rsidRPr="006F7F79">
        <w:rPr>
          <w:rFonts w:ascii="Roobert" w:hAnsi="Roobert"/>
          <w:b/>
          <w:bCs/>
          <w:sz w:val="20"/>
          <w:szCs w:val="20"/>
        </w:rPr>
        <w:lastRenderedPageBreak/>
        <w:t>Rodrigo Tavares:</w:t>
      </w:r>
      <w:r>
        <w:rPr>
          <w:rFonts w:ascii="Roobert" w:hAnsi="Roobert"/>
          <w:sz w:val="20"/>
          <w:szCs w:val="20"/>
        </w:rPr>
        <w:t xml:space="preserve"> </w:t>
      </w:r>
      <w:r w:rsidR="0023278C" w:rsidRPr="0023278C">
        <w:rPr>
          <w:rFonts w:ascii="Roobert" w:hAnsi="Roobert"/>
          <w:sz w:val="20"/>
          <w:szCs w:val="20"/>
        </w:rPr>
        <w:t>Obrigado, Filipe. Primeiramente, existe uma sazonalidade. Então, o 3T, em relação à demanda, geralmente é mais forte que o 2T. Por isso que tem mais aluguéis, e a eleição aumenta a demanda também, pelo menos nos meses de setembro e outubro, esperamos isso. Mas, precisamos perceber que não é só olhar a elasticidade nominal, mas a cruzada também. Na atividade de aluguéis, você vê novos contratos, atividades comerciais. Então, vivemos em um ambiente de taxa de juros muito alto. Isso leva a maior parte das empresas a terceirizar a sua frota. Então, temos demanda apesar do aumento de preço, porque a alternativa, que seria financiar sua própria frota a um custo altíssimo, acaba aumentando mais do que alugar um carro com a Localiza. Por isso que, no 2T, vimos essa alta demanda, vimos uma alta demanda em julho, e acreditamos que essa tendência, pelo menos no curto prazo, irá continuar. Sobre a redução da idade da frota, já estamos colhendo esses benefícios. Você mencionou o valor residual, mas os benefícios estão muito além disso. Quando olhamos nosso custo variável, isso já acontece. Nosso custo variável é muito menor do que era no ano passado. Inclusive, de certa forma, voltamos ao nível de 2019 em termos nominais. Isso mostra o impacto da renovação da frota. Estamos sentindo os efeitos primeiro em RAC, em vez de seminovos, porque estamos descomissionando os carros com alta milhagem. Então, você renova mais a frota em quilômetros em RAC, do que em idade em seminovos.</w:t>
      </w:r>
      <w:r w:rsidR="0023278C">
        <w:rPr>
          <w:rFonts w:ascii="Roobert" w:hAnsi="Roobert"/>
          <w:sz w:val="20"/>
          <w:szCs w:val="20"/>
        </w:rPr>
        <w:t xml:space="preserve"> </w:t>
      </w:r>
      <w:r w:rsidR="0023278C" w:rsidRPr="0023278C">
        <w:rPr>
          <w:rFonts w:ascii="Roobert" w:hAnsi="Roobert"/>
          <w:sz w:val="20"/>
          <w:szCs w:val="20"/>
        </w:rPr>
        <w:t xml:space="preserve">Aumentamos o ritmo em seminovos no 1T, mas ainda leva um tempo para chegarmos a um nível ótimo de seminovos, e esperamos que isso ocorra na primeira metade do ano que vem, onde chegaremos a um equilíbrio do ciclo de vida. Mas outro benefício que já estamos vendo é a utilização. Como os carros são mais novos, nós não perdemos tanto tempo consertando os carros. Então, temos mais frota disponível no RAC também. Então, eu não queria dizer que o benefício é só o valor residual, apesar de a depreciação ser o assunto, mas é uma combinação da operação, utilização e depreciação. </w:t>
      </w:r>
    </w:p>
    <w:p w14:paraId="37D6EE54" w14:textId="77777777" w:rsidR="00C64D96" w:rsidRDefault="00590A0D" w:rsidP="00C64D96">
      <w:pPr>
        <w:rPr>
          <w:rFonts w:ascii="Roobert" w:hAnsi="Roobert"/>
          <w:sz w:val="20"/>
          <w:szCs w:val="20"/>
        </w:rPr>
      </w:pPr>
      <w:r w:rsidRPr="00590A0D">
        <w:rPr>
          <w:rFonts w:ascii="Roobert" w:hAnsi="Roobert"/>
          <w:b/>
          <w:bCs/>
          <w:sz w:val="20"/>
          <w:szCs w:val="20"/>
        </w:rPr>
        <w:t xml:space="preserve">Daniel </w:t>
      </w:r>
      <w:proofErr w:type="spellStart"/>
      <w:r w:rsidRPr="00590A0D">
        <w:rPr>
          <w:rFonts w:ascii="Roobert" w:hAnsi="Roobert"/>
          <w:b/>
          <w:bCs/>
          <w:sz w:val="20"/>
          <w:szCs w:val="20"/>
        </w:rPr>
        <w:t>Gasparete</w:t>
      </w:r>
      <w:proofErr w:type="spellEnd"/>
      <w:r w:rsidRPr="00590A0D">
        <w:rPr>
          <w:rFonts w:ascii="Roobert" w:hAnsi="Roobert"/>
          <w:b/>
          <w:bCs/>
          <w:sz w:val="20"/>
          <w:szCs w:val="20"/>
        </w:rPr>
        <w:t>, Itaú:</w:t>
      </w:r>
      <w:r>
        <w:rPr>
          <w:rFonts w:ascii="Roobert" w:hAnsi="Roobert"/>
          <w:b/>
          <w:bCs/>
          <w:sz w:val="20"/>
          <w:szCs w:val="20"/>
        </w:rPr>
        <w:t xml:space="preserve"> </w:t>
      </w:r>
      <w:r w:rsidR="00C64D96" w:rsidRPr="00C64D96">
        <w:rPr>
          <w:rFonts w:ascii="Roobert" w:hAnsi="Roobert"/>
          <w:sz w:val="20"/>
          <w:szCs w:val="20"/>
        </w:rPr>
        <w:t xml:space="preserve">Bom dia. Obrigado pela oportunidade. Eu peço desculpas, mas queria enfatizar novamente algumas perguntas que já foram respondidas. Primeiramente, sobre crescimento. Eu queria entender melhor, a posição que vocês têm é uma resposta da demanda por vir, ou vocês estão ativamente vendo oportunidades em colocar carros? Por exemplo, os 28.000 carros de adição líquida no trimestre. Vemos um crescimento adicional no futuro e vocês vão buscar isso, ou é uma demanda sazonal? Só para entender melhor essa parte, essa atividade. Ou se é uma resposta passiva a isso. </w:t>
      </w:r>
      <w:r w:rsidR="00C64D96" w:rsidRPr="00C64D96">
        <w:rPr>
          <w:rFonts w:ascii="Roobert" w:hAnsi="Roobert"/>
          <w:sz w:val="20"/>
          <w:szCs w:val="20"/>
        </w:rPr>
        <w:t>E</w:t>
      </w:r>
      <w:r w:rsidR="00C64D96" w:rsidRPr="00C64D96">
        <w:rPr>
          <w:rFonts w:ascii="Roobert" w:hAnsi="Roobert"/>
          <w:sz w:val="20"/>
          <w:szCs w:val="20"/>
        </w:rPr>
        <w:t xml:space="preserve">, se puderem falar sobre os segmentos de onde vem mais demanda, lazer ou outra área. De onde vem isso? </w:t>
      </w:r>
    </w:p>
    <w:p w14:paraId="6D4F6A48" w14:textId="43B5FDD0" w:rsidR="005E00E0" w:rsidRPr="00934788" w:rsidRDefault="00C64D96" w:rsidP="00C64D96">
      <w:pPr>
        <w:rPr>
          <w:rFonts w:ascii="Roobert" w:hAnsi="Roobert"/>
          <w:sz w:val="20"/>
          <w:szCs w:val="20"/>
        </w:rPr>
      </w:pPr>
      <w:r w:rsidRPr="00C64D96">
        <w:rPr>
          <w:rFonts w:ascii="Roobert" w:hAnsi="Roobert"/>
          <w:sz w:val="20"/>
          <w:szCs w:val="20"/>
        </w:rPr>
        <w:t>E, em segundo lugar, sobre a margem de seminovos, você mencionou, se eu entendi corretamente, e peço desculpas se estiver errado, que continuaremos vendo esse nível de mix nos próximos trimestres, e talvez o mesmo nível de esforço na melhora de vendas de varejo no curto prazo? Então, a conclusão subjacente disso seria de que veremos seminovos nesse nível de 2%, antes de voltar aos 6%? De novo, peço desculpas por ser repetitivo.</w:t>
      </w:r>
    </w:p>
    <w:p w14:paraId="24537120" w14:textId="774C2F6F" w:rsidR="00290FBB" w:rsidRDefault="0041035F" w:rsidP="000D69A3">
      <w:pPr>
        <w:rPr>
          <w:rFonts w:ascii="Roobert" w:hAnsi="Roobert"/>
          <w:sz w:val="20"/>
          <w:szCs w:val="20"/>
        </w:rPr>
      </w:pPr>
      <w:r>
        <w:rPr>
          <w:rFonts w:ascii="Roobert" w:hAnsi="Roobert"/>
          <w:b/>
          <w:bCs/>
          <w:sz w:val="20"/>
          <w:szCs w:val="20"/>
        </w:rPr>
        <w:t>Nora Lanari</w:t>
      </w:r>
      <w:r w:rsidR="00290FBB" w:rsidRPr="0013234D">
        <w:rPr>
          <w:rFonts w:ascii="Roobert" w:hAnsi="Roobert"/>
          <w:b/>
          <w:bCs/>
          <w:sz w:val="20"/>
          <w:szCs w:val="20"/>
        </w:rPr>
        <w:t>:</w:t>
      </w:r>
      <w:r w:rsidR="00290FBB" w:rsidRPr="0013234D">
        <w:rPr>
          <w:rFonts w:ascii="Roobert" w:hAnsi="Roobert"/>
          <w:sz w:val="20"/>
          <w:szCs w:val="20"/>
        </w:rPr>
        <w:t xml:space="preserve"> </w:t>
      </w:r>
      <w:r w:rsidR="000D69A3" w:rsidRPr="000D69A3">
        <w:rPr>
          <w:rFonts w:ascii="Roobert" w:hAnsi="Roobert"/>
          <w:sz w:val="20"/>
          <w:szCs w:val="20"/>
        </w:rPr>
        <w:t xml:space="preserve">Obrigado, Daniel. Vou começar e depois o Rodrigo pode adicionar, se necessário. Sobre crescimento, tivemos um ritmo de vendas muito forte e mantivemos isso no 2T. Então, para manter esse ritmo, precisamos acelerar as compras. E estávamos preparando a Empresa para o pico em julho. Temos férias escolares e temos descontos interessantes e compras oportunistas. Então, isso acabou adicionando esses 28.000 carros. Parte disso será ajustada no 3T, depois da estação de pico de julho, mas, conforme o Rodrigo mencionou anteriormente, temos as eleições por vir. </w:t>
      </w:r>
      <w:r w:rsidR="000D69A3">
        <w:rPr>
          <w:rFonts w:ascii="Roobert" w:hAnsi="Roobert"/>
          <w:sz w:val="20"/>
          <w:szCs w:val="20"/>
        </w:rPr>
        <w:t xml:space="preserve"> </w:t>
      </w:r>
      <w:r w:rsidR="000D69A3" w:rsidRPr="000D69A3">
        <w:rPr>
          <w:rFonts w:ascii="Roobert" w:hAnsi="Roobert"/>
          <w:sz w:val="20"/>
          <w:szCs w:val="20"/>
        </w:rPr>
        <w:t>Então, estamos vendo um bom nível de demanda,</w:t>
      </w:r>
      <w:r w:rsidR="000D69A3">
        <w:rPr>
          <w:rFonts w:ascii="Roobert" w:hAnsi="Roobert"/>
          <w:sz w:val="20"/>
          <w:szCs w:val="20"/>
        </w:rPr>
        <w:t xml:space="preserve"> </w:t>
      </w:r>
      <w:r w:rsidR="000D69A3" w:rsidRPr="000D69A3">
        <w:rPr>
          <w:rFonts w:ascii="Roobert" w:hAnsi="Roobert"/>
          <w:sz w:val="20"/>
          <w:szCs w:val="20"/>
        </w:rPr>
        <w:lastRenderedPageBreak/>
        <w:t>uma demanda resiliente nos aluguéis individuais, mas também cresceu em corporativo e de motoristas de aplicativo, e em outro segmento também cresceu.</w:t>
      </w:r>
      <w:r w:rsidR="000D69A3">
        <w:rPr>
          <w:rFonts w:ascii="Roobert" w:hAnsi="Roobert"/>
          <w:sz w:val="20"/>
          <w:szCs w:val="20"/>
        </w:rPr>
        <w:t xml:space="preserve"> </w:t>
      </w:r>
      <w:r w:rsidR="000D69A3" w:rsidRPr="000D69A3">
        <w:rPr>
          <w:rFonts w:ascii="Roobert" w:hAnsi="Roobert"/>
          <w:sz w:val="20"/>
          <w:szCs w:val="20"/>
        </w:rPr>
        <w:t xml:space="preserve">Apesar disso, conforme o Rodrigo mencionou, em um ambiente de taxas de juros altas e alta depreciação, o foco será menos no volume e mais no preço para mantermos a trajetória de recuperação do ROIC spread. Do lado de seminovos, acho que a margem foi impactada em duas vezes. Primeiramente, o mix de SUVs. SUVs geram mais reais por carro quando vendemos, então operamos eles com margem bruta um pouco menor. Você viu, em uma redução trimestre sobre trimestre, 0,5 </w:t>
      </w:r>
      <w:proofErr w:type="spellStart"/>
      <w:r w:rsidR="000D69A3" w:rsidRPr="000D69A3">
        <w:rPr>
          <w:rFonts w:ascii="Roobert" w:hAnsi="Roobert"/>
          <w:sz w:val="20"/>
          <w:szCs w:val="20"/>
        </w:rPr>
        <w:t>p.p</w:t>
      </w:r>
      <w:proofErr w:type="spellEnd"/>
      <w:r w:rsidR="000D69A3" w:rsidRPr="000D69A3">
        <w:rPr>
          <w:rFonts w:ascii="Roobert" w:hAnsi="Roobert"/>
          <w:sz w:val="20"/>
          <w:szCs w:val="20"/>
        </w:rPr>
        <w:t>. na margem bruta, mas também o fato de que investimos mais na capacidade de expansão, mais pessoal, mais marketing.</w:t>
      </w:r>
      <w:r w:rsidR="000D69A3">
        <w:rPr>
          <w:rFonts w:ascii="Roobert" w:hAnsi="Roobert"/>
          <w:sz w:val="20"/>
          <w:szCs w:val="20"/>
        </w:rPr>
        <w:t xml:space="preserve"> </w:t>
      </w:r>
      <w:r w:rsidR="000D69A3" w:rsidRPr="000D69A3">
        <w:rPr>
          <w:rFonts w:ascii="Roobert" w:hAnsi="Roobert"/>
          <w:sz w:val="20"/>
          <w:szCs w:val="20"/>
        </w:rPr>
        <w:t>Não esperamos uma grande redução nessas despesas; ao contrário, na verdade, queremos aumentar as vendas no varejo, que será gradativa no próximo trimestre, até o ano que vem. Então, neste momento, não esperamos uma grande diferença na tendência da margem EBITDA.</w:t>
      </w:r>
    </w:p>
    <w:p w14:paraId="5F67DD2C" w14:textId="67B91E94" w:rsidR="002977D6" w:rsidRDefault="00E80B07" w:rsidP="002977D6">
      <w:pPr>
        <w:rPr>
          <w:rFonts w:ascii="Roobert" w:hAnsi="Roobert"/>
          <w:sz w:val="20"/>
          <w:szCs w:val="20"/>
        </w:rPr>
      </w:pPr>
      <w:r w:rsidRPr="00E80B07">
        <w:rPr>
          <w:rFonts w:ascii="Roobert" w:hAnsi="Roobert"/>
          <w:b/>
          <w:bCs/>
          <w:sz w:val="20"/>
          <w:szCs w:val="20"/>
        </w:rPr>
        <w:t xml:space="preserve">Rogério Araújo, Bank </w:t>
      </w:r>
      <w:proofErr w:type="spellStart"/>
      <w:r w:rsidRPr="00E80B07">
        <w:rPr>
          <w:rFonts w:ascii="Roobert" w:hAnsi="Roobert"/>
          <w:b/>
          <w:bCs/>
          <w:sz w:val="20"/>
          <w:szCs w:val="20"/>
        </w:rPr>
        <w:t>of</w:t>
      </w:r>
      <w:proofErr w:type="spellEnd"/>
      <w:r w:rsidRPr="00E80B07">
        <w:rPr>
          <w:rFonts w:ascii="Roobert" w:hAnsi="Roobert"/>
          <w:b/>
          <w:bCs/>
          <w:sz w:val="20"/>
          <w:szCs w:val="20"/>
        </w:rPr>
        <w:t xml:space="preserve"> </w:t>
      </w:r>
      <w:proofErr w:type="spellStart"/>
      <w:r w:rsidRPr="00E80B07">
        <w:rPr>
          <w:rFonts w:ascii="Roobert" w:hAnsi="Roobert"/>
          <w:b/>
          <w:bCs/>
          <w:sz w:val="20"/>
          <w:szCs w:val="20"/>
        </w:rPr>
        <w:t>America</w:t>
      </w:r>
      <w:proofErr w:type="spellEnd"/>
      <w:r w:rsidRPr="00E80B07">
        <w:rPr>
          <w:rFonts w:ascii="Roobert" w:hAnsi="Roobert"/>
          <w:b/>
          <w:bCs/>
          <w:sz w:val="20"/>
          <w:szCs w:val="20"/>
        </w:rPr>
        <w:t>:</w:t>
      </w:r>
      <w:r>
        <w:rPr>
          <w:rFonts w:ascii="Roobert" w:hAnsi="Roobert"/>
          <w:b/>
          <w:bCs/>
          <w:sz w:val="20"/>
          <w:szCs w:val="20"/>
        </w:rPr>
        <w:t xml:space="preserve"> </w:t>
      </w:r>
      <w:r w:rsidR="002977D6" w:rsidRPr="002977D6">
        <w:rPr>
          <w:rFonts w:ascii="Roobert" w:hAnsi="Roobert"/>
          <w:sz w:val="20"/>
          <w:szCs w:val="20"/>
        </w:rPr>
        <w:t xml:space="preserve">Obrigado pela oportunidade. Eu tenho algumas perguntas. A primeira, com crédito de PIS/COFINS maior neste trimestre, entendemos agora que com reforma fiscal no Brasil tem uma previsibilidade de utilização dos créditos acima da taxa de 9,25%. Faria sentido? E, nesse caso, qual é a expectativa da Localiza para os créditos de PIS/COFINS nos trimestres? Algo parecido? O que faria sentido, pelo menos até o final do ano? </w:t>
      </w:r>
      <w:r w:rsidR="002977D6">
        <w:rPr>
          <w:rFonts w:ascii="Roobert" w:hAnsi="Roobert"/>
          <w:sz w:val="20"/>
          <w:szCs w:val="20"/>
        </w:rPr>
        <w:t xml:space="preserve"> </w:t>
      </w:r>
      <w:r w:rsidR="002977D6" w:rsidRPr="002977D6">
        <w:rPr>
          <w:rFonts w:ascii="Roobert" w:hAnsi="Roobert"/>
          <w:sz w:val="20"/>
          <w:szCs w:val="20"/>
        </w:rPr>
        <w:t xml:space="preserve">Segunda pergunta, em relação à expansão de custo, tem PLR, que foi um destaque neste trimestre. Isso está, de alguma forma, amarrado à questão do programa de retenção de longo prazo da direção da Empresa? E, se não for isso, o que levou ao aumento, fora os seminovos que vocês já mencionaram e o </w:t>
      </w:r>
      <w:proofErr w:type="spellStart"/>
      <w:r w:rsidR="002977D6" w:rsidRPr="00590CE3">
        <w:rPr>
          <w:rFonts w:ascii="Roobert" w:hAnsi="Roobert"/>
          <w:i/>
          <w:iCs/>
          <w:sz w:val="20"/>
          <w:szCs w:val="20"/>
        </w:rPr>
        <w:t>run</w:t>
      </w:r>
      <w:proofErr w:type="spellEnd"/>
      <w:r w:rsidR="002977D6" w:rsidRPr="00590CE3">
        <w:rPr>
          <w:rFonts w:ascii="Roobert" w:hAnsi="Roobert"/>
          <w:i/>
          <w:iCs/>
          <w:sz w:val="20"/>
          <w:szCs w:val="20"/>
        </w:rPr>
        <w:t xml:space="preserve"> rate</w:t>
      </w:r>
      <w:r w:rsidR="002977D6" w:rsidRPr="002977D6">
        <w:rPr>
          <w:rFonts w:ascii="Roobert" w:hAnsi="Roobert"/>
          <w:sz w:val="20"/>
          <w:szCs w:val="20"/>
        </w:rPr>
        <w:t xml:space="preserve"> futuro? Obrigado.</w:t>
      </w:r>
    </w:p>
    <w:p w14:paraId="0A1ACF46" w14:textId="0EB38DC5" w:rsidR="00705569" w:rsidRDefault="00705569" w:rsidP="00705569">
      <w:pPr>
        <w:rPr>
          <w:rFonts w:ascii="Roobert" w:hAnsi="Roobert"/>
          <w:sz w:val="20"/>
          <w:szCs w:val="20"/>
        </w:rPr>
      </w:pPr>
      <w:r>
        <w:rPr>
          <w:rFonts w:ascii="Roobert" w:hAnsi="Roobert"/>
          <w:b/>
          <w:bCs/>
          <w:sz w:val="20"/>
          <w:szCs w:val="20"/>
        </w:rPr>
        <w:t>Nora Lanari</w:t>
      </w:r>
      <w:r w:rsidR="008E7084" w:rsidRPr="0013234D">
        <w:rPr>
          <w:rFonts w:ascii="Roobert" w:hAnsi="Roobert"/>
          <w:b/>
          <w:bCs/>
          <w:sz w:val="20"/>
          <w:szCs w:val="20"/>
        </w:rPr>
        <w:t>:</w:t>
      </w:r>
      <w:r w:rsidR="008E7084" w:rsidRPr="0013234D">
        <w:rPr>
          <w:rFonts w:ascii="Roobert" w:hAnsi="Roobert"/>
          <w:sz w:val="20"/>
          <w:szCs w:val="20"/>
        </w:rPr>
        <w:t xml:space="preserve"> </w:t>
      </w:r>
      <w:r w:rsidRPr="00705569">
        <w:rPr>
          <w:rFonts w:ascii="Roobert" w:hAnsi="Roobert"/>
          <w:sz w:val="20"/>
          <w:szCs w:val="20"/>
        </w:rPr>
        <w:t xml:space="preserve">Obrigada, Rogério, pelas perguntas. Quando pensamos sobre os créditos fiscais de PIS/COFINS, temos algumas variáveis que eu gostaria de mencionar. Primeiramente, é o número de carros na nossa frota e o valor da frota. No 1T, neste ano temos um valor de frota de R$54 bilhões, e agora, temos o valor de frota de R$58 bilhões. Compramos 128.000 carros, e isso impacta no nível de crédito. </w:t>
      </w:r>
      <w:r>
        <w:rPr>
          <w:rFonts w:ascii="Roobert" w:hAnsi="Roobert"/>
          <w:sz w:val="20"/>
          <w:szCs w:val="20"/>
        </w:rPr>
        <w:t xml:space="preserve"> </w:t>
      </w:r>
      <w:r w:rsidRPr="00705569">
        <w:rPr>
          <w:rFonts w:ascii="Roobert" w:hAnsi="Roobert"/>
          <w:sz w:val="20"/>
          <w:szCs w:val="20"/>
        </w:rPr>
        <w:t xml:space="preserve">Além disso, nos relatórios de avaliação, de </w:t>
      </w:r>
      <w:proofErr w:type="spellStart"/>
      <w:r w:rsidRPr="00705569">
        <w:rPr>
          <w:rFonts w:ascii="Roobert" w:hAnsi="Roobert"/>
          <w:sz w:val="20"/>
          <w:szCs w:val="20"/>
        </w:rPr>
        <w:t>valuation</w:t>
      </w:r>
      <w:proofErr w:type="spellEnd"/>
      <w:r w:rsidRPr="00705569">
        <w:rPr>
          <w:rFonts w:ascii="Roobert" w:hAnsi="Roobert"/>
          <w:sz w:val="20"/>
          <w:szCs w:val="20"/>
        </w:rPr>
        <w:t>, aumenta o ritmo de créditos que pegamos. Mas, na base trimestre contra trimestre, o crédito de PIS/COFINS aumentou em torno de R$80 milhões. Quando olhamos o aumento de custo, em grande parte, é impactado pela antecipação do plano de incentivo de longo prazo, mas isso está em folha. São encargos, impostos sobre folha e a antecipação disso, em torno de R$80 milhões também. Então, um acaba compensando o outro, nesse caso. Mas, conforme eu disse, está relacionado ao plano de incentivo, mas se refere exclusivamente aos impostos em cargos de folha de pagamento e antecipação.</w:t>
      </w:r>
    </w:p>
    <w:p w14:paraId="69E9BBC1" w14:textId="7DBFDA39" w:rsidR="00572C98" w:rsidRDefault="004D0FB3" w:rsidP="00572C98">
      <w:pPr>
        <w:rPr>
          <w:rFonts w:ascii="Roobert" w:hAnsi="Roobert"/>
          <w:sz w:val="20"/>
          <w:szCs w:val="20"/>
        </w:rPr>
      </w:pPr>
      <w:r w:rsidRPr="004D0FB3">
        <w:rPr>
          <w:rFonts w:ascii="Roobert" w:hAnsi="Roobert"/>
          <w:b/>
          <w:bCs/>
          <w:sz w:val="20"/>
          <w:szCs w:val="20"/>
        </w:rPr>
        <w:t>Bruno Amorim, Goldman Sachs:</w:t>
      </w:r>
      <w:r>
        <w:rPr>
          <w:rFonts w:ascii="Roobert" w:hAnsi="Roobert"/>
          <w:b/>
          <w:bCs/>
          <w:sz w:val="20"/>
          <w:szCs w:val="20"/>
        </w:rPr>
        <w:t xml:space="preserve"> </w:t>
      </w:r>
      <w:r w:rsidR="00572C98" w:rsidRPr="00572C98">
        <w:rPr>
          <w:rFonts w:ascii="Roobert" w:hAnsi="Roobert"/>
          <w:sz w:val="20"/>
          <w:szCs w:val="20"/>
        </w:rPr>
        <w:t xml:space="preserve">Obrigado por pegarem a minha pergunta. Também tenho um follow-up sobre a tendência de preço de veículos e tendência de depreciação. Gostaria de pedir a sua ajuda para entender. O que está precificado nessa depreciação? A depreciação é futura, é projeção futura. Então, que tipo de ambiente vocês estão incluindo nessa depreciação? Vimos no 1S um crescimento significativo das </w:t>
      </w:r>
      <w:proofErr w:type="spellStart"/>
      <w:r w:rsidR="00572C98" w:rsidRPr="00572C98">
        <w:rPr>
          <w:rFonts w:ascii="Roobert" w:hAnsi="Roobert"/>
          <w:sz w:val="20"/>
          <w:szCs w:val="20"/>
        </w:rPr>
        <w:t>OEMs</w:t>
      </w:r>
      <w:proofErr w:type="spellEnd"/>
      <w:r w:rsidR="00572C98" w:rsidRPr="00572C98">
        <w:rPr>
          <w:rFonts w:ascii="Roobert" w:hAnsi="Roobert"/>
          <w:sz w:val="20"/>
          <w:szCs w:val="20"/>
        </w:rPr>
        <w:t xml:space="preserve"> chinesas, mas incumbentes não viram nenhuma contração significativa dos seus volumes, que estão considerados para um ambiente mais saudável, vis-à-vis um cenário em que só consideraríamos a dinâmica de participação de mercado. Mas, em julho, nós vimos uma contração nominal no número de vendas e dos incumbentes, o que poderia acabar levando a uma certa deterioração no ambiente de preços. Isso está relacionado mais a julho e ao 3T do que aconteceu no 1S. Então, eu queria entender qual a dinâmica que vocês estão </w:t>
      </w:r>
      <w:r w:rsidR="00572C98" w:rsidRPr="00572C98">
        <w:rPr>
          <w:rFonts w:ascii="Roobert" w:hAnsi="Roobert"/>
          <w:sz w:val="20"/>
          <w:szCs w:val="20"/>
        </w:rPr>
        <w:lastRenderedPageBreak/>
        <w:t>considerando. Seria uma deterioração adicional do mercado, ou considerando o que aconteceu principalmente no 1S?</w:t>
      </w:r>
      <w:r w:rsidR="00572C98">
        <w:rPr>
          <w:rFonts w:ascii="Roobert" w:hAnsi="Roobert"/>
          <w:sz w:val="20"/>
          <w:szCs w:val="20"/>
        </w:rPr>
        <w:t xml:space="preserve"> </w:t>
      </w:r>
      <w:r w:rsidR="00572C98" w:rsidRPr="00572C98">
        <w:rPr>
          <w:rFonts w:ascii="Roobert" w:hAnsi="Roobert"/>
          <w:sz w:val="20"/>
          <w:szCs w:val="20"/>
        </w:rPr>
        <w:t xml:space="preserve">E uma outra pergunta, vocês podem nos ajudar a entender em que momento vocês determinam a depreciação para cada trimestre? É no início do trimestre? É a cada mês? Então, a depreciação do 3T já foi estabelecida, ou vocês irão estabelecer isso depois? Muito obrigado. </w:t>
      </w:r>
    </w:p>
    <w:p w14:paraId="2E10192A" w14:textId="11C2FD3C" w:rsidR="00F74EC6" w:rsidRDefault="00A002DA" w:rsidP="009C652C">
      <w:pPr>
        <w:rPr>
          <w:rFonts w:ascii="Roobert" w:hAnsi="Roobert"/>
          <w:sz w:val="20"/>
          <w:szCs w:val="20"/>
        </w:rPr>
      </w:pPr>
      <w:r>
        <w:rPr>
          <w:rFonts w:ascii="Roobert" w:hAnsi="Roobert"/>
          <w:b/>
          <w:bCs/>
          <w:sz w:val="20"/>
          <w:szCs w:val="20"/>
        </w:rPr>
        <w:t>Rodrigo Tavares</w:t>
      </w:r>
      <w:r w:rsidR="000F62E8" w:rsidRPr="0013234D">
        <w:rPr>
          <w:rFonts w:ascii="Roobert" w:hAnsi="Roobert"/>
          <w:b/>
          <w:bCs/>
          <w:sz w:val="20"/>
          <w:szCs w:val="20"/>
        </w:rPr>
        <w:t>:</w:t>
      </w:r>
      <w:r w:rsidR="005B1958" w:rsidRPr="0013234D">
        <w:rPr>
          <w:rFonts w:ascii="Roobert" w:hAnsi="Roobert"/>
          <w:sz w:val="20"/>
          <w:szCs w:val="20"/>
        </w:rPr>
        <w:t xml:space="preserve"> </w:t>
      </w:r>
      <w:r w:rsidR="009C652C" w:rsidRPr="009C652C">
        <w:rPr>
          <w:rFonts w:ascii="Roobert" w:hAnsi="Roobert"/>
          <w:sz w:val="20"/>
          <w:szCs w:val="20"/>
        </w:rPr>
        <w:t xml:space="preserve">Obrigado, Bruno. Vou começar com a segunda pergunta, porque é mais técnica e mais fácil. A depreciação é mês a mês. Não há depreciação trimestral. No final de cada mês, fazemos um </w:t>
      </w:r>
      <w:proofErr w:type="spellStart"/>
      <w:r w:rsidR="009C652C" w:rsidRPr="009C652C">
        <w:rPr>
          <w:rFonts w:ascii="Roobert" w:hAnsi="Roobert"/>
          <w:sz w:val="20"/>
          <w:szCs w:val="20"/>
        </w:rPr>
        <w:t>mark</w:t>
      </w:r>
      <w:proofErr w:type="spellEnd"/>
      <w:r w:rsidR="009C652C" w:rsidRPr="009C652C">
        <w:rPr>
          <w:rFonts w:ascii="Roobert" w:hAnsi="Roobert"/>
          <w:sz w:val="20"/>
          <w:szCs w:val="20"/>
        </w:rPr>
        <w:t xml:space="preserve"> </w:t>
      </w:r>
      <w:proofErr w:type="spellStart"/>
      <w:r w:rsidR="009C652C" w:rsidRPr="009C652C">
        <w:rPr>
          <w:rFonts w:ascii="Roobert" w:hAnsi="Roobert"/>
          <w:sz w:val="20"/>
          <w:szCs w:val="20"/>
        </w:rPr>
        <w:t>to</w:t>
      </w:r>
      <w:proofErr w:type="spellEnd"/>
      <w:r w:rsidR="009C652C" w:rsidRPr="009C652C">
        <w:rPr>
          <w:rFonts w:ascii="Roobert" w:hAnsi="Roobert"/>
          <w:sz w:val="20"/>
          <w:szCs w:val="20"/>
        </w:rPr>
        <w:t xml:space="preserve"> </w:t>
      </w:r>
      <w:proofErr w:type="spellStart"/>
      <w:r w:rsidR="009C652C" w:rsidRPr="009C652C">
        <w:rPr>
          <w:rFonts w:ascii="Roobert" w:hAnsi="Roobert"/>
          <w:sz w:val="20"/>
          <w:szCs w:val="20"/>
        </w:rPr>
        <w:t>market</w:t>
      </w:r>
      <w:proofErr w:type="spellEnd"/>
      <w:r w:rsidR="009C652C" w:rsidRPr="009C652C">
        <w:rPr>
          <w:rFonts w:ascii="Roobert" w:hAnsi="Roobert"/>
          <w:sz w:val="20"/>
          <w:szCs w:val="20"/>
        </w:rPr>
        <w:t>, uma marcação ao mercado, e isso reflete uma depreciação específica naquele mês. Não é algo que estabelecemos antecipadamente. Sobre as tendências de preço, obviamente é difícil saber. No 1S, conforme você disse, a demanda foi muito forte. Então, os chineses, os novos entrantes ganharam participação de mercado, mas a imagem foi saudável. Quando olhamos para o futuro, o que nós incluímos na nossa depreciação e precificação é alguma deflação. Existe certa argumentação que você pode dizer que isso não vai acontecer, porque, conforme eu disse, o imposto de importação vai aumentar, você não vai ter importação de kits. Então, o que estamos considerando antecipadamente é que haverá uma inflação de preços, e já estamos incluindo isso nas nossas premissas. No preço, damos um passo para trás e queremos ser conservadores, ter certeza de que iremos alocar o próximo R$1 de forma muito consistente.</w:t>
      </w:r>
    </w:p>
    <w:p w14:paraId="49664B4D" w14:textId="2BD1A99A" w:rsidR="00C165F2" w:rsidRDefault="00B448BE" w:rsidP="00C165F2">
      <w:pPr>
        <w:jc w:val="both"/>
        <w:rPr>
          <w:rFonts w:eastAsia="Calibri"/>
        </w:rPr>
      </w:pPr>
      <w:r w:rsidRPr="004D0FB3">
        <w:rPr>
          <w:rFonts w:ascii="Roobert" w:hAnsi="Roobert"/>
          <w:b/>
          <w:bCs/>
          <w:sz w:val="20"/>
          <w:szCs w:val="20"/>
        </w:rPr>
        <w:t>Bruno Amorim, Goldman Sachs:</w:t>
      </w:r>
      <w:r w:rsidR="00C165F2" w:rsidRPr="00C165F2">
        <w:rPr>
          <w:rFonts w:eastAsia="Calibri"/>
        </w:rPr>
        <w:t xml:space="preserve"> </w:t>
      </w:r>
      <w:r w:rsidR="00C165F2" w:rsidRPr="00D029E0">
        <w:rPr>
          <w:rFonts w:eastAsia="Calibri"/>
        </w:rPr>
        <w:t xml:space="preserve">Rodrigo, </w:t>
      </w:r>
      <w:r w:rsidR="00C165F2" w:rsidRPr="002606B0">
        <w:rPr>
          <w:rFonts w:ascii="Roobert" w:hAnsi="Roobert"/>
          <w:sz w:val="20"/>
          <w:szCs w:val="20"/>
        </w:rPr>
        <w:t>pode nos dar uma estimativa?</w:t>
      </w:r>
      <w:r w:rsidR="00C165F2" w:rsidRPr="00D029E0">
        <w:rPr>
          <w:rFonts w:eastAsia="Calibri"/>
        </w:rPr>
        <w:t xml:space="preserve"> </w:t>
      </w:r>
    </w:p>
    <w:p w14:paraId="4448DF70" w14:textId="256551C8" w:rsidR="00B448BE" w:rsidRDefault="000D30B7" w:rsidP="000D30B7">
      <w:pPr>
        <w:rPr>
          <w:rFonts w:ascii="Roobert" w:hAnsi="Roobert"/>
          <w:sz w:val="20"/>
          <w:szCs w:val="20"/>
        </w:rPr>
      </w:pPr>
      <w:r w:rsidRPr="000D30B7">
        <w:rPr>
          <w:rFonts w:ascii="Roobert" w:hAnsi="Roobert"/>
          <w:b/>
          <w:bCs/>
          <w:sz w:val="20"/>
          <w:szCs w:val="20"/>
        </w:rPr>
        <w:t>Rodrigo Tavares:</w:t>
      </w:r>
      <w:r>
        <w:rPr>
          <w:rFonts w:ascii="Roobert" w:hAnsi="Roobert"/>
          <w:b/>
          <w:bCs/>
          <w:sz w:val="20"/>
          <w:szCs w:val="20"/>
        </w:rPr>
        <w:t xml:space="preserve"> </w:t>
      </w:r>
      <w:r w:rsidRPr="000D30B7">
        <w:rPr>
          <w:rFonts w:ascii="Roobert" w:hAnsi="Roobert"/>
          <w:sz w:val="20"/>
          <w:szCs w:val="20"/>
        </w:rPr>
        <w:t>Não sei se ficou claro, eu disse deflação, não inflação.</w:t>
      </w:r>
    </w:p>
    <w:p w14:paraId="3B11FCCC" w14:textId="36BDDE54" w:rsidR="00A70B8F" w:rsidRDefault="00A70B8F" w:rsidP="000D30B7">
      <w:pPr>
        <w:rPr>
          <w:rFonts w:ascii="Roobert" w:hAnsi="Roobert"/>
          <w:sz w:val="20"/>
          <w:szCs w:val="20"/>
        </w:rPr>
      </w:pPr>
      <w:r w:rsidRPr="004D0FB3">
        <w:rPr>
          <w:rFonts w:ascii="Roobert" w:hAnsi="Roobert"/>
          <w:b/>
          <w:bCs/>
          <w:sz w:val="20"/>
          <w:szCs w:val="20"/>
        </w:rPr>
        <w:t>Bruno Amorim, Goldman Sachs:</w:t>
      </w:r>
      <w:r w:rsidR="008D34FA">
        <w:rPr>
          <w:rFonts w:ascii="Roobert" w:hAnsi="Roobert"/>
          <w:b/>
          <w:bCs/>
          <w:sz w:val="20"/>
          <w:szCs w:val="20"/>
        </w:rPr>
        <w:t xml:space="preserve"> </w:t>
      </w:r>
      <w:r w:rsidR="008D34FA" w:rsidRPr="008D34FA">
        <w:rPr>
          <w:rFonts w:ascii="Roobert" w:hAnsi="Roobert"/>
          <w:sz w:val="20"/>
          <w:szCs w:val="20"/>
        </w:rPr>
        <w:t xml:space="preserve">Eu entendi, está claro. Mas poderia nos ajudar a quantificar? Vamos supor 1%, 2%, 3%, 0,5 </w:t>
      </w:r>
      <w:proofErr w:type="spellStart"/>
      <w:r w:rsidR="008D34FA" w:rsidRPr="008D34FA">
        <w:rPr>
          <w:rFonts w:ascii="Roobert" w:hAnsi="Roobert"/>
          <w:sz w:val="20"/>
          <w:szCs w:val="20"/>
        </w:rPr>
        <w:t>p.p</w:t>
      </w:r>
      <w:proofErr w:type="spellEnd"/>
      <w:r w:rsidR="008D34FA" w:rsidRPr="008D34FA">
        <w:rPr>
          <w:rFonts w:ascii="Roobert" w:hAnsi="Roobert"/>
          <w:sz w:val="20"/>
          <w:szCs w:val="20"/>
        </w:rPr>
        <w:t>., pode nos ajudar a quantificar o que está embutido na depreciação?</w:t>
      </w:r>
    </w:p>
    <w:p w14:paraId="4EB3C288" w14:textId="0504F78B" w:rsidR="002606B0" w:rsidRDefault="002606B0" w:rsidP="002606B0">
      <w:pPr>
        <w:jc w:val="both"/>
        <w:rPr>
          <w:rFonts w:ascii="Roobert" w:hAnsi="Roobert"/>
          <w:sz w:val="20"/>
          <w:szCs w:val="20"/>
        </w:rPr>
      </w:pPr>
      <w:r w:rsidRPr="002606B0">
        <w:rPr>
          <w:rFonts w:ascii="Roobert" w:hAnsi="Roobert"/>
          <w:b/>
          <w:bCs/>
          <w:sz w:val="20"/>
          <w:szCs w:val="20"/>
        </w:rPr>
        <w:t>Rodrigo Tavares:</w:t>
      </w:r>
      <w:r>
        <w:rPr>
          <w:b/>
          <w:bCs/>
        </w:rPr>
        <w:t xml:space="preserve"> </w:t>
      </w:r>
      <w:r w:rsidRPr="002606B0">
        <w:rPr>
          <w:rFonts w:ascii="Roobert" w:hAnsi="Roobert"/>
          <w:sz w:val="20"/>
          <w:szCs w:val="20"/>
        </w:rPr>
        <w:t xml:space="preserve">Nós não damos detalhes sobre a depreciação, é só uma ideia geral. Por isso que esperamos que essa tendência irá continuar. Outro efeito, conforme você viu no 2T, o mix fica mais premium, então o valor do carro aumenta. Então, mesmo com 1 </w:t>
      </w:r>
      <w:proofErr w:type="spellStart"/>
      <w:r w:rsidRPr="002606B0">
        <w:rPr>
          <w:rFonts w:ascii="Roobert" w:hAnsi="Roobert"/>
          <w:sz w:val="20"/>
          <w:szCs w:val="20"/>
        </w:rPr>
        <w:t>p.p</w:t>
      </w:r>
      <w:proofErr w:type="spellEnd"/>
      <w:r w:rsidRPr="002606B0">
        <w:rPr>
          <w:rFonts w:ascii="Roobert" w:hAnsi="Roobert"/>
          <w:sz w:val="20"/>
          <w:szCs w:val="20"/>
        </w:rPr>
        <w:t>., se aumentar a depreciação em termos nominais, ou seja, se tem a mesma depreciação percentual, ela irá aumentar também em termos nominais. Mas hoje esperamos uma espécie de deflação na precificação e nas premissas de depreciação.</w:t>
      </w:r>
    </w:p>
    <w:p w14:paraId="2F511A90" w14:textId="6D929AB9" w:rsidR="00160BEC" w:rsidRDefault="00160BEC" w:rsidP="00160BEC">
      <w:pPr>
        <w:jc w:val="both"/>
        <w:rPr>
          <w:rFonts w:eastAsia="Calibri"/>
        </w:rPr>
      </w:pPr>
      <w:r w:rsidRPr="004D0FB3">
        <w:rPr>
          <w:rFonts w:ascii="Roobert" w:hAnsi="Roobert"/>
          <w:b/>
          <w:bCs/>
          <w:sz w:val="20"/>
          <w:szCs w:val="20"/>
        </w:rPr>
        <w:t>Bruno Amorim, Goldman Sachs:</w:t>
      </w:r>
      <w:r>
        <w:rPr>
          <w:rFonts w:ascii="Roobert" w:hAnsi="Roobert"/>
          <w:b/>
          <w:bCs/>
          <w:sz w:val="20"/>
          <w:szCs w:val="20"/>
        </w:rPr>
        <w:t xml:space="preserve"> </w:t>
      </w:r>
      <w:r w:rsidRPr="00D029E0">
        <w:rPr>
          <w:rFonts w:eastAsia="Calibri"/>
        </w:rPr>
        <w:t xml:space="preserve">Uma última de </w:t>
      </w:r>
      <w:r w:rsidRPr="00A223E1">
        <w:rPr>
          <w:rFonts w:eastAsia="Calibri"/>
          <w:i/>
          <w:iCs/>
        </w:rPr>
        <w:t>follow-up</w:t>
      </w:r>
      <w:r w:rsidRPr="00D029E0">
        <w:rPr>
          <w:rFonts w:eastAsia="Calibri"/>
        </w:rPr>
        <w:t>. Em julho, conforme eu disse antes, nós vimos uma deterioração do ambiente. Vocês perceberam alguma queda de preço desde junho até agora, ou estão vendo as mesmas tendências que víamos antes em relação à evolução dos preços do mercado?</w:t>
      </w:r>
    </w:p>
    <w:p w14:paraId="60917E55" w14:textId="1F4A8AE7" w:rsidR="005A0A49" w:rsidRDefault="005A0A49" w:rsidP="00160BEC">
      <w:pPr>
        <w:jc w:val="both"/>
        <w:rPr>
          <w:rFonts w:ascii="Roobert" w:hAnsi="Roobert"/>
          <w:sz w:val="20"/>
          <w:szCs w:val="20"/>
        </w:rPr>
      </w:pPr>
      <w:r w:rsidRPr="002606B0">
        <w:rPr>
          <w:rFonts w:ascii="Roobert" w:hAnsi="Roobert"/>
          <w:b/>
          <w:bCs/>
          <w:sz w:val="20"/>
          <w:szCs w:val="20"/>
        </w:rPr>
        <w:t>Rodrigo Tavares:</w:t>
      </w:r>
      <w:r>
        <w:rPr>
          <w:b/>
          <w:bCs/>
        </w:rPr>
        <w:t xml:space="preserve"> </w:t>
      </w:r>
      <w:r w:rsidRPr="005A0A49">
        <w:rPr>
          <w:rFonts w:ascii="Roobert" w:hAnsi="Roobert"/>
          <w:sz w:val="20"/>
          <w:szCs w:val="20"/>
        </w:rPr>
        <w:t>Não, em julho nós não vimos nenhuma tendência de diferença no preço de seminovos do que tínhamos no 1S. Não vimos mudança de direção na dinâmica de preço de seminovos.</w:t>
      </w:r>
    </w:p>
    <w:p w14:paraId="6F582AFE" w14:textId="585F9F3E" w:rsidR="00DC3921" w:rsidRPr="005A0A49" w:rsidRDefault="00DC3921" w:rsidP="00160BEC">
      <w:pPr>
        <w:jc w:val="both"/>
        <w:rPr>
          <w:rFonts w:ascii="Roobert" w:hAnsi="Roobert"/>
          <w:sz w:val="20"/>
          <w:szCs w:val="20"/>
        </w:rPr>
      </w:pPr>
      <w:r w:rsidRPr="00DC3921">
        <w:rPr>
          <w:rFonts w:ascii="Roobert" w:hAnsi="Roobert"/>
          <w:b/>
          <w:bCs/>
          <w:sz w:val="20"/>
          <w:szCs w:val="20"/>
        </w:rPr>
        <w:t>Nora Lanari:</w:t>
      </w:r>
      <w:r>
        <w:rPr>
          <w:rFonts w:ascii="Roobert" w:hAnsi="Roobert"/>
          <w:sz w:val="20"/>
          <w:szCs w:val="20"/>
        </w:rPr>
        <w:t xml:space="preserve"> </w:t>
      </w:r>
      <w:r w:rsidRPr="00DC3921">
        <w:rPr>
          <w:rFonts w:ascii="Roobert" w:hAnsi="Roobert"/>
          <w:sz w:val="20"/>
          <w:szCs w:val="20"/>
        </w:rPr>
        <w:t>Bruno, uma evidência disso é na tabela FIPE. Claro, tem uns avisos, mas a FIPE de julho mostra uma queda de preço de carros e, em agosto, que reflete julho, reduziu o ritmo do aumento de preços. Então, a partir de agora, a média está bem-comportada, mas estamos antecipando um ciclo deflacionário em potencial.</w:t>
      </w:r>
    </w:p>
    <w:p w14:paraId="0309F037" w14:textId="77777777" w:rsidR="00160BEC" w:rsidRPr="002606B0" w:rsidRDefault="00160BEC" w:rsidP="002606B0">
      <w:pPr>
        <w:jc w:val="both"/>
        <w:rPr>
          <w:b/>
          <w:bCs/>
        </w:rPr>
      </w:pPr>
    </w:p>
    <w:p w14:paraId="7FEC6107" w14:textId="77777777" w:rsidR="008D34FA" w:rsidRPr="008D34FA" w:rsidRDefault="008D34FA" w:rsidP="000D30B7">
      <w:pPr>
        <w:rPr>
          <w:rFonts w:ascii="Roobert" w:hAnsi="Roobert"/>
          <w:sz w:val="20"/>
          <w:szCs w:val="20"/>
        </w:rPr>
      </w:pPr>
    </w:p>
    <w:p w14:paraId="4DD5A6BA" w14:textId="5DCA4D95" w:rsidR="00740C91" w:rsidRPr="00740C91" w:rsidRDefault="004F24D4" w:rsidP="00740C91">
      <w:pPr>
        <w:rPr>
          <w:rFonts w:ascii="Roobert" w:hAnsi="Roobert"/>
          <w:sz w:val="20"/>
          <w:szCs w:val="20"/>
        </w:rPr>
      </w:pPr>
      <w:r w:rsidRPr="004F24D4">
        <w:rPr>
          <w:rFonts w:ascii="Roobert" w:hAnsi="Roobert"/>
          <w:b/>
          <w:bCs/>
          <w:sz w:val="20"/>
          <w:szCs w:val="20"/>
        </w:rPr>
        <w:t>Jens Spiess, Morgan Stanley:</w:t>
      </w:r>
      <w:r>
        <w:rPr>
          <w:rFonts w:ascii="Roobert" w:hAnsi="Roobert"/>
          <w:b/>
          <w:bCs/>
          <w:sz w:val="20"/>
          <w:szCs w:val="20"/>
        </w:rPr>
        <w:t xml:space="preserve"> </w:t>
      </w:r>
      <w:r w:rsidR="00740C91" w:rsidRPr="00740C91">
        <w:rPr>
          <w:rFonts w:ascii="Roobert" w:hAnsi="Roobert"/>
          <w:sz w:val="20"/>
          <w:szCs w:val="20"/>
        </w:rPr>
        <w:t xml:space="preserve">Obrigado por pegarem a minha pergunta. É um pouco repetitivo de novo em relação às perguntas anteriores. Parece que ser conservador realmente foi a estratégia correta e, no final das contas, alta depreciação, tudo bem, desde que você precifique corretamente. Então, muito bem. </w:t>
      </w:r>
      <w:proofErr w:type="gramStart"/>
      <w:r w:rsidR="00740C91" w:rsidRPr="00740C91">
        <w:rPr>
          <w:rFonts w:ascii="Roobert" w:hAnsi="Roobert"/>
          <w:sz w:val="20"/>
          <w:szCs w:val="20"/>
        </w:rPr>
        <w:t xml:space="preserve">Parabéns, </w:t>
      </w:r>
      <w:r w:rsidR="00740C91" w:rsidRPr="00740C91">
        <w:rPr>
          <w:rFonts w:ascii="Roobert" w:hAnsi="Roobert"/>
          <w:sz w:val="20"/>
          <w:szCs w:val="20"/>
        </w:rPr>
        <w:t xml:space="preserve"> nesse</w:t>
      </w:r>
      <w:proofErr w:type="gramEnd"/>
      <w:r w:rsidR="00740C91" w:rsidRPr="00740C91">
        <w:rPr>
          <w:rFonts w:ascii="Roobert" w:hAnsi="Roobert"/>
          <w:sz w:val="20"/>
          <w:szCs w:val="20"/>
        </w:rPr>
        <w:t xml:space="preserve"> sentido. A minha pergunta é sobre o futuro, e sobre a pergunta que vocês acabaram de responder. Você acha que há mais risco de uma queda ou um aumento da margem de seminovos futura? Eu sei que tem vários aspectos que entram nisso, mas as coisas estão se comportando bem e vocês sendo conservadores. Com esse contexto, o que vocês acham de como as coisas poderiam evoluir? Obrigado. </w:t>
      </w:r>
    </w:p>
    <w:p w14:paraId="34C340DF" w14:textId="0E2EAB18" w:rsidR="00E62843" w:rsidRDefault="00E54634" w:rsidP="00E62843">
      <w:pPr>
        <w:rPr>
          <w:rFonts w:ascii="Roobert" w:hAnsi="Roobert"/>
          <w:sz w:val="20"/>
          <w:szCs w:val="20"/>
        </w:rPr>
      </w:pPr>
      <w:r>
        <w:rPr>
          <w:rFonts w:ascii="Roobert" w:hAnsi="Roobert"/>
          <w:b/>
          <w:bCs/>
          <w:sz w:val="20"/>
          <w:szCs w:val="20"/>
        </w:rPr>
        <w:t>Rodrigo Tavares</w:t>
      </w:r>
      <w:r w:rsidR="00E57B4A" w:rsidRPr="00394085">
        <w:rPr>
          <w:rFonts w:ascii="Roobert" w:hAnsi="Roobert"/>
          <w:b/>
          <w:bCs/>
          <w:sz w:val="20"/>
          <w:szCs w:val="20"/>
        </w:rPr>
        <w:t xml:space="preserve">: </w:t>
      </w:r>
      <w:r w:rsidR="00E62843" w:rsidRPr="00E62843">
        <w:rPr>
          <w:rFonts w:ascii="Roobert" w:hAnsi="Roobert"/>
          <w:sz w:val="20"/>
          <w:szCs w:val="20"/>
        </w:rPr>
        <w:t xml:space="preserve">Jens, primeiramente, mais importante do que o nível de depreciação em si é ser eficaz na precificação, e a cada carro que iremos alocar o nosso capital, temos essa premissa. Se tiver um cenário, estamos preparados para isso. Obrigada por destacar. A sua pergunta é uma pegadinha sobre esse risco de alta ou baixa. Eu posso argumentar em ambos os sentidos. Estamos renovando a frota, então tem um mix de varejo melhorando, ainda temos eficiências que vão ocorrer. Então, existem aspectos positivos. Eu também posso dizer que os impostos irão subir, que os novos carros que serão importados terão um aumento de preço. Então, tem essas duas argumentações. Por outro lado, é muito incerto o que vai acontecer na dinâmica competitiva com 20 marcas no Brasil que querem ganhar algum </w:t>
      </w:r>
      <w:proofErr w:type="spellStart"/>
      <w:r w:rsidR="00E62843" w:rsidRPr="00E62843">
        <w:rPr>
          <w:rFonts w:ascii="Roobert" w:hAnsi="Roobert"/>
          <w:sz w:val="20"/>
          <w:szCs w:val="20"/>
        </w:rPr>
        <w:t>market</w:t>
      </w:r>
      <w:proofErr w:type="spellEnd"/>
      <w:r w:rsidR="00E62843" w:rsidRPr="00E62843">
        <w:rPr>
          <w:rFonts w:ascii="Roobert" w:hAnsi="Roobert"/>
          <w:sz w:val="20"/>
          <w:szCs w:val="20"/>
        </w:rPr>
        <w:t xml:space="preserve"> </w:t>
      </w:r>
      <w:proofErr w:type="spellStart"/>
      <w:r w:rsidR="00E62843" w:rsidRPr="00E62843">
        <w:rPr>
          <w:rFonts w:ascii="Roobert" w:hAnsi="Roobert"/>
          <w:sz w:val="20"/>
          <w:szCs w:val="20"/>
        </w:rPr>
        <w:t>share</w:t>
      </w:r>
      <w:proofErr w:type="spellEnd"/>
      <w:r w:rsidR="00E62843" w:rsidRPr="00E62843">
        <w:rPr>
          <w:rFonts w:ascii="Roobert" w:hAnsi="Roobert"/>
          <w:sz w:val="20"/>
          <w:szCs w:val="20"/>
        </w:rPr>
        <w:t xml:space="preserve">. Então, temos uma concorrência de preços, ou uma concorrência de mercado que é muito difícil quantificar. Então, vai ser difícil responder essa pergunta com muita exatidão, porque eu vejo fatores para uma subida e descida, e nós temos uma abordagem mais conservadora, como sempre. </w:t>
      </w:r>
    </w:p>
    <w:p w14:paraId="4D216725" w14:textId="7BACD993" w:rsidR="003F17F3" w:rsidRPr="00E62843" w:rsidRDefault="003F17F3" w:rsidP="00E62843">
      <w:pPr>
        <w:rPr>
          <w:rFonts w:ascii="Roobert" w:hAnsi="Roobert"/>
          <w:sz w:val="20"/>
          <w:szCs w:val="20"/>
        </w:rPr>
      </w:pPr>
      <w:r w:rsidRPr="003F17F3">
        <w:rPr>
          <w:rFonts w:ascii="Roobert" w:hAnsi="Roobert"/>
          <w:b/>
          <w:bCs/>
          <w:sz w:val="20"/>
          <w:szCs w:val="20"/>
        </w:rPr>
        <w:t>Nora Lanari:</w:t>
      </w:r>
      <w:r>
        <w:rPr>
          <w:rFonts w:ascii="Roobert" w:hAnsi="Roobert"/>
          <w:sz w:val="20"/>
          <w:szCs w:val="20"/>
        </w:rPr>
        <w:t xml:space="preserve"> </w:t>
      </w:r>
      <w:r w:rsidRPr="003F17F3">
        <w:rPr>
          <w:rFonts w:ascii="Roobert" w:hAnsi="Roobert"/>
          <w:sz w:val="20"/>
          <w:szCs w:val="20"/>
        </w:rPr>
        <w:t>Jens, só para reforçar, nós sempre mencionamos a margem em dígitos mais baixos. Entre 1% e 2%, é bem razoável para nós.</w:t>
      </w:r>
    </w:p>
    <w:p w14:paraId="4F9C1738" w14:textId="662FD58E" w:rsidR="003D3D2F" w:rsidRDefault="005A7AFB" w:rsidP="00E54634">
      <w:pPr>
        <w:rPr>
          <w:rFonts w:ascii="Roobert" w:hAnsi="Roobert"/>
          <w:sz w:val="20"/>
          <w:szCs w:val="20"/>
        </w:rPr>
      </w:pPr>
      <w:r w:rsidRPr="005A7AFB">
        <w:rPr>
          <w:rFonts w:ascii="Roobert" w:hAnsi="Roobert"/>
          <w:b/>
          <w:bCs/>
          <w:sz w:val="20"/>
          <w:szCs w:val="20"/>
        </w:rPr>
        <w:t>Lucas Marquiori, BTG Pactual:</w:t>
      </w:r>
      <w:r>
        <w:rPr>
          <w:rFonts w:ascii="Roobert" w:hAnsi="Roobert"/>
          <w:b/>
          <w:bCs/>
          <w:sz w:val="20"/>
          <w:szCs w:val="20"/>
        </w:rPr>
        <w:t xml:space="preserve"> </w:t>
      </w:r>
      <w:r w:rsidR="00AA4705" w:rsidRPr="00AA4705">
        <w:rPr>
          <w:rFonts w:ascii="Roobert" w:hAnsi="Roobert"/>
          <w:sz w:val="20"/>
          <w:szCs w:val="20"/>
        </w:rPr>
        <w:t>Obrigado pelo follow-up. É rápido. Já estamos chegando à migração do sistema para a nova reforma fiscal. Já foi tocado nisso antes, mas queria mencionar de novo. Eu sei que tem algo que vocês têm estudado durante muito tempo. Então, talvez uma provocação para ouvir de vocês sobre a decisão final. E, se não, qual é a última leitura sobre a reforma fiscal e a questão de aumentar os preços, e depois ter o impacto em todo o negócio? Eu queria ouvir sua opinião sobre isso.</w:t>
      </w:r>
    </w:p>
    <w:p w14:paraId="2C259443" w14:textId="0B2C2967" w:rsidR="003D1CBC" w:rsidRPr="003D1CBC" w:rsidRDefault="003D3D2F" w:rsidP="003D1CBC">
      <w:pPr>
        <w:rPr>
          <w:rFonts w:ascii="Roobert" w:hAnsi="Roobert"/>
          <w:sz w:val="20"/>
          <w:szCs w:val="20"/>
        </w:rPr>
      </w:pPr>
      <w:r w:rsidRPr="0013234D">
        <w:rPr>
          <w:rFonts w:ascii="Roobert" w:hAnsi="Roobert"/>
          <w:b/>
          <w:bCs/>
          <w:sz w:val="20"/>
          <w:szCs w:val="20"/>
        </w:rPr>
        <w:t>R</w:t>
      </w:r>
      <w:r>
        <w:rPr>
          <w:rFonts w:ascii="Roobert" w:hAnsi="Roobert"/>
          <w:b/>
          <w:bCs/>
          <w:sz w:val="20"/>
          <w:szCs w:val="20"/>
        </w:rPr>
        <w:t>odrigo Tavares</w:t>
      </w:r>
      <w:r w:rsidRPr="0013234D">
        <w:rPr>
          <w:rFonts w:ascii="Roobert" w:hAnsi="Roobert"/>
          <w:b/>
          <w:bCs/>
          <w:sz w:val="20"/>
          <w:szCs w:val="20"/>
        </w:rPr>
        <w:t>:</w:t>
      </w:r>
      <w:r w:rsidRPr="0013234D">
        <w:rPr>
          <w:rFonts w:ascii="Roobert" w:hAnsi="Roobert"/>
          <w:sz w:val="20"/>
          <w:szCs w:val="20"/>
        </w:rPr>
        <w:t xml:space="preserve"> </w:t>
      </w:r>
      <w:r w:rsidR="003D1CBC" w:rsidRPr="003D1CBC">
        <w:rPr>
          <w:rFonts w:ascii="Roobert" w:hAnsi="Roobert"/>
          <w:sz w:val="20"/>
          <w:szCs w:val="20"/>
        </w:rPr>
        <w:t xml:space="preserve">Obrigado, Lucas. Primeiramente, tem o lado operacional da reforma fiscal. Precisamos emitir as notas fiscais, preparar os sistemas. Então, tem esse lado que é basicamente operações, onde estamos empenhando muitos esforços para estarmos em conformidade. Sobre o nível de competitividade, eu vou ser um pouco conceitual aqui, mas o que ocorre é que, com a reforma fiscal, é provável que teremos ganho em relação ao B2B em acessibilidade e competitividade contra propriedade. Então, em B2B, que é em torno de 70% dos nossos negócios, o impacto da reforma fiscal é em relação à acessibilidade </w:t>
      </w:r>
      <w:proofErr w:type="gramStart"/>
      <w:r w:rsidR="003D1CBC" w:rsidRPr="003D1CBC">
        <w:rPr>
          <w:rFonts w:ascii="Roobert" w:hAnsi="Roobert"/>
          <w:sz w:val="20"/>
          <w:szCs w:val="20"/>
        </w:rPr>
        <w:t>e também</w:t>
      </w:r>
      <w:proofErr w:type="gramEnd"/>
      <w:r w:rsidR="003D1CBC" w:rsidRPr="003D1CBC">
        <w:rPr>
          <w:rFonts w:ascii="Roobert" w:hAnsi="Roobert"/>
          <w:sz w:val="20"/>
          <w:szCs w:val="20"/>
        </w:rPr>
        <w:t xml:space="preserve"> à competitividade relativa. Quando olhamos para B2C, aí vemos que iremos perder um pouco de competitividade comparado à propriedade, mas ainda podemos oferecer um bom negócio para os nossos clientes. </w:t>
      </w:r>
    </w:p>
    <w:p w14:paraId="38B5A542" w14:textId="77777777" w:rsidR="003D1CBC" w:rsidRPr="003D1CBC" w:rsidRDefault="003D1CBC" w:rsidP="003D1CBC">
      <w:pPr>
        <w:rPr>
          <w:rFonts w:ascii="Roobert" w:hAnsi="Roobert"/>
          <w:sz w:val="20"/>
          <w:szCs w:val="20"/>
        </w:rPr>
      </w:pPr>
    </w:p>
    <w:p w14:paraId="0A0299F1" w14:textId="3EC025AA" w:rsidR="003D3D2F" w:rsidRDefault="003D1CBC" w:rsidP="003D1CBC">
      <w:pPr>
        <w:rPr>
          <w:rFonts w:ascii="Roobert" w:hAnsi="Roobert"/>
          <w:sz w:val="20"/>
          <w:szCs w:val="20"/>
        </w:rPr>
      </w:pPr>
      <w:r w:rsidRPr="003D1CBC">
        <w:rPr>
          <w:rFonts w:ascii="Roobert" w:hAnsi="Roobert"/>
          <w:sz w:val="20"/>
          <w:szCs w:val="20"/>
        </w:rPr>
        <w:lastRenderedPageBreak/>
        <w:t>Então, para resumir, em 70% do nosso negócio, nós vemos um impacto positivo, e em 30% do nosso negócio, um impacto negativo da reforma fiscal. Mas é importante destacar que isso é uma transição lenta. Estou dizendo que em 2033, quando a reforma fiscal será completamente implementada, antes disso teremos uma fase longa de implementação e, para seminovos, temos um mecanismo que nos permite lidar com isso, e com esses impactos que serão gradativos ano após ano.</w:t>
      </w:r>
      <w:r>
        <w:rPr>
          <w:rFonts w:ascii="Roobert" w:hAnsi="Roobert"/>
          <w:sz w:val="20"/>
          <w:szCs w:val="20"/>
        </w:rPr>
        <w:t xml:space="preserve"> </w:t>
      </w:r>
      <w:r w:rsidRPr="003D1CBC">
        <w:rPr>
          <w:rFonts w:ascii="Roobert" w:hAnsi="Roobert"/>
          <w:sz w:val="20"/>
          <w:szCs w:val="20"/>
        </w:rPr>
        <w:t>Então, no curtíssimo prazo, não esperamos uma grande mudança nisso. Teremos mudança de como apresentamos o balanço, créditos de PIS/COFINS, como alocamos isso, mas, em geral, nós não esperamos muitas mudanças. Teremos um aspecto de impacto positivo na geração de caixa, por causa do ciclo de vida do crédito de PIS/COFINS, mas, no curto, podemos ter um impacto positivo na geração de caixa. Estou sendo conceitual. Só queria destacar os principais pontos que devemos antecipar.</w:t>
      </w:r>
    </w:p>
    <w:p w14:paraId="7EEF141D" w14:textId="77777777" w:rsidR="000709E8" w:rsidRPr="000709E8" w:rsidRDefault="00065330" w:rsidP="000709E8">
      <w:pPr>
        <w:rPr>
          <w:rFonts w:ascii="Roobert" w:hAnsi="Roobert"/>
          <w:sz w:val="20"/>
          <w:szCs w:val="20"/>
        </w:rPr>
      </w:pPr>
      <w:r w:rsidRPr="0013234D">
        <w:rPr>
          <w:rFonts w:ascii="Roobert" w:hAnsi="Roobert"/>
          <w:b/>
          <w:bCs/>
          <w:sz w:val="20"/>
          <w:szCs w:val="20"/>
        </w:rPr>
        <w:t>Pedro Bruno, XP:</w:t>
      </w:r>
      <w:r w:rsidRPr="0013234D">
        <w:rPr>
          <w:rFonts w:ascii="Roobert" w:hAnsi="Roobert"/>
          <w:sz w:val="20"/>
          <w:szCs w:val="20"/>
        </w:rPr>
        <w:t xml:space="preserve"> </w:t>
      </w:r>
      <w:r w:rsidR="00633C4A">
        <w:rPr>
          <w:rFonts w:ascii="Roobert" w:hAnsi="Roobert"/>
          <w:sz w:val="20"/>
          <w:szCs w:val="20"/>
        </w:rPr>
        <w:t xml:space="preserve"> </w:t>
      </w:r>
      <w:r w:rsidR="000709E8" w:rsidRPr="000709E8">
        <w:rPr>
          <w:rFonts w:ascii="Roobert" w:hAnsi="Roobert"/>
          <w:sz w:val="20"/>
          <w:szCs w:val="20"/>
        </w:rPr>
        <w:t xml:space="preserve">Bom dia. Obrigado pelo espaço. Duas perguntas do meu lado. Primeiro, Rodrigo, você mencionou muito, em todas as respostas você falou sobre o ambiente competitivo no espaço de fabricantes, das montadoras. Como vocês separam a competitividade que vimos até agora daquela que poderemos ver no futuro, no sentido de que temos um movimento claro em direção aos SUVs, que eu entendo que tem um impacto potencial menor em relação à frota da Empresa? Vemos mais notícias agora dos carros de entrada, e você falou também que esteve na China recentemente, fazendo muitos estudos sobre este assunto. Poderia nos ajudar a entender como você vê esse assunto? Essa é a primeira, depois eu faço a segunda pergunta. </w:t>
      </w:r>
    </w:p>
    <w:p w14:paraId="02EE6F8F" w14:textId="5FB1CE9C" w:rsidR="007B3D67" w:rsidRDefault="007B3D67" w:rsidP="007B3D67">
      <w:pPr>
        <w:rPr>
          <w:rFonts w:ascii="Roobert" w:hAnsi="Roobert"/>
          <w:sz w:val="20"/>
          <w:szCs w:val="20"/>
        </w:rPr>
      </w:pPr>
      <w:r>
        <w:rPr>
          <w:rFonts w:ascii="Roobert" w:hAnsi="Roobert"/>
          <w:b/>
          <w:bCs/>
          <w:sz w:val="20"/>
          <w:szCs w:val="20"/>
        </w:rPr>
        <w:t>Rodrigo Tavares</w:t>
      </w:r>
      <w:r w:rsidR="007625F7" w:rsidRPr="007625F7">
        <w:rPr>
          <w:rFonts w:ascii="Roobert" w:hAnsi="Roobert"/>
          <w:b/>
          <w:bCs/>
          <w:sz w:val="20"/>
          <w:szCs w:val="20"/>
        </w:rPr>
        <w:t>:</w:t>
      </w:r>
      <w:r w:rsidR="007625F7">
        <w:rPr>
          <w:rFonts w:ascii="Roobert" w:hAnsi="Roobert"/>
          <w:sz w:val="20"/>
          <w:szCs w:val="20"/>
        </w:rPr>
        <w:t xml:space="preserve"> </w:t>
      </w:r>
      <w:r w:rsidRPr="007B3D67">
        <w:rPr>
          <w:rFonts w:ascii="Roobert" w:hAnsi="Roobert"/>
          <w:sz w:val="20"/>
          <w:szCs w:val="20"/>
        </w:rPr>
        <w:t xml:space="preserve">Obrigado, Pedro. Mesmo sobre o lançamento de carros de entrada, a diferença de preço é significativa. São os carros de R$60.000, R$70.000, muito nível de entrada, e tem aqueles que o pessoal diz que tem mais de R$100.000. </w:t>
      </w:r>
      <w:r>
        <w:rPr>
          <w:rFonts w:ascii="Roobert" w:hAnsi="Roobert"/>
          <w:sz w:val="20"/>
          <w:szCs w:val="20"/>
        </w:rPr>
        <w:t xml:space="preserve"> </w:t>
      </w:r>
      <w:r w:rsidRPr="007B3D67">
        <w:rPr>
          <w:rFonts w:ascii="Roobert" w:hAnsi="Roobert"/>
          <w:sz w:val="20"/>
          <w:szCs w:val="20"/>
        </w:rPr>
        <w:t>Então, é uma competição direta, 100%, e o segmento em que vemos uma concorrência intensificando, provavelmente é nos pequenos SUVs. Aqui, nós vemos um pouco de ação. Mas nos carros de entrada, bem entrada mesmo, ainda não tem produtos para comparar, para desafiar os carros daqui.</w:t>
      </w:r>
    </w:p>
    <w:p w14:paraId="0EB3A9C2" w14:textId="330B1ED3" w:rsidR="007B1476" w:rsidRDefault="007B1476" w:rsidP="007B3D67">
      <w:pPr>
        <w:rPr>
          <w:rFonts w:ascii="Roobert" w:hAnsi="Roobert"/>
          <w:sz w:val="20"/>
          <w:szCs w:val="20"/>
        </w:rPr>
      </w:pPr>
      <w:r w:rsidRPr="0013234D">
        <w:rPr>
          <w:rFonts w:ascii="Roobert" w:hAnsi="Roobert"/>
          <w:b/>
          <w:bCs/>
          <w:sz w:val="20"/>
          <w:szCs w:val="20"/>
        </w:rPr>
        <w:t>Pedro Bruno, XP:</w:t>
      </w:r>
      <w:r w:rsidRPr="0013234D">
        <w:rPr>
          <w:rFonts w:ascii="Roobert" w:hAnsi="Roobert"/>
          <w:sz w:val="20"/>
          <w:szCs w:val="20"/>
        </w:rPr>
        <w:t xml:space="preserve"> </w:t>
      </w:r>
      <w:r>
        <w:rPr>
          <w:rFonts w:ascii="Roobert" w:hAnsi="Roobert"/>
          <w:sz w:val="20"/>
          <w:szCs w:val="20"/>
        </w:rPr>
        <w:t xml:space="preserve"> </w:t>
      </w:r>
      <w:r w:rsidR="00E775DE" w:rsidRPr="00E775DE">
        <w:rPr>
          <w:rFonts w:ascii="Roobert" w:hAnsi="Roobert"/>
          <w:sz w:val="20"/>
          <w:szCs w:val="20"/>
        </w:rPr>
        <w:t xml:space="preserve">Perfeito. Obrigado. A outra pergunta é sobre frota. O quanto vocês estão confortáveis com o portfólio atual de gestão de frotas, tendo superado a frota da Unidas que vocês adquiriram, e saindo de alguns veículos, a exposição dos veículos pesados? E colocando em contexto segmentos como o Localiza </w:t>
      </w:r>
      <w:proofErr w:type="spellStart"/>
      <w:r w:rsidR="00E775DE" w:rsidRPr="00E775DE">
        <w:rPr>
          <w:rFonts w:ascii="Roobert" w:hAnsi="Roobert"/>
          <w:sz w:val="20"/>
          <w:szCs w:val="20"/>
        </w:rPr>
        <w:t>Meoo</w:t>
      </w:r>
      <w:proofErr w:type="spellEnd"/>
      <w:r w:rsidR="00E775DE" w:rsidRPr="00E775DE">
        <w:rPr>
          <w:rFonts w:ascii="Roobert" w:hAnsi="Roobert"/>
          <w:sz w:val="20"/>
          <w:szCs w:val="20"/>
        </w:rPr>
        <w:t xml:space="preserve"> para os indivíduos, para a pessoa física, como vocês incentivam ou não esse produto recentemente? A pergunta é mais geral: o quão confortáveis vocês estão em relação ao seu portfólio hoje, dado que nós temos menos visibilidade porque tem um perfil de mais longo prazo?</w:t>
      </w:r>
    </w:p>
    <w:p w14:paraId="7316CCF0" w14:textId="7EF6BBB1" w:rsidR="00806906" w:rsidRDefault="00AC1632" w:rsidP="00806906">
      <w:pPr>
        <w:rPr>
          <w:rFonts w:ascii="Roobert" w:hAnsi="Roobert"/>
          <w:sz w:val="20"/>
          <w:szCs w:val="20"/>
        </w:rPr>
      </w:pPr>
      <w:r w:rsidRPr="0013234D">
        <w:rPr>
          <w:rFonts w:ascii="Roobert" w:hAnsi="Roobert"/>
          <w:b/>
          <w:bCs/>
          <w:sz w:val="20"/>
          <w:szCs w:val="20"/>
        </w:rPr>
        <w:t>R</w:t>
      </w:r>
      <w:r w:rsidR="00CC4431">
        <w:rPr>
          <w:rFonts w:ascii="Roobert" w:hAnsi="Roobert"/>
          <w:b/>
          <w:bCs/>
          <w:sz w:val="20"/>
          <w:szCs w:val="20"/>
        </w:rPr>
        <w:t>odrigo Tavares</w:t>
      </w:r>
      <w:r w:rsidRPr="0013234D">
        <w:rPr>
          <w:rFonts w:ascii="Roobert" w:hAnsi="Roobert"/>
          <w:b/>
          <w:bCs/>
          <w:sz w:val="20"/>
          <w:szCs w:val="20"/>
        </w:rPr>
        <w:t>:</w:t>
      </w:r>
      <w:r w:rsidRPr="0013234D">
        <w:rPr>
          <w:rFonts w:ascii="Roobert" w:hAnsi="Roobert"/>
          <w:sz w:val="20"/>
          <w:szCs w:val="20"/>
        </w:rPr>
        <w:t xml:space="preserve"> </w:t>
      </w:r>
      <w:r w:rsidR="00806906" w:rsidRPr="00806906">
        <w:rPr>
          <w:rFonts w:ascii="Roobert" w:hAnsi="Roobert"/>
          <w:sz w:val="20"/>
          <w:szCs w:val="20"/>
        </w:rPr>
        <w:t>Eu gosto muito da qualidade em que investimos hoje. Desde 2024 fomos mais conservadores em como nós alocamos o nosso capital e começamos a mudar o portfólio. Na época, tínhamos 50.000 de uso severo e agora temos menos de 14.000. Mas quando vejo a qualidade do portfólio, eu vejo o retorno subindo a cada mês. Então, as premissas que incluímos quando investimos esse dinheiro estão se provando como corretas, e a qualidade de dinheiro que esperamos desse portfólio é muito robusta.</w:t>
      </w:r>
      <w:r w:rsidR="00806906">
        <w:rPr>
          <w:rFonts w:ascii="Roobert" w:hAnsi="Roobert"/>
          <w:sz w:val="20"/>
          <w:szCs w:val="20"/>
        </w:rPr>
        <w:t xml:space="preserve"> </w:t>
      </w:r>
      <w:r w:rsidR="00806906" w:rsidRPr="00806906">
        <w:rPr>
          <w:rFonts w:ascii="Roobert" w:hAnsi="Roobert"/>
          <w:sz w:val="20"/>
          <w:szCs w:val="20"/>
        </w:rPr>
        <w:t xml:space="preserve">Em relação à lucratividade, hoje não tem uma grande diferença entre o </w:t>
      </w:r>
      <w:proofErr w:type="spellStart"/>
      <w:r w:rsidR="00806906" w:rsidRPr="00806906">
        <w:rPr>
          <w:rFonts w:ascii="Roobert" w:hAnsi="Roobert"/>
          <w:sz w:val="20"/>
          <w:szCs w:val="20"/>
        </w:rPr>
        <w:t>Meoo</w:t>
      </w:r>
      <w:proofErr w:type="spellEnd"/>
      <w:r w:rsidR="00806906" w:rsidRPr="00806906">
        <w:rPr>
          <w:rFonts w:ascii="Roobert" w:hAnsi="Roobert"/>
          <w:sz w:val="20"/>
          <w:szCs w:val="20"/>
        </w:rPr>
        <w:t xml:space="preserve"> e a frota corporativa. Em ambos temos forte disciplina na precificação e alocação. Mas se tem uma área em que estamos bem confortáveis e gostamos da qualidade do investimento que fizemos nos últimos dois anos, é gestão de frotas. </w:t>
      </w:r>
    </w:p>
    <w:p w14:paraId="6B94ED2B" w14:textId="2B1C96ED" w:rsidR="00730887" w:rsidRDefault="00F741C0" w:rsidP="00F741C0">
      <w:pPr>
        <w:pStyle w:val="PargrafodaLista"/>
        <w:spacing w:line="264" w:lineRule="auto"/>
        <w:ind w:left="0" w:right="-1"/>
        <w:jc w:val="both"/>
        <w:rPr>
          <w:rFonts w:ascii="Roobert" w:hAnsi="Roobert" w:cs="Arial"/>
          <w:b/>
          <w:bCs/>
          <w:sz w:val="20"/>
          <w:szCs w:val="20"/>
        </w:rPr>
      </w:pPr>
      <w:r w:rsidRPr="00F741C0">
        <w:rPr>
          <w:rFonts w:ascii="Roobert" w:hAnsi="Roobert" w:cs="Arial"/>
          <w:b/>
          <w:bCs/>
          <w:sz w:val="20"/>
          <w:szCs w:val="20"/>
        </w:rPr>
        <w:lastRenderedPageBreak/>
        <w:t>Operadora:</w:t>
      </w:r>
      <w:r w:rsidR="00730887">
        <w:rPr>
          <w:rFonts w:ascii="Roobert" w:hAnsi="Roobert" w:cs="Arial"/>
          <w:b/>
          <w:bCs/>
          <w:sz w:val="20"/>
          <w:szCs w:val="20"/>
        </w:rPr>
        <w:t xml:space="preserve"> </w:t>
      </w:r>
      <w:r w:rsidR="003A78F5" w:rsidRPr="003A78F5">
        <w:rPr>
          <w:rFonts w:ascii="Roobert" w:hAnsi="Roobert" w:cs="Arial"/>
          <w:sz w:val="20"/>
          <w:szCs w:val="20"/>
        </w:rPr>
        <w:t>Então, agora, para encerrar, eu passo a palavra para o Rodrigo Tavares.</w:t>
      </w:r>
    </w:p>
    <w:p w14:paraId="77DCD923" w14:textId="77777777" w:rsidR="00730887" w:rsidRDefault="00730887" w:rsidP="00F741C0">
      <w:pPr>
        <w:pStyle w:val="PargrafodaLista"/>
        <w:spacing w:line="264" w:lineRule="auto"/>
        <w:ind w:left="0" w:right="-1"/>
        <w:jc w:val="both"/>
        <w:rPr>
          <w:rFonts w:ascii="Roobert" w:hAnsi="Roobert" w:cs="Arial"/>
          <w:b/>
          <w:bCs/>
          <w:sz w:val="20"/>
          <w:szCs w:val="20"/>
        </w:rPr>
      </w:pPr>
    </w:p>
    <w:p w14:paraId="70CF3652" w14:textId="526B64A0" w:rsidR="00F741C0" w:rsidRPr="00730887" w:rsidRDefault="00F741C0" w:rsidP="00F741C0">
      <w:pPr>
        <w:pStyle w:val="PargrafodaLista"/>
        <w:spacing w:line="264" w:lineRule="auto"/>
        <w:ind w:left="0" w:right="-1"/>
        <w:jc w:val="both"/>
        <w:rPr>
          <w:rFonts w:ascii="Roobert" w:hAnsi="Roobert" w:cs="Arial"/>
          <w:b/>
          <w:bCs/>
          <w:sz w:val="20"/>
          <w:szCs w:val="20"/>
        </w:rPr>
      </w:pPr>
      <w:r w:rsidRPr="00F741C0">
        <w:rPr>
          <w:rFonts w:ascii="Roobert" w:hAnsi="Roobert" w:cs="Arial"/>
          <w:b/>
          <w:bCs/>
          <w:sz w:val="20"/>
          <w:szCs w:val="20"/>
        </w:rPr>
        <w:t>Rodrigo:</w:t>
      </w:r>
      <w:r w:rsidR="00730887">
        <w:rPr>
          <w:rFonts w:ascii="Roobert" w:hAnsi="Roobert" w:cs="Arial"/>
          <w:b/>
          <w:bCs/>
          <w:sz w:val="20"/>
          <w:szCs w:val="20"/>
        </w:rPr>
        <w:t xml:space="preserve"> </w:t>
      </w:r>
      <w:r w:rsidR="00D21267" w:rsidRPr="00D21267">
        <w:rPr>
          <w:rFonts w:ascii="Roobert" w:hAnsi="Roobert" w:cs="Arial"/>
          <w:sz w:val="20"/>
          <w:szCs w:val="20"/>
        </w:rPr>
        <w:t>Obrigado a todos pela presença. O nosso time de RI segue à disposição para esclarecimentos adicionais. Obrigado.</w:t>
      </w:r>
    </w:p>
    <w:p w14:paraId="6AD300CB" w14:textId="77777777" w:rsidR="00F741C0" w:rsidRPr="0013234D" w:rsidRDefault="00F741C0" w:rsidP="005B1958">
      <w:pPr>
        <w:rPr>
          <w:rFonts w:ascii="Roobert" w:hAnsi="Roobert"/>
          <w:sz w:val="20"/>
          <w:szCs w:val="20"/>
        </w:rPr>
      </w:pPr>
    </w:p>
    <w:sectPr w:rsidR="00F741C0" w:rsidRPr="0013234D">
      <w:footerReference w:type="even" r:id="rId10"/>
      <w:footerReference w:type="defaul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C916C" w14:textId="77777777" w:rsidR="001D5274" w:rsidRDefault="001D5274" w:rsidP="005B1958">
      <w:pPr>
        <w:spacing w:after="0" w:line="240" w:lineRule="auto"/>
      </w:pPr>
      <w:r>
        <w:separator/>
      </w:r>
    </w:p>
  </w:endnote>
  <w:endnote w:type="continuationSeparator" w:id="0">
    <w:p w14:paraId="686B6851" w14:textId="77777777" w:rsidR="001D5274" w:rsidRDefault="001D5274" w:rsidP="005B1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obert">
    <w:panose1 w:val="00000000000000000000"/>
    <w:charset w:val="00"/>
    <w:family w:val="modern"/>
    <w:notTrueType/>
    <w:pitch w:val="variable"/>
    <w:sig w:usb0="A100007F" w:usb1="0000607B"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0E6F5" w14:textId="4D639B02" w:rsidR="00E92896" w:rsidRDefault="00E92896">
    <w:r>
      <w:rPr>
        <w:noProof/>
      </w:rPr>
      <mc:AlternateContent>
        <mc:Choice Requires="wps">
          <w:drawing>
            <wp:anchor distT="0" distB="0" distL="0" distR="0" simplePos="0" relativeHeight="251658250" behindDoc="0" locked="0" layoutInCell="1" allowOverlap="1" wp14:anchorId="3CC95B70" wp14:editId="13C5BB6C">
              <wp:simplePos x="635" y="635"/>
              <wp:positionH relativeFrom="page">
                <wp:align>center</wp:align>
              </wp:positionH>
              <wp:positionV relativeFrom="page">
                <wp:align>bottom</wp:align>
              </wp:positionV>
              <wp:extent cx="2122805" cy="357505"/>
              <wp:effectExtent l="0" t="0" r="10795" b="0"/>
              <wp:wrapNone/>
              <wp:docPr id="1796199790" name="Caixa de Texto 2" descr="Classificação da Informação: PÚBLICA">
                <a:extLst xmlns:a="http://schemas.openxmlformats.org/drawingml/2006/main">
                  <a:ext uri="{FF2B5EF4-FFF2-40B4-BE49-F238E27FC236}">
                    <a16:creationId xmlns:a16="http://schemas.microsoft.com/office/drawing/2014/main" id="{BE49CD78-0531-45F9-9A3C-BBFB4FC261B0}"/>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22805" cy="357505"/>
                      </a:xfrm>
                      <a:prstGeom prst="rect">
                        <a:avLst/>
                      </a:prstGeom>
                      <a:noFill/>
                      <a:ln>
                        <a:noFill/>
                      </a:ln>
                    </wps:spPr>
                    <wps:txbx>
                      <w:txbxContent>
                        <w:p w14:paraId="48FF1FA6" w14:textId="77777777" w:rsidR="00E92896" w:rsidRPr="005B1958" w:rsidRDefault="00E92896" w:rsidP="005B1958">
                          <w:pPr>
                            <w:spacing w:after="0"/>
                            <w:rPr>
                              <w:rFonts w:ascii="Aptos" w:eastAsia="Aptos" w:hAnsi="Aptos" w:cs="Aptos"/>
                              <w:noProof/>
                              <w:color w:val="737373"/>
                              <w:sz w:val="20"/>
                              <w:szCs w:val="20"/>
                            </w:rPr>
                          </w:pPr>
                          <w:r w:rsidRPr="005B1958">
                            <w:rPr>
                              <w:rFonts w:ascii="Aptos" w:eastAsia="Aptos" w:hAnsi="Aptos" w:cs="Aptos"/>
                              <w:noProof/>
                              <w:color w:val="737373"/>
                              <w:sz w:val="20"/>
                              <w:szCs w:val="20"/>
                            </w:rPr>
                            <w:t>Classificação da Informação: PÚBLICA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C95B70" id="_x0000_t202" coordsize="21600,21600" o:spt="202" path="m,l,21600r21600,l21600,xe">
              <v:stroke joinstyle="miter"/>
              <v:path gradientshapeok="t" o:connecttype="rect"/>
            </v:shapetype>
            <v:shape id="Caixa de Texto 2" o:spid="_x0000_s1026" type="#_x0000_t202" alt="Classificação da Informação: PÚBLICA" style="position:absolute;margin-left:0;margin-top:0;width:167.15pt;height:28.1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" filled="f" stroked="f">
              <v:textbox style="mso-fit-shape-to-text:t" inset="0,0,0,15pt">
                <w:txbxContent>
                  <w:p w14:paraId="48FF1FA6" w14:textId="77777777" w:rsidR="00E92896" w:rsidRPr="005B1958" w:rsidRDefault="00E92896" w:rsidP="005B1958">
                    <w:pPr>
                      <w:spacing w:after="0"/>
                      <w:rPr>
                        <w:rFonts w:ascii="Aptos" w:eastAsia="Aptos" w:hAnsi="Aptos" w:cs="Aptos"/>
                        <w:noProof/>
                        <w:color w:val="737373"/>
                        <w:sz w:val="20"/>
                        <w:szCs w:val="20"/>
                      </w:rPr>
                    </w:pPr>
                    <w:r w:rsidRPr="005B1958">
                      <w:rPr>
                        <w:rFonts w:ascii="Aptos" w:eastAsia="Aptos" w:hAnsi="Aptos" w:cs="Aptos"/>
                        <w:noProof/>
                        <w:color w:val="737373"/>
                        <w:sz w:val="20"/>
                        <w:szCs w:val="20"/>
                      </w:rPr>
                      <w:t>Classificação da Informação: PÚBLICA</w:t>
                    </w:r>
                  </w:p>
                </w:txbxContent>
              </v:textbox>
              <w10:wrap anchorx="page" anchory="page"/>
            </v:shape>
          </w:pict>
        </mc:Fallback>
      </mc:AlternateContent>
    </w:r>
    <w:r>
      <w:rPr>
        <w:noProof/>
      </w:rPr>
      <mc:AlternateContent>
        <mc:Choice Requires="wps">
          <w:drawing>
            <wp:anchor distT="0" distB="0" distL="0" distR="0" simplePos="0" relativeHeight="251658247" behindDoc="0" locked="0" layoutInCell="1" allowOverlap="1" wp14:anchorId="23B3C8A5" wp14:editId="43253470">
              <wp:simplePos x="635" y="635"/>
              <wp:positionH relativeFrom="page">
                <wp:align>center</wp:align>
              </wp:positionH>
              <wp:positionV relativeFrom="page">
                <wp:align>bottom</wp:align>
              </wp:positionV>
              <wp:extent cx="2122805" cy="357505"/>
              <wp:effectExtent l="0" t="0" r="10795" b="0"/>
              <wp:wrapNone/>
              <wp:docPr id="1639396913" name="Caixa de Texto 2" descr="Classificação da Informação: PÚBLICA">
                <a:extLst xmlns:a="http://schemas.openxmlformats.org/drawingml/2006/main">
                  <a:ext uri="{FF2B5EF4-FFF2-40B4-BE49-F238E27FC236}">
                    <a16:creationId xmlns:a16="http://schemas.microsoft.com/office/drawing/2014/main" id="{5DE643B2-2B4E-46D3-84F7-23071DF693A9}"/>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22805" cy="357505"/>
                      </a:xfrm>
                      <a:prstGeom prst="rect">
                        <a:avLst/>
                      </a:prstGeom>
                      <a:noFill/>
                      <a:ln>
                        <a:noFill/>
                      </a:ln>
                    </wps:spPr>
                    <wps:txbx>
                      <w:txbxContent>
                        <w:p w14:paraId="7E6E0814" w14:textId="77777777" w:rsidR="00E92896" w:rsidRPr="005B1958" w:rsidRDefault="00E92896" w:rsidP="005B1958">
                          <w:pPr>
                            <w:spacing w:after="0"/>
                            <w:rPr>
                              <w:rFonts w:ascii="Aptos" w:eastAsia="Aptos" w:hAnsi="Aptos" w:cs="Aptos"/>
                              <w:noProof/>
                              <w:color w:val="737373"/>
                              <w:sz w:val="20"/>
                              <w:szCs w:val="20"/>
                            </w:rPr>
                          </w:pPr>
                          <w:r w:rsidRPr="005B1958">
                            <w:rPr>
                              <w:rFonts w:ascii="Aptos" w:eastAsia="Aptos" w:hAnsi="Aptos" w:cs="Aptos"/>
                              <w:noProof/>
                              <w:color w:val="737373"/>
                              <w:sz w:val="20"/>
                              <w:szCs w:val="20"/>
                            </w:rPr>
                            <w:t>Classificação da Informação: PÚBLICA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23B3C8A5" id="_x0000_s1027" type="#_x0000_t202" alt="Classificação da Informação: PÚBLICA" style="position:absolute;margin-left:0;margin-top:0;width:167.15pt;height:28.1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" filled="f" stroked="f">
              <v:textbox style="mso-fit-shape-to-text:t" inset="0,0,0,15pt">
                <w:txbxContent>
                  <w:p w14:paraId="7E6E0814" w14:textId="77777777" w:rsidR="00E92896" w:rsidRPr="005B1958" w:rsidRDefault="00E92896" w:rsidP="005B1958">
                    <w:pPr>
                      <w:spacing w:after="0"/>
                      <w:rPr>
                        <w:rFonts w:ascii="Aptos" w:eastAsia="Aptos" w:hAnsi="Aptos" w:cs="Aptos"/>
                        <w:noProof/>
                        <w:color w:val="737373"/>
                        <w:sz w:val="20"/>
                        <w:szCs w:val="20"/>
                      </w:rPr>
                    </w:pPr>
                    <w:r w:rsidRPr="005B1958">
                      <w:rPr>
                        <w:rFonts w:ascii="Aptos" w:eastAsia="Aptos" w:hAnsi="Aptos" w:cs="Aptos"/>
                        <w:noProof/>
                        <w:color w:val="737373"/>
                        <w:sz w:val="20"/>
                        <w:szCs w:val="20"/>
                      </w:rPr>
                      <w:t>Classificação da Informação: PÚBLICA</w:t>
                    </w:r>
                  </w:p>
                </w:txbxContent>
              </v:textbox>
              <w10:wrap anchorx="page" anchory="page"/>
            </v:shape>
          </w:pict>
        </mc:Fallback>
      </mc:AlternateContent>
    </w:r>
    <w:r w:rsidR="003279CE">
      <w:rPr>
        <w:noProof/>
      </w:rPr>
      <mc:AlternateContent>
        <mc:Choice Requires="wps">
          <w:drawing>
            <wp:anchor distT="0" distB="0" distL="0" distR="0" simplePos="0" relativeHeight="251658244" behindDoc="0" locked="0" layoutInCell="1" allowOverlap="1" wp14:anchorId="4C4065FE" wp14:editId="5D9590EC">
              <wp:simplePos x="635" y="635"/>
              <wp:positionH relativeFrom="page">
                <wp:align>center</wp:align>
              </wp:positionH>
              <wp:positionV relativeFrom="page">
                <wp:align>bottom</wp:align>
              </wp:positionV>
              <wp:extent cx="2122805" cy="357505"/>
              <wp:effectExtent l="0" t="0" r="10795" b="0"/>
              <wp:wrapNone/>
              <wp:docPr id="474841353" name="Caixa de Texto 2" descr="Classificação da Informação: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22805" cy="357505"/>
                      </a:xfrm>
                      <a:prstGeom prst="rect">
                        <a:avLst/>
                      </a:prstGeom>
                      <a:noFill/>
                      <a:ln>
                        <a:noFill/>
                      </a:ln>
                    </wps:spPr>
                    <wps:txbx>
                      <w:txbxContent>
                        <w:p w14:paraId="0A1E1BDB" w14:textId="77777777" w:rsidR="003279CE" w:rsidRPr="005B1958" w:rsidRDefault="003279CE" w:rsidP="005B1958">
                          <w:pPr>
                            <w:spacing w:after="0"/>
                            <w:rPr>
                              <w:rFonts w:ascii="Aptos" w:eastAsia="Aptos" w:hAnsi="Aptos" w:cs="Aptos"/>
                              <w:noProof/>
                              <w:color w:val="737373"/>
                              <w:sz w:val="20"/>
                              <w:szCs w:val="20"/>
                            </w:rPr>
                          </w:pPr>
                          <w:r w:rsidRPr="005B1958">
                            <w:rPr>
                              <w:rFonts w:ascii="Aptos" w:eastAsia="Aptos" w:hAnsi="Aptos" w:cs="Aptos"/>
                              <w:noProof/>
                              <w:color w:val="737373"/>
                              <w:sz w:val="20"/>
                              <w:szCs w:val="20"/>
                            </w:rPr>
                            <w:t>Classificação da Informação: PÚBLICA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4C4065FE" id="_x0000_s1028" type="#_x0000_t202" alt="Classificação da Informação: PÚBLICA" style="position:absolute;margin-left:0;margin-top:0;width:167.15pt;height:28.1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" filled="f" stroked="f">
              <v:textbox style="mso-fit-shape-to-text:t" inset="0,0,0,15pt">
                <w:txbxContent>
                  <w:p w14:paraId="0A1E1BDB" w14:textId="77777777" w:rsidR="003279CE" w:rsidRPr="005B1958" w:rsidRDefault="003279CE" w:rsidP="005B1958">
                    <w:pPr>
                      <w:spacing w:after="0"/>
                      <w:rPr>
                        <w:rFonts w:ascii="Aptos" w:eastAsia="Aptos" w:hAnsi="Aptos" w:cs="Aptos"/>
                        <w:noProof/>
                        <w:color w:val="737373"/>
                        <w:sz w:val="20"/>
                        <w:szCs w:val="20"/>
                      </w:rPr>
                    </w:pPr>
                    <w:r w:rsidRPr="005B1958">
                      <w:rPr>
                        <w:rFonts w:ascii="Aptos" w:eastAsia="Aptos" w:hAnsi="Aptos" w:cs="Aptos"/>
                        <w:noProof/>
                        <w:color w:val="737373"/>
                        <w:sz w:val="20"/>
                        <w:szCs w:val="20"/>
                      </w:rPr>
                      <w:t>Classificação da Informação: PÚBLICA</w:t>
                    </w:r>
                  </w:p>
                </w:txbxContent>
              </v:textbox>
              <w10:wrap anchorx="page" anchory="page"/>
            </v:shape>
          </w:pict>
        </mc:Fallback>
      </mc:AlternateContent>
    </w:r>
    <w:r w:rsidR="005B1958">
      <w:rPr>
        <w:noProof/>
      </w:rPr>
      <mc:AlternateContent>
        <mc:Choice Requires="wps">
          <w:drawing>
            <wp:anchor distT="0" distB="0" distL="0" distR="0" simplePos="0" relativeHeight="251658241" behindDoc="0" locked="0" layoutInCell="1" allowOverlap="1" wp14:anchorId="4271E547" wp14:editId="5836F051">
              <wp:simplePos x="635" y="635"/>
              <wp:positionH relativeFrom="page">
                <wp:align>center</wp:align>
              </wp:positionH>
              <wp:positionV relativeFrom="page">
                <wp:align>bottom</wp:align>
              </wp:positionV>
              <wp:extent cx="2122805" cy="357505"/>
              <wp:effectExtent l="0" t="0" r="10795" b="0"/>
              <wp:wrapNone/>
              <wp:docPr id="623962352" name="Caixa de Texto 2" descr="Classificação da Informação: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22805" cy="357505"/>
                      </a:xfrm>
                      <a:prstGeom prst="rect">
                        <a:avLst/>
                      </a:prstGeom>
                      <a:noFill/>
                      <a:ln>
                        <a:noFill/>
                      </a:ln>
                    </wps:spPr>
                    <wps:txbx>
                      <w:txbxContent>
                        <w:p w14:paraId="2BC065CE" w14:textId="0F0E6CAD" w:rsidR="005B1958" w:rsidRPr="005B1958" w:rsidRDefault="005B1958" w:rsidP="005B1958">
                          <w:pPr>
                            <w:spacing w:after="0"/>
                            <w:rPr>
                              <w:rFonts w:ascii="Aptos" w:eastAsia="Aptos" w:hAnsi="Aptos" w:cs="Aptos"/>
                              <w:noProof/>
                              <w:color w:val="737373"/>
                              <w:sz w:val="20"/>
                              <w:szCs w:val="20"/>
                            </w:rPr>
                          </w:pPr>
                          <w:r w:rsidRPr="005B1958">
                            <w:rPr>
                              <w:rFonts w:ascii="Aptos" w:eastAsia="Aptos" w:hAnsi="Aptos" w:cs="Aptos"/>
                              <w:noProof/>
                              <w:color w:val="737373"/>
                              <w:sz w:val="20"/>
                              <w:szCs w:val="20"/>
                            </w:rPr>
                            <w:t>Classificação da Informação: PÚBLICA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4271E547" id="_x0000_s1029" type="#_x0000_t202" alt="Classificação da Informação: PÚBLICA" style="position:absolute;margin-left:0;margin-top:0;width:167.15pt;height:28.1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" filled="f" stroked="f">
              <v:textbox style="mso-fit-shape-to-text:t" inset="0,0,0,15pt">
                <w:txbxContent>
                  <w:p w14:paraId="2BC065CE" w14:textId="0F0E6CAD" w:rsidR="005B1958" w:rsidRPr="005B1958" w:rsidRDefault="005B1958" w:rsidP="005B1958">
                    <w:pPr>
                      <w:spacing w:after="0"/>
                      <w:rPr>
                        <w:rFonts w:ascii="Aptos" w:eastAsia="Aptos" w:hAnsi="Aptos" w:cs="Aptos"/>
                        <w:noProof/>
                        <w:color w:val="737373"/>
                        <w:sz w:val="20"/>
                        <w:szCs w:val="20"/>
                      </w:rPr>
                    </w:pPr>
                    <w:r w:rsidRPr="005B1958">
                      <w:rPr>
                        <w:rFonts w:ascii="Aptos" w:eastAsia="Aptos" w:hAnsi="Aptos" w:cs="Aptos"/>
                        <w:noProof/>
                        <w:color w:val="737373"/>
                        <w:sz w:val="20"/>
                        <w:szCs w:val="20"/>
                      </w:rPr>
                      <w:t>Classificação da Informação: PÚBLICA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0AF3B" w14:textId="013E70A0" w:rsidR="00E92896" w:rsidRDefault="00E92896">
    <w:r>
      <w:rPr>
        <w:noProof/>
      </w:rPr>
      <mc:AlternateContent>
        <mc:Choice Requires="wps">
          <w:drawing>
            <wp:anchor distT="0" distB="0" distL="0" distR="0" simplePos="0" relativeHeight="251658251" behindDoc="0" locked="0" layoutInCell="1" allowOverlap="1" wp14:anchorId="05598602" wp14:editId="56769B9E">
              <wp:simplePos x="1076325" y="10067925"/>
              <wp:positionH relativeFrom="page">
                <wp:align>center</wp:align>
              </wp:positionH>
              <wp:positionV relativeFrom="page">
                <wp:align>bottom</wp:align>
              </wp:positionV>
              <wp:extent cx="2122805" cy="357505"/>
              <wp:effectExtent l="0" t="0" r="10795" b="0"/>
              <wp:wrapNone/>
              <wp:docPr id="1458993163" name="Caixa de Texto 3" descr="Classificação da Informação: PÚBLICA">
                <a:extLst xmlns:a="http://schemas.openxmlformats.org/drawingml/2006/main">
                  <a:ext uri="{FF2B5EF4-FFF2-40B4-BE49-F238E27FC236}">
                    <a16:creationId xmlns:a16="http://schemas.microsoft.com/office/drawing/2014/main" id="{CBF49D3A-93DA-4BFD-BFC9-CF74ACFA4B16}"/>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22805" cy="357505"/>
                      </a:xfrm>
                      <a:prstGeom prst="rect">
                        <a:avLst/>
                      </a:prstGeom>
                      <a:noFill/>
                      <a:ln>
                        <a:noFill/>
                      </a:ln>
                    </wps:spPr>
                    <wps:txbx>
                      <w:txbxContent>
                        <w:p w14:paraId="3BDB7994" w14:textId="77777777" w:rsidR="00E92896" w:rsidRPr="005B1958" w:rsidRDefault="00E92896" w:rsidP="005B1958">
                          <w:pPr>
                            <w:spacing w:after="0"/>
                            <w:rPr>
                              <w:rFonts w:ascii="Aptos" w:eastAsia="Aptos" w:hAnsi="Aptos" w:cs="Aptos"/>
                              <w:noProof/>
                              <w:color w:val="737373"/>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598602" id="_x0000_t202" coordsize="21600,21600" o:spt="202" path="m,l,21600r21600,l21600,xe">
              <v:stroke joinstyle="miter"/>
              <v:path gradientshapeok="t" o:connecttype="rect"/>
            </v:shapetype>
            <v:shape id="Caixa de Texto 3" o:spid="_x0000_s1030" type="#_x0000_t202" alt="Classificação da Informação: PÚBLICA" style="position:absolute;margin-left:0;margin-top:0;width:167.15pt;height:28.1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" filled="f" stroked="f">
              <v:textbox style="mso-fit-shape-to-text:t" inset="0,0,0,15pt">
                <w:txbxContent>
                  <w:p w14:paraId="3BDB7994" w14:textId="77777777" w:rsidR="00E92896" w:rsidRPr="005B1958" w:rsidRDefault="00E92896" w:rsidP="005B1958">
                    <w:pPr>
                      <w:spacing w:after="0"/>
                      <w:rPr>
                        <w:rFonts w:ascii="Aptos" w:eastAsia="Aptos" w:hAnsi="Aptos" w:cs="Aptos"/>
                        <w:noProof/>
                        <w:color w:val="737373"/>
                        <w:sz w:val="20"/>
                        <w:szCs w:val="20"/>
                      </w:rPr>
                    </w:pPr>
                  </w:p>
                </w:txbxContent>
              </v:textbox>
              <w10:wrap anchorx="page" anchory="page"/>
            </v:shape>
          </w:pict>
        </mc:Fallback>
      </mc:AlternateContent>
    </w:r>
    <w:r>
      <w:rPr>
        <w:noProof/>
      </w:rPr>
      <mc:AlternateContent>
        <mc:Choice Requires="wps">
          <w:drawing>
            <wp:anchor distT="0" distB="0" distL="0" distR="0" simplePos="0" relativeHeight="251658248" behindDoc="0" locked="0" layoutInCell="1" allowOverlap="1" wp14:anchorId="1F3CF2A3" wp14:editId="003522D2">
              <wp:simplePos x="1076325" y="10067925"/>
              <wp:positionH relativeFrom="page">
                <wp:align>center</wp:align>
              </wp:positionH>
              <wp:positionV relativeFrom="page">
                <wp:align>bottom</wp:align>
              </wp:positionV>
              <wp:extent cx="2122805" cy="357505"/>
              <wp:effectExtent l="0" t="0" r="10795" b="0"/>
              <wp:wrapNone/>
              <wp:docPr id="1117959433" name="Caixa de Texto 3" descr="Classificação da Informação: PÚBLICA">
                <a:extLst xmlns:a="http://schemas.openxmlformats.org/drawingml/2006/main">
                  <a:ext uri="{FF2B5EF4-FFF2-40B4-BE49-F238E27FC236}">
                    <a16:creationId xmlns:a16="http://schemas.microsoft.com/office/drawing/2014/main" id="{695ACEAD-5CBF-4F18-BFE1-1439EF9CB557}"/>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22805" cy="357505"/>
                      </a:xfrm>
                      <a:prstGeom prst="rect">
                        <a:avLst/>
                      </a:prstGeom>
                      <a:noFill/>
                      <a:ln>
                        <a:noFill/>
                      </a:ln>
                    </wps:spPr>
                    <wps:txbx>
                      <w:txbxContent>
                        <w:p w14:paraId="785DBA2D" w14:textId="77777777" w:rsidR="00E92896" w:rsidRPr="005B1958" w:rsidRDefault="00E92896" w:rsidP="005B1958">
                          <w:pPr>
                            <w:spacing w:after="0"/>
                            <w:rPr>
                              <w:rFonts w:ascii="Aptos" w:eastAsia="Aptos" w:hAnsi="Aptos" w:cs="Aptos"/>
                              <w:noProof/>
                              <w:color w:val="737373"/>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1F3CF2A3" id="_x0000_s1031" type="#_x0000_t202" alt="Classificação da Informação: PÚBLICA" style="position:absolute;margin-left:0;margin-top:0;width:167.15pt;height:28.1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" filled="f" stroked="f">
              <v:textbox style="mso-fit-shape-to-text:t" inset="0,0,0,15pt">
                <w:txbxContent>
                  <w:p w14:paraId="785DBA2D" w14:textId="77777777" w:rsidR="00E92896" w:rsidRPr="005B1958" w:rsidRDefault="00E92896" w:rsidP="005B1958">
                    <w:pPr>
                      <w:spacing w:after="0"/>
                      <w:rPr>
                        <w:rFonts w:ascii="Aptos" w:eastAsia="Aptos" w:hAnsi="Aptos" w:cs="Aptos"/>
                        <w:noProof/>
                        <w:color w:val="737373"/>
                        <w:sz w:val="20"/>
                        <w:szCs w:val="20"/>
                      </w:rPr>
                    </w:pPr>
                  </w:p>
                </w:txbxContent>
              </v:textbox>
              <w10:wrap anchorx="page" anchory="page"/>
            </v:shape>
          </w:pict>
        </mc:Fallback>
      </mc:AlternateContent>
    </w:r>
    <w:r w:rsidR="003279CE">
      <w:rPr>
        <w:noProof/>
      </w:rPr>
      <mc:AlternateContent>
        <mc:Choice Requires="wps">
          <w:drawing>
            <wp:anchor distT="0" distB="0" distL="0" distR="0" simplePos="0" relativeHeight="251658245" behindDoc="0" locked="0" layoutInCell="1" allowOverlap="1" wp14:anchorId="4DE58ACB" wp14:editId="7A0A7E83">
              <wp:simplePos x="1076325" y="10067925"/>
              <wp:positionH relativeFrom="page">
                <wp:align>center</wp:align>
              </wp:positionH>
              <wp:positionV relativeFrom="page">
                <wp:align>bottom</wp:align>
              </wp:positionV>
              <wp:extent cx="2122805" cy="357505"/>
              <wp:effectExtent l="0" t="0" r="10795" b="0"/>
              <wp:wrapNone/>
              <wp:docPr id="1055145052" name="Caixa de Texto 3" descr="Classificação da Informação: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22805" cy="357505"/>
                      </a:xfrm>
                      <a:prstGeom prst="rect">
                        <a:avLst/>
                      </a:prstGeom>
                      <a:noFill/>
                      <a:ln>
                        <a:noFill/>
                      </a:ln>
                    </wps:spPr>
                    <wps:txbx>
                      <w:txbxContent>
                        <w:p w14:paraId="38AEACBD" w14:textId="77777777" w:rsidR="003279CE" w:rsidRPr="005B1958" w:rsidRDefault="003279CE" w:rsidP="005B1958">
                          <w:pPr>
                            <w:spacing w:after="0"/>
                            <w:rPr>
                              <w:rFonts w:ascii="Aptos" w:eastAsia="Aptos" w:hAnsi="Aptos" w:cs="Aptos"/>
                              <w:noProof/>
                              <w:color w:val="737373"/>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4DE58ACB" id="_x0000_s1032" type="#_x0000_t202" alt="Classificação da Informação: PÚBLICA" style="position:absolute;margin-left:0;margin-top:0;width:167.15pt;height:28.1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" filled="f" stroked="f">
              <v:textbox style="mso-fit-shape-to-text:t" inset="0,0,0,15pt">
                <w:txbxContent>
                  <w:p w14:paraId="38AEACBD" w14:textId="77777777" w:rsidR="003279CE" w:rsidRPr="005B1958" w:rsidRDefault="003279CE" w:rsidP="005B1958">
                    <w:pPr>
                      <w:spacing w:after="0"/>
                      <w:rPr>
                        <w:rFonts w:ascii="Aptos" w:eastAsia="Aptos" w:hAnsi="Aptos" w:cs="Aptos"/>
                        <w:noProof/>
                        <w:color w:val="737373"/>
                        <w:sz w:val="20"/>
                        <w:szCs w:val="20"/>
                      </w:rPr>
                    </w:pPr>
                  </w:p>
                </w:txbxContent>
              </v:textbox>
              <w10:wrap anchorx="page" anchory="page"/>
            </v:shape>
          </w:pict>
        </mc:Fallback>
      </mc:AlternateContent>
    </w:r>
    <w:r w:rsidR="005B1958">
      <w:rPr>
        <w:noProof/>
      </w:rPr>
      <mc:AlternateContent>
        <mc:Choice Requires="wps">
          <w:drawing>
            <wp:anchor distT="0" distB="0" distL="0" distR="0" simplePos="0" relativeHeight="251658242" behindDoc="0" locked="0" layoutInCell="1" allowOverlap="1" wp14:anchorId="70B4030E" wp14:editId="25D92DB3">
              <wp:simplePos x="1076325" y="10067925"/>
              <wp:positionH relativeFrom="page">
                <wp:align>center</wp:align>
              </wp:positionH>
              <wp:positionV relativeFrom="page">
                <wp:align>bottom</wp:align>
              </wp:positionV>
              <wp:extent cx="2122805" cy="357505"/>
              <wp:effectExtent l="0" t="0" r="10795" b="0"/>
              <wp:wrapNone/>
              <wp:docPr id="1035903448" name="Caixa de Texto 3" descr="Classificação da Informação: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22805" cy="357505"/>
                      </a:xfrm>
                      <a:prstGeom prst="rect">
                        <a:avLst/>
                      </a:prstGeom>
                      <a:noFill/>
                      <a:ln>
                        <a:noFill/>
                      </a:ln>
                    </wps:spPr>
                    <wps:txbx>
                      <w:txbxContent>
                        <w:p w14:paraId="1D26FA90" w14:textId="7B672F84" w:rsidR="005B1958" w:rsidRPr="005B1958" w:rsidRDefault="005B1958" w:rsidP="005B1958">
                          <w:pPr>
                            <w:spacing w:after="0"/>
                            <w:rPr>
                              <w:rFonts w:ascii="Aptos" w:eastAsia="Aptos" w:hAnsi="Aptos" w:cs="Aptos"/>
                              <w:noProof/>
                              <w:color w:val="737373"/>
                              <w:sz w:val="20"/>
                              <w:szCs w:val="20"/>
                            </w:rPr>
                          </w:pPr>
                          <w:r w:rsidRPr="005B1958">
                            <w:rPr>
                              <w:rFonts w:ascii="Aptos" w:eastAsia="Aptos" w:hAnsi="Aptos" w:cs="Aptos"/>
                              <w:noProof/>
                              <w:color w:val="737373"/>
                              <w:sz w:val="20"/>
                              <w:szCs w:val="20"/>
                            </w:rPr>
                            <w:t>Classificação da Informação: PÚBLICA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70B4030E" id="_x0000_s1033" type="#_x0000_t202" alt="Classificação da Informação: PÚBLICA" style="position:absolute;margin-left:0;margin-top:0;width:167.15pt;height:28.1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" filled="f" stroked="f">
              <v:textbox style="mso-fit-shape-to-text:t" inset="0,0,0,15pt">
                <w:txbxContent>
                  <w:p w14:paraId="1D26FA90" w14:textId="7B672F84" w:rsidR="005B1958" w:rsidRPr="005B1958" w:rsidRDefault="005B1958" w:rsidP="005B1958">
                    <w:pPr>
                      <w:spacing w:after="0"/>
                      <w:rPr>
                        <w:rFonts w:ascii="Aptos" w:eastAsia="Aptos" w:hAnsi="Aptos" w:cs="Aptos"/>
                        <w:noProof/>
                        <w:color w:val="737373"/>
                        <w:sz w:val="20"/>
                        <w:szCs w:val="20"/>
                      </w:rPr>
                    </w:pPr>
                    <w:r w:rsidRPr="005B1958">
                      <w:rPr>
                        <w:rFonts w:ascii="Aptos" w:eastAsia="Aptos" w:hAnsi="Aptos" w:cs="Aptos"/>
                        <w:noProof/>
                        <w:color w:val="737373"/>
                        <w:sz w:val="20"/>
                        <w:szCs w:val="20"/>
                      </w:rPr>
                      <w:t>Classificação da Informação: PÚBLICA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8F5C5" w14:textId="537355E2" w:rsidR="00E92896" w:rsidRDefault="00E92896">
    <w:r>
      <w:rPr>
        <w:noProof/>
      </w:rPr>
      <mc:AlternateContent>
        <mc:Choice Requires="wps">
          <w:drawing>
            <wp:anchor distT="0" distB="0" distL="0" distR="0" simplePos="0" relativeHeight="251658249" behindDoc="0" locked="0" layoutInCell="1" allowOverlap="1" wp14:anchorId="11859055" wp14:editId="4BFECFA4">
              <wp:simplePos x="635" y="635"/>
              <wp:positionH relativeFrom="page">
                <wp:align>center</wp:align>
              </wp:positionH>
              <wp:positionV relativeFrom="page">
                <wp:align>bottom</wp:align>
              </wp:positionV>
              <wp:extent cx="2122805" cy="357505"/>
              <wp:effectExtent l="0" t="0" r="10795" b="0"/>
              <wp:wrapNone/>
              <wp:docPr id="1497756949" name="Caixa de Texto 1" descr="Classificação da Informação: PÚBLICA">
                <a:extLst xmlns:a="http://schemas.openxmlformats.org/drawingml/2006/main">
                  <a:ext uri="{FF2B5EF4-FFF2-40B4-BE49-F238E27FC236}">
                    <a16:creationId xmlns:a16="http://schemas.microsoft.com/office/drawing/2014/main" id="{A2B6432A-DC25-434A-A22F-63ADA21ECD22}"/>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22805" cy="357505"/>
                      </a:xfrm>
                      <a:prstGeom prst="rect">
                        <a:avLst/>
                      </a:prstGeom>
                      <a:noFill/>
                      <a:ln>
                        <a:noFill/>
                      </a:ln>
                    </wps:spPr>
                    <wps:txbx>
                      <w:txbxContent>
                        <w:p w14:paraId="585CCF20" w14:textId="77777777" w:rsidR="00E92896" w:rsidRPr="005B1958" w:rsidRDefault="00E92896" w:rsidP="005B1958">
                          <w:pPr>
                            <w:spacing w:after="0"/>
                            <w:rPr>
                              <w:rFonts w:ascii="Aptos" w:eastAsia="Aptos" w:hAnsi="Aptos" w:cs="Aptos"/>
                              <w:noProof/>
                              <w:color w:val="737373"/>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859055" id="_x0000_t202" coordsize="21600,21600" o:spt="202" path="m,l,21600r21600,l21600,xe">
              <v:stroke joinstyle="miter"/>
              <v:path gradientshapeok="t" o:connecttype="rect"/>
            </v:shapetype>
            <v:shape id="Caixa de Texto 1" o:spid="_x0000_s1034" type="#_x0000_t202" alt="Classificação da Informação: PÚBLICA" style="position:absolute;margin-left:0;margin-top:0;width:167.15pt;height:28.1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" filled="f" stroked="f">
              <v:textbox style="mso-fit-shape-to-text:t" inset="0,0,0,15pt">
                <w:txbxContent>
                  <w:p w14:paraId="585CCF20" w14:textId="77777777" w:rsidR="00E92896" w:rsidRPr="005B1958" w:rsidRDefault="00E92896" w:rsidP="005B1958">
                    <w:pPr>
                      <w:spacing w:after="0"/>
                      <w:rPr>
                        <w:rFonts w:ascii="Aptos" w:eastAsia="Aptos" w:hAnsi="Aptos" w:cs="Aptos"/>
                        <w:noProof/>
                        <w:color w:val="737373"/>
                        <w:sz w:val="20"/>
                        <w:szCs w:val="20"/>
                      </w:rPr>
                    </w:pPr>
                  </w:p>
                </w:txbxContent>
              </v:textbox>
              <w10:wrap anchorx="page" anchory="page"/>
            </v:shape>
          </w:pict>
        </mc:Fallback>
      </mc:AlternateContent>
    </w:r>
    <w:r>
      <w:rPr>
        <w:noProof/>
      </w:rPr>
      <mc:AlternateContent>
        <mc:Choice Requires="wps">
          <w:drawing>
            <wp:anchor distT="0" distB="0" distL="0" distR="0" simplePos="0" relativeHeight="251658246" behindDoc="0" locked="0" layoutInCell="1" allowOverlap="1" wp14:anchorId="0970A8B8" wp14:editId="4205543D">
              <wp:simplePos x="635" y="635"/>
              <wp:positionH relativeFrom="page">
                <wp:align>center</wp:align>
              </wp:positionH>
              <wp:positionV relativeFrom="page">
                <wp:align>bottom</wp:align>
              </wp:positionV>
              <wp:extent cx="2122805" cy="357505"/>
              <wp:effectExtent l="0" t="0" r="10795" b="0"/>
              <wp:wrapNone/>
              <wp:docPr id="713981153" name="Caixa de Texto 1" descr="Classificação da Informação: PÚBLICA">
                <a:extLst xmlns:a="http://schemas.openxmlformats.org/drawingml/2006/main">
                  <a:ext uri="{FF2B5EF4-FFF2-40B4-BE49-F238E27FC236}">
                    <a16:creationId xmlns:a16="http://schemas.microsoft.com/office/drawing/2014/main" id="{BFE65AA6-3F1A-4B0B-823C-50FD7298ADE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22805" cy="357505"/>
                      </a:xfrm>
                      <a:prstGeom prst="rect">
                        <a:avLst/>
                      </a:prstGeom>
                      <a:noFill/>
                      <a:ln>
                        <a:noFill/>
                      </a:ln>
                    </wps:spPr>
                    <wps:txbx>
                      <w:txbxContent>
                        <w:p w14:paraId="6740ED2F" w14:textId="77777777" w:rsidR="00E92896" w:rsidRPr="005B1958" w:rsidRDefault="00E92896" w:rsidP="005B1958">
                          <w:pPr>
                            <w:spacing w:after="0"/>
                            <w:rPr>
                              <w:rFonts w:ascii="Aptos" w:eastAsia="Aptos" w:hAnsi="Aptos" w:cs="Aptos"/>
                              <w:noProof/>
                              <w:color w:val="737373"/>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0970A8B8" id="_x0000_s1035" type="#_x0000_t202" alt="Classificação da Informação: PÚBLICA" style="position:absolute;margin-left:0;margin-top:0;width:167.15pt;height:28.1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" filled="f" stroked="f">
              <v:textbox style="mso-fit-shape-to-text:t" inset="0,0,0,15pt">
                <w:txbxContent>
                  <w:p w14:paraId="6740ED2F" w14:textId="77777777" w:rsidR="00E92896" w:rsidRPr="005B1958" w:rsidRDefault="00E92896" w:rsidP="005B1958">
                    <w:pPr>
                      <w:spacing w:after="0"/>
                      <w:rPr>
                        <w:rFonts w:ascii="Aptos" w:eastAsia="Aptos" w:hAnsi="Aptos" w:cs="Aptos"/>
                        <w:noProof/>
                        <w:color w:val="737373"/>
                        <w:sz w:val="20"/>
                        <w:szCs w:val="20"/>
                      </w:rPr>
                    </w:pPr>
                  </w:p>
                </w:txbxContent>
              </v:textbox>
              <w10:wrap anchorx="page" anchory="page"/>
            </v:shape>
          </w:pict>
        </mc:Fallback>
      </mc:AlternateContent>
    </w:r>
    <w:r w:rsidR="003279CE">
      <w:rPr>
        <w:noProof/>
      </w:rPr>
      <mc:AlternateContent>
        <mc:Choice Requires="wps">
          <w:drawing>
            <wp:anchor distT="0" distB="0" distL="0" distR="0" simplePos="0" relativeHeight="251658243" behindDoc="0" locked="0" layoutInCell="1" allowOverlap="1" wp14:anchorId="7FA44F96" wp14:editId="5D8E3230">
              <wp:simplePos x="635" y="635"/>
              <wp:positionH relativeFrom="page">
                <wp:align>center</wp:align>
              </wp:positionH>
              <wp:positionV relativeFrom="page">
                <wp:align>bottom</wp:align>
              </wp:positionV>
              <wp:extent cx="2122805" cy="357505"/>
              <wp:effectExtent l="0" t="0" r="10795" b="0"/>
              <wp:wrapNone/>
              <wp:docPr id="1248241337" name="Caixa de Texto 1" descr="Classificação da Informação: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22805" cy="357505"/>
                      </a:xfrm>
                      <a:prstGeom prst="rect">
                        <a:avLst/>
                      </a:prstGeom>
                      <a:noFill/>
                      <a:ln>
                        <a:noFill/>
                      </a:ln>
                    </wps:spPr>
                    <wps:txbx>
                      <w:txbxContent>
                        <w:p w14:paraId="604AE1D5" w14:textId="77777777" w:rsidR="003279CE" w:rsidRPr="005B1958" w:rsidRDefault="003279CE" w:rsidP="005B1958">
                          <w:pPr>
                            <w:spacing w:after="0"/>
                            <w:rPr>
                              <w:rFonts w:ascii="Aptos" w:eastAsia="Aptos" w:hAnsi="Aptos" w:cs="Aptos"/>
                              <w:noProof/>
                              <w:color w:val="737373"/>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7FA44F96" id="_x0000_s1036" type="#_x0000_t202" alt="Classificação da Informação: PÚBLICA" style="position:absolute;margin-left:0;margin-top:0;width:167.15pt;height:28.1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" filled="f" stroked="f">
              <v:textbox style="mso-fit-shape-to-text:t" inset="0,0,0,15pt">
                <w:txbxContent>
                  <w:p w14:paraId="604AE1D5" w14:textId="77777777" w:rsidR="003279CE" w:rsidRPr="005B1958" w:rsidRDefault="003279CE" w:rsidP="005B1958">
                    <w:pPr>
                      <w:spacing w:after="0"/>
                      <w:rPr>
                        <w:rFonts w:ascii="Aptos" w:eastAsia="Aptos" w:hAnsi="Aptos" w:cs="Aptos"/>
                        <w:noProof/>
                        <w:color w:val="737373"/>
                        <w:sz w:val="20"/>
                        <w:szCs w:val="20"/>
                      </w:rPr>
                    </w:pPr>
                  </w:p>
                </w:txbxContent>
              </v:textbox>
              <w10:wrap anchorx="page" anchory="page"/>
            </v:shape>
          </w:pict>
        </mc:Fallback>
      </mc:AlternateContent>
    </w:r>
    <w:r w:rsidR="005B1958">
      <w:rPr>
        <w:noProof/>
      </w:rPr>
      <mc:AlternateContent>
        <mc:Choice Requires="wps">
          <w:drawing>
            <wp:anchor distT="0" distB="0" distL="0" distR="0" simplePos="0" relativeHeight="251658240" behindDoc="0" locked="0" layoutInCell="1" allowOverlap="1" wp14:anchorId="142DED73" wp14:editId="2FF87C4A">
              <wp:simplePos x="635" y="635"/>
              <wp:positionH relativeFrom="page">
                <wp:align>center</wp:align>
              </wp:positionH>
              <wp:positionV relativeFrom="page">
                <wp:align>bottom</wp:align>
              </wp:positionV>
              <wp:extent cx="2122805" cy="357505"/>
              <wp:effectExtent l="0" t="0" r="10795" b="0"/>
              <wp:wrapNone/>
              <wp:docPr id="247080525" name="Caixa de Texto 1" descr="Classificação da Informação: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22805" cy="357505"/>
                      </a:xfrm>
                      <a:prstGeom prst="rect">
                        <a:avLst/>
                      </a:prstGeom>
                      <a:noFill/>
                      <a:ln>
                        <a:noFill/>
                      </a:ln>
                    </wps:spPr>
                    <wps:txbx>
                      <w:txbxContent>
                        <w:p w14:paraId="7BD99FA5" w14:textId="66CE71C1" w:rsidR="005B1958" w:rsidRPr="005B1958" w:rsidRDefault="005B1958" w:rsidP="005B1958">
                          <w:pPr>
                            <w:spacing w:after="0"/>
                            <w:rPr>
                              <w:rFonts w:ascii="Aptos" w:eastAsia="Aptos" w:hAnsi="Aptos" w:cs="Aptos"/>
                              <w:noProof/>
                              <w:color w:val="737373"/>
                              <w:sz w:val="20"/>
                              <w:szCs w:val="20"/>
                            </w:rPr>
                          </w:pPr>
                          <w:r w:rsidRPr="005B1958">
                            <w:rPr>
                              <w:rFonts w:ascii="Aptos" w:eastAsia="Aptos" w:hAnsi="Aptos" w:cs="Aptos"/>
                              <w:noProof/>
                              <w:color w:val="737373"/>
                              <w:sz w:val="20"/>
                              <w:szCs w:val="20"/>
                            </w:rPr>
                            <w:t>Classificação da Informação: PÚBLICA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142DED73" id="_x0000_s1037" type="#_x0000_t202" alt="Classificação da Informação: PÚBLICA" style="position:absolute;margin-left:0;margin-top:0;width:167.1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" filled="f" stroked="f">
              <v:textbox style="mso-fit-shape-to-text:t" inset="0,0,0,15pt">
                <w:txbxContent>
                  <w:p w14:paraId="7BD99FA5" w14:textId="66CE71C1" w:rsidR="005B1958" w:rsidRPr="005B1958" w:rsidRDefault="005B1958" w:rsidP="005B1958">
                    <w:pPr>
                      <w:spacing w:after="0"/>
                      <w:rPr>
                        <w:rFonts w:ascii="Aptos" w:eastAsia="Aptos" w:hAnsi="Aptos" w:cs="Aptos"/>
                        <w:noProof/>
                        <w:color w:val="737373"/>
                        <w:sz w:val="20"/>
                        <w:szCs w:val="20"/>
                      </w:rPr>
                    </w:pPr>
                    <w:r w:rsidRPr="005B1958">
                      <w:rPr>
                        <w:rFonts w:ascii="Aptos" w:eastAsia="Aptos" w:hAnsi="Aptos" w:cs="Aptos"/>
                        <w:noProof/>
                        <w:color w:val="737373"/>
                        <w:sz w:val="20"/>
                        <w:szCs w:val="20"/>
                      </w:rPr>
                      <w:t>Classificação da Informação: PÚBLICA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89FE3" w14:textId="77777777" w:rsidR="001D5274" w:rsidRDefault="001D5274" w:rsidP="005B1958">
      <w:pPr>
        <w:spacing w:after="0" w:line="240" w:lineRule="auto"/>
      </w:pPr>
      <w:r>
        <w:separator/>
      </w:r>
    </w:p>
  </w:footnote>
  <w:footnote w:type="continuationSeparator" w:id="0">
    <w:p w14:paraId="2E22023A" w14:textId="77777777" w:rsidR="001D5274" w:rsidRDefault="001D5274" w:rsidP="005B19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958"/>
    <w:rsid w:val="00002B8C"/>
    <w:rsid w:val="00004DC8"/>
    <w:rsid w:val="000061BE"/>
    <w:rsid w:val="000064A1"/>
    <w:rsid w:val="00014027"/>
    <w:rsid w:val="0001433F"/>
    <w:rsid w:val="0001645F"/>
    <w:rsid w:val="000222F8"/>
    <w:rsid w:val="00027F1B"/>
    <w:rsid w:val="00037B9C"/>
    <w:rsid w:val="00052E8C"/>
    <w:rsid w:val="0006226B"/>
    <w:rsid w:val="00065330"/>
    <w:rsid w:val="00066B7B"/>
    <w:rsid w:val="000709E8"/>
    <w:rsid w:val="00075004"/>
    <w:rsid w:val="0008585A"/>
    <w:rsid w:val="00093323"/>
    <w:rsid w:val="000A1F9D"/>
    <w:rsid w:val="000A7DAC"/>
    <w:rsid w:val="000B3F12"/>
    <w:rsid w:val="000B6390"/>
    <w:rsid w:val="000C1B3D"/>
    <w:rsid w:val="000C2F05"/>
    <w:rsid w:val="000D1257"/>
    <w:rsid w:val="000D1594"/>
    <w:rsid w:val="000D30B7"/>
    <w:rsid w:val="000D69A3"/>
    <w:rsid w:val="000E31B8"/>
    <w:rsid w:val="000E41E4"/>
    <w:rsid w:val="000E5E6B"/>
    <w:rsid w:val="000F330C"/>
    <w:rsid w:val="000F62E8"/>
    <w:rsid w:val="00101AA3"/>
    <w:rsid w:val="0010218A"/>
    <w:rsid w:val="001102DA"/>
    <w:rsid w:val="00115B5B"/>
    <w:rsid w:val="0013234D"/>
    <w:rsid w:val="00133F22"/>
    <w:rsid w:val="00134A59"/>
    <w:rsid w:val="001454B2"/>
    <w:rsid w:val="00150B2D"/>
    <w:rsid w:val="00160BEC"/>
    <w:rsid w:val="00176583"/>
    <w:rsid w:val="00177A7F"/>
    <w:rsid w:val="00184042"/>
    <w:rsid w:val="001840D5"/>
    <w:rsid w:val="001859CF"/>
    <w:rsid w:val="00185C55"/>
    <w:rsid w:val="00193823"/>
    <w:rsid w:val="00196E0F"/>
    <w:rsid w:val="001A1ABF"/>
    <w:rsid w:val="001A4114"/>
    <w:rsid w:val="001B7564"/>
    <w:rsid w:val="001C2186"/>
    <w:rsid w:val="001D5274"/>
    <w:rsid w:val="001D64B9"/>
    <w:rsid w:val="001E7398"/>
    <w:rsid w:val="00204998"/>
    <w:rsid w:val="0020598B"/>
    <w:rsid w:val="00214AE8"/>
    <w:rsid w:val="0023278C"/>
    <w:rsid w:val="00233849"/>
    <w:rsid w:val="00243D15"/>
    <w:rsid w:val="002606B0"/>
    <w:rsid w:val="00263C1D"/>
    <w:rsid w:val="002744D2"/>
    <w:rsid w:val="00274BB3"/>
    <w:rsid w:val="00282839"/>
    <w:rsid w:val="00285D16"/>
    <w:rsid w:val="00287A2F"/>
    <w:rsid w:val="00290C36"/>
    <w:rsid w:val="00290FBB"/>
    <w:rsid w:val="00291E5F"/>
    <w:rsid w:val="00294A70"/>
    <w:rsid w:val="002977D6"/>
    <w:rsid w:val="002B56FE"/>
    <w:rsid w:val="002B68A2"/>
    <w:rsid w:val="002C23D6"/>
    <w:rsid w:val="002C41D8"/>
    <w:rsid w:val="002C54A5"/>
    <w:rsid w:val="002C6806"/>
    <w:rsid w:val="002D0C23"/>
    <w:rsid w:val="002D2784"/>
    <w:rsid w:val="002D587B"/>
    <w:rsid w:val="002E6265"/>
    <w:rsid w:val="002F15AD"/>
    <w:rsid w:val="002F5755"/>
    <w:rsid w:val="003023C1"/>
    <w:rsid w:val="00312602"/>
    <w:rsid w:val="00316ACB"/>
    <w:rsid w:val="00317046"/>
    <w:rsid w:val="003214F7"/>
    <w:rsid w:val="00324B2F"/>
    <w:rsid w:val="00324C3A"/>
    <w:rsid w:val="00324F06"/>
    <w:rsid w:val="00326D16"/>
    <w:rsid w:val="003279CE"/>
    <w:rsid w:val="00330BD9"/>
    <w:rsid w:val="00333BB7"/>
    <w:rsid w:val="003355A7"/>
    <w:rsid w:val="0034662C"/>
    <w:rsid w:val="00347FCA"/>
    <w:rsid w:val="00355FAE"/>
    <w:rsid w:val="00361AD1"/>
    <w:rsid w:val="00366948"/>
    <w:rsid w:val="00372CC9"/>
    <w:rsid w:val="00381AB5"/>
    <w:rsid w:val="00391DE4"/>
    <w:rsid w:val="00394085"/>
    <w:rsid w:val="003A78F5"/>
    <w:rsid w:val="003B16AE"/>
    <w:rsid w:val="003C2594"/>
    <w:rsid w:val="003D1CBC"/>
    <w:rsid w:val="003D3590"/>
    <w:rsid w:val="003D3D2F"/>
    <w:rsid w:val="003D3F9B"/>
    <w:rsid w:val="003E02A2"/>
    <w:rsid w:val="003E4909"/>
    <w:rsid w:val="003F0CDB"/>
    <w:rsid w:val="003F17F3"/>
    <w:rsid w:val="00401B35"/>
    <w:rsid w:val="00405531"/>
    <w:rsid w:val="0041035F"/>
    <w:rsid w:val="00410575"/>
    <w:rsid w:val="00430C41"/>
    <w:rsid w:val="00446A30"/>
    <w:rsid w:val="00446C95"/>
    <w:rsid w:val="00466DE6"/>
    <w:rsid w:val="00473F14"/>
    <w:rsid w:val="0048196A"/>
    <w:rsid w:val="004904FC"/>
    <w:rsid w:val="0049321A"/>
    <w:rsid w:val="00496129"/>
    <w:rsid w:val="004964CF"/>
    <w:rsid w:val="00497331"/>
    <w:rsid w:val="004A0F86"/>
    <w:rsid w:val="004C3653"/>
    <w:rsid w:val="004C4F5A"/>
    <w:rsid w:val="004C52B8"/>
    <w:rsid w:val="004D0FB3"/>
    <w:rsid w:val="004D7A0E"/>
    <w:rsid w:val="004F24D4"/>
    <w:rsid w:val="00500BCB"/>
    <w:rsid w:val="00504E96"/>
    <w:rsid w:val="00506778"/>
    <w:rsid w:val="005069D9"/>
    <w:rsid w:val="00510CCD"/>
    <w:rsid w:val="005156B5"/>
    <w:rsid w:val="00516755"/>
    <w:rsid w:val="00517554"/>
    <w:rsid w:val="0052461B"/>
    <w:rsid w:val="005362AA"/>
    <w:rsid w:val="005408D1"/>
    <w:rsid w:val="0054218F"/>
    <w:rsid w:val="00552551"/>
    <w:rsid w:val="0056068B"/>
    <w:rsid w:val="005610E7"/>
    <w:rsid w:val="0056296B"/>
    <w:rsid w:val="0056515B"/>
    <w:rsid w:val="005724BA"/>
    <w:rsid w:val="00572C98"/>
    <w:rsid w:val="00576256"/>
    <w:rsid w:val="0058215B"/>
    <w:rsid w:val="00585539"/>
    <w:rsid w:val="00585D8C"/>
    <w:rsid w:val="0059099B"/>
    <w:rsid w:val="00590A0D"/>
    <w:rsid w:val="00590CE3"/>
    <w:rsid w:val="0059581D"/>
    <w:rsid w:val="005A0A49"/>
    <w:rsid w:val="005A57CB"/>
    <w:rsid w:val="005A7AFB"/>
    <w:rsid w:val="005B1958"/>
    <w:rsid w:val="005B5CE6"/>
    <w:rsid w:val="005C0C65"/>
    <w:rsid w:val="005D1E77"/>
    <w:rsid w:val="005D6D34"/>
    <w:rsid w:val="005E00E0"/>
    <w:rsid w:val="005E1978"/>
    <w:rsid w:val="005E2BAD"/>
    <w:rsid w:val="005E378C"/>
    <w:rsid w:val="005F3F67"/>
    <w:rsid w:val="005F5DC4"/>
    <w:rsid w:val="006045EA"/>
    <w:rsid w:val="00610E91"/>
    <w:rsid w:val="00627495"/>
    <w:rsid w:val="00631164"/>
    <w:rsid w:val="00633C4A"/>
    <w:rsid w:val="00642580"/>
    <w:rsid w:val="006435D1"/>
    <w:rsid w:val="006534DF"/>
    <w:rsid w:val="006574EE"/>
    <w:rsid w:val="00672854"/>
    <w:rsid w:val="00677506"/>
    <w:rsid w:val="00677D1D"/>
    <w:rsid w:val="006801A8"/>
    <w:rsid w:val="00680C85"/>
    <w:rsid w:val="00685524"/>
    <w:rsid w:val="00686987"/>
    <w:rsid w:val="00691091"/>
    <w:rsid w:val="006925F9"/>
    <w:rsid w:val="006943F6"/>
    <w:rsid w:val="00695556"/>
    <w:rsid w:val="006A5A34"/>
    <w:rsid w:val="006B2583"/>
    <w:rsid w:val="006B3F14"/>
    <w:rsid w:val="006B5A84"/>
    <w:rsid w:val="006C4689"/>
    <w:rsid w:val="006D7B71"/>
    <w:rsid w:val="006E513F"/>
    <w:rsid w:val="006F1AFE"/>
    <w:rsid w:val="006F4294"/>
    <w:rsid w:val="006F7F79"/>
    <w:rsid w:val="00700EFC"/>
    <w:rsid w:val="00701E11"/>
    <w:rsid w:val="00701EDC"/>
    <w:rsid w:val="00705569"/>
    <w:rsid w:val="00707AD2"/>
    <w:rsid w:val="00713477"/>
    <w:rsid w:val="00715ADB"/>
    <w:rsid w:val="00730887"/>
    <w:rsid w:val="00737668"/>
    <w:rsid w:val="00740C91"/>
    <w:rsid w:val="00741556"/>
    <w:rsid w:val="007466C9"/>
    <w:rsid w:val="007475C9"/>
    <w:rsid w:val="00755D4E"/>
    <w:rsid w:val="007604A5"/>
    <w:rsid w:val="007625F7"/>
    <w:rsid w:val="007646D1"/>
    <w:rsid w:val="0076522C"/>
    <w:rsid w:val="007757B4"/>
    <w:rsid w:val="00775D9D"/>
    <w:rsid w:val="00776F2A"/>
    <w:rsid w:val="007811E7"/>
    <w:rsid w:val="0079151D"/>
    <w:rsid w:val="00794932"/>
    <w:rsid w:val="00797F0D"/>
    <w:rsid w:val="007A10D6"/>
    <w:rsid w:val="007A260F"/>
    <w:rsid w:val="007A741A"/>
    <w:rsid w:val="007B13AF"/>
    <w:rsid w:val="007B1476"/>
    <w:rsid w:val="007B1AE3"/>
    <w:rsid w:val="007B3D67"/>
    <w:rsid w:val="007B7623"/>
    <w:rsid w:val="007C1DAB"/>
    <w:rsid w:val="007C30CB"/>
    <w:rsid w:val="007D2ECD"/>
    <w:rsid w:val="007D3AF6"/>
    <w:rsid w:val="007D503B"/>
    <w:rsid w:val="007D59AE"/>
    <w:rsid w:val="007F2CA9"/>
    <w:rsid w:val="007F47D4"/>
    <w:rsid w:val="007F6ADA"/>
    <w:rsid w:val="007F7389"/>
    <w:rsid w:val="007F79AA"/>
    <w:rsid w:val="00804EFB"/>
    <w:rsid w:val="00806906"/>
    <w:rsid w:val="00810002"/>
    <w:rsid w:val="008162E1"/>
    <w:rsid w:val="008229F9"/>
    <w:rsid w:val="008237C1"/>
    <w:rsid w:val="008331AD"/>
    <w:rsid w:val="00834DD9"/>
    <w:rsid w:val="008410DD"/>
    <w:rsid w:val="00842AE7"/>
    <w:rsid w:val="0085390A"/>
    <w:rsid w:val="00870AFC"/>
    <w:rsid w:val="008813BF"/>
    <w:rsid w:val="0089318B"/>
    <w:rsid w:val="00893A0F"/>
    <w:rsid w:val="008A2026"/>
    <w:rsid w:val="008A5B38"/>
    <w:rsid w:val="008A6353"/>
    <w:rsid w:val="008B2567"/>
    <w:rsid w:val="008C5BA6"/>
    <w:rsid w:val="008D1F37"/>
    <w:rsid w:val="008D34FA"/>
    <w:rsid w:val="008D6AB4"/>
    <w:rsid w:val="008E0438"/>
    <w:rsid w:val="008E7084"/>
    <w:rsid w:val="009107EE"/>
    <w:rsid w:val="009246EB"/>
    <w:rsid w:val="00925382"/>
    <w:rsid w:val="00926C51"/>
    <w:rsid w:val="00933F17"/>
    <w:rsid w:val="00934788"/>
    <w:rsid w:val="00951C98"/>
    <w:rsid w:val="00953AB4"/>
    <w:rsid w:val="00963C1B"/>
    <w:rsid w:val="009676EB"/>
    <w:rsid w:val="0097250B"/>
    <w:rsid w:val="009755CC"/>
    <w:rsid w:val="00980031"/>
    <w:rsid w:val="00985AF5"/>
    <w:rsid w:val="00997531"/>
    <w:rsid w:val="009A15D7"/>
    <w:rsid w:val="009A7B1D"/>
    <w:rsid w:val="009C0103"/>
    <w:rsid w:val="009C652C"/>
    <w:rsid w:val="009C6E12"/>
    <w:rsid w:val="009C7814"/>
    <w:rsid w:val="009D1FF3"/>
    <w:rsid w:val="009D3C13"/>
    <w:rsid w:val="009D6E66"/>
    <w:rsid w:val="009F252D"/>
    <w:rsid w:val="009F273A"/>
    <w:rsid w:val="009F4F83"/>
    <w:rsid w:val="009F6440"/>
    <w:rsid w:val="00A002DA"/>
    <w:rsid w:val="00A01A4E"/>
    <w:rsid w:val="00A0593A"/>
    <w:rsid w:val="00A21D62"/>
    <w:rsid w:val="00A2392C"/>
    <w:rsid w:val="00A37588"/>
    <w:rsid w:val="00A3774F"/>
    <w:rsid w:val="00A442D1"/>
    <w:rsid w:val="00A532C2"/>
    <w:rsid w:val="00A53422"/>
    <w:rsid w:val="00A560C2"/>
    <w:rsid w:val="00A568E7"/>
    <w:rsid w:val="00A56BCA"/>
    <w:rsid w:val="00A63062"/>
    <w:rsid w:val="00A70B8F"/>
    <w:rsid w:val="00A722B7"/>
    <w:rsid w:val="00A84C74"/>
    <w:rsid w:val="00A85AB6"/>
    <w:rsid w:val="00A87011"/>
    <w:rsid w:val="00A87721"/>
    <w:rsid w:val="00A904DD"/>
    <w:rsid w:val="00A91A6F"/>
    <w:rsid w:val="00A92206"/>
    <w:rsid w:val="00AA4705"/>
    <w:rsid w:val="00AA4941"/>
    <w:rsid w:val="00AB4C0D"/>
    <w:rsid w:val="00AB7B4D"/>
    <w:rsid w:val="00AC1632"/>
    <w:rsid w:val="00AC7F73"/>
    <w:rsid w:val="00AD1A80"/>
    <w:rsid w:val="00AD5FF2"/>
    <w:rsid w:val="00AE33B6"/>
    <w:rsid w:val="00AE529E"/>
    <w:rsid w:val="00AE5414"/>
    <w:rsid w:val="00B135C7"/>
    <w:rsid w:val="00B14EA6"/>
    <w:rsid w:val="00B26B66"/>
    <w:rsid w:val="00B35766"/>
    <w:rsid w:val="00B416EA"/>
    <w:rsid w:val="00B4319F"/>
    <w:rsid w:val="00B448BE"/>
    <w:rsid w:val="00B47548"/>
    <w:rsid w:val="00B60CA0"/>
    <w:rsid w:val="00B63EAF"/>
    <w:rsid w:val="00B73AF9"/>
    <w:rsid w:val="00B75B39"/>
    <w:rsid w:val="00B76660"/>
    <w:rsid w:val="00B76911"/>
    <w:rsid w:val="00B8075C"/>
    <w:rsid w:val="00B853DF"/>
    <w:rsid w:val="00B87D6C"/>
    <w:rsid w:val="00B90A40"/>
    <w:rsid w:val="00B937C2"/>
    <w:rsid w:val="00B949FC"/>
    <w:rsid w:val="00BA1276"/>
    <w:rsid w:val="00BA3260"/>
    <w:rsid w:val="00BC6488"/>
    <w:rsid w:val="00BC75DC"/>
    <w:rsid w:val="00BD0ADA"/>
    <w:rsid w:val="00BD7518"/>
    <w:rsid w:val="00BE5C0A"/>
    <w:rsid w:val="00BF1904"/>
    <w:rsid w:val="00BF1E08"/>
    <w:rsid w:val="00BF23B4"/>
    <w:rsid w:val="00BF2C8B"/>
    <w:rsid w:val="00BF79BE"/>
    <w:rsid w:val="00C01A09"/>
    <w:rsid w:val="00C06BCA"/>
    <w:rsid w:val="00C11106"/>
    <w:rsid w:val="00C165F2"/>
    <w:rsid w:val="00C16689"/>
    <w:rsid w:val="00C16FCD"/>
    <w:rsid w:val="00C249EC"/>
    <w:rsid w:val="00C31CE2"/>
    <w:rsid w:val="00C42337"/>
    <w:rsid w:val="00C50624"/>
    <w:rsid w:val="00C576E1"/>
    <w:rsid w:val="00C620CA"/>
    <w:rsid w:val="00C64D96"/>
    <w:rsid w:val="00C656B0"/>
    <w:rsid w:val="00C75D78"/>
    <w:rsid w:val="00C770E9"/>
    <w:rsid w:val="00C92ED4"/>
    <w:rsid w:val="00C9773F"/>
    <w:rsid w:val="00CB178B"/>
    <w:rsid w:val="00CC25EE"/>
    <w:rsid w:val="00CC4431"/>
    <w:rsid w:val="00CD222A"/>
    <w:rsid w:val="00CD38C7"/>
    <w:rsid w:val="00CD3D0C"/>
    <w:rsid w:val="00CE2ABE"/>
    <w:rsid w:val="00CF186F"/>
    <w:rsid w:val="00CF2AF0"/>
    <w:rsid w:val="00D01D2A"/>
    <w:rsid w:val="00D0441E"/>
    <w:rsid w:val="00D116FE"/>
    <w:rsid w:val="00D144F1"/>
    <w:rsid w:val="00D16530"/>
    <w:rsid w:val="00D176DA"/>
    <w:rsid w:val="00D2055E"/>
    <w:rsid w:val="00D21267"/>
    <w:rsid w:val="00D25A96"/>
    <w:rsid w:val="00D32742"/>
    <w:rsid w:val="00D32F2B"/>
    <w:rsid w:val="00D401E1"/>
    <w:rsid w:val="00D41721"/>
    <w:rsid w:val="00D44789"/>
    <w:rsid w:val="00D50F34"/>
    <w:rsid w:val="00D51FB1"/>
    <w:rsid w:val="00D60B5F"/>
    <w:rsid w:val="00D63FEF"/>
    <w:rsid w:val="00D70610"/>
    <w:rsid w:val="00D871E4"/>
    <w:rsid w:val="00DA0B5F"/>
    <w:rsid w:val="00DA185C"/>
    <w:rsid w:val="00DA373C"/>
    <w:rsid w:val="00DA3FC6"/>
    <w:rsid w:val="00DA7FC5"/>
    <w:rsid w:val="00DB5CB1"/>
    <w:rsid w:val="00DB6A50"/>
    <w:rsid w:val="00DC2371"/>
    <w:rsid w:val="00DC3921"/>
    <w:rsid w:val="00DD213E"/>
    <w:rsid w:val="00DD6910"/>
    <w:rsid w:val="00DD7259"/>
    <w:rsid w:val="00DE1DA5"/>
    <w:rsid w:val="00DF2A02"/>
    <w:rsid w:val="00E07DD4"/>
    <w:rsid w:val="00E14DCF"/>
    <w:rsid w:val="00E168B5"/>
    <w:rsid w:val="00E23926"/>
    <w:rsid w:val="00E408CA"/>
    <w:rsid w:val="00E43B11"/>
    <w:rsid w:val="00E44716"/>
    <w:rsid w:val="00E45BA9"/>
    <w:rsid w:val="00E52074"/>
    <w:rsid w:val="00E54634"/>
    <w:rsid w:val="00E57B4A"/>
    <w:rsid w:val="00E62843"/>
    <w:rsid w:val="00E7000C"/>
    <w:rsid w:val="00E74543"/>
    <w:rsid w:val="00E775DE"/>
    <w:rsid w:val="00E80B07"/>
    <w:rsid w:val="00E82DF8"/>
    <w:rsid w:val="00E82FD2"/>
    <w:rsid w:val="00E92896"/>
    <w:rsid w:val="00E9516F"/>
    <w:rsid w:val="00EA51B2"/>
    <w:rsid w:val="00EA6FA2"/>
    <w:rsid w:val="00EA76D2"/>
    <w:rsid w:val="00EC3B31"/>
    <w:rsid w:val="00EE263B"/>
    <w:rsid w:val="00EF4105"/>
    <w:rsid w:val="00F102BB"/>
    <w:rsid w:val="00F1280E"/>
    <w:rsid w:val="00F141EF"/>
    <w:rsid w:val="00F33BC6"/>
    <w:rsid w:val="00F450A5"/>
    <w:rsid w:val="00F55F09"/>
    <w:rsid w:val="00F60AF0"/>
    <w:rsid w:val="00F64B72"/>
    <w:rsid w:val="00F729EB"/>
    <w:rsid w:val="00F741C0"/>
    <w:rsid w:val="00F74EC6"/>
    <w:rsid w:val="00F77873"/>
    <w:rsid w:val="00F82369"/>
    <w:rsid w:val="00F8715F"/>
    <w:rsid w:val="00F96FB2"/>
    <w:rsid w:val="00FB0F0B"/>
    <w:rsid w:val="00FB7181"/>
    <w:rsid w:val="00FB77E9"/>
    <w:rsid w:val="00FC4741"/>
    <w:rsid w:val="00FC543B"/>
    <w:rsid w:val="00FD2AD6"/>
    <w:rsid w:val="00FD2B95"/>
    <w:rsid w:val="00FD3343"/>
    <w:rsid w:val="00FD6EBE"/>
    <w:rsid w:val="00FE2A72"/>
    <w:rsid w:val="00FE2E62"/>
    <w:rsid w:val="00FF1BB2"/>
    <w:rsid w:val="00FF6F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CA414"/>
  <w15:chartTrackingRefBased/>
  <w15:docId w15:val="{187320C5-5AB1-4685-891C-A53EE0C97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5B19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uiPriority w:val="9"/>
    <w:semiHidden/>
    <w:unhideWhenUsed/>
    <w:qFormat/>
    <w:rsid w:val="005B19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uiPriority w:val="9"/>
    <w:semiHidden/>
    <w:unhideWhenUsed/>
    <w:qFormat/>
    <w:rsid w:val="005B195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uiPriority w:val="9"/>
    <w:semiHidden/>
    <w:unhideWhenUsed/>
    <w:qFormat/>
    <w:rsid w:val="005B195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uiPriority w:val="9"/>
    <w:semiHidden/>
    <w:unhideWhenUsed/>
    <w:qFormat/>
    <w:rsid w:val="005B195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uiPriority w:val="9"/>
    <w:semiHidden/>
    <w:unhideWhenUsed/>
    <w:qFormat/>
    <w:rsid w:val="005B195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uiPriority w:val="9"/>
    <w:semiHidden/>
    <w:unhideWhenUsed/>
    <w:qFormat/>
    <w:rsid w:val="005B195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uiPriority w:val="9"/>
    <w:semiHidden/>
    <w:unhideWhenUsed/>
    <w:qFormat/>
    <w:rsid w:val="005B195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uiPriority w:val="9"/>
    <w:semiHidden/>
    <w:unhideWhenUsed/>
    <w:qFormat/>
    <w:rsid w:val="005B195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PargrafodaLista">
    <w:name w:val="List Paragraph"/>
    <w:basedOn w:val="Normal"/>
    <w:uiPriority w:val="34"/>
    <w:qFormat/>
    <w:rsid w:val="005B1958"/>
    <w:pPr>
      <w:ind w:left="720"/>
      <w:contextualSpacing/>
    </w:pPr>
  </w:style>
  <w:style w:type="character" w:styleId="nfaseIntensa">
    <w:name w:val="Intense Emphasis"/>
    <w:basedOn w:val="Fontepargpadro"/>
    <w:uiPriority w:val="21"/>
    <w:qFormat/>
    <w:rsid w:val="005B1958"/>
    <w:rPr>
      <w:i/>
      <w:iCs/>
      <w:color w:val="0F4761" w:themeColor="accent1" w:themeShade="BF"/>
    </w:rPr>
  </w:style>
  <w:style w:type="character" w:styleId="RefernciaIntensa">
    <w:name w:val="Intense Reference"/>
    <w:basedOn w:val="Fontepargpadro"/>
    <w:uiPriority w:val="32"/>
    <w:qFormat/>
    <w:rsid w:val="005B1958"/>
    <w:rPr>
      <w:b/>
      <w:bCs/>
      <w:smallCaps/>
      <w:color w:val="0F4761" w:themeColor="accent1" w:themeShade="BF"/>
      <w:spacing w:val="5"/>
    </w:rPr>
  </w:style>
  <w:style w:type="character" w:styleId="Hyperlink">
    <w:name w:val="Hyperlink"/>
    <w:basedOn w:val="Fontepargpadro"/>
    <w:uiPriority w:val="99"/>
    <w:unhideWhenUsed/>
    <w:rsid w:val="005B1958"/>
    <w:rPr>
      <w:color w:val="467886" w:themeColor="hyperlink"/>
      <w:u w:val="single"/>
    </w:rPr>
  </w:style>
  <w:style w:type="character" w:styleId="MenoPendente">
    <w:name w:val="Unresolved Mention"/>
    <w:basedOn w:val="Fontepargpadro"/>
    <w:uiPriority w:val="99"/>
    <w:semiHidden/>
    <w:unhideWhenUsed/>
    <w:rsid w:val="005B1958"/>
    <w:rPr>
      <w:color w:val="605E5C"/>
      <w:shd w:val="clear" w:color="auto" w:fill="E1DFDD"/>
    </w:rPr>
  </w:style>
  <w:style w:type="paragraph" w:styleId="NormalWeb">
    <w:name w:val="Normal (Web)"/>
    <w:basedOn w:val="Normal"/>
    <w:uiPriority w:val="99"/>
    <w:semiHidden/>
    <w:unhideWhenUsed/>
    <w:rsid w:val="00963C1B"/>
    <w:rPr>
      <w:rFonts w:ascii="Times New Roman" w:hAnsi="Times New Roman" w:cs="Times New Roman"/>
      <w:sz w:val="24"/>
      <w:szCs w:val="24"/>
    </w:rPr>
  </w:style>
  <w:style w:type="character" w:customStyle="1" w:styleId="Ttulo1Char">
    <w:name w:val="Título 1 Char"/>
    <w:basedOn w:val="Fontepargpadro"/>
    <w:uiPriority w:val="9"/>
    <w:rsid w:val="00A2392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uiPriority w:val="9"/>
    <w:semiHidden/>
    <w:rsid w:val="00A2392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uiPriority w:val="9"/>
    <w:semiHidden/>
    <w:rsid w:val="00A2392C"/>
    <w:rPr>
      <w:rFonts w:eastAsiaTheme="majorEastAsia" w:cstheme="majorBidi"/>
      <w:color w:val="0F4761" w:themeColor="accent1" w:themeShade="BF"/>
      <w:sz w:val="28"/>
      <w:szCs w:val="28"/>
    </w:rPr>
  </w:style>
  <w:style w:type="character" w:customStyle="1" w:styleId="Ttulo4Char">
    <w:name w:val="Título 4 Char"/>
    <w:basedOn w:val="Fontepargpadro"/>
    <w:uiPriority w:val="9"/>
    <w:semiHidden/>
    <w:rsid w:val="00A2392C"/>
    <w:rPr>
      <w:rFonts w:eastAsiaTheme="majorEastAsia" w:cstheme="majorBidi"/>
      <w:i/>
      <w:iCs/>
      <w:color w:val="0F4761" w:themeColor="accent1" w:themeShade="BF"/>
    </w:rPr>
  </w:style>
  <w:style w:type="character" w:customStyle="1" w:styleId="Ttulo5Char">
    <w:name w:val="Título 5 Char"/>
    <w:basedOn w:val="Fontepargpadro"/>
    <w:uiPriority w:val="9"/>
    <w:semiHidden/>
    <w:rsid w:val="00A2392C"/>
    <w:rPr>
      <w:rFonts w:eastAsiaTheme="majorEastAsia" w:cstheme="majorBidi"/>
      <w:color w:val="0F4761" w:themeColor="accent1" w:themeShade="BF"/>
    </w:rPr>
  </w:style>
  <w:style w:type="character" w:customStyle="1" w:styleId="Ttulo6Char">
    <w:name w:val="Título 6 Char"/>
    <w:basedOn w:val="Fontepargpadro"/>
    <w:uiPriority w:val="9"/>
    <w:semiHidden/>
    <w:rsid w:val="00A2392C"/>
    <w:rPr>
      <w:rFonts w:eastAsiaTheme="majorEastAsia" w:cstheme="majorBidi"/>
      <w:i/>
      <w:iCs/>
      <w:color w:val="595959" w:themeColor="text1" w:themeTint="A6"/>
    </w:rPr>
  </w:style>
  <w:style w:type="character" w:customStyle="1" w:styleId="Ttulo7Char">
    <w:name w:val="Título 7 Char"/>
    <w:basedOn w:val="Fontepargpadro"/>
    <w:uiPriority w:val="9"/>
    <w:semiHidden/>
    <w:rsid w:val="00A2392C"/>
    <w:rPr>
      <w:rFonts w:eastAsiaTheme="majorEastAsia" w:cstheme="majorBidi"/>
      <w:color w:val="595959" w:themeColor="text1" w:themeTint="A6"/>
    </w:rPr>
  </w:style>
  <w:style w:type="character" w:customStyle="1" w:styleId="Ttulo8Char">
    <w:name w:val="Título 8 Char"/>
    <w:basedOn w:val="Fontepargpadro"/>
    <w:uiPriority w:val="9"/>
    <w:semiHidden/>
    <w:rsid w:val="00A2392C"/>
    <w:rPr>
      <w:rFonts w:eastAsiaTheme="majorEastAsia" w:cstheme="majorBidi"/>
      <w:i/>
      <w:iCs/>
      <w:color w:val="272727" w:themeColor="text1" w:themeTint="D8"/>
    </w:rPr>
  </w:style>
  <w:style w:type="character" w:customStyle="1" w:styleId="Ttulo9Char">
    <w:name w:val="Título 9 Char"/>
    <w:basedOn w:val="Fontepargpadro"/>
    <w:uiPriority w:val="9"/>
    <w:semiHidden/>
    <w:rsid w:val="00A2392C"/>
    <w:rPr>
      <w:rFonts w:eastAsiaTheme="majorEastAsia" w:cstheme="majorBidi"/>
      <w:color w:val="272727" w:themeColor="text1" w:themeTint="D8"/>
    </w:rPr>
  </w:style>
  <w:style w:type="character" w:customStyle="1" w:styleId="TtuloChar">
    <w:name w:val="Título Char"/>
    <w:basedOn w:val="Fontepargpadro"/>
    <w:uiPriority w:val="10"/>
    <w:rsid w:val="00A2392C"/>
    <w:rPr>
      <w:rFonts w:asciiTheme="majorHAnsi" w:eastAsiaTheme="majorEastAsia" w:hAnsiTheme="majorHAnsi" w:cstheme="majorBidi"/>
      <w:spacing w:val="-10"/>
      <w:kern w:val="28"/>
      <w:sz w:val="56"/>
      <w:szCs w:val="56"/>
    </w:rPr>
  </w:style>
  <w:style w:type="character" w:customStyle="1" w:styleId="SubttuloChar">
    <w:name w:val="Subtítulo Char"/>
    <w:basedOn w:val="Fontepargpadro"/>
    <w:uiPriority w:val="11"/>
    <w:rsid w:val="00A2392C"/>
    <w:rPr>
      <w:rFonts w:eastAsiaTheme="majorEastAsia" w:cstheme="majorBidi"/>
      <w:color w:val="595959" w:themeColor="text1" w:themeTint="A6"/>
      <w:spacing w:val="15"/>
      <w:sz w:val="28"/>
      <w:szCs w:val="28"/>
    </w:rPr>
  </w:style>
  <w:style w:type="character" w:customStyle="1" w:styleId="CitaoChar">
    <w:name w:val="Citação Char"/>
    <w:basedOn w:val="Fontepargpadro"/>
    <w:uiPriority w:val="29"/>
    <w:rsid w:val="00A2392C"/>
    <w:rPr>
      <w:i/>
      <w:iCs/>
      <w:color w:val="404040" w:themeColor="text1" w:themeTint="BF"/>
    </w:rPr>
  </w:style>
  <w:style w:type="character" w:customStyle="1" w:styleId="CitaoIntensaChar">
    <w:name w:val="Citação Intensa Char"/>
    <w:basedOn w:val="Fontepargpadro"/>
    <w:uiPriority w:val="30"/>
    <w:rsid w:val="00A2392C"/>
    <w:rPr>
      <w:i/>
      <w:iCs/>
      <w:color w:val="0F4761" w:themeColor="accent1" w:themeShade="BF"/>
    </w:rPr>
  </w:style>
  <w:style w:type="character" w:customStyle="1" w:styleId="RodapChar">
    <w:name w:val="Rodapé Char"/>
    <w:basedOn w:val="Fontepargpadro"/>
    <w:uiPriority w:val="99"/>
    <w:rsid w:val="00A2392C"/>
  </w:style>
  <w:style w:type="character" w:customStyle="1" w:styleId="CabealhoChar">
    <w:name w:val="Cabeçalho Char"/>
    <w:basedOn w:val="Fontepargpadro"/>
    <w:uiPriority w:val="99"/>
    <w:semiHidden/>
    <w:rsid w:val="00A2392C"/>
  </w:style>
  <w:style w:type="character" w:customStyle="1" w:styleId="CabealhoChar1">
    <w:name w:val="Cabeçalho Char1"/>
    <w:basedOn w:val="Fontepargpadro"/>
    <w:uiPriority w:val="99"/>
    <w:semiHidden/>
    <w:rsid w:val="00B4319F"/>
  </w:style>
  <w:style w:type="character" w:customStyle="1" w:styleId="RodapChar1">
    <w:name w:val="Rodapé Char1"/>
    <w:basedOn w:val="Fontepargpadro"/>
    <w:uiPriority w:val="99"/>
    <w:semiHidden/>
    <w:rsid w:val="00B43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8069E5F1C8E1B4AAE979D138906DC23" ma:contentTypeVersion="19" ma:contentTypeDescription="Crie um novo documento." ma:contentTypeScope="" ma:versionID="5319134244eb23d075e93de82309000b">
  <xsd:schema xmlns:xsd="http://www.w3.org/2001/XMLSchema" xmlns:xs="http://www.w3.org/2001/XMLSchema" xmlns:p="http://schemas.microsoft.com/office/2006/metadata/properties" xmlns:ns2="14e70520-521b-4bb6-bf67-d1190c08a62d" xmlns:ns3="82cc9ce4-c62e-436d-a02d-ca92d198819c" targetNamespace="http://schemas.microsoft.com/office/2006/metadata/properties" ma:root="true" ma:fieldsID="6bf672c2616aae67b4a300b9c46055b9" ns2:_="" ns3:_="">
    <xsd:import namespace="14e70520-521b-4bb6-bf67-d1190c08a62d"/>
    <xsd:import namespace="82cc9ce4-c62e-436d-a02d-ca92d198819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e70520-521b-4bb6-bf67-d1190c08a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Marcações de imagem" ma:readOnly="false" ma:fieldId="{5cf76f15-5ced-4ddc-b409-7134ff3c332f}" ma:taxonomyMulti="true" ma:sspId="7073ee57-0318-4912-9342-e66ac4d10c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cc9ce4-c62e-436d-a02d-ca92d198819c" elementFormDefault="qualified">
    <xsd:import namespace="http://schemas.microsoft.com/office/2006/documentManagement/types"/>
    <xsd:import namespace="http://schemas.microsoft.com/office/infopath/2007/PartnerControls"/>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element name="TaxCatchAll" ma:index="23" nillable="true" ma:displayName="Taxonomy Catch All Column" ma:hidden="true" ma:list="{dc864606-872c-4971-bb72-7c252092f4f1}" ma:internalName="TaxCatchAll" ma:showField="CatchAllData" ma:web="82cc9ce4-c62e-436d-a02d-ca92d19881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e70520-521b-4bb6-bf67-d1190c08a62d">
      <Terms xmlns="http://schemas.microsoft.com/office/infopath/2007/PartnerControls"/>
    </lcf76f155ced4ddcb4097134ff3c332f>
    <TaxCatchAll xmlns="82cc9ce4-c62e-436d-a02d-ca92d198819c" xsi:nil="true"/>
  </documentManagement>
</p:properties>
</file>

<file path=customXml/item4.xml><?xml version="1.0" encoding="utf-8"?>
<storedTranscription xmlns="http://schemas.microsoft.com/office/transcription/2022">{"storageType":"DocumentXmlStorage","descriptor":{"transcription":{"transcriptSegments":[{"text":"Antes de começarmos, para aquele inscrição de tradução, a ferramenta está disponível na plataforma.","language":"pt","start":3.04,"end":7.84,"speakerId":0},{"text":"Por favor, clique no botão de interpretação na parte inferior da tela e escolha o idioma de sua preferência.","language":"pt","start":7.84,"end":14.84,"speakerId":0},{"text":"Você também pode preferir mutar ou desmutar o áudio original clicando no Unmute original audio button.","language":"pt","start":14.84,"end":23.16,"speakerId":0},{"text":"Bom dia, sejam bem-vindos ao webinar de Localize com referente aos resultados do quarto","language":"pt","start":23.599999999999998,"end":28.479999999999997,"speakerId":0},{"text":"trimestre do ano de 2025.","language":"pt","start":28.919999999999998,"end":30.2,"speakerId":0},{"text":"Estão presentes conosco Bruno Lazanski, nosso CEO, Rodrigo Tavares, CFO e Nora Lanari, diretora de Relações de Investimentores.","language":"pt","start":30.2,"end":40.16,"speakerId":0},{"text":"Informamos que esse webinário está sendo gravado e está disponibilizado no ri.localiza.com, onde se encontra disponível o material completo da divulgação de resultados.","language":"pt","start":40.36,"end":50.239999999999995,"speakerId":0},{"text":"A apresentação também está disponível para download no site da RI.","language":"pt","start":50.239999999999995,"end":53.519999999999996,"speakerId":0},{"text":"Para a sessão de perguntas e respostas para analistas e investidores,","language":"pt","start":54,"end":57.04,"speakerId":0},{"text":"Orientamos que sinalize o seu endereço para participar no ícone de Q&amp;A, no botão inferior da tela, digitando o seu nome \"Instituição Idiona\".","language":"pt","start":57.559999999999995,"end":67.19999999999999,"speakerId":0},{"text":"Ao ser chamado, uma solicitação para ativar o seu microfone aparecer na tela.","language":"pt","start":68.32,"end":72.32,"speakerId":0},{"text":"Para enviar perguntas por escrito, utilize o ícone de Q&amp;A no botão inferior das suas telas e preencha o nome \"Instituição\" antes da pergunta.","language":"pt","start":72.8,"end":80.64,"speakerId":0},{"text":"Informamos que os valores dessa apresentação estão em milhões de reais e em","language":"pt","start":80.96,"end":85.67999999999999,"speakerId":0},{"text":"Ressaltamos que as informações contidas nessa apresentação e eventuais declarações que possam ser feitas durante a videoconferência, relativas às perspectivas de negócios, projeções e metas operacionais e financeiras da Localiza, consistem em crenças e premissas da administração da companhia, bem como em informações atualmente disponíveis.","language":"pt","start":86.16,"end":108.64,"speakerId":0},{"text":"Considerações futuras não são garantias de desempenho.","language":"pt","start":109.36,"end":112.08,"speakerId":0},{"text":"Elas envolvem riscos, incertezas e premissas,","language":"pt","start":112.39999999999999,"end":115.03999999999999,"speakerId":0},{"text":"pois se referem a eventos futuros e, portanto, dependem de circunstâncias que possam ou não ocorrer.","language":"pt","start":115.72,"end":121.84,"speakerId":0},{"text":"Agora, passarei a palavra ao Bruno Lazanski, nosso CEO, para começar a apresentação.","language":"pt","start":122.32,"end":127.96,"speakerId":0},{"text":"Bom dia a todos e obrigado por estarem conosco hoje.","language":"pt","start":128.96,"end":133.12,"speakerId":0},{"text":"O ano de 2025 foi marcado pela execução consistente das nossas prioridades estratégicas, com avanços relevantes em todas as frentes.","language":"pt","start":133.68,"end":142.32,"speakerId":0},{"text":"As decisões tomadas ao longo do período reforçam nossa capacidade de adaptação e gerar valor, evidenciando a disciplina de execução da companhia e a solidez do nosso modelo de negócios.","language":"pt","start":142.76,"end":155.84,"speakerId":0},{"text":"Em aluguel, seguimos o processo de recomposição da diária média do ano, com avanço de 8,4% no aluguel de carros e 9,6% em gestão de frotas.","language":"pt","start":156.56,"end":168.8,"speakerId":0},{"text":"Como resultado, receita líquida","language":"pt","start":170.56,"end":172.48,"speakerId":0},{"text":"do aluguel alcança US$ 19,6 bilhões, crescimento de US$ 1,5 bilhão em relação a 2024.","language":"pt","start":172.79999999999998,"end":180.88,"speakerId":0},{"text":"Ambas as divisões de negócios registraram aumento de taxas de utilização da frota e redução nas linhas de custos, especialmente em manutenção e roubo, explicado pela maior escala de compra de peças e avanços nas competências de prevenção à fraude e recuperação de ativos.","language":"pt","start":180.88,"end":198.72,"speakerId":0},{"text":"Como resultado, encerramos o ano","language":"pt","start":199.12,"end":201.20000000000002,"speakerId":0},{"text":"com uma margem EBITDA de 67% no aluguel de carros, comparado com 62% em 2024 e 72,6% em gestão de frotas, comparado com 66,8% em 2024.","language":"pt","start":201.56,"end":217.16,"speakerId":0},{"text":"No quarto trimestre de 2025, registramos margem de 68,6% de RAC e 76,2% em gestão de frota.","language":"pt","start":218.07999999999998,"end":228.07999999999998,"speakerId":0},{"text":"Em 2025, continuamos a otimizar a alocação de capital em gestão de frotas, reduzindo de forma significativa a exposição a veículos de uso severo de R$ 31 mil para 18 mil ativos e melhorando a rentabilidade dos contratos remanescentes.","language":"pt","start":229.48,"end":247.67999999999998,"speakerId":0},{"text":"Seguiremos essa trajetória ao longo de 2026, com expectativa de encerrar o ano com menos de 10 mil unidades desse perfil e um","language":"pt","start":248.23999999999998,"end":258.64,"speakerId":0},{"text":"spread dentro da faixa alvo da empresa.","language":"pt","start":259.36,"end":262,"speakerId":0},{"text":"Parte relevante do capital liberado foi alocada nos segmentos priorizados de veículos leves e carros por assinatura, que registraram um aumento de 17% em receita no ano de 2025.","language":"pt","start":262.88,"end":276.56,"speakerId":0},{"text":"Em seminovos, foram vendidos mais de 296 mil veículos no ano, avanço de 5,9% na comparação anual,","language":"pt","start":276.56,"end":286.96,"speakerId":0},{"text":"contribuindo para alcançarmos a receita líquida de 22,2 bilhões, 15,6% superior a 2024.","language":"pt","start":287.4,"end":295.4,"speakerId":0},{"text":"Ao longo do ano, ampliamos a rede de seminovos com abertura de 21 lojas e direcionamos esforços para o aumento de produtividade das equipes de varejo e atacado, o que resulta em aceleração de vendas no último trimestre do ano.","language":"pt","start":295.68,"end":311.68,"speakerId":0},{"text":"Encerramos o","language":"pt","start":312.44,"end":313.84,"speakerId":0},{"text":"com venda superior a 77 mil carros, avanço de 7,8% comparado com o ano anterior, estabelecendo um recorde trimestral e atingindo um ritmo anualizado de aproximadamente 310 mil carros.","language":"pt","start":316.08,"end":331.91999999999996,"speakerId":0},{"text":"Esse desempenho evidencia o avanço consistente de seminovos, mesmo em um contexto de retração nas vendas de veículos novos no varejo, que recuaram 2,4%","language":"pt","start":332.47999999999996,"end":344.84,"speakerId":0},{"text":"em 2025.","language":"pt","start":345.03999999999996,"end":345.87999999999994,"speakerId":0},{"text":"No início de 2026, manteve a trajetória positiva.","language":"pt","start":347.2,"end":351.03999999999996,"speakerId":0},{"text":"Até o momento, a empresa manteve o ritmo de vendas de aproximadamente 59 mil veículos comercializados nos dois primeiros meses do ano, representando um crescimento de cerca de 15% com relação ao mesmo período em 2025.","language":"pt","start":351.44,"end":367.96,"speakerId":0},{"text":"Seguimos protagonizando de forma consistente a inovação nas","language":"pt","start":369.28,"end":373.96,"speakerId":0},{"text":"na experiência dos nossos clientes por meio de conveniência, digitalização e excelência operacional, ampliando ainda mais o diferencial de satisfação.","language":"pt","start":374.52,"end":383.35999999999996,"speakerId":0},{"text":"Para citar alguns avanços, em aluguel de carros, expandimos a frota e o número de agências que oferecem retirada digital, superando a marca de 1,1 milhões de contratos fast no ano.","language":"pt","start":383.91999999999996,"end":397.67999999999995,"speakerId":0},{"text":"Além disso, intensificamos o uso de inteligência artificial em toda a plataforma, com destaque","language":"pt","start":398.15999999999997,"end":403.76,"speakerId":0},{"text":"para a Lisa, nossa assistente virtual, que conduz a jornada de reserva dos clientes por meio do chat, trazendo aumento de produtividade, agilidade e resolutividade com NPS superior a 85.","language":"pt","start":403.84,"end":416.64,"speakerId":0},{"text":"Em gestão de frotas e a Localiza Meu, seguimos acelerando a evolução das jornadas fiscais e digitais para entregar uma experiência superior, com mais conveniência para o cliente","language":"pt","start":416.64,"end":430.8,"speakerId":0},{"text":"e os de eficiência operacional.","language":"pt","start":431.28,"end":432.71999999999997,"speakerId":0},{"text":"No Localiza Meu, o uso de IA impulsionou a qualidade, performance do time comercial e de pós-vendas, impactando positivamente o NPS e fortalecendo a experiência do cliente.","language":"pt","start":432.71999999999997,"end":442.32,"speakerId":0},{"text":"Além disso, evoluizou ainda mais o aplicativo Localiza Meu, com a inclusão de ferramentas de agendamento de revisão, monitoramento em tempo real e consumo de quilometragem e gestão de pagamentos.","language":"pt","start":442.71999999999997,"end":456.08,"speakerId":0},{"text":"Adicionalmente, expandimos a rede de pitstops.","language":"pt","start":456.32,"end":459.76,"speakerId":0},{"text":"Uma inovação da Localize, introduzida em 2019, e expandimos o portfólio de serviços, aumentando fluidez, previsibilidade e comodidade nos processos de manutenção preventiva e corretiva.","language":"pt","start":460.15999999999997,"end":473.67999999999995,"speakerId":0},{"text":"Em operações, evoluímos os processos em escala dos centros de desativação, assegurando maior velocidade, controle e qualidade, ao mesmo tempo em que reduzimos o custo de preparação dos veículos destinados à venda.","language":"pt","start":474.64,"end":488.71999999999997,"speakerId":0},{"text":"Em 2025, concluímos ainda a integração dos sistemas de gestão de frotas, consolidando operações, padronizando processos e viabilizando a captura de sinergias.","language":"pt","start":489.79999999999995,"end":502.71999999999997,"speakerId":0},{"text":"A integração sistêmica permite a incorporação de Locamérica e amortização de ágio tirado da fusão, com impacto positivo no imposto caixa do trimestre dos próximos anos.","language":"pt","start":502.96,"end":516.24,"speakerId":0},{"text":"Por fim, em novembro de 2025,","language":"pt","start":516.64,"end":518.48,"speakerId":0},{"text":"a companhia anunciou a venda de sua participação na Avon, uma plataforma de solução de viagens e despesas corporativas.","language":"pt","start":518.64,"end":526.96,"speakerId":0},{"text":"A transação, concluída em janeiro de 2026, representou um retorno de cerca de cinco vezes sobre o investimento pela companhia.","language":"pt","start":527.28,"end":535.52,"speakerId":0},{"text":"Começamos 2026 com uma sólida posição competitiva, preparados para capturar as oportunidades desse novo ciclo.","language":"pt","start":536.24,"end":543.36,"speakerId":0},{"text":"Nossas prioridades permanecem em concluir o processo de recomposição","language":"pt","start":543.68,"end":547.76,"speakerId":0},{"text":"os retornos aos patamares históricos.","language":"pt","start":548.0799999999999,"end":549.9999999999999,"speakerId":0},{"text":"Para isso, manteremos o foco em seminovos, com o objetivo de alcançar, ainda em 2026, o ritmo trimestral de vendas necessário para retornarmos ao ciclo de 15 meses no aluguel de carros.","language":"pt","start":550,"end":563.52,"speakerId":0},{"text":"À medida que avançamos na redução da idade e quilometragem média de venda, esperamos capturar ganhos adicionais de eficiência na operação de aluguel, com impacto positivo no ROI desta divisão","language":"pt","start":563.92,"end":577.04,"speakerId":0},{"text":"e potencial efeito favorável sobre o preço de locação.","language":"pt","start":577.68,"end":580.9599999999999,"speakerId":0},{"text":"Além disso, com os níveis de retorno de gestão de frotas e carro por assinatura dentro do alvo, ampliaremos o foco na agenda de crescimento de lançamento de soluções mais customizadas, expandindo o mercado endereçável.","language":"pt","start":581.8399999999999,"end":595.92,"speakerId":0},{"text":"Por fim, em 2026, aumentaremos o investimento na marca de agências e loja e evolução tecnológica.","language":"pt","start":596.0799999999999,"end":603.04,"speakerId":0},{"text":"com o foco na ampliação e nossa liderança e vantagens competitivas, sempre orientadas à criação de valor na visão de longo prazo.","language":"pt","start":604.4,"end":611.12,"speakerId":0},{"text":"Agradecemos aos nossos colaboradores, clientes, parceiros e acionistas pela confiança e compromisso ao longo do ano.","language":"pt","start":611.4,"end":617.36,"speakerId":0},{"text":"Seguimos com determinação, dedicação e construindo o Localiza e Co no futuro.","language":"pt","start":617.52,"end":622.0799999999999,"speakerId":0},{"text":"Vou passar a palavra ao nosso CIFO Rodrigo Tavares para uma visão geral dos resultados.","language":"pt","start":622.4,"end":628.56,"speakerId":0},{"text":"Obrigado, Bruno e bom dia a todos.","language":"pt","start":628.9599999999999,"end":631.3599999999999,"speakerId":0},{"text":"Os fortes avanços nos","language":"pt","start":631.92,"end":633.4399999999999,"speakerId":0},{"text":"Seis prioridades definidas para o ano, citadas pelo Bruno anteriormente, contribuíram a entrega de sólidos resultados.","language":"pt","start":634,"end":642.24,"speakerId":0},{"text":"Encerramos 2025 com receita líquida consolidada de R$ 41,8 bilhões, um crescimento de 12,1% na comparação anual.","language":"pt","start":642.4,"end":652,"speakerId":0},{"text":"O EBITDA atingiu R$ 13,8 bilhões, uma expansão de 15,4% em relação a 2024.","language":"pt","start":652.72,"end":660.12,"speakerId":0},{"text":"refletindo a composição de tarifas de aluguel, além de ganhos de produtividade e gestão eficiente de custos.","language":"pt","start":660.9599999999999,"end":667.5999999999999,"speakerId":0},{"text":"O lucro líquido ajustado somou R$ 3,2 bilhões no ano, enquanto o Roy Keno, por último trimestre de 2025, atingiu 15,5%, com spread de 5,5 pontos percentuais acima do custo da dívida.","language":"pt","start":668.24,"end":684.8,"speakerId":0},{"text":"Mesmo com a alíquota efetiva de imposto de renda mais elevada,","language":"pt","start":685.28,"end":689.28,"speakerId":0},{"text":"passada pela baixa do imposto de renda diferenciado do Lookamérica em 3 pontos percentuais.","language":"pt","start":690.04,"end":695.1999999999999,"speakerId":0},{"text":"Esse desempenho marca o retorno do spread da companhia, a sua faixa histórica de criação de valor e pavimenta o caminho para a evolução ao longo de 2026.","language":"pt","start":695.68,"end":704.76,"speakerId":0},{"text":"Esses avanços foram acompanhados por um aumento significativo na geração de caixa das atividades de aluguel que, somadas à redução de capex de renovação decorrente da melhora do mix e quilometragem média do","language":"pt","start":704.76,"end":719.36,"speakerId":0},{"text":"de venda totalizou US$ 6,3 bilhões antes do pagamento de juros em 2025, praticamente dobrando em relação a 2024.","language":"pt","start":719.8,"end":730.0799999999999,"speakerId":0},{"text":"Acima tivemos uma estrutura de capital equilibrada, com indicador de dívida líquida sobre valor de frota em 0,57 vezes, reforçando a robustez do nosso balanço e ampliando a flexibilidade financeira da companhia.","language":"pt","start":730.0799999999999,"end":745.28,"speakerId":0},{"text":"Com os níveis de retorno voltando à faixa histórica, a necessidade de repasse de braços em aluguéis de carros e gestão de frotas se torna mais moderada.","language":"pt","start":746.04,"end":754.48,"speakerId":0},{"text":"Seguimos diligente em nossa agenda de custo e eficiência, assim como na escalada de seminovos para rejuvenescimento da frota de aluguel.","language":"pt","start":754.9599999999999,"end":763.68,"speakerId":0},{"text":"Esses avanços, junto com a amortização diário do resultante da fusão, que reduz o imposto caixa, seguirão contribuindo para a geração de caixa e melhora dos indicadores de alavancagem da empresa.","language":"pt","start":764.0799999999999,"end":775.52,"speakerId":0},{"text":"Sustentados por uma estrutura de capital adequada e expectativa de resultados sólidos ao longo de 2026, temos a missão de concluir o processo de recomposição do ROIC/Spread.","language":"pt","start":776.0799999999999,"end":787.92,"speakerId":0},{"text":"Vou passar para a Nora Lanari, que vai apresentar os detalhes dos resultados do 4T 2025.","language":"pt","start":788.64,"end":795.04,"speakerId":0},{"text":"Obrigado, Rodrigo.","language":"pt","start":795.92,"end":797.04,"speakerId":0},{"text":"Entrando nos resultados dos resultados da página 2, começamos pela divisão de aluguel de carros no Brasil.","language":"pt","start":797.52,"end":802.8,"speakerId":0},{"text":"No 4T25, a receita líquida de divisão de aluguel atingiu R$ 2,8 bilhões, crescimento de 8,8% com relação a 2024, impulsionado pelo aumento de 1,8% no número de diárias e avanço na diária média.","language":"pt","start":803.3199999999999,"end":820.0799999999999,"speakerId":0},{"text":"Em 2025, a receita totalizou R$ 10,4 bilhões, crescimento de R$ 8,1%, refletindo principalmente a ampliação de área média com sucessão de volumes.","language":"pt","start":820.0799999999999,"end":832.8799999999999,"speakerId":0},{"text":"Passando para a página 3, apresentamos mais um trimestre de avanço da diária média que encerrou o período em R$ 156,8 milhões, crescimento de 6,3% e comparação anual.","language":"pt","start":833.3199999999999,"end":844.9599999999999,"speakerId":0},{"text":"A taxa de utilização atingiu 80,3% no trimestre.","language":"pt","start":845.36,"end":848.84,"speakerId":0},{"text":"Este desempenho reflete nosso foco contínuo em produtividade e recomposição dos níveis de retorno.","language":"pt","start":849.28,"end":854.8,"speakerId":0},{"text":"Encerramos 2025 com uma média diária de R$ 150,8, avanço de 8,4% e comparação anual.","language":"pt","start":855.16,"end":862.9599999999999,"speakerId":0},{"text":"taxa de utilização de 79,7%.","language":"pt","start":863.0799999999999,"end":864.92,"speakerId":0},{"text":"Passando para a página 4, trazemos o destaque para a divisão de gestão de frotas, que apresentou receita líquida de US$ 2,3 bilhões em 4T25, um aumento de 5,3% frente a 4T24.","language":"pt","start":864.92,"end":880.4399999999999,"speakerId":0},{"text":"A redução de volume no trimestre, quando comparada ao mesmo período do ano anterior, reflete principalmente a redução de exposição aos veículos de juros severo de 31 mil carros, que","language":"pt","start":880.8,"end":890.9599999999999,"speakerId":0},{"text":"Em 2024, menos de 18 mil carros.","language":"pt","start":892.4,"end":896.0799999999999,"speakerId":0},{"text":"Essa tendência virá em 2024 com maior impacto nos volumes.","language":"pt","start":896.9599999999999,"end":900.8,"speakerId":0},{"text":"Esperamos encerrar este ano com menos de 10 mil carros severo e nível de rentabilidade desses contratos dentro da faixa alvo da empresa.","language":"pt","start":901.04,"end":908.9599999999999,"speakerId":0},{"text":"Encerramos o ano 9,1 bilhões de receita líquida e um avanço de 8,6 com relação a 2024.","language":"pt","start":909.16,"end":915.3199999999999,"speakerId":0},{"text":"Indo para a página 5, apresentamos a diária média de R$ 106,00 nos","language":"pt","start":915.4,"end":920.9599999999999,"speakerId":0},{"text":"trimestre, um avanço de 8,4% quando comparados ao mesmo período do ano anterior.","language":"pt","start":921.36,"end":928.08,"speakerId":0},{"text":"Encerramos o ano com um diária média de 103,3%, 9,6% maior em relação a 2024 e ampliação da taxa de utilização.","language":"pt","start":928.0799999999999,"end":937.8399999999999,"speakerId":0},{"text":"Na página 6, apresentamos a evolução dos seminovos no Brasil.","language":"pt","start":938.4799999999999,"end":942.3999999999999,"speakerId":0},{"text":"No 4T25, atingimos novo recorde de vendas de seminovos, com 77,358 mil veículos","language":"pt","start":943.4399999999999,"end":951.16,"speakerId":0},{"text":"os vendidos, mesmo com um trimestre sazonalmente com menos atividade.","language":"pt","start":951.24,"end":956.6,"speakerId":0},{"text":"A receita líquida do trimestre foi R$ 5,8 bilhões, alta de 15,6% em relação ao 2024.","language":"pt","start":956.5999999999999,"end":966.4799999999999,"speakerId":0},{"text":"No ano, vendemos 296.92 carros, totalizando R$ 22,1 bilhões em receita líquida, crescimento de 15,1% na comparação anual.","language":"pt","start":966.64,"end":976,"speakerId":0},{"text":"O trimestre foi marcado por avanços importantes","language":"pt","start":977.04,"end":980.3199999999999,"speakerId":0},{"text":"produtividade por vendedor, geração e conversão de leads, bem como otimização de vendas no atacado.","language":"pt","start":981.3599999999999,"end":988.4799999999999,"speakerId":0},{"text":"Alavancas essenciais para alcançarmos o ritmo de venda necessário para concluirmos os processos de rejuvenescimento de frota.","language":"pt","start":988.7199999999999,"end":995.04,"speakerId":0},{"text":"Na página 7, apresentamos a evolução de quilometragem média de carros vendidos.","language":"pt","start":995.76,"end":1000.24,"speakerId":0},{"text":"A empresa segue avançando na redução de quilometro médio de vendas, especialmente no atacado, o que contribuiu para a evolução de preços de vendas e redução de custos de manutenção e preparação.","language":"pt","start":1000.24,"end":1010.16,"speakerId":0},{"text":"Na página 8, mostramos o saldo de compras e vendas de carros.","language":"pt","start":1010.68,"end":1013.92,"speakerId":0},{"text":"No trimestre, foram 101.067 carros, sendo 73.683 na divisão de aluguel de carros e 27.383 na divisão de gestão de frotas.","language":"pt","start":1014.16,"end":1028.1599999999999,"speakerId":0},{"text":"As vendas totalizaram 77.358 carros, um recorde histórico para a empresa, sendo 50.294 de aluguel,","language":"pt","start":1028.3999999999999,"end":1038.7199999999998,"speakerId":0},{"text":"27.064 de gestão de frotas.","language":"pt","start":1039.1599999999999,"end":1041.84,"speakerId":0},{"text":"Como resultado, o investimento líquido no trimestre somou R$ 3,4 bilhões.","language":"pt","start":1042,"end":1047.36,"speakerId":0},{"text":"No ano, foram comprados 286.347 veículos e 296.452 vendidos, o que levou à redução de 10.105 veículos.","language":"pt","start":1048,"end":1062.24,"speakerId":0},{"text":"Refletindo a ultimação da frota com ganhos de produtividade no aluguel,","language":"pt","start":1062.8,"end":1067.28,"speakerId":0},{"text":"Redução de portfólio de veículos de uso severo na gestão de frotas.","language":"pt","start":1067.6399999999999,"end":1073.04,"speakerId":0},{"text":"Na página 9, apresentamos o preço médio de compra e desmobilização.","language":"pt","start":1073.52,"end":1077.52,"speakerId":0},{"text":"Na divisão de aluguel de carros, o preço médio de compra foi R$ 84,7 mil e o de venda, R$ 73,1 mil no 4T25.","language":"pt","start":1078.12,"end":1088.7199999999998,"speakerId":0},{"text":"No ano, o capex de renovação foi de R$ 11,1 mil por carro,","language":"pt","start":1089.28,"end":1094.96,"speakerId":0},{"text":"substancialmente inferior aos R$ 16,5 mil registrados em 2024, refletindo o avanço gradual de rejuvenescimento da frota.","language":"pt","start":1095.36,"end":1104.1599999999999,"speakerId":0},{"text":"Em gestão de frotas, o preço médio de compra atingiu R$ 102,2 mil em 4T25, refletindo um mix maior de participação de SUVs e modelos executivos.","language":"pt","start":1104.56,"end":1115.84,"speakerId":0},{"text":"O preço médio de venda foi de R$ 80,4 mil, resultando em investimento de renovação de R$ 21,8 mil no trimestre.","language":"pt","start":1116.04,"end":1123.12,"speakerId":0},{"text":"Em 2025, o capex líquido de renovação por carro foi de R$ 20,9 mil, com redução de 9,9% em relação a 2024.","language":"pt","start":1123.6399999999999,"end":1134.32,"speakerId":0},{"text":"Na página 10, mostramos a evolução da frota no final do período.","language":"pt","start":1134.32,"end":1139.4399999999998,"speakerId":0},{"text":"A empresa encerrou o ano de 2025 com 655.716 carros da frota, uma leve redução comparada a 2024, explicado principalmente pela estratégia de otimização de portfólio de","language":"pt","start":1140.1599999999999,"end":1152.9599999999998,"speakerId":0},{"text":"gestão de frotas, com redução de exposição de veículos de uso severo.","language":"pt","start":1153.48,"end":1157.56,"speakerId":0},{"text":"Passando pela página 11, considerando nossas aparições em Brasil e México, este trimestre com empresas apresenta receita consolidada de R$ 11 bilhões, crescimento de 11,7% para ação ao ano anterior.","language":"pt","start":1158.32,"end":1172.8,"speakerId":0},{"text":"A receita de aluguéis apresentou crescimento de 7,2%, totalizando R$ 1 bilhão, enquanto a receita de seminovos, R$ 5,9 bilhões,","language":"pt","start":1173.2,"end":1182,"speakerId":0},{"text":"nota de 16,1% em relação ao mesmo período do ano anterior, no acumulado de 2025, 41,8 bilhões, aumento de 12,1% com seminoves avançando 15,6% e aluguéis avançando 8,4% na comparação anual.","language":"pt","start":1182.28,"end":1198.48,"speakerId":0},{"text":"Na página 12, apresentamos EBITDA Consolidado.","language":"pt","start":1198.8799999999999,"end":1202.56,"speakerId":0},{"text":"No ano, EBITDA foi de 13,8 bilhões, um avanço de 15,4% na comparação anual.","language":"pt","start":1202.96,"end":1210.16,"speakerId":0},{"text":"No trimestre, o consolidado foi de R$ 3,7 bilhões, alta de 12,1% na cooperação com o 4T24.","language":"pt","start":1210.6799999999998,"end":1218.12,"speakerId":0},{"text":"Em aluguel, a margem emitida do trânsito de 68,6%, aumento de 3 pontos percentuais comparados com o 4T24, impulsionado pela recomposição de tarifa, gestão eficiente de custos e ganhos de produtividade.","language":"pt","start":1218.6399999999999,"end":1233.04,"speakerId":0},{"text":"No período, a receita de aluguel avançou R$ 225,1 milhões, enquanto os custos de despesas","language":"pt","start":1233.28,"end":1239.84,"speakerId":0},{"text":"foram de R$ 7,4 milhões.","language":"pt","start":1240.6799999999998,"end":1242.3999999999999,"speakerId":0},{"text":"Na gestão de frotas, a margem emitida de 76,2% em 4T25 representa um aumento de 6,4 pontos percentuais em relação ao mesmo período de 2024.","language":"pt","start":1243.28,"end":1256.48,"speakerId":0},{"text":"No trimestre, foi emitido o novo laudo de revisão de vida útil dos veículos para uso severo, resultando no reconhecimento de R$ 49 milhões em créditos fiscais adicionais referente ao","language":"pt","start":1257.44,"end":1269.6000000000001,"speakerId":0},{"text":"nove meses de 2025 e ajustado ao ritmo de retomada de crédito de PIS e COFINS.","language":"pt","start":1270.28,"end":1275.96,"speakerId":0},{"text":"Além do efeito dos créditos tributários, as linhas de manutenção e PMD apresentaram melhora relevante.","language":"pt","start":1277.12,"end":1284,"speakerId":0},{"text":"Como resultado, registramos um aumento de 116,2 milhões de receita, redução de 112,5 milhões de custos de despesa da cooperação anual.","language":"pt","start":1284.3999999999999,"end":1295.9199999999998,"speakerId":0},{"text":"Seminovos apresentou margem de 1,7%.","language":"pt","start":1296.36,"end":1297.8,"speakerId":0},{"text":"O trimestre teve maior investimento em publicidade e antecipação da campanha de IPVA grátis.","language":"pt","start":1297.8,"end":1304.56,"speakerId":0},{"text":"Além disso, foram abertas 16 lojas ao longo do trimestre, cujos custos serão diluídos à medida que as lojas atinjam maturidade.","language":"pt","start":1304.56,"end":1312.72,"speakerId":0},{"text":"Na página 13, vemos a evolução da depreciação média anualizada por carro.","language":"pt","start":1313.04,"end":1317.2,"speakerId":0},{"text":"No aluguel, a depreciação atingiu 7,771","language":"pt","start":1317.6799999999998,"end":1324.4799999999998,"speakerId":0},{"text":"por carro e gestão de frotas 8.730, ambas na linha de expectativa da empresa.","language":"pt","start":1325.28,"end":1333,"speakerId":0},{"text":"Após os efeitos de redução do IPI sobre carros novos no 3T com reflexo de preços de vendas seminovos, voltamos a observar ao longo de 4T25, maior estabilidade no comportamento de preços.","language":"pt","start":1333,"end":1346,"speakerId":0},{"text":"Passando na página 14, vemos o EBIT consolidada de R$ 2,4 bilhões, alta de 17,8%.","language":"pt","start":1346.48,"end":1354.6,"speakerId":0},{"text":"comparado ao ano anterior.","language":"pt","start":1354.8799999999999,"end":1356.32,"speakerId":0},{"text":"No ano, o EBIT somou 7,8 bilhões, crescimento expressivo em relação aos 5,8 bilhões de 2024.","language":"pt","start":1357.04,"end":1363.72,"speakerId":0},{"text":"Na página 15, apresentamos o lucro líquido da empresa.","language":"pt","start":1363.9199999999998,"end":1367.56,"speakerId":0},{"text":"Em 2005, o lucro líquido contábil de 1,9 bilhões foi afetado pelo IPI verde no montante de 929 milhões ou 613 milhões após impostos e a parte de prejuízo fiscal da Locamérica","language":"pt","start":1367.56,"end":1384.48,"speakerId":0},{"text":"no valor de R$ 937 milhões, sem efeito caixa.","language":"pt","start":1384.96,"end":1388.64,"speakerId":0},{"text":"Ajustado para esses efeitos, o lucro líquido somaria R$ 3,4 bilhões no ano.","language":"pt","start":1389.04,"end":1394.3999999999999,"speakerId":0},{"text":"No trimestre, o lucro somou R$ 939 milhões, aumento de 12,1% da comparação anual.","language":"pt","start":1394.8799999999999,"end":1402.56,"speakerId":0},{"text":"Para discutir caixa, alavancagem e ROIC, vou passar a palavra de volta para o Rodrigo.","language":"pt","start":1402.96,"end":1407.68,"speakerId":0},{"text":"Obrigado, Nora.","language":"pt","start":1408,"end":1408.96,"speakerId":0},{"text":"Na página 16, o fluxo de caixa livre em 2025,","language":"pt","start":1408.96,"end":1413.52,"speakerId":0},{"text":"A gestão eficiente de receita e custos contribuiu para o crescimento do EBITDA, ampliando a geração de caixa do negócio de aluguel, mesmo com a antecipação do pagamento a montadoras de US$ 2,2 bilhões no 4T25.","language":"pt","start":1413.76,"end":1428.36,"speakerId":0},{"text":"Atividades de aluguel geraram US$ 11,5 bilhões em caixa, dos quais US$ 4,1 bilhões foram destinados para o capex de carros: US$ 633 milhões para reduzir contas a pagar","language":"pt","start":1428.6399999999999,"end":1442.1599999999999,"speakerId":0},{"text":"montadoras e R$ 437 milhões para investimento em outros imobilizados.","language":"pt","start":1442.24,"end":1447.6,"speakerId":0},{"text":"Assim, o caixa livre gerado antes dos juros e outros efeitos somou R$ 6,3 bilhões, aumento de R$ 3 bilhões em relação a 2024.","language":"pt","start":1448.24,"end":1458.1200000000001,"speakerId":0},{"text":"Na página 17, apresentamos a evolução da dívida.","language":"pt","start":1458.3999999999999,"end":1461.84,"speakerId":0},{"text":"Encerramos o ano com dívida líquida de R$ 31,1 bilhões, crescimento de 3%,","language":"pt","start":1462.08,"end":1468.48,"speakerId":0},{"text":"comparado ao final de 2024, explicado principalmente pela antecipação de pagamento de R$ 2,2 bilhões a montadoras no 4T25 a uma taxa de 115% do CDI.","language":"pt","start":1469.3999999999999,"end":1482.5199999999998,"speakerId":0},{"text":"A página 18 apresenta o perfil de dívida da empresa e posição de caixa.","language":"pt","start":1482.52,"end":1488.32,"speakerId":0},{"text":"A empresa encerrou o trimestre com R$ 11,8 bilhões em caixa, suficiente para cobrir a dívida de curto prazo e obrigações com montadoras.","language":"pt","start":1488.96,"end":1498.48,"speakerId":0},{"text":"Mostrando as captações e liquidações realizadas em janeiro de 2026, a posição de caixa seria R$ 11,1 bilhões.","language":"pt","start":1498.6799999999998,"end":1506.7199999999998,"speakerId":0},{"text":"Seguiremos o processo de gestão ativa e da dívida, em busca de oportunidades para alongamento do perfil e redução de custos de captação.","language":"pt","start":1507.28,"end":1515.16,"speakerId":0},{"text":"No slide 19, apresentamos os sólidos e ratios da dívida.","language":"pt","start":1515.84,"end":1521.1599999999999,"speakerId":0},{"text":"Encerramos o ano com ratios de dívida em níveis confortáveis, evidenciando principalmente","language":"pt","start":1521.1599999999999,"end":1527.56,"speakerId":0},{"text":"indicador de dívida líquida sobre o valor de frota.","language":"pt","start":1527.6799999999998,"end":1530.4799999999998,"speakerId":0},{"text":"Na página 20, em 2025, a empresa apresentou avanço no ROIC ajustado, que encerrou o ano em 14,6%, resultando num spread de 4,7 pontos percentuais para o custo da dívida após impostos, mesmo com um aumento de 1,4 pontos percentuais no custo da dívida.","language":"pt","start":1532.1599999999999,"end":1553.6799999999998,"speakerId":0},{"text":"O ROIC anualizado no","language":"pt","start":1554.3999999999999,"end":1556.12,"speakerId":0},{"text":"no último trimestre de 2025 atingiu 15,5%, com spread de 5,5 pontos percentuais, retornando a taxa histórica de 5 a 9 pontos acima do custo da dívida.","language":"pt","start":1556.1999999999998,"end":1568.08,"speakerId":0},{"text":"Estamos agora disponíveis para responder perguntas.","language":"pt","start":1568.6399999999999,"end":1572.08,"speakerId":0},{"text":"Temos a primeira pergunta escrita do Lucas Barbosa, do Santander, e depois a operadora irá abrir o microfone com outras perguntas.","language":"pt","start":1574.08,"end":1582.08,"speakerId":0},{"text":"Lucas perguntou sobre seminovos, se poderíamos comentar","language":"pt","start":1582.6399999999999,"end":1585.6799999999998,"speakerId":0},{"text":"sobre como estamos vendo a dinâmica do atacado, se o atacado manda, de forma consistente, alguma indicação sobre o nível de estoques nos varejistas.","language":"pt","start":1586.04,"end":1596.96,"speakerId":0},{"text":"Obrigada por sua pergunta, Lucas.","language":"pt","start":1597.6,"end":1599.9199999999998,"speakerId":0},{"text":"O que acontece geralmente é que, em dezembro, os atacadistas reduzem o estoque.","language":"pt","start":1599.9199999999998,"end":1605.9199999999998,"speakerId":0},{"text":"Eles fazem isso pra poder pagar o IPVA no começo do ano.","language":"pt","start":1606.24,"end":1609.76,"speakerId":0},{"text":"Quando começa janeiro, eles começam uma compra","language":"pt","start":1610.8,"end":1615.28,"speakerId":0},{"text":"exatamente para voltar para os níveis normais de estoque.","language":"pt","start":1616.08,"end":1620.48,"speakerId":0},{"text":"Nos primeiros dois meses desse ano, vimos uma forte demanda para o atacado em geral com estabilidade de preços.","language":"pt","start":1621.6,"end":1629.4399999999998,"speakerId":0},{"text":"Nossa próxima pergunta vem do Lucas Marchioli e do BTG Pactual.","language":"pt","start":1631.04,"end":1635.12,"speakerId":0},{"text":"Sr.","language":"pt","start":1635.48,"end":1635.76,"speakerId":0},{"text":"Lucas, seu microfone está aberto.","language":"pt","start":1635.76,"end":1637.84,"speakerId":0},{"text":"Obrigado.","language":"pt","start":1638.08,"end":1639.04,"speakerId":0},{"text":"Bom dia.","language":"pt","start":1639.12,"end":1639.84,"speakerId":0},{"text":"Duas perguntas.","language":"pt","start":1640.08,"end":1641.4399999999998,"speakerId":0},{"text":"Primeiro, sobre","language":"pt","start":1642,"end":1643.52,"speakerId":0},{"text":"Na discussão de seminovos ainda.","language":"pt","start":1645.84,"end":1647.6799999999998,"speakerId":0},{"text":"A gente olha o desempenho de margem no quarto trimestre e a minha pergunta é tentar entender o custo de campanha, a abertura de novas lojas, todas essas campanhas que vocês fizeram para tentar entender o efeito na margem, independente desses custos de campanha e também","language":"pt","start":1648,"end":1673.92,"speakerId":0},{"text":"comentar sobre o desempenho dos dois meses, se há uma tendência de aumento de margem comparada ao quarto trimestre.","language":"pt","start":1673.96,"end":1682.8,"speakerId":0},{"text":"A segunda pergunta é mais sobre estratégia.","language":"pt","start":1683.12,"end":1687.9199999999998,"speakerId":0},{"text":"Nos contratos de ByD, nesses 10 mil carros que vocês comprariam dos chineses, qual foi o objetivo, de forma geral,","language":"pt","start":1689.84,"end":1702.6399999999999,"speakerId":0},{"text":"se pudesse comentar se tem espaço para melhoria ou alguma leitura do desempenho inicial desse contrato, se está indo bem em termos de depreciação, que era uma preocupação nossa.","language":"pt","start":1702.9199999999998,"end":1715.6,"speakerId":0},{"text":"Só suas ideias gerais nesse contrato.","language":"pt","start":1716.1599999999999,"end":1719.6799999999998,"speakerId":0},{"text":"Obrigado, Lucas.","language":"pt","start":1720.32,"end":1721.52,"speakerId":0},{"text":"Eu vou falar sobre a parte dos seminovos e o Bruno pode comentar sobre o contrato da BYD.","language":"pt","start":1721.52,"end":1726.6399999999999,"speakerId":0},{"text":"No último trimestre,","language":"pt","start":1728.36,"end":1730.6399999999999,"speakerId":0},{"text":"Começa no meio de novembro, a gente começou a campanha do IPVA.","language":"pt","start":1731.08,"end":1735.12,"speakerId":0},{"text":"Isso é comum, não é algo que só a Localiza faz, é geral para todo o mercado, senão a maior parte dos atacadistas e varejistas iriam esperar para fazer as compras para não pagar o IPVA.","language":"pt","start":1738,"end":1752.96,"speakerId":0},{"text":"Se você combinar esses efeitos que nós tivemos com despesas de marketing,","language":"pt","start":1753.28,"end":1759.84,"speakerId":0},{"text":"a gente chegaria a 0,7% de impacto na margem.","language":"pt","start":1760.36,"end":1763.84,"speakerId":0},{"text":"Se você contabilizar esses efeitos, vocês verão no primeiro trimestre uma margem do terceiro trimestre do que ao último trimestre do ano.","language":"pt","start":1764.48,"end":1776.48,"speakerId":0},{"text":"Esses impactos foram perto de 0,7% na margem de seminovos.","language":"pt","start":1776.9599999999998,"end":1782.4799999999998,"speakerId":0},{"text":"Nós começamos esses dois primeiros meses com resultados sólidos.","language":"pt","start":1782.9599999999998,"end":1786.6399999999999,"speakerId":0},{"text":"Janeiro é um mês muito forte","language":"pt","start":1786.72,"end":1788.88,"speakerId":0},{"text":"E eu explico, a maior parte dos atacadistas compram para chegar em níveis normais de estoque, mas nós vimos muitas que nossas ações que tomamos no passado.","language":"pt","start":1789.4399999999998,"end":1803.7599999999998,"speakerId":0},{"text":"Por exemplo, gestão de seus esforços, incentivos, uma maturação de novas lojas.","language":"pt","start":1804.72,"end":1811.52,"speakerId":0},{"text":"Esses primeiros dois meses refletem o trabalho que fizemos o ano passado e","language":"pt","start":1811.72,"end":1817.6000000000001,"speakerId":0},{"text":"Tivemos dois meses sólidos de performance até agora.","language":"pt","start":1818.36,"end":1821.1999999999998,"speakerId":0},{"text":"Eu vou passar a palavra para o Bruno para falar sobre o contrato com a BYD.","language":"pt","start":1821.76,"end":1824.68,"speakerId":0},{"text":"Obrigado, Lucas, pela pergunta.","language":"pt","start":1824.6799999999998,"end":1825.9999999999998,"speakerId":0},{"text":"Acho que esse contrato com a BYD é uma confirmação do que os gestores têm discutido.","language":"pt","start":1826.3999999999999,"end":1834.08,"speakerId":0},{"text":"Quando começamos a ver esses novos players entrando no mercado, considerando o capex significativos e opex significativos que nós temos como manufatura local,","language":"pt","start":1834.08,"end":1845.9199999999998,"speakerId":0},{"text":"Ele se tornou um parceiro estratégico para que a gente tenha escala, para diluir os custos fixos.","language":"pt","start":1846.9199999999998,"end":1853.0399999999997,"speakerId":0},{"text":"Eles têm uma cadeia de valor muito longa e também associação com uma das principais marcas do país.","language":"pt","start":1853.52,"end":1863.76,"speakerId":0},{"text":"E pra gente, esse é um fornecimento adicional e ainda ter o portfólio mais moderno e inovador em carro, aluguel, assinatura.","language":"pt","start":1864.08,"end":1874.72,"speakerId":0},{"text":"Então, é bastante significativo pra gente.","language":"pt","start":1875.48,"end":1879.4,"speakerId":0},{"text":"Nós anunciamos 10 mil carros numa frota de mais de 660 mil carros.","language":"pt","start":1879.72,"end":1886.28,"speakerId":0},{"text":"É um primeiro passo importante e também é mais direcionado a veículos híbridos.","language":"pt","start":1886.6,"end":1892.6799999999998,"speakerId":0},{"text":"Se olhar o que aconteceu no ano passado, os veículos híbridos aumentaram 77% em comparação ao ano anterior e os veículos elétricos aumentaram 33%, o que mostra que","language":"pt","start":1892.9199999999998,"end":1904.6799999999998,"speakerId":0},{"text":"que para cada veículo elétrico vendido o ano passado, 2,5 veículos híbridos foram vendidos no mercado.","language":"pt","start":1904.9599999999998,"end":1912.9199999999998,"speakerId":0},{"text":"E eu estou falando de carros zero quilômetros.","language":"pt","start":1913.1599999999999,"end":1915.1599999999999,"speakerId":0},{"text":"Então, um marco importante para a gente, um fornecimento maior para a Localiza, o melhor serviço para os clientes.","language":"pt","start":1915.56,"end":1924.84,"speakerId":0},{"text":"E antes de entrar nisso, nós testamos os carros para ver a aceitação dos clientes, comportamento","language":"pt","start":1925.1599999999999,"end":1933.1999999999998,"speakerId":0},{"text":"de peças sobressalentes e também como tudo se comportava.","language":"pt","start":1933.28,"end":1939.16,"speakerId":0},{"text":"Não temos um grande volume ainda, mas esses modelos que estão em escala se comportaram dentro da nossa expectativa até agora.","language":"pt","start":1939.1599999999999,"end":1949.56,"speakerId":0},{"text":"É isso que eu posso dizer até no momento.","language":"pt","start":1949.8,"end":1952.12,"speakerId":0},{"text":"Perfeito.","language":"pt","start":1953.24,"end":1953.64,"speakerId":0},{"text":"Obrigado, Bruno e Rodrigo.","language":"pt","start":1953.6399999999999,"end":1955.08,"speakerId":0},{"text":"A próxima pergunta é do Felipe Nielsen, do City.","language":"pt","start":1956.84,"end":1960.6799999999998,"speakerId":0},{"text":"Senhor Felipe, seu microfone está aberto.","language":"pt","start":1962.1599999999999,"end":1963.8799999999999,"speakerId":0},{"text":"Obrigado.","language":"pt","start":1966.04,"end":1966.84,"speakerId":0},{"text":"Obrigado por aceitar minha pergunta, pelo call.","language":"pt","start":1967.76,"end":1970.36,"speakerId":0},{"text":"Parabéns pelos resultados.","language":"pt","start":1970.52,"end":1972.12,"speakerId":0},{"text":"Minhas duas perguntas, acho que a primeira que vocês falam sobre seus novos ajudou bastante.","language":"pt","start":1973,"end":1980.36,"speakerId":0},{"text":"Só queria reconciliar isso com a tendência de depreciação.","language":"pt","start":1980.36,"end":1984.52,"speakerId":0},{"text":"Como vocês veem isso com relação à expectativa de depreciação no futuro?","language":"pt","start":1984.52,"end":1991.84,"speakerId":0},{"text":"futuro esse ano?","language":"pt","start":1991.84,"end":1993.1599999999999,"speakerId":0},{"text":"Vocês ainda veem como uma depreciação estável, os seminovos continuarem indo nessa direção?","language":"pt","start":1993.3999999999999,"end":2002.1999999999998,"speakerId":0},{"text":"Devemos esperar uma queda no futuro esse ano?","language":"pt","start":2002.1999999999998,"end":2007.08,"speakerId":0},{"text":"Minha segunda pergunta é pelo ROIC Spread.","language":"pt","start":2007.56,"end":2011.48,"speakerId":0},{"text":"O número anualizado agora voltou a níveis históricos.","language":"pt","start":2012.36,"end":2016.28,"speakerId":0},{"text":"Queria saber seus comentários sobre","language":"pt","start":2017.24,"end":2019.64,"speakerId":0},{"text":"baixar um preço um pouco mais baixo, de entender se estamos chegando press uma Localizada que retoma o crescimento, expectativas de crescimento ou ainda vamos ver a empresa mais estável em tamanho e buscando um ROI spread ainda mais alto antes de entrarmos nessa","language":"pt","start":2022.6,"end":2049.16,"speakerId":0},{"text":"nova fase de crescimento.","language":"pt","start":2049.6,"end":2051.16,"speakerId":0},{"text":"Obrigado, Felipe.","language":"pt","start":2051.56,"end":2052.36,"speakerId":0},{"text":"Primeiro, a tendência de depreciação deve continuar a mesma que temos visto até agora.","language":"pt","start":2052.36,"end":2057.7200000000003,"speakerId":0},{"text":"Ainda temos que ver resultados sólidos, seminovos, uma tendência de alta na margem antes de discutir, mudar o nível de depreciação.","language":"pt","start":2057.88,"end":2068.36,"speakerId":0},{"text":"A tendência, pelo menos no curto e médio prazo, deve ser o mesmo que temos visto até agora.","language":"pt","start":2068.36,"end":2074.1200000000003,"speakerId":0},{"text":"Com relação ao ROI Spread, você está certo.","language":"pt","start":2075.56,"end":2078.6,"speakerId":0},{"text":"Estamos","language":"pt","start":2078.8399999999997,"end":2079.4799999999996,"speakerId":0},{"text":"próximos do alvo e não precisamos repassar tantos preços como passamos no passado.","language":"pt","start":2079.7999999999997,"end":2087.08,"speakerId":0},{"text":"Mas esse ano ainda é o ano que entregamos o ROIC spread alvo da empresa.","language":"pt","start":2087.08,"end":2094.16,"speakerId":0},{"text":"Então ainda é nosso principal objetivo.","language":"pt","start":2094.16,"end":2096.52,"speakerId":0},{"text":"E ao mesmo tempo, começamos a olhar oportunidades para o novo ciclo de crescimento que provavelmente vai acontecer em 2027.","language":"pt","start":2097.88,"end":2107.1600000000003,"speakerId":0},{"text":"2000 e 2006 é um ano onde vamos focar em otimizar nosso portfólio, eficiência, repassando um pouco do preço, não tanto quanto no passado, para que possamos ter níveis de rentabilidade próximos ao que é historicamente.","language":"pt","start":2107.68,"end":2125.24,"speakerId":0},{"text":"Muito obrigado, ficou claro.","language":"pt","start":2126.68,"end":2127.8799999999997,"speakerId":0},{"text":"Nossa próxima pergunta é do André Ferreira com o Bradesco BBI.","language":"pt","start":2134.37,"end":2139.0899999999997,"speakerId":0},{"text":"Sr.","language":"pt","start":2140.56,"end":2140.7999999999997,"speakerId":0},{"text":"André, seu microfone está aberto.","language":"pt","start":2140.7999999999997,"end":2142.6,"speakerId":0},{"text":"Olá, bom dia, Bruno, Nora, Rodrigo, obrigado.","language":"pt","start":2143.3199999999997,"end":2147.64,"speakerId":0},{"text":"Parabéns pelos resultados, obrigado por tomar minha pergunta.","language":"pt","start":2147.88,"end":2150.44,"speakerId":0},{"text":"Tenho duas.","language":"pt","start":2150.68,"end":2151.3999999999996,"speakerId":0},{"text":"Quando olhamos os primeiros dois meses de 15% de aumento de vendas de seminovos, comparado ano a ano, ano passado vocês também tiveram o desconto do IPVA e o carnaval foi em março ano passado, esse ano foi em fevereiro.","language":"pt","start":2152.7599999999998,"end":2170.3599999999997,"speakerId":0},{"text":"O que deve ir um pouco contra.","language":"pt","start":2170.68,"end":2172.64,"speakerId":0},{"text":"Vocês estão otimistas para aumento de receita de vendas, passar de 80 mil unidades?","language":"pt","start":2172.64,"end":2182.8399999999997,"speakerId":0},{"text":"E minha segunda pergunta é com relação aos custos de manutenção e preparação.","language":"pt","start":2182.8399999999997,"end":2187.8799999999997,"speakerId":0},{"text":"Foi uma ótima surpresa.","language":"pt","start":2188.04,"end":2189.56,"speakerId":0},{"text":"O quarto trimestre caiu 2% comparado com 2024.","language":"pt","start":2189.7999999999997,"end":2200.24,"speakerId":0},{"text":"alguma ideia que você possa nos dar, ou pelo menos um direcionamento do custo de manutenção cair em 2026?","language":"pt","start":2200.3199999999997,"end":2209.9599999999996,"speakerId":0},{"text":"Obrigado, André, pela pergunta.","language":"pt","start":2213.64,"end":2215.72,"speakerId":0},{"text":"Eu vou falar sobre a primeira parte e o Rodrigo vai falar sobre a próxima parte.","language":"pt","start":2216.2,"end":2219.48,"speakerId":0},{"text":"Com relação a O Rodrigo lestinou, e eu concordo totalmente, que nós começamos a ver os frutos das iniciativas","language":"pt","start":2219.88,"end":2229.8,"speakerId":0},{"text":"Nós compartilhamos com vocês e implementamos principalmente um aumento contínuo da produtividade por membros da equipe de vendas.","language":"pt","start":2230.24,"end":2241.3199999999997,"speakerId":0},{"text":"Isso é positivo.","language":"pt","start":2241.88,"end":2242.92,"speakerId":0},{"text":"Nós conseguiríamos potencialmente vender mais carros de FTE.","language":"pt","start":2242.92,"end":2250.04,"speakerId":0},{"text":"Isso está ligado não só a treinamento e desenvolvimento da equipe, mas também incentivos.","language":"pt","start":2250.92,"end":2256.44,"speakerId":0},{"text":"E, por fim,","language":"pt","start":2256.44,"end":2257.32,"speakerId":0},{"text":"Estamos vendo que as lojas que abrimos no ciclo passado também estão se tornando mais maduras.","language":"pt","start":2258.4,"end":2265.56,"speakerId":0},{"text":"Ainda não estamos no ponto de compartilhar nossas expectativas para março, mas você tem razão.","language":"pt","start":2265.7999999999997,"end":2272.8399999999997,"speakerId":0},{"text":"Fevereiro incluiu o carnaval, que geralmente tende a ser uma semana fraca de vendas.","language":"pt","start":2274.04,"end":2282.92,"speakerId":0},{"text":"Estamos animados para esses próximos dois meses, vamos continuar trabalhando para","language":"pt","start":2283.12,"end":2286.7999999999997,"speakerId":0},{"text":"retomarmos os 15 meses de ciclo dos seminovos.","language":"pt","start":2289.16,"end":2293,"speakerId":0},{"text":"Com relação à preparação e manutenção, a tendência é positiva.","language":"pt","start":2293.64,"end":2297.3199999999997,"speakerId":0},{"text":"Preparação talvez a gente tenha alguma variação dependendo da quantidade de carros preparados.","language":"pt","start":2297.48,"end":2302.6,"speakerId":0},{"text":"E como estamos vendendo mais carros nos seminovos, espera-se que estamos preparando mais carros e aumentar o turnover da frota toda da Localiza.","language":"pt","start":2303,"end":2313,"speakerId":0},{"text":"Isso dito, o que estamos vendo é o custo","language":"pt","start":2313.4,"end":2316.44,"speakerId":0},{"text":"por carro preparado cair.","language":"pt","start":2316.56,"end":2318.12,"speakerId":0},{"text":"A eficiência faz parte disso, a escala e também estamos rejuvenescendo a frota.","language":"pt","start":2318.52,"end":2326.12,"speakerId":0},{"text":"O mesmo vale para a manutenção.","language":"pt","start":2326.2799999999997,"end":2328.3599999999997,"speakerId":0},{"text":"Tanto manutenção e preparação, quando olhamos por carro mantido ou por carro preparado, a tendência é positiva em termos de custo.","language":"pt","start":2329.72,"end":2339.72,"speakerId":0},{"text":"Só para falar sobre a frota,","language":"pt","start":2340.2799999999997,"end":2343.56,"speakerId":0},{"text":"Também estamos reduzindo a exposição a carros de uso severo e isso tira a pressão do preço como mencionado antes.","language":"pt","start":2344.48,"end":2353.88,"speakerId":0},{"text":"Obrigado, Nora, por complementar.","language":"pt","start":2354.04,"end":2355.56,"speakerId":0},{"text":"Perfeito, muito obrigado.","language":"pt","start":2357.24,"end":2358.3599999999997,"speakerId":0},{"text":"Nossa próxima pergunta é do Sr.","language":"pt","start":2361.7999999999997,"end":2363.68,"speakerId":0},{"text":"Guilherme Mendes, da GP Morgan.","language":"pt","start":2363.68,"end":2365.56,"speakerId":0},{"text":"Obrigado, Bruno e Rodrigo e Nora.","language":"pt","start":2369.48,"end":2371,"speakerId":0},{"text":"Duas perguntas.","language":"pt","start":2373,"end":2373.8,"speakerId":0},{"text":"A primeira","language":"pt","start":2373.7999999999997,"end":2374.24,"speakerId":0},{"text":"com relação ao mercado de marcas algumas empresas novas chegando no Brasil principalmente as chinesas e várias discussões se isso vai continuar a colocar pressão nos preços dos veículos quanto disso você já incorporou na sua taxa de depreciação e quanto isso pode ser isso como um risco no futuro e a segunda pergunta é o ambiente competitivo","language":"pt","start":2374.3199999999997,"end":2402.9999999999995,"speakerId":0},{"text":"para gestão de frota e aluguel de carros, se pudesse nos dar detalhes sobre a concorrência, como ela está se comportando nesse segmento.","language":"pt","start":2404.12,"end":2411.88,"speakerId":0},{"text":"Obrigado.","language":"pt","start":2412.52,"end":2413.08,"speakerId":0},{"text":"Obrigado, Guilherme.","language":"pt","start":2414.56,"end":2415.64,"speakerId":0},{"text":"Você tem razão.","language":"pt","start":2415.64,"end":2416.6,"speakerId":0},{"text":"Tem várias empresas entrando nas montadoras e é positivo no médio prazo, porque quanto mais fornecedores temos, mais temos excesso de oferta e mais depreciação.","language":"pt","start":2417.24,"end":2432.3599999999997,"speakerId":0},{"text":"Isso dito, nossas premissas para depreciação não esperam nenhum tipo de aumento em valor residual ou inflação.","language":"pt","start":2433.2799999999997,"end":2442.68,"speakerId":0},{"text":"Na verdade, já estamos embutindo, da maneira que precificamos os veículos, uma deflação do preço.","language":"pt","start":2443,"end":2450.68,"speakerId":0},{"text":"Então, estamos levando em conta já essa nova dinâmica do mercado.","language":"pt","start":2450.92,"end":2455.7200000000003,"speakerId":0},{"text":"A depreciação e nosso preço já refletem essa dinâmica que você descreveu.","language":"pt","start":2455.72,"end":2461.3199999999997,"speakerId":0},{"text":"Em termos do ambiente competitivo para aluguel e gestão de frota, em aluguel, vemos um ambiente benigno com os players terem disciplina sobre preços em geral.","language":"pt","start":2462.88,"end":2473.96,"speakerId":0},{"text":"Em gestão de frota, depende do player, nós temos uma diminuição de preço, mas no geral é positivo.","language":"pt","start":2474.2799999999997,"end":2484.7999999999997,"speakerId":0},{"text":"Muito obrigado, muito claro.","language":"pt","start":2485.52,"end":2487.16,"speakerId":0},{"text":"Obrigado, Rodrigo.","language":"pt","start":2487.16,"end":2488.04,"speakerId":0},{"text":"Nossa próxima pergunta.","language":"pt","start":2490.8399999999997,"end":2492.2,"speakerId":0},{"text":"É do Sr.","language":"pt","start":2492.7599999999998,"end":2493.2,"speakerId":0},{"text":"Daniel Gasparetti, do Itaú BPA.","language":"pt","start":2493.2,"end":2495.56,"speakerId":0},{"text":"Seu microfone está aberto.","language":"pt","start":2496.6,"end":2497.7999999999997,"speakerId":0},{"text":"Bom dia a todos.","language":"pt","start":2499.64,"end":2500.8399999999997,"speakerId":0},{"text":"Obrigado pela oportunidade.","language":"pt","start":2500.8399999999997,"end":2502.9199999999996,"speakerId":0},{"text":"Tenho duas perguntas de falou que vocês já responderam sobre seminovos e deprecia.","language":"pt","start":2503.16,"end":2507.12,"speakerId":0},{"text":"Essa primeira é sobre partes de seminovos.","language":"pt","start":2507.12,"end":2509.96,"speakerId":0},{"text":"Eu peço desculpas, exploreço mais, mas é uma das informações mais importantes da Localiza.","language":"pt","start":2511.3199999999997,"end":2517.24,"speakerId":0},{"text":"Esse janeiro, o desempenho foi muito forte, apesar","language":"pt","start":2517.24,"end":2520.52,"speakerId":0},{"text":"de termos o carnaval.","language":"pt","start":2522.64,"end":2523.8799999999997,"speakerId":0},{"text":"Eu queria explorar um pouco mais sua visão como isso se desvenderá durante o ano.","language":"pt","start":2524.7599999999998,"end":2530.9599999999996,"speakerId":0},{"text":"O Bruno falou que queremos você ter venda suficiente para poder reduzir a frota para 15 meses.","language":"pt","start":2530.96,"end":2542.52,"speakerId":0},{"text":"E queria confirmar essas informações, se vocês estão na direção para esses números.","language":"pt","start":2543.56,"end":2552.2799999999997,"speakerId":0},{"text":"E tem um outro lado, considerando a Selic em queda em termos Essa é a primeira pergunta.","language":"pt","start":2552.92,"end":2560.2000000000003,"speakerId":0},{"text":"Desculpa se ela é longa, eu queria entender mais como vocês estão posicionados com seminovos.","language":"pt","start":2561.16,"end":2567.48,"speakerId":0},{"text":"E segundo, na depreciação.","language":"pt","start":2567.48,"end":2570.04,"speakerId":0},{"text":"Rodrigo, foi muito claro agora, ele não vê um aumento na depreciação.","language":"pt","start":2571.2799999999997,"end":2577.24,"speakerId":0},{"text":"Eu quero entender o que vocês precisam ver.","language":"pt","start":2577.48,"end":2579.64,"speakerId":0},{"text":"Você mencionou","language":"pt","start":2579.64,"end":2580.6,"speakerId":0},{"text":"No último call, que precisam ver as margens em alta por alguns trimestres.","language":"pt","start":2580.96,"end":2587.36,"speakerId":0},{"text":"Queria confirmar se é isso mesmo.","language":"pt","start":2587.3599999999997,"end":2588.8399999999997,"speakerId":0},{"text":"Se nós vamos ver no primeiro trimestre, depois do segundo trimestre, se você vai esperar as eleições para saber o macroambiente.","language":"pt","start":2590.04,"end":2597.24,"speakerId":0},{"text":"O que que você precisa de macroinformação dinâmica para que vocês possam dizer que sim, atingimos o pico, agora podemos pensar em taxas de prestação mais baixa.","language":"pt","start":2597.88,"end":2608.76,"speakerId":0},{"text":"vender mais carros em seminovos.","language":"pt","start":2609.68,"end":2611.64,"speakerId":0},{"text":"E desculpa por perguntas tão longas.","language":"pt","start":2612.04,"end":2614.6,"speakerId":0},{"text":"Obrigado, Daniel.","language":"pt","start":2614.7599999999998,"end":2615.3599999999997,"speakerId":0},{"text":"Eu vou começar com a segunda.","language":"pt","start":2615.3599999999997,"end":2616.5999999999995,"speakerId":0},{"text":"E aí a gente volta para a primeira.","language":"pt","start":2617.4,"end":2619,"speakerId":0},{"text":"Em termos de depreciação, como descrevemos, ainda vemos altas taxas de juros.","language":"pt","start":2619.56,"end":2628.92,"speakerId":0},{"text":"Queremos ser razoavelmente conservadores antes de começarmos a reduzir a depreciação.","language":"pt","start":2628.92,"end":2635.7200000000003,"speakerId":0},{"text":"A margem dos seminovos é o principal indicador.","language":"pt","start":2636.3599999999997,"end":2638.8399999999997,"speakerId":0},{"text":"Quando começamos a ver uma margem robusta de seminovos consistente trimestre após trimestre, nós podemos pensar em reduzir e ajustar a depreciação.","language":"pt","start":2639.04,"end":2650.52,"speakerId":0},{"text":"Ao mesmo tempo, monitoramos outras variáveis, como preço ao mercado, novos entrantes, modelos que estão chegando, que estão sendo retirados.","language":"pt","start":2650.7599999999998,"end":2659.64,"speakerId":0},{"text":"Então há várias variáveis, mas o principal indicador é consistência e nível de margem de seminovos","language":"pt","start":2659.8399999999997,"end":2667.7999999999997,"speakerId":0},{"text":"que vemos em alguns trimestres antes de pensar em mudar os níveis de depreciação.","language":"pt","start":2668.24,"end":2674.6,"speakerId":0},{"text":"Com relação aos seminovos, eu só queria esclarecer que R$ 315 mil é o ritmo que nós precisamos para chegar o carro em 15 meses.","language":"pt","start":2675.56,"end":2688.84,"speakerId":0},{"text":"Não necessariamente, nós vamos chegar aos 15 meses no final desse ano.","language":"pt","start":2688.8399999999997,"end":2692.9199999999996,"speakerId":0},{"text":"Quando começamos a vender","language":"pt","start":2695.48,"end":2696.92,"speakerId":0},{"text":"nesse ritmo leva 15 meses para você chegar nos 15 meses do veículo.","language":"pt","start":2697.04,"end":2702.7599999999998,"speakerId":0},{"text":"Bem próximos.","language":"pt","start":2702.96,"end":2703.96,"speakerId":0},{"text":"O desempenho desses dois primeiros meses chega a esse ritmo que precisamos para chegar a um carro 15 meses.","language":"pt","start":2704.3599999999997,"end":2711.4799999999996,"speakerId":0},{"text":"Depois disso é uma questão de tempo para rejuvenescer a frota.","language":"pt","start":2711.72,"end":2715.3999999999996,"speakerId":0},{"text":"Acho que é isso.","language":"pt","start":2718.44,"end":2719.2000000000003,"speakerId":0},{"text":"Muito obrigado.","language":"pt","start":2722.2,"end":2723.72,"speakerId":0},{"text":"Eu também queria saber","language":"pt","start":2724.48,"end":2726.44,"speakerId":0},{"text":"produtividade, como é que vai ser do ano?","language":"pt","start":2727,"end":2730.84,"speakerId":0},{"text":"Acho que o Rodrigo cobriu bem.","language":"pt","start":2731.3199999999997,"end":2733.24,"speakerId":0},{"text":"Daniel, obrigado por sua pergunta.","language":"pt","start":2734.2,"end":2735.7999999999997,"speakerId":0},{"text":"Obrigado, Bruno.","language":"pt","start":2736.7999999999997,"end":2737.72,"speakerId":0},{"text":"Nossa próxima pergunta vem de Rogério Araújo, de Bank of America.","language":"pt","start":2741.52,"end":2746.84,"speakerId":0},{"text":"Senhor Rogério, seu microfone está aberto.","language":"pt","start":2746.8399999999997,"end":2748.8399999999997,"speakerId":0},{"text":"Oi todos, Nora, Rodrigo e Bruno.","language":"pt","start":2751.4,"end":2754.6,"speakerId":0},{"text":"Eu tenho duas perguntas.","language":"pt","start":2755.52,"end":2757.24,"speakerId":0},{"text":"Primeiro é sobre esse crédito fiscal do PIS/COFIS.","language":"pt","start":2758.2,"end":2762.24,"speakerId":0},{"text":"Foi mais alto do que as taxas de 9,9% por alguns meses.","language":"pt","start":2762.56,"end":2771.7999999999997,"speakerId":0},{"text":"Isso tem a ver com a corporação da Unidas, concentração de questões técnicas ou um plano estratégico para o futuro, para o","language":"pt","start":2772.2,"end":2784.3199999999997,"speakerId":0},{"text":"início das reformas tributárias que vai manter os benefícios tributários dos bens comprados esse ano.","language":"pt","start":2785.48,"end":2798.84,"speakerId":0},{"text":"Então, talvez a gente vê um crédito fiscal maior de PIS e Confins do que a taxa nos trimestres seguintes.","language":"pt","start":2799.24,"end":2807.56,"speakerId":0},{"text":"Esse é o primeiro, sobre custos.","language":"pt","start":2807.56,"end":2809.32,"speakerId":0},{"text":"O segundo","language":"pt","start":2809.56,"end":2810.7599999999998,"speakerId":0},{"text":"Outra coisa que chamou a nossa atenção no relatório tem os custos de bad debt e esse é o novo nível de revisão de bad debt que nós vimos?","language":"pt","start":2812.56,"end":2828.7599999999998,"speakerId":0},{"text":"Ou vamos esperar esses níveis para o futuro ou algum tipo de reversão, de previsão de reversão e também o que faz parte disso se essa redução é sustentável ou não?","language":"pt","start":2829.16,"end":2841.7599999999998,"speakerId":0},{"text":"Muito obrigado.","language":"pt","start":2841.7599999999998,"end":2842.4399999999996,"speakerId":0},{"text":"Obrigado, Rogério.","language":"pt","start":2843.8799999999997,"end":2844.9999999999995,"speakerId":0},{"text":"Termos de PIS e Cofins, estamos, na verdade, tentando nos atualizar.","language":"pt","start":2845.24,"end":2852.9199999999996,"speakerId":0},{"text":"Durante a incorporação da Unidas, a gente está agora com esse efeito que temporariamente leva a um crédito que é um pouco acima do débito, como você mencionou.","language":"pt","start":2852.92,"end":2866.28,"speakerId":0},{"text":"Nesse trimestre, especificamente, nós tivemos os","language":"pt","start":2867.7999999999997,"end":2871.9199999999996,"speakerId":0},{"text":"relatórios do uso severo que nos levaram a um crédito de PIS e COFINS.","language":"pt","start":2872.92,"end":2878.36,"speakerId":0},{"text":"No futuro, vamos ver uns níveis mais normais.","language":"pt","start":2878.8399999999997,"end":2881.72,"speakerId":0},{"text":"Isso é algo que nós deveríamos ter tido esses créditos durante as avaliações antes da incorporação e agora a gente tem que atualizar e, no primeiro trimestre, vamos ver um nível mais normalizado, próximo dos 9,25%,","language":"pt","start":2882.2,"end":2901.64,"speakerId":0},{"text":"que é o débito.","language":"pt","start":2901.96,"end":2902.92,"speakerId":0},{"text":"Em termos de custo e bad debt, nesse ano e no final de 2025, tivemos alguns desafios, principalmente em caminhões e algumas outras áreas específicas.","language":"pt","start":2903.08,"end":2918.7599999999998,"speakerId":0},{"text":"Fomos muito mais conturbadores da maneira como oferecemos crédito e agora eu tô vendo uma melhora mês a mês.","language":"pt","start":2919,"end":2927.72,"speakerId":0},{"text":"Quando eu olho para o vintage,","language":"pt","start":2928.04,"end":2929.8,"speakerId":0},{"text":"É um vintage bastante saudável, então eu acho que esse nível de PPD é sustentável.","language":"pt","start":2930.08,"end":2935.16,"speakerId":0},{"text":"Vamos ter a reversão de provisões em um trimestre ou outro, mas quando eu olho na qualidade de crédito que a Localiza está oferecendo, é muito mais saudável e devemos ver um nível muito mais normalizado de dívida ruim.","language":"pt","start":2936.12,"end":2953.3199999999997,"speakerId":0},{"text":"Por outro lado, isso é explicado pelo subalocação","language":"pt","start":2954.04,"end":2959.4,"speakerId":0},{"text":"Localiza para Locamérica e vice-versa.","language":"pt","start":2959.92,"end":2962.36,"speakerId":0},{"text":"Depois da infusão, o número caiu e nós esperamos que esse patamar se mantenha para que seja sustentável.","language":"pt","start":2962.3599999999997,"end":2972.9199999999996,"speakerId":0},{"text":"Muito obrigado, muito claro, Nori e Rodrigo, muito obrigado.","language":"pt","start":2973.4,"end":2976.88,"speakerId":0},{"text":"Essa próxima pergunta vem de João Frizzo, da Goldman Sachs.","language":"pt","start":2979.04,"end":2984.12,"speakerId":0},{"text":"Seu microfone está aberto.","language":"pt","start":2984.6,"end":2985.88,"speakerId":0},{"text":"Bom dia a todos, obrigado por","language":"pt","start":2987.7999999999997,"end":2989.3999999999996,"speakerId":0},{"text":"aceitar minha pergunta, tem um follow-up sobre a venda de seminovos.","language":"pt","start":2989.72,"end":2996.8399999999997,"speakerId":0},{"text":"É um nível forte, março ainda mais forte nos níveis históricos.","language":"pt","start":2997.4,"end":3003.32,"speakerId":0},{"text":"Eu queria ouvir de vocês o que vocês acham do equilíbrio entre rejuvenação de frota, vendas e o spread entre carros novos e usados.","language":"pt","start":3003.3199999999997,"end":3015.16,"speakerId":0},{"text":"Como isso vai evoluir indo para o futuro?","language":"pt","start":3015.3999999999996,"end":3017.6399999999994,"speakerId":0},{"text":"Obrigado.","language":"pt","start":3018.72,"end":3019.3999999999996,"speakerId":0},{"text":"Com relação ao spread entre preços de carros novos e usados, há estabilidade.","language":"pt","start":3019.3999999999996,"end":3026.4399999999996,"speakerId":0},{"text":"A gente acabou de ter acesso à tabela Fipe para março e a margem positiva, então achamos que vai ser estável no futuro.","language":"pt","start":3026.7599999999998,"end":3037.8799999999997,"speakerId":0},{"text":"Dos preços atuais e com essa tendência, vamos continuar a acelerar as vendas.","language":"pt","start":3038.12,"end":3042.6,"speakerId":0},{"text":"Estamos felizes com os preços de vendas, então tivemos a oportunidade de vender maior volume,","language":"pt","start":3042.6,"end":3048.12,"speakerId":0},{"text":"faremos isso.","language":"pt","start":3048.52,"end":3049.32,"speakerId":0},{"text":"João, só pra complementar, porque eu acho que você tá falando sobre o spread de compra e venda dentro do trimestre, nós geralmente não usamos um trimestre como tendência porque o mix de carros que a gente vende compra pode variar de trimestre a trimestre.","language":"pt","start":3050.2799999999997,"end":3069.5199999999995,"speakerId":0},{"text":"Olhamos a média de 12 meses e faz mais sentido.","language":"pt","start":3069.64,"end":3072.92,"speakerId":0},{"text":"Vimos especificamente no quarto trimestre","language":"pt","start":3073.3999999999996,"end":3076.5199999999995,"speakerId":0},{"text":"um mix maior de carros intermediários e no preço de seminovos, com a redução do IPI que reduziu o preço do carro.","language":"pt","start":3076.92,"end":3090.92,"speakerId":0},{"text":"Então teve um spread menor comparado com o terceiro trimestre, mas isso não é relevante num contexto anual.","language":"pt","start":3090.92,"end":3097.48,"speakerId":0},{"text":"E com relação a isso também, o primeiro trimestre, geralmente em janeiro, temos maior venda de carros econômicos.","language":"pt","start":3099.16,"end":3106.68,"speakerId":0},{"text":"Os atacadistas aumentam o inventório, o foco é geralmente em carros econômicos, isso afeta vendas, mas a tendência de compra e venda é positiva.","language":"pt","start":3107.72,"end":3118.9199999999996,"speakerId":0},{"text":"Muito obrigado.","language":"pt","start":3119.3199999999997,"end":3119.9599999999996,"speakerId":0},{"text":"Então, numa média móvel de 12 meses, é mais ou menos o mesmo spread.","language":"pt","start":3120.7599999999998,"end":3127.08,"speakerId":0},{"text":"Sim, no carro de aluguel temos ainda espaço para melhorar o spread.","language":"pt","start":3128.3599999999997,"end":3134.12,"speakerId":0},{"text":"À medida que renovamos","language":"pt","start":3134.92,"end":3136.36,"speakerId":0},{"text":"a frota, mas é mais por causa disso do que qualquer outra coisa.","language":"pt","start":3136.6,"end":3139.16,"speakerId":0},{"text":"Entendi, obrigado.","language":"pt","start":3139.52,"end":3140.52,"speakerId":0},{"text":"Nossa próxima pergunta é do Jen Spice, da Morgan Stanley.","language":"pt","start":3144.44,"end":3149.64,"speakerId":0},{"text":"Seu microfone está aberto.","language":"pt","start":3150.12,"end":3151.3199999999997,"speakerId":0},{"text":"Olá a todos, sim.","language":"pt","start":3154.12,"end":3155.72,"speakerId":0},{"text":"As principais perguntas já foram feitas, mas a incorporação de veículos elétricos, eu sei que obviamente é uma","language":"pt","start":3158.2,"end":3165.16,"speakerId":0},{"text":"pequena quantidade de carros dentro da frota, mas eu acho que talvez isso possa nos dar insight para o futuro de como as coisas vão evoluir.","language":"pt","start":3165.3599999999997,"end":3176.3599999999997,"speakerId":0},{"text":"Só queria entender uma visão mais ampla e econômica do que vocês acham.","language":"pt","start":3176.7599999999998,"end":3187.74,"speakerId":0},{"text":"Sobre os descontos e as montadoras, qual a depreciação que vocês acham 1% ao mês,","language":"pt","start":3188.2999999999997,"end":3198.2999999999997,"speakerId":0},{"text":"Ou como podemos pensar nisso?","language":"pt","start":3198.92,"end":3200.52,"speakerId":0},{"text":"Porque no final das contas, um desconto maior, depreciação maior, uma menor utilização, você vai ter que precificar de acordo e o prazo vai ser muito mais alto para aluguel do que os equivalentes tradicionais.","language":"pt","start":3200.52,"end":3220.7599999999998,"speakerId":0},{"text":"Então, só queria entender as expectativas de vocês com relação a isso.","language":"pt","start":3221.3199999999997,"end":3226.9199999999996,"speakerId":0},{"text":"Muito obrigado, Janis, por sua pergunta.","language":"pt","start":3228.3999999999996,"end":3230.4399999999996,"speakerId":0},{"text":"Eu acho que o motivo pelo qual está levando um tempo para testar antes de entrar nesse acordo que acabamos de anunciar é que estávamos engajados com as montadoras, mostrando essas novas montadoras do país, mostrando o valor da plataforma Localiza, como eu mencionei, em termos de conhecimento de marketing,","language":"pt","start":3230.7599999999998,"end":3257.68,"speakerId":0},{"text":"escala, previsibilidade e vender para uma empresa de rating triplo A.","language":"pt","start":3257.7599999999998,"end":3264.9999999999995,"speakerId":0},{"text":"E depois desse piloto e teste, eles valorizam a Localiza no setor automotivo.","language":"pt","start":3265.72,"end":3274.2,"speakerId":0},{"text":"O principal foco é de veículos híbridos e menos de veículos elétricos puros.","language":"pt","start":3274.7599999999998,"end":3282.7599999999998,"speakerId":0},{"text":"Nós vemos que os veículos elétricos","language":"pt","start":3285.08,"end":3287.52,"speakerId":0},{"text":"Mais para aqueles casos de uso com alta quilometragem.","language":"pt","start":3289.3199999999997,"end":3293.16,"speakerId":0},{"text":"Então, Uber, entrega de última milha e também carros de luxo.","language":"pt","start":3293.16,"end":3301.64,"speakerId":0},{"text":"Mas esse não é a maior fatia do mercado.","language":"pt","start":3302.3599999999997,"end":3306.3599999999997,"speakerId":0},{"text":"Os veículos elétricos vão ser mais adotados em cidades grandes e menos no restante do país.","language":"pt","start":3306.6,"end":3314.6,"speakerId":0},{"text":"Então, nosso programa de compra","language":"pt","start":3314.6,"end":3316.44,"speakerId":0},{"text":"é mais para veículos híbridos que se comportam mais parecidos com veículos tradicionais e nos últimos anos primeiro as pessoas vão para o híbrido e mais longo prazo potencialmente vão para o 100% elétrico Apesar que a infraestrutura para recarregar os carros ainda é pequena no Brasil é um país muito grande e com relação a","language":"pt","start":3318.2,"end":3344.8399999999997,"speakerId":0},{"text":"Economia, a gente entra nesse acordo quando a empresa tem as condições para isso.","language":"pt","start":3347.7999999999997,"end":3356.4399999999996,"speakerId":0},{"text":"Nós temos que ver se o veículo é operacional, nós chegamos às condições e termos que nós achamos necessários para ter um retorno atraente para esse novo suprimento que está entrando no mercado.","language":"pt","start":3358.44,"end":3371.7200000000003,"speakerId":0},{"text":"Perfeito, muito obrigado.","language":"pt","start":3371.96,"end":3373.44,"speakerId":0},{"text":"Obrigado pela resposta.","language":"pt","start":3373.44,"end":3375.28,"speakerId":0},{"text":"Nossa próxima pergunta é do Alberto Valério, da UBS.","language":"pt","start":3379.16,"end":3383.24,"speakerId":0},{"text":"Sr.","language":"pt","start":3383.92,"end":3384.28,"speakerId":0},{"text":"Alberto, seu microfone está aberto.","language":"pt","start":3384.2799999999997,"end":3385.9599999999996,"speakerId":0},{"text":"Bom dia, Rodrigo Bruno e Nora.","language":"pt","start":3389.3199999999997,"end":3393.24,"speakerId":0},{"text":"Obrigado por acertar minha pergunta.","language":"pt","start":3393.24,"end":3394.68,"speakerId":0},{"text":"Queria voltar um pouco sobre o spread.","language":"pt","start":3394.92,"end":3396.92,"speakerId":0},{"text":"O mesmo carro, em 2024, vocês estavam falando sobre","language":"pt","start":3398.52,"end":3405,"speakerId":0},{"text":"2, 4, e foi positivo, mais 5, mais 7.","language":"pt","start":3405.48,"end":3409.16,"speakerId":0},{"text":"E a depreciação é-4 para 15 meses.","language":"pt","start":3409.96,"end":3416.12,"speakerId":0},{"text":"Mas temos mais de 15 meses, pode ser um pouco mais alto do que-4.","language":"pt","start":3417.56,"end":3421.68,"speakerId":0},{"text":"Qual é a sua visão para o futuro e se isso vai mudar ou não?","language":"pt","start":3423.48,"end":3428.36,"speakerId":0},{"text":"Alberto, obrigado por sua pergunta.","language":"pt","start":3429.48,"end":3431.32,"speakerId":0},{"text":"Eu acho que suas premissas estão alinhadas.","language":"pt","start":3431.96,"end":3435,"speakerId":0},{"text":"ainda precisamos rejuvenescer a frota para chegar nos spreads das nossas premissas de depreciação.","language":"pt","start":3435.3199999999997,"end":3443.9599999999996,"speakerId":0},{"text":"Hoje vendemos um carro que tem 20 meses, quando começamos a vender um carro com 14, 15 meses, tem um carro com um preço muito mais alto, de maior preparação em varejo, então isso aumenta o spread, então isso está alinhado com nossas premissas.","language":"pt","start":3444.2,"end":3460.9199999999996,"speakerId":0},{"text":"Perfeito! E se eu posso","language":"pt","start":3461.8799999999997,"end":3464.4399999999996,"speakerId":0},{"text":"Nós vimos no começo desse ano, novos modelos da Volks como tals e a Kawa Chery lançou o Tiggo X5 a um preço mais baixo do que os modelos mais anteriores.","language":"pt","start":3465,"end":3483,"speakerId":0},{"text":"Vocês têm alguma proteção contra isso desse desconto das montadoras ou é atender esse perse ano?","language":"pt","start":3483.3999999999996,"end":3492.5199999999995,"speakerId":0},{"text":"A gente não comenta","language":"pt","start":3493.08,"end":3494.84,"speakerId":0},{"text":"condições particulares que temos com as montadoras ou essas proteções, mas isso é algo que acontece.","language":"pt","start":3494.8799999999997,"end":3501.8799999999997,"speakerId":0},{"text":"Às vezes você muda o modelo, às vezes você faz um facelift ou às vezes você muda totalmente o carro.","language":"pt","start":3501.8799999999997,"end":3508.8399999999997,"speakerId":0},{"text":"Isso não é incomum na nossa indústria.","language":"pt","start":3509.24,"end":3511.3199999999997,"speakerId":0},{"text":"Geralmente tentamos compensar com um desconto maior ou compramos menos desses carros, mas isso é carro, isso é algo comum do nosso mercado.","language":"pt","start":3511.48,"end":3521.64,"speakerId":0},{"text":"Muito obrigado!","language":"pt","start":3521.72,"end":3522.52,"speakerId":0},{"text":"Nossa próxima pergunta é do prêmio Bruno da XP.","language":"pt","start":3528.3599999999997,"end":3531.4799999999996,"speakerId":0},{"text":"Olá a todos, obrigado por pegar a minha pergunta.","language":"pt","start":3536.64,"end":3539.3599999999997,"speakerId":0},{"text":"Eu queria voltar para discussão de crescimento, principalmente no aluguel.","language":"pt","start":3539.3599999999997,"end":3545.4399999999996,"speakerId":0},{"text":"Não o crescimento em si, mas a dinâmica.","language":"pt","start":3545.8399999999997,"end":3548.3199999999997,"speakerId":0},{"text":"Como vocês veem o crescimento de receita potencial para esse ano e talvez até mais para frente?","language":"pt","start":3551.04,"end":3560,"speakerId":0},{"text":"Temos ouvido da indústria que estão relativamente otimistas com relação ao cenário, pensando em disciplina, como você mencionou.","language":"pt","start":3562.7599999999998,"end":3575.9599999999996,"speakerId":0},{"text":"Mas eu queria nos dar um pouco mais de detalhes em como vem a gestão de receita, de precificação,","language":"pt","start":3576.52,"end":3588.7599999999998,"speakerId":0},{"text":"comparado com o volume.","language":"pt","start":3589.8399999999997,"end":3591.3999999999996,"speakerId":0},{"text":"E uma outra pergunta, como vocês veem o limite de crescimento se o limite vem mais da gestão de receita do lado de aluguel ou também está limitado aos seminovos, reduzindo a idade média da","language":"pt","start":3593.72,"end":3619.16,"speakerId":0},{"text":"Frota, um pouco mais de detalhes sobre isso, por favor.","language":"pt","start":3619.72,"end":3622.12,"speakerId":0},{"text":"Pedro, obrigado por sua pergunta.","language":"pt","start":3623.16,"end":3625.08,"speakerId":0},{"text":"No lado do crescimento, eu queria dizer novamente que o principal foco de 2026 é a recuperação do spread de ROIC, então o equilíbrio entre preço e crescimento de volume vai estar mais em relação ao preço de volume por venda.","language":"pt","start":3626.44,"end":3645.8,"speakerId":0},{"text":"No final do ano, acredito que estaremos","language":"pt","start":3645.7999999999997,"end":3647.8799999999997,"speakerId":0},{"text":"com um bom ROIC spread e podemos retomar o crescimento da empresa em 2027.","language":"pt","start":3648.48,"end":3655.56,"speakerId":0},{"text":"A boa notícia é que vamos começar a pavimentar o crescimento em 2026, mas no momento não temos que repassar tanto o preço como nós estávamos fazendo antes, então vai ser um pequeno aumento, pequeno crescimento nas receitas em aluguel.","language":"pt","start":3655.56,"end":3678.2,"speakerId":0},{"text":"Na gestão de frota, o foco vai ser no lançamento de novos produtos mais customizados, principalmente um crescimento para 2026, mas estamos descomissionando os de uso severo.","language":"pt","start":3678.52,"end":3695.16,"speakerId":0},{"text":"E, nesse meio tempo, continuamos a escalar os seminovos para não ter uma restrição do crescimento no futuro.","language":"pt","start":3696.9199999999996,"end":3706.2799999999997,"speakerId":0},{"text":"A gente tem sido construtivo","language":"pt","start":3706.2799999999997,"end":3707.9599999999996,"speakerId":0},{"text":"dos seminovos que é o principal tópico dessa call e nós temos, é claro, taxas de juros caindo, o que afeta o spread no aluguel e gestão de frotas e também dos seminovos que também depende muito de crédito.","language":"pt","start":3708.3999999999996,"end":3727.72,"speakerId":0},{"text":"Esse ano ainda é o de conquistar a missão do ROI Spread.","language":"pt","start":3728.2799999999997,"end":3733.64,"speakerId":0},{"text":"Perfeito, muito obrigado.","language":"pt","start":3734.2,"end":3735.3199999999997,"speakerId":0},{"text":"Muito obrigado","language":"pt","start":3736.6,"end":3737.72,"speakerId":0},{"text":"todos por estarem conosco hoje.","language":"pt","start":3737.8399999999997,"end":3740.2799999999997,"speakerId":0},{"text":"Nossa equipe continua disponível para qualquer esclarecimento.","language":"pt","start":3741.24,"end":3744.68,"speakerId":0},{"text":"Muito obrigado.","language":"pt","start":3744.68,"end":3745.3999999999996,"speakerId":0}],"speakerNames":[null]},"audioOneDriveItem":{"driveId":"b!gbu3FtPqKU2cLnKKaxDpBnhxZt5kLM1Gs-b2Uy5evAWRwEsLW3prQaf-P64Ks4Pb","itemId":"01LNSQ6KWKAEPLN4S2B5CYPMKSKRBOPGY6"}}}</storedTranscription>
</file>

<file path=customXml/itemProps1.xml><?xml version="1.0" encoding="utf-8"?>
<ds:datastoreItem xmlns:ds="http://schemas.openxmlformats.org/officeDocument/2006/customXml" ds:itemID="{5E69445C-EE8F-48C6-9878-476C7263D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e70520-521b-4bb6-bf67-d1190c08a62d"/>
    <ds:schemaRef ds:uri="82cc9ce4-c62e-436d-a02d-ca92d19881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60C25A-C426-4CE8-9255-80AF92A873D6}">
  <ds:schemaRefs>
    <ds:schemaRef ds:uri="http://schemas.microsoft.com/sharepoint/v3/contenttype/forms"/>
  </ds:schemaRefs>
</ds:datastoreItem>
</file>

<file path=customXml/itemProps3.xml><?xml version="1.0" encoding="utf-8"?>
<ds:datastoreItem xmlns:ds="http://schemas.openxmlformats.org/officeDocument/2006/customXml" ds:itemID="{18FC5335-D1B6-4499-A9FF-B5ADFED06176}">
  <ds:schemaRefs>
    <ds:schemaRef ds:uri="http://schemas.microsoft.com/office/2006/metadata/properties"/>
    <ds:schemaRef ds:uri="http://schemas.microsoft.com/office/infopath/2007/PartnerControls"/>
    <ds:schemaRef ds:uri="14e70520-521b-4bb6-bf67-d1190c08a62d"/>
    <ds:schemaRef ds:uri="82cc9ce4-c62e-436d-a02d-ca92d198819c"/>
  </ds:schemaRefs>
</ds:datastoreItem>
</file>

<file path=customXml/itemProps4.xml><?xml version="1.0" encoding="utf-8"?>
<ds:datastoreItem xmlns:ds="http://schemas.openxmlformats.org/officeDocument/2006/customXml" ds:itemID="{E7BA8B2B-2775-4FEE-A408-3BB9E224B813}">
  <ds:schemaRefs>
    <ds:schemaRef ds:uri="http://schemas.microsoft.com/office/transcription/2022"/>
  </ds:schemaRefs>
</ds:datastoreItem>
</file>

<file path=docMetadata/LabelInfo.xml><?xml version="1.0" encoding="utf-8"?>
<clbl:labelList xmlns:clbl="http://schemas.microsoft.com/office/2020/mipLabelMetadata">
  <clbl:label id="{2e785b33-20e6-4579-a510-fbb48ba311ec}" enabled="1" method="Privileged" siteId="{3737367d-87d3-46ca-b00f-21b50c428b5e}" removed="0"/>
</clbl:labelList>
</file>

<file path=docProps/app.xml><?xml version="1.0" encoding="utf-8"?>
<Properties xmlns="http://schemas.openxmlformats.org/officeDocument/2006/extended-properties" xmlns:vt="http://schemas.openxmlformats.org/officeDocument/2006/docPropsVTypes">
  <Template>Normal</Template>
  <TotalTime>535</TotalTime>
  <Pages>14</Pages>
  <Words>6788</Words>
  <Characters>36661</Characters>
  <Application>Microsoft Office Word</Application>
  <DocSecurity>0</DocSecurity>
  <Lines>305</Lines>
  <Paragraphs>86</Paragraphs>
  <ScaleCrop>false</ScaleCrop>
  <Company/>
  <LinksUpToDate>false</LinksUpToDate>
  <CharactersWithSpaces>43363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Cunha</dc:creator>
  <cp:keywords/>
  <dc:description/>
  <cp:lastModifiedBy>Amanda Cunha</cp:lastModifiedBy>
  <cp:revision>472</cp:revision>
  <cp:lastPrinted>2026-03-09T19:11:00Z</cp:lastPrinted>
  <dcterms:created xsi:type="dcterms:W3CDTF">2026-03-06T04:50:00Z</dcterms:created>
  <dcterms:modified xsi:type="dcterms:W3CDTF">2026-08-17T17:41:00Z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5945f515,6b0fd56e,56f6780b</vt:lpwstr>
  </property>
  <property fmtid="{D5CDD505-2E9C-101B-9397-08002B2CF9AE}" pid="3" name="ClassificationContentMarkingFooterFontProps">
    <vt:lpwstr>#737373,10,Aptos</vt:lpwstr>
  </property>
  <property fmtid="{D5CDD505-2E9C-101B-9397-08002B2CF9AE}" pid="4" name="ClassificationContentMarkingFooterText">
    <vt:lpwstr>Classificação da Informação: PÚBLICA</vt:lpwstr>
  </property>
  <property fmtid="{D5CDD505-2E9C-101B-9397-08002B2CF9AE}" pid="5" name="ContentTypeId">
    <vt:lpwstr>0x010100C8069E5F1C8E1B4AAE979D138906DC23</vt:lpwstr>
  </property>
  <property fmtid="{D5CDD505-2E9C-101B-9397-08002B2CF9AE}" pid="6" name="MediaServiceImageTags">
    <vt:lpwstr/>
  </property>
</Properties>
</file>