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FF72" w14:textId="77777777" w:rsidR="004C37CE" w:rsidRPr="00004B14" w:rsidRDefault="004C37CE" w:rsidP="004C37CE">
      <w:pPr>
        <w:widowControl w:val="0"/>
        <w:spacing w:after="0" w:line="320" w:lineRule="exact"/>
        <w:jc w:val="center"/>
        <w:rPr>
          <w:rFonts w:ascii="Palatino Linotype" w:hAnsi="Palatino Linotype"/>
          <w:b/>
          <w:smallCaps/>
          <w:sz w:val="24"/>
          <w:szCs w:val="24"/>
          <w:u w:val="single"/>
          <w:lang w:val="pt-BR"/>
        </w:rPr>
      </w:pPr>
      <w:bookmarkStart w:id="0" w:name="_GoBack"/>
      <w:bookmarkEnd w:id="0"/>
      <w:r w:rsidRPr="00004B14">
        <w:rPr>
          <w:rFonts w:ascii="Palatino Linotype" w:hAnsi="Palatino Linotype"/>
          <w:b/>
          <w:smallCaps/>
          <w:sz w:val="24"/>
          <w:szCs w:val="24"/>
          <w:u w:val="single"/>
          <w:lang w:val="pt-BR"/>
        </w:rPr>
        <w:t xml:space="preserve">Anexo </w:t>
      </w:r>
      <w:r w:rsidRPr="00004B14">
        <w:rPr>
          <w:rFonts w:ascii="Palatino Linotype" w:hAnsi="Palatino Linotype"/>
          <w:b/>
          <w:smallCaps/>
          <w:sz w:val="24"/>
          <w:szCs w:val="24"/>
          <w:u w:val="single"/>
          <w:lang w:val="pt-BR"/>
        </w:rPr>
        <w:fldChar w:fldCharType="begin"/>
      </w:r>
      <w:r w:rsidRPr="00004B14">
        <w:rPr>
          <w:rFonts w:ascii="Palatino Linotype" w:hAnsi="Palatino Linotype"/>
          <w:b/>
          <w:smallCaps/>
          <w:sz w:val="24"/>
          <w:szCs w:val="24"/>
          <w:u w:val="single"/>
          <w:lang w:val="pt-BR"/>
        </w:rPr>
        <w:instrText xml:space="preserve"> REF _Ref158305221 \r \h  \* MERGEFORMAT </w:instrText>
      </w:r>
      <w:r w:rsidRPr="00004B14">
        <w:rPr>
          <w:rFonts w:ascii="Palatino Linotype" w:hAnsi="Palatino Linotype"/>
          <w:b/>
          <w:smallCaps/>
          <w:sz w:val="24"/>
          <w:szCs w:val="24"/>
          <w:u w:val="single"/>
          <w:lang w:val="pt-BR"/>
        </w:rPr>
      </w:r>
      <w:r w:rsidRPr="00004B14">
        <w:rPr>
          <w:rFonts w:ascii="Palatino Linotype" w:hAnsi="Palatino Linotype"/>
          <w:b/>
          <w:smallCaps/>
          <w:sz w:val="24"/>
          <w:szCs w:val="24"/>
          <w:u w:val="single"/>
          <w:lang w:val="pt-BR"/>
        </w:rPr>
        <w:fldChar w:fldCharType="separate"/>
      </w:r>
      <w:r>
        <w:rPr>
          <w:rFonts w:ascii="Palatino Linotype" w:hAnsi="Palatino Linotype"/>
          <w:b/>
          <w:smallCaps/>
          <w:sz w:val="24"/>
          <w:szCs w:val="24"/>
          <w:u w:val="single"/>
          <w:lang w:val="pt-BR"/>
        </w:rPr>
        <w:t>7.1</w:t>
      </w:r>
      <w:r w:rsidRPr="00004B14">
        <w:rPr>
          <w:rFonts w:ascii="Palatino Linotype" w:hAnsi="Palatino Linotype"/>
          <w:b/>
          <w:smallCaps/>
          <w:sz w:val="24"/>
          <w:szCs w:val="24"/>
          <w:u w:val="single"/>
          <w:lang w:val="pt-BR"/>
        </w:rPr>
        <w:fldChar w:fldCharType="end"/>
      </w:r>
    </w:p>
    <w:p w14:paraId="16918AC3" w14:textId="77777777" w:rsidR="004C37CE" w:rsidRDefault="004C37CE" w:rsidP="004C37CE">
      <w:pPr>
        <w:pStyle w:val="GradeMdia1-nfase21"/>
        <w:widowControl w:val="0"/>
        <w:tabs>
          <w:tab w:val="left" w:pos="0"/>
        </w:tabs>
        <w:spacing w:after="0" w:line="320" w:lineRule="exact"/>
        <w:ind w:left="0" w:right="-7"/>
        <w:contextualSpacing w:val="0"/>
        <w:jc w:val="center"/>
        <w:rPr>
          <w:rFonts w:ascii="Palatino Linotype" w:hAnsi="Palatino Linotype"/>
          <w:b/>
          <w:smallCaps/>
          <w:sz w:val="24"/>
          <w:szCs w:val="24"/>
          <w:lang w:val="pt-BR"/>
        </w:rPr>
      </w:pPr>
      <w:r w:rsidRPr="00B52549">
        <w:rPr>
          <w:rFonts w:ascii="Palatino Linotype" w:hAnsi="Palatino Linotype"/>
          <w:b/>
          <w:smallCaps/>
          <w:sz w:val="24"/>
          <w:szCs w:val="24"/>
          <w:lang w:val="pt-BR"/>
        </w:rPr>
        <w:t>Atos Regulares de Gestão</w:t>
      </w:r>
    </w:p>
    <w:p w14:paraId="68852637" w14:textId="77777777" w:rsidR="004C37CE" w:rsidRPr="00004B14" w:rsidRDefault="004C37CE" w:rsidP="004C37CE">
      <w:pPr>
        <w:pStyle w:val="GradeMdia1-nfase21"/>
        <w:widowControl w:val="0"/>
        <w:tabs>
          <w:tab w:val="left" w:pos="0"/>
        </w:tabs>
        <w:spacing w:after="0" w:line="320" w:lineRule="exact"/>
        <w:ind w:left="0" w:right="-7"/>
        <w:contextualSpacing w:val="0"/>
        <w:rPr>
          <w:rFonts w:ascii="Palatino Linotype" w:hAnsi="Palatino Linotype"/>
          <w:b/>
          <w:smallCaps/>
          <w:sz w:val="24"/>
          <w:szCs w:val="24"/>
          <w:lang w:val="pt-BR"/>
        </w:rPr>
      </w:pPr>
    </w:p>
    <w:p w14:paraId="571801D7" w14:textId="77777777" w:rsidR="004C37CE" w:rsidRPr="00004B14" w:rsidRDefault="004C37CE" w:rsidP="004C37CE">
      <w:pPr>
        <w:pStyle w:val="GradeMdia1-nfase21"/>
        <w:widowControl w:val="0"/>
        <w:tabs>
          <w:tab w:val="left" w:pos="0"/>
        </w:tabs>
        <w:spacing w:after="0" w:line="320" w:lineRule="exact"/>
        <w:ind w:left="0" w:right="-7"/>
        <w:contextualSpacing w:val="0"/>
        <w:jc w:val="both"/>
        <w:rPr>
          <w:rFonts w:ascii="Palatino Linotype" w:hAnsi="Palatino Linotype"/>
          <w:b/>
          <w:smallCaps/>
          <w:sz w:val="24"/>
          <w:szCs w:val="24"/>
          <w:lang w:val="pt-BR"/>
        </w:rPr>
      </w:pPr>
      <w:r w:rsidRPr="00004B14">
        <w:rPr>
          <w:rFonts w:ascii="Palatino Linotype" w:hAnsi="Palatino Linotype"/>
          <w:sz w:val="24"/>
          <w:szCs w:val="24"/>
          <w:lang w:val="pt-BR"/>
        </w:rPr>
        <w:t xml:space="preserve">Nos termos da </w:t>
      </w:r>
      <w:r w:rsidRPr="00004B14">
        <w:rPr>
          <w:rFonts w:ascii="Palatino Linotype" w:hAnsi="Palatino Linotype"/>
          <w:b/>
          <w:bCs/>
          <w:sz w:val="24"/>
          <w:szCs w:val="24"/>
          <w:lang w:val="pt-BR"/>
        </w:rPr>
        <w:t>Cláusula 7.</w:t>
      </w:r>
      <w:r>
        <w:rPr>
          <w:rFonts w:ascii="Palatino Linotype" w:hAnsi="Palatino Linotype"/>
          <w:b/>
          <w:bCs/>
          <w:sz w:val="24"/>
          <w:szCs w:val="24"/>
          <w:lang w:val="pt-BR"/>
        </w:rPr>
        <w:t>1</w:t>
      </w:r>
      <w:r w:rsidRPr="00004B14">
        <w:rPr>
          <w:rFonts w:ascii="Palatino Linotype" w:hAnsi="Palatino Linotype"/>
          <w:b/>
          <w:bCs/>
          <w:sz w:val="24"/>
          <w:szCs w:val="24"/>
          <w:lang w:val="pt-BR"/>
        </w:rPr>
        <w:t xml:space="preserve">, </w:t>
      </w:r>
      <w:r w:rsidRPr="00004B14">
        <w:rPr>
          <w:rFonts w:ascii="Palatino Linotype" w:hAnsi="Palatino Linotype"/>
          <w:sz w:val="24"/>
          <w:szCs w:val="24"/>
          <w:lang w:val="pt-BR"/>
        </w:rPr>
        <w:t xml:space="preserve">após a Data de Homologação e até </w:t>
      </w:r>
      <w:r>
        <w:rPr>
          <w:rFonts w:ascii="Palatino Linotype" w:hAnsi="Palatino Linotype"/>
          <w:sz w:val="24"/>
          <w:szCs w:val="24"/>
          <w:lang w:val="pt-BR"/>
        </w:rPr>
        <w:t>a implementação da Nova Governança</w:t>
      </w:r>
      <w:r w:rsidRPr="00004B14">
        <w:rPr>
          <w:rFonts w:ascii="Palatino Linotype" w:hAnsi="Palatino Linotype"/>
          <w:sz w:val="24"/>
          <w:szCs w:val="24"/>
          <w:lang w:val="pt-BR"/>
        </w:rPr>
        <w:t>, as Recuperandas se obrigam a conduzir</w:t>
      </w:r>
      <w:r>
        <w:rPr>
          <w:rFonts w:ascii="Palatino Linotype" w:hAnsi="Palatino Linotype"/>
          <w:sz w:val="24"/>
          <w:szCs w:val="24"/>
          <w:lang w:val="pt-BR"/>
        </w:rPr>
        <w:t xml:space="preserve"> (e fazer com que suas Afiliadas conduzam)</w:t>
      </w:r>
      <w:r w:rsidRPr="00004B14">
        <w:rPr>
          <w:rFonts w:ascii="Palatino Linotype" w:hAnsi="Palatino Linotype"/>
          <w:sz w:val="24"/>
          <w:szCs w:val="24"/>
          <w:lang w:val="pt-BR"/>
        </w:rPr>
        <w:t xml:space="preserve"> suas operações e atividades com zelo e diligência, em observância ao</w:t>
      </w:r>
      <w:r>
        <w:rPr>
          <w:rFonts w:ascii="Palatino Linotype" w:hAnsi="Palatino Linotype"/>
          <w:sz w:val="24"/>
          <w:szCs w:val="24"/>
          <w:lang w:val="pt-BR"/>
        </w:rPr>
        <w:t>s</w:t>
      </w:r>
      <w:r w:rsidRPr="00004B14">
        <w:rPr>
          <w:rFonts w:ascii="Palatino Linotype" w:hAnsi="Palatino Linotype"/>
          <w:sz w:val="24"/>
          <w:szCs w:val="24"/>
          <w:lang w:val="pt-BR"/>
        </w:rPr>
        <w:t xml:space="preserve"> </w:t>
      </w:r>
      <w:r>
        <w:rPr>
          <w:rFonts w:ascii="Palatino Linotype" w:hAnsi="Palatino Linotype"/>
          <w:sz w:val="24"/>
          <w:szCs w:val="24"/>
          <w:lang w:val="pt-BR"/>
        </w:rPr>
        <w:t xml:space="preserve">Atos Regulares de Gestão </w:t>
      </w:r>
      <w:r w:rsidRPr="00004B14">
        <w:rPr>
          <w:rFonts w:ascii="Palatino Linotype" w:hAnsi="Palatino Linotype"/>
          <w:sz w:val="24"/>
          <w:szCs w:val="24"/>
          <w:lang w:val="pt-BR"/>
        </w:rPr>
        <w:t xml:space="preserve">e à Lei, observado que as Recuperandas não deliberem ou pratiquem quaisquer dos atos listados abaixo, exceto se </w:t>
      </w:r>
      <w:r w:rsidRPr="00004B14">
        <w:rPr>
          <w:rFonts w:ascii="Palatino Linotype" w:hAnsi="Palatino Linotype"/>
          <w:i/>
          <w:iCs/>
          <w:sz w:val="24"/>
          <w:szCs w:val="24"/>
          <w:lang w:val="pt-BR"/>
        </w:rPr>
        <w:t>(i)</w:t>
      </w:r>
      <w:r w:rsidRPr="00004B14">
        <w:rPr>
          <w:rFonts w:ascii="Palatino Linotype" w:hAnsi="Palatino Linotype"/>
          <w:sz w:val="24"/>
          <w:szCs w:val="24"/>
          <w:lang w:val="pt-BR"/>
        </w:rPr>
        <w:t xml:space="preserve"> estejam expressamente previstos no Plano; </w:t>
      </w:r>
      <w:r w:rsidRPr="00004B14">
        <w:rPr>
          <w:rFonts w:ascii="Palatino Linotype" w:hAnsi="Palatino Linotype"/>
          <w:i/>
          <w:iCs/>
          <w:sz w:val="24"/>
          <w:szCs w:val="24"/>
          <w:lang w:val="pt-BR"/>
        </w:rPr>
        <w:t>(</w:t>
      </w:r>
      <w:proofErr w:type="spellStart"/>
      <w:r w:rsidRPr="00004B14">
        <w:rPr>
          <w:rFonts w:ascii="Palatino Linotype" w:hAnsi="Palatino Linotype"/>
          <w:i/>
          <w:iCs/>
          <w:sz w:val="24"/>
          <w:szCs w:val="24"/>
          <w:lang w:val="pt-BR"/>
        </w:rPr>
        <w:t>ii</w:t>
      </w:r>
      <w:proofErr w:type="spellEnd"/>
      <w:r w:rsidRPr="00004B14">
        <w:rPr>
          <w:rFonts w:ascii="Palatino Linotype" w:hAnsi="Palatino Linotype"/>
          <w:i/>
          <w:iCs/>
          <w:sz w:val="24"/>
          <w:szCs w:val="24"/>
          <w:lang w:val="pt-BR"/>
        </w:rPr>
        <w:t>)</w:t>
      </w:r>
      <w:r w:rsidRPr="00004B14">
        <w:rPr>
          <w:rFonts w:ascii="Palatino Linotype" w:hAnsi="Palatino Linotype"/>
          <w:sz w:val="24"/>
          <w:szCs w:val="24"/>
          <w:lang w:val="pt-BR"/>
        </w:rPr>
        <w:t xml:space="preserve"> sejam realizados para viabilizar a implementação do Plano; ou </w:t>
      </w:r>
      <w:r w:rsidRPr="00004B14">
        <w:rPr>
          <w:rFonts w:ascii="Palatino Linotype" w:hAnsi="Palatino Linotype"/>
          <w:i/>
          <w:iCs/>
          <w:sz w:val="24"/>
          <w:szCs w:val="24"/>
          <w:lang w:val="pt-BR"/>
        </w:rPr>
        <w:t>(</w:t>
      </w:r>
      <w:proofErr w:type="spellStart"/>
      <w:r w:rsidRPr="00004B14">
        <w:rPr>
          <w:rFonts w:ascii="Palatino Linotype" w:hAnsi="Palatino Linotype"/>
          <w:i/>
          <w:iCs/>
          <w:sz w:val="24"/>
          <w:szCs w:val="24"/>
          <w:lang w:val="pt-BR"/>
        </w:rPr>
        <w:t>iii</w:t>
      </w:r>
      <w:proofErr w:type="spellEnd"/>
      <w:r w:rsidRPr="00004B14">
        <w:rPr>
          <w:rFonts w:ascii="Palatino Linotype" w:hAnsi="Palatino Linotype"/>
          <w:i/>
          <w:iCs/>
          <w:sz w:val="24"/>
          <w:szCs w:val="24"/>
          <w:lang w:val="pt-BR"/>
        </w:rPr>
        <w:t>)</w:t>
      </w:r>
      <w:r w:rsidRPr="00004B14">
        <w:rPr>
          <w:rFonts w:ascii="Palatino Linotype" w:hAnsi="Palatino Linotype"/>
          <w:sz w:val="24"/>
          <w:szCs w:val="24"/>
          <w:lang w:val="pt-BR"/>
        </w:rPr>
        <w:t xml:space="preserve"> </w:t>
      </w:r>
      <w:r w:rsidRPr="00314219">
        <w:rPr>
          <w:rFonts w:ascii="Palatino Linotype" w:hAnsi="Palatino Linotype"/>
          <w:sz w:val="24"/>
          <w:szCs w:val="24"/>
          <w:lang w:val="pt-BR"/>
        </w:rPr>
        <w:t xml:space="preserve">de outra forma tenham sido previamente autorizados por escrito </w:t>
      </w:r>
      <w:r>
        <w:rPr>
          <w:rFonts w:ascii="Palatino Linotype" w:hAnsi="Palatino Linotype"/>
          <w:sz w:val="24"/>
          <w:szCs w:val="24"/>
          <w:lang w:val="pt-BR"/>
        </w:rPr>
        <w:t xml:space="preserve">pelos Credores Opção de Reestruturação I titulares de, no mínimo, </w:t>
      </w:r>
      <w:r w:rsidRPr="00314219">
        <w:rPr>
          <w:rFonts w:ascii="Palatino Linotype" w:hAnsi="Palatino Linotype"/>
          <w:color w:val="000000" w:themeColor="text1"/>
          <w:sz w:val="24"/>
          <w:szCs w:val="24"/>
          <w:lang w:val="pt-BR"/>
        </w:rPr>
        <w:t>60% (sessenta por cento)</w:t>
      </w:r>
      <w:r w:rsidRPr="00314219">
        <w:rPr>
          <w:rFonts w:ascii="Palatino Linotype" w:hAnsi="Palatino Linotype"/>
          <w:sz w:val="24"/>
          <w:szCs w:val="24"/>
          <w:lang w:val="pt-BR"/>
        </w:rPr>
        <w:t xml:space="preserve"> dos </w:t>
      </w:r>
      <w:r w:rsidRPr="00314219">
        <w:rPr>
          <w:rFonts w:ascii="Palatino Linotype" w:hAnsi="Palatino Linotype"/>
          <w:color w:val="000000" w:themeColor="text1"/>
          <w:sz w:val="24"/>
          <w:szCs w:val="24"/>
          <w:lang w:val="pt-BR"/>
        </w:rPr>
        <w:t xml:space="preserve">Créditos </w:t>
      </w:r>
      <w:r w:rsidRPr="00314219">
        <w:rPr>
          <w:rFonts w:ascii="Palatino Linotype" w:hAnsi="Palatino Linotype"/>
          <w:sz w:val="24"/>
          <w:szCs w:val="24"/>
          <w:lang w:val="pt-BR"/>
        </w:rPr>
        <w:t>Opção de Reestruturação I ou, enquanto o Período de Escolha da Opção de Pagamento</w:t>
      </w:r>
      <w:r>
        <w:rPr>
          <w:rFonts w:ascii="Palatino Linotype" w:hAnsi="Palatino Linotype"/>
          <w:sz w:val="24"/>
          <w:szCs w:val="24"/>
          <w:lang w:val="pt-BR"/>
        </w:rPr>
        <w:t xml:space="preserve"> </w:t>
      </w:r>
      <w:r w:rsidRPr="00314219">
        <w:rPr>
          <w:rFonts w:ascii="Palatino Linotype" w:hAnsi="Palatino Linotype"/>
          <w:sz w:val="24"/>
          <w:szCs w:val="24"/>
          <w:lang w:val="pt-BR"/>
        </w:rPr>
        <w:t xml:space="preserve">não tenha sido encerrado, </w:t>
      </w:r>
      <w:r>
        <w:rPr>
          <w:rFonts w:ascii="Palatino Linotype" w:hAnsi="Palatino Linotype"/>
          <w:sz w:val="24"/>
          <w:szCs w:val="24"/>
          <w:lang w:val="pt-BR"/>
        </w:rPr>
        <w:t>pelos</w:t>
      </w:r>
      <w:r w:rsidRPr="00314219">
        <w:rPr>
          <w:rFonts w:ascii="Palatino Linotype" w:hAnsi="Palatino Linotype"/>
          <w:sz w:val="24"/>
          <w:szCs w:val="24"/>
          <w:lang w:val="pt-BR"/>
        </w:rPr>
        <w:t xml:space="preserve"> Credores </w:t>
      </w:r>
      <w:r w:rsidRPr="00AF4448">
        <w:rPr>
          <w:rFonts w:ascii="Palatino Linotype" w:hAnsi="Palatino Linotype"/>
          <w:sz w:val="24"/>
          <w:szCs w:val="24"/>
          <w:lang w:val="pt-BR"/>
        </w:rPr>
        <w:t>do Novo Financiamento</w:t>
      </w:r>
      <w:r>
        <w:rPr>
          <w:rFonts w:ascii="Palatino Linotype" w:hAnsi="Palatino Linotype"/>
          <w:sz w:val="24"/>
          <w:szCs w:val="24"/>
          <w:lang w:val="pt-BR"/>
        </w:rPr>
        <w:t xml:space="preserve"> titulares de, no mínimo, </w:t>
      </w:r>
      <w:r w:rsidRPr="00314219">
        <w:rPr>
          <w:rFonts w:ascii="Palatino Linotype" w:hAnsi="Palatino Linotype"/>
          <w:color w:val="000000" w:themeColor="text1"/>
          <w:sz w:val="24"/>
          <w:szCs w:val="24"/>
          <w:lang w:val="pt-BR"/>
        </w:rPr>
        <w:t>60% (sessenta por cento)</w:t>
      </w:r>
      <w:r w:rsidRPr="00314219">
        <w:rPr>
          <w:rFonts w:ascii="Palatino Linotype" w:hAnsi="Palatino Linotype"/>
          <w:sz w:val="24"/>
          <w:szCs w:val="24"/>
          <w:lang w:val="pt-BR"/>
        </w:rPr>
        <w:t xml:space="preserve"> dos </w:t>
      </w:r>
      <w:r w:rsidRPr="00314219">
        <w:rPr>
          <w:rFonts w:ascii="Palatino Linotype" w:hAnsi="Palatino Linotype"/>
          <w:color w:val="000000" w:themeColor="text1"/>
          <w:sz w:val="24"/>
          <w:szCs w:val="24"/>
          <w:lang w:val="pt-BR"/>
        </w:rPr>
        <w:t xml:space="preserve">Créditos </w:t>
      </w:r>
      <w:r>
        <w:rPr>
          <w:rFonts w:ascii="Palatino Linotype" w:hAnsi="Palatino Linotype"/>
          <w:sz w:val="24"/>
          <w:szCs w:val="24"/>
          <w:lang w:val="pt-BR"/>
        </w:rPr>
        <w:t>do Novo Financiamento.</w:t>
      </w:r>
    </w:p>
    <w:p w14:paraId="4F0B8A98" w14:textId="77777777" w:rsidR="004C37CE" w:rsidRPr="00004B14" w:rsidRDefault="004C37CE" w:rsidP="004C37CE">
      <w:pPr>
        <w:pStyle w:val="GradeMdia1-nfase21"/>
        <w:widowControl w:val="0"/>
        <w:tabs>
          <w:tab w:val="left" w:pos="0"/>
        </w:tabs>
        <w:spacing w:after="0" w:line="320" w:lineRule="exact"/>
        <w:ind w:left="0" w:right="-7"/>
        <w:contextualSpacing w:val="0"/>
        <w:rPr>
          <w:rFonts w:ascii="Palatino Linotype" w:hAnsi="Palatino Linotype"/>
          <w:b/>
          <w:smallCaps/>
          <w:sz w:val="24"/>
          <w:szCs w:val="24"/>
          <w:lang w:val="pt-BR"/>
        </w:rPr>
      </w:pPr>
    </w:p>
    <w:p w14:paraId="08D0BBDE"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 xml:space="preserve">Alterar significativa e injustificadamente os padrões, métodos, critérios, procedimentos, registros e práticas contábeis, fiscais, trabalhistas, operacionais e/ou comerciais utilizadas pelas Recuperandas ou </w:t>
      </w:r>
      <w:r>
        <w:rPr>
          <w:rFonts w:ascii="Palatino Linotype" w:hAnsi="Palatino Linotype"/>
          <w:bCs/>
          <w:sz w:val="24"/>
          <w:szCs w:val="24"/>
          <w:lang w:val="pt-BR"/>
        </w:rPr>
        <w:t xml:space="preserve">por </w:t>
      </w:r>
      <w:r w:rsidRPr="00004B14">
        <w:rPr>
          <w:rFonts w:ascii="Palatino Linotype" w:hAnsi="Palatino Linotype"/>
          <w:bCs/>
          <w:sz w:val="24"/>
          <w:szCs w:val="24"/>
          <w:lang w:val="pt-BR"/>
        </w:rPr>
        <w:t>suas Afiliadas, que deverão sempre estar de acordo com a Lei;</w:t>
      </w:r>
    </w:p>
    <w:p w14:paraId="4AC3F489" w14:textId="77777777" w:rsidR="004C37CE" w:rsidRPr="00004B14" w:rsidRDefault="004C37CE" w:rsidP="004C37CE">
      <w:pPr>
        <w:pStyle w:val="GradeMdia1-nfase21"/>
        <w:widowControl w:val="0"/>
        <w:tabs>
          <w:tab w:val="left" w:pos="0"/>
        </w:tabs>
        <w:spacing w:after="0" w:line="320" w:lineRule="exact"/>
        <w:ind w:left="0" w:right="-7"/>
        <w:contextualSpacing w:val="0"/>
        <w:jc w:val="both"/>
        <w:rPr>
          <w:rFonts w:ascii="Palatino Linotype" w:hAnsi="Palatino Linotype"/>
          <w:bCs/>
          <w:sz w:val="24"/>
          <w:szCs w:val="24"/>
          <w:lang w:val="pt-BR"/>
        </w:rPr>
      </w:pPr>
    </w:p>
    <w:p w14:paraId="5A891125" w14:textId="6EAC7240"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Realizar transações com Afiliadas ou p</w:t>
      </w:r>
      <w:r w:rsidRPr="00E12EE8">
        <w:rPr>
          <w:rFonts w:ascii="Palatino Linotype" w:hAnsi="Palatino Linotype"/>
          <w:bCs/>
          <w:sz w:val="24"/>
          <w:szCs w:val="24"/>
          <w:lang w:val="pt-BR"/>
        </w:rPr>
        <w:t>artes relacionadas, exceto no curso regular dos negócios</w:t>
      </w:r>
      <w:r w:rsidRPr="00004B14">
        <w:rPr>
          <w:rFonts w:ascii="Palatino Linotype" w:hAnsi="Palatino Linotype"/>
          <w:bCs/>
          <w:sz w:val="24"/>
          <w:szCs w:val="24"/>
          <w:lang w:val="pt-BR"/>
        </w:rPr>
        <w:t>;</w:t>
      </w:r>
    </w:p>
    <w:p w14:paraId="5763AF6D" w14:textId="77777777" w:rsidR="004C37CE" w:rsidRPr="00004B14" w:rsidRDefault="004C37CE" w:rsidP="004C37CE">
      <w:pPr>
        <w:pStyle w:val="GradeMdia1-nfase21"/>
        <w:widowControl w:val="0"/>
        <w:tabs>
          <w:tab w:val="left" w:pos="0"/>
        </w:tabs>
        <w:spacing w:after="0" w:line="320" w:lineRule="exact"/>
        <w:ind w:left="0" w:right="-7"/>
        <w:contextualSpacing w:val="0"/>
        <w:jc w:val="both"/>
        <w:rPr>
          <w:rFonts w:ascii="Palatino Linotype" w:hAnsi="Palatino Linotype"/>
          <w:bCs/>
          <w:sz w:val="24"/>
          <w:szCs w:val="24"/>
          <w:lang w:val="pt-BR"/>
        </w:rPr>
      </w:pPr>
    </w:p>
    <w:p w14:paraId="264DD386"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 xml:space="preserve">Alienar, a qualquer título, ativos, obrigações e direitos ou constituir quaisquer Ônus sobre ativos, obrigações e direitos das Recuperandas ou de suas Afiliadas (incluindo vender, prometer vender, ceder, prometer ceder, ou de qualquer outra forma transferir, onerar ou prometer transferir ou onerar tais ativos, obrigações e direitos das Recuperandas ou de suas Afiliadas), incluindo, mas não limitado à SPE </w:t>
      </w:r>
      <w:proofErr w:type="spellStart"/>
      <w:r w:rsidRPr="00004B14">
        <w:rPr>
          <w:rFonts w:ascii="Palatino Linotype" w:hAnsi="Palatino Linotype"/>
          <w:bCs/>
          <w:sz w:val="24"/>
          <w:szCs w:val="24"/>
          <w:lang w:val="pt-BR"/>
        </w:rPr>
        <w:t>ClientCo</w:t>
      </w:r>
      <w:proofErr w:type="spellEnd"/>
      <w:r w:rsidRPr="00004B14">
        <w:rPr>
          <w:rFonts w:ascii="Palatino Linotype" w:hAnsi="Palatino Linotype"/>
          <w:bCs/>
          <w:sz w:val="24"/>
          <w:szCs w:val="24"/>
          <w:lang w:val="pt-BR"/>
        </w:rPr>
        <w:t xml:space="preserve"> e à SPE </w:t>
      </w:r>
      <w:proofErr w:type="spellStart"/>
      <w:r w:rsidRPr="00004B14">
        <w:rPr>
          <w:rFonts w:ascii="Palatino Linotype" w:hAnsi="Palatino Linotype"/>
          <w:bCs/>
          <w:sz w:val="24"/>
          <w:szCs w:val="24"/>
          <w:lang w:val="pt-BR"/>
        </w:rPr>
        <w:t>V.Tal</w:t>
      </w:r>
      <w:proofErr w:type="spellEnd"/>
      <w:r w:rsidRPr="00004B14">
        <w:rPr>
          <w:rFonts w:ascii="Palatino Linotype" w:hAnsi="Palatino Linotype"/>
          <w:bCs/>
          <w:sz w:val="24"/>
          <w:szCs w:val="24"/>
          <w:lang w:val="pt-BR"/>
        </w:rPr>
        <w:t>;</w:t>
      </w:r>
    </w:p>
    <w:p w14:paraId="12B876E0" w14:textId="77777777" w:rsidR="004C37CE" w:rsidRPr="007E01DA" w:rsidRDefault="004C37CE" w:rsidP="004C37CE">
      <w:pPr>
        <w:widowControl w:val="0"/>
        <w:spacing w:after="0" w:line="320" w:lineRule="exact"/>
        <w:rPr>
          <w:rFonts w:ascii="Palatino Linotype" w:hAnsi="Palatino Linotype"/>
          <w:bCs/>
          <w:sz w:val="24"/>
          <w:szCs w:val="24"/>
          <w:lang w:val="pt-BR"/>
        </w:rPr>
      </w:pPr>
    </w:p>
    <w:p w14:paraId="49B535E2"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Aprovar ou permitir que as Recuperandas ou suas Afiliadas emitam ações de qualquer espécie ou classe, ou outros valores mobiliários de qualquer espécie, notadamente debêntures, conversíveis ou não, partes beneficiárias, bônus de subscrição ou que outorguem opção de compra de ações a administradores ou terceiros, direito de participação nos lucros ou, ainda, reduzam o capital social;</w:t>
      </w:r>
    </w:p>
    <w:p w14:paraId="47E0F605" w14:textId="77777777" w:rsidR="004C37CE" w:rsidRPr="007E01DA" w:rsidRDefault="004C37CE" w:rsidP="004C37CE">
      <w:pPr>
        <w:widowControl w:val="0"/>
        <w:spacing w:after="0" w:line="320" w:lineRule="exact"/>
        <w:rPr>
          <w:rFonts w:ascii="Palatino Linotype" w:hAnsi="Palatino Linotype"/>
          <w:bCs/>
          <w:sz w:val="24"/>
          <w:szCs w:val="24"/>
          <w:lang w:val="pt-BR"/>
        </w:rPr>
      </w:pPr>
    </w:p>
    <w:p w14:paraId="1C4AEC45"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 xml:space="preserve">Aprovar ou implementar qualquer operação de transformação, fusão, cisão incorporação (inclusive de ações), capitalização de sociedade mediante aporte e </w:t>
      </w:r>
      <w:r w:rsidRPr="00004B14">
        <w:rPr>
          <w:rFonts w:ascii="Palatino Linotype" w:hAnsi="Palatino Linotype"/>
          <w:bCs/>
          <w:sz w:val="24"/>
          <w:szCs w:val="24"/>
          <w:lang w:val="pt-BR"/>
        </w:rPr>
        <w:lastRenderedPageBreak/>
        <w:t>contribuição de ativos (</w:t>
      </w:r>
      <w:proofErr w:type="spellStart"/>
      <w:r w:rsidRPr="00004B14">
        <w:rPr>
          <w:rFonts w:ascii="Palatino Linotype" w:hAnsi="Palatino Linotype"/>
          <w:bCs/>
          <w:i/>
          <w:iCs/>
          <w:sz w:val="24"/>
          <w:szCs w:val="24"/>
          <w:lang w:val="pt-BR"/>
        </w:rPr>
        <w:t>drop</w:t>
      </w:r>
      <w:proofErr w:type="spellEnd"/>
      <w:r w:rsidRPr="00004B14">
        <w:rPr>
          <w:rFonts w:ascii="Palatino Linotype" w:hAnsi="Palatino Linotype"/>
          <w:bCs/>
          <w:i/>
          <w:iCs/>
          <w:sz w:val="24"/>
          <w:szCs w:val="24"/>
          <w:lang w:val="pt-BR"/>
        </w:rPr>
        <w:t xml:space="preserve"> </w:t>
      </w:r>
      <w:proofErr w:type="spellStart"/>
      <w:r w:rsidRPr="00004B14">
        <w:rPr>
          <w:rFonts w:ascii="Palatino Linotype" w:hAnsi="Palatino Linotype"/>
          <w:bCs/>
          <w:i/>
          <w:iCs/>
          <w:sz w:val="24"/>
          <w:szCs w:val="24"/>
          <w:lang w:val="pt-BR"/>
        </w:rPr>
        <w:t>down</w:t>
      </w:r>
      <w:proofErr w:type="spellEnd"/>
      <w:r w:rsidRPr="00004B14">
        <w:rPr>
          <w:rFonts w:ascii="Palatino Linotype" w:hAnsi="Palatino Linotype"/>
          <w:bCs/>
          <w:sz w:val="24"/>
          <w:szCs w:val="24"/>
          <w:lang w:val="pt-BR"/>
        </w:rPr>
        <w:t>) ou outra forma de reorganização societária, bem como sua liquidação ou dissolução, ou ainda a venda ou alienação de substancialmente todos os seus ativos das Recuperandas ou de suas Afiliadas;</w:t>
      </w:r>
    </w:p>
    <w:p w14:paraId="0156CD5D" w14:textId="77777777" w:rsidR="004C37CE" w:rsidRPr="007E01DA" w:rsidRDefault="004C37CE" w:rsidP="004C37CE">
      <w:pPr>
        <w:widowControl w:val="0"/>
        <w:spacing w:after="0" w:line="320" w:lineRule="exact"/>
        <w:rPr>
          <w:rFonts w:ascii="Palatino Linotype" w:hAnsi="Palatino Linotype"/>
          <w:bCs/>
          <w:sz w:val="24"/>
          <w:szCs w:val="24"/>
          <w:lang w:val="pt-BR"/>
        </w:rPr>
      </w:pPr>
    </w:p>
    <w:p w14:paraId="7A112865"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Adquirir, a qualquer título, qualquer participação societária ou celebrar acordo de investimentos, acordo de acionistas ou quotistas ou, ainda, contrato de consórcio ou joint venture;</w:t>
      </w:r>
    </w:p>
    <w:p w14:paraId="7F47B30F" w14:textId="77777777" w:rsidR="004C37CE" w:rsidRPr="007E01DA" w:rsidRDefault="004C37CE" w:rsidP="004C37CE">
      <w:pPr>
        <w:widowControl w:val="0"/>
        <w:spacing w:after="0" w:line="320" w:lineRule="exact"/>
        <w:rPr>
          <w:rFonts w:ascii="Palatino Linotype" w:hAnsi="Palatino Linotype"/>
          <w:bCs/>
          <w:sz w:val="24"/>
          <w:szCs w:val="24"/>
          <w:lang w:val="pt-BR"/>
        </w:rPr>
      </w:pPr>
    </w:p>
    <w:p w14:paraId="7CAD424D"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Celebrar qualquer acordo que disponha sobre a compra e venda, endosso, transferência ou o exercício do direito de voto de ações representativas do capital social das Recuperandas ou de suas Afiliadas, conforme aplicável, ou que as afetem de qualquer forma;</w:t>
      </w:r>
    </w:p>
    <w:p w14:paraId="1DD58DEB" w14:textId="77777777" w:rsidR="004C37CE" w:rsidRPr="007E01DA" w:rsidRDefault="004C37CE" w:rsidP="004C37CE">
      <w:pPr>
        <w:widowControl w:val="0"/>
        <w:spacing w:after="0" w:line="320" w:lineRule="exact"/>
        <w:rPr>
          <w:rFonts w:ascii="Palatino Linotype" w:hAnsi="Palatino Linotype"/>
          <w:bCs/>
          <w:sz w:val="24"/>
          <w:szCs w:val="24"/>
          <w:lang w:val="pt-BR"/>
        </w:rPr>
      </w:pPr>
    </w:p>
    <w:p w14:paraId="24B23349"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Aprovar ou implementar uma alteração material, rescisão ou devolução de qualquer licença de qualquer autoridade governamental necessária para a operação e manutenção dos ativos, obrigações e direitos das Recuperandas ou de suas Afiliadas;</w:t>
      </w:r>
    </w:p>
    <w:p w14:paraId="636632DC" w14:textId="77777777" w:rsidR="004C37CE" w:rsidRPr="007E01DA" w:rsidRDefault="004C37CE" w:rsidP="004C37CE">
      <w:pPr>
        <w:widowControl w:val="0"/>
        <w:spacing w:after="0" w:line="320" w:lineRule="exact"/>
        <w:rPr>
          <w:rFonts w:ascii="Palatino Linotype" w:hAnsi="Palatino Linotype"/>
          <w:bCs/>
          <w:sz w:val="24"/>
          <w:szCs w:val="24"/>
          <w:lang w:val="pt-BR"/>
        </w:rPr>
      </w:pPr>
    </w:p>
    <w:p w14:paraId="62BA1CBA"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Contratar, seja numa única transação ou série de transações, qualquer tipo de endividamento com terceiros ou com Partes Relacionadas em forma não permitida expressamente no Plano;</w:t>
      </w:r>
    </w:p>
    <w:p w14:paraId="18ED009C" w14:textId="77777777" w:rsidR="004C37CE" w:rsidRPr="007E01DA" w:rsidRDefault="004C37CE" w:rsidP="004C37CE">
      <w:pPr>
        <w:widowControl w:val="0"/>
        <w:spacing w:after="0" w:line="320" w:lineRule="exact"/>
        <w:rPr>
          <w:rFonts w:ascii="Palatino Linotype" w:hAnsi="Palatino Linotype"/>
          <w:bCs/>
          <w:sz w:val="24"/>
          <w:szCs w:val="24"/>
          <w:lang w:val="pt-BR"/>
        </w:rPr>
      </w:pPr>
    </w:p>
    <w:p w14:paraId="573D2FDF"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Celebrar, rescindir, ceder, aditar ou modificar de qualquer forma qualquer tipo de contrato, exceto se no Curso Normal dos Negócios e desde que em condições de mercado, das Recuperandas ou de suas Afiliadas;</w:t>
      </w:r>
    </w:p>
    <w:p w14:paraId="616257A0" w14:textId="77777777" w:rsidR="004C37CE" w:rsidRPr="007E01DA" w:rsidRDefault="004C37CE" w:rsidP="004C37CE">
      <w:pPr>
        <w:widowControl w:val="0"/>
        <w:spacing w:after="0" w:line="320" w:lineRule="exact"/>
        <w:rPr>
          <w:rFonts w:ascii="Palatino Linotype" w:hAnsi="Palatino Linotype"/>
          <w:bCs/>
          <w:sz w:val="24"/>
          <w:szCs w:val="24"/>
          <w:lang w:val="pt-BR"/>
        </w:rPr>
      </w:pPr>
    </w:p>
    <w:p w14:paraId="14C87842"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Contratar ou fazer com que sejam contratados administradores ou conselheiros, aumentar ou alterar a remuneração dos administradores ou conselheiros existentes ou criar ou alterar pacotes ou planos de benefícios para os administradores ou conselheiros existentes;</w:t>
      </w:r>
    </w:p>
    <w:p w14:paraId="69BA3B5D" w14:textId="77777777" w:rsidR="004C37CE" w:rsidRPr="00004B14" w:rsidRDefault="004C37CE" w:rsidP="004C37CE">
      <w:pPr>
        <w:pStyle w:val="GradeMdia1-nfase21"/>
        <w:widowControl w:val="0"/>
        <w:tabs>
          <w:tab w:val="left" w:pos="0"/>
        </w:tabs>
        <w:spacing w:after="0" w:line="320" w:lineRule="exact"/>
        <w:ind w:left="0" w:right="-7"/>
        <w:contextualSpacing w:val="0"/>
        <w:jc w:val="both"/>
        <w:rPr>
          <w:rFonts w:ascii="Palatino Linotype" w:hAnsi="Palatino Linotype"/>
          <w:bCs/>
          <w:sz w:val="24"/>
          <w:szCs w:val="24"/>
          <w:lang w:val="pt-BR"/>
        </w:rPr>
      </w:pPr>
    </w:p>
    <w:p w14:paraId="28845240"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Praticar qualquer ato ou assumir qualquer obrigação, ou realizar qualquer investimento extraordinário que desvie, relevante e adversamente, do Plano de Negócios das Recuperandas</w:t>
      </w:r>
    </w:p>
    <w:p w14:paraId="77543790" w14:textId="77777777" w:rsidR="004C37CE" w:rsidRPr="00004B14" w:rsidRDefault="004C37CE" w:rsidP="004C37CE">
      <w:pPr>
        <w:pStyle w:val="GradeMdia1-nfase21"/>
        <w:widowControl w:val="0"/>
        <w:tabs>
          <w:tab w:val="left" w:pos="0"/>
        </w:tabs>
        <w:spacing w:after="0" w:line="320" w:lineRule="exact"/>
        <w:ind w:left="0" w:right="-7"/>
        <w:contextualSpacing w:val="0"/>
        <w:jc w:val="both"/>
        <w:rPr>
          <w:rFonts w:ascii="Palatino Linotype" w:hAnsi="Palatino Linotype"/>
          <w:bCs/>
          <w:sz w:val="24"/>
          <w:szCs w:val="24"/>
          <w:lang w:val="pt-BR"/>
        </w:rPr>
      </w:pPr>
    </w:p>
    <w:p w14:paraId="74E4991A"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Realizar, seja numa única transação ou série de transações, investimentos que possam resultar em CAPEX anual superior a R$ 1</w:t>
      </w:r>
      <w:r>
        <w:rPr>
          <w:rFonts w:ascii="Palatino Linotype" w:hAnsi="Palatino Linotype"/>
          <w:bCs/>
          <w:sz w:val="24"/>
          <w:szCs w:val="24"/>
          <w:lang w:val="pt-BR"/>
        </w:rPr>
        <w:t>0</w:t>
      </w:r>
      <w:r w:rsidRPr="00004B14">
        <w:rPr>
          <w:rFonts w:ascii="Palatino Linotype" w:hAnsi="Palatino Linotype"/>
          <w:bCs/>
          <w:sz w:val="24"/>
          <w:szCs w:val="24"/>
          <w:lang w:val="pt-BR"/>
        </w:rPr>
        <w:t>0.000.000,00 (</w:t>
      </w:r>
      <w:r>
        <w:rPr>
          <w:rFonts w:ascii="Palatino Linotype" w:hAnsi="Palatino Linotype"/>
          <w:bCs/>
          <w:sz w:val="24"/>
          <w:szCs w:val="24"/>
          <w:lang w:val="pt-BR"/>
        </w:rPr>
        <w:t>cem milhões de Reais</w:t>
      </w:r>
      <w:r w:rsidRPr="00004B14">
        <w:rPr>
          <w:rFonts w:ascii="Palatino Linotype" w:hAnsi="Palatino Linotype"/>
          <w:bCs/>
          <w:sz w:val="24"/>
          <w:szCs w:val="24"/>
          <w:lang w:val="pt-BR"/>
        </w:rPr>
        <w:t>);</w:t>
      </w:r>
    </w:p>
    <w:p w14:paraId="00D27C26" w14:textId="77777777" w:rsidR="004C37CE" w:rsidRPr="00004B14" w:rsidRDefault="004C37CE" w:rsidP="004C37CE">
      <w:pPr>
        <w:pStyle w:val="GradeMdia1-nfase21"/>
        <w:widowControl w:val="0"/>
        <w:tabs>
          <w:tab w:val="left" w:pos="0"/>
        </w:tabs>
        <w:spacing w:after="0" w:line="320" w:lineRule="exact"/>
        <w:ind w:left="0" w:right="-7"/>
        <w:contextualSpacing w:val="0"/>
        <w:jc w:val="both"/>
        <w:rPr>
          <w:rFonts w:ascii="Palatino Linotype" w:hAnsi="Palatino Linotype"/>
          <w:bCs/>
          <w:sz w:val="24"/>
          <w:szCs w:val="24"/>
          <w:lang w:val="pt-BR"/>
        </w:rPr>
      </w:pPr>
    </w:p>
    <w:p w14:paraId="25F18178" w14:textId="77777777" w:rsidR="004C37CE" w:rsidRPr="00004B14"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bCs/>
          <w:sz w:val="24"/>
          <w:szCs w:val="24"/>
          <w:lang w:val="pt-BR"/>
        </w:rPr>
      </w:pPr>
      <w:r w:rsidRPr="00004B14">
        <w:rPr>
          <w:rFonts w:ascii="Palatino Linotype" w:hAnsi="Palatino Linotype"/>
          <w:bCs/>
          <w:sz w:val="24"/>
          <w:szCs w:val="24"/>
          <w:lang w:val="pt-BR"/>
        </w:rPr>
        <w:t xml:space="preserve">Celebrar qualquer compromisso ou acordo em qualquer processo, administrativo </w:t>
      </w:r>
      <w:r w:rsidRPr="00004B14">
        <w:rPr>
          <w:rFonts w:ascii="Palatino Linotype" w:hAnsi="Palatino Linotype"/>
          <w:bCs/>
          <w:sz w:val="24"/>
          <w:szCs w:val="24"/>
          <w:lang w:val="pt-BR"/>
        </w:rPr>
        <w:lastRenderedPageBreak/>
        <w:t xml:space="preserve">ou judicial, inclusive termo de compromisso, fora do </w:t>
      </w:r>
      <w:r>
        <w:rPr>
          <w:rFonts w:ascii="Palatino Linotype" w:hAnsi="Palatino Linotype"/>
          <w:bCs/>
          <w:sz w:val="24"/>
          <w:szCs w:val="24"/>
          <w:lang w:val="pt-BR"/>
        </w:rPr>
        <w:t>c</w:t>
      </w:r>
      <w:r w:rsidRPr="00004B14">
        <w:rPr>
          <w:rFonts w:ascii="Palatino Linotype" w:hAnsi="Palatino Linotype"/>
          <w:bCs/>
          <w:sz w:val="24"/>
          <w:szCs w:val="24"/>
          <w:lang w:val="pt-BR"/>
        </w:rPr>
        <w:t xml:space="preserve">urso </w:t>
      </w:r>
      <w:r>
        <w:rPr>
          <w:rFonts w:ascii="Palatino Linotype" w:hAnsi="Palatino Linotype"/>
          <w:bCs/>
          <w:sz w:val="24"/>
          <w:szCs w:val="24"/>
          <w:lang w:val="pt-BR"/>
        </w:rPr>
        <w:t>r</w:t>
      </w:r>
      <w:r w:rsidRPr="00004B14">
        <w:rPr>
          <w:rFonts w:ascii="Palatino Linotype" w:hAnsi="Palatino Linotype"/>
          <w:bCs/>
          <w:sz w:val="24"/>
          <w:szCs w:val="24"/>
          <w:lang w:val="pt-BR"/>
        </w:rPr>
        <w:t xml:space="preserve">egular dos </w:t>
      </w:r>
      <w:r>
        <w:rPr>
          <w:rFonts w:ascii="Palatino Linotype" w:hAnsi="Palatino Linotype"/>
          <w:bCs/>
          <w:sz w:val="24"/>
          <w:szCs w:val="24"/>
          <w:lang w:val="pt-BR"/>
        </w:rPr>
        <w:t>n</w:t>
      </w:r>
      <w:r w:rsidRPr="00004B14">
        <w:rPr>
          <w:rFonts w:ascii="Palatino Linotype" w:hAnsi="Palatino Linotype"/>
          <w:bCs/>
          <w:sz w:val="24"/>
          <w:szCs w:val="24"/>
          <w:lang w:val="pt-BR"/>
        </w:rPr>
        <w:t>egócios; e</w:t>
      </w:r>
    </w:p>
    <w:p w14:paraId="3D008CE5" w14:textId="77777777" w:rsidR="004C37CE" w:rsidRPr="00004B14" w:rsidRDefault="004C37CE" w:rsidP="004C37CE">
      <w:pPr>
        <w:pStyle w:val="GradeMdia1-nfase21"/>
        <w:widowControl w:val="0"/>
        <w:tabs>
          <w:tab w:val="left" w:pos="0"/>
        </w:tabs>
        <w:spacing w:after="0" w:line="320" w:lineRule="exact"/>
        <w:ind w:left="0" w:right="-7"/>
        <w:contextualSpacing w:val="0"/>
        <w:jc w:val="both"/>
        <w:rPr>
          <w:rFonts w:ascii="Palatino Linotype" w:hAnsi="Palatino Linotype"/>
          <w:bCs/>
          <w:sz w:val="24"/>
          <w:szCs w:val="24"/>
          <w:lang w:val="pt-BR"/>
        </w:rPr>
      </w:pPr>
    </w:p>
    <w:p w14:paraId="592A0A4A" w14:textId="77777777" w:rsidR="004C37CE" w:rsidRPr="00456505" w:rsidRDefault="004C37CE" w:rsidP="004C37CE">
      <w:pPr>
        <w:pStyle w:val="GradeMdia1-nfase21"/>
        <w:widowControl w:val="0"/>
        <w:numPr>
          <w:ilvl w:val="3"/>
          <w:numId w:val="1"/>
        </w:numPr>
        <w:tabs>
          <w:tab w:val="left" w:pos="0"/>
        </w:tabs>
        <w:spacing w:after="0" w:line="320" w:lineRule="exact"/>
        <w:ind w:left="0" w:right="-7" w:firstLine="0"/>
        <w:contextualSpacing w:val="0"/>
        <w:jc w:val="both"/>
        <w:rPr>
          <w:rFonts w:ascii="Palatino Linotype" w:hAnsi="Palatino Linotype"/>
          <w:sz w:val="24"/>
          <w:lang w:val="pt-BR"/>
        </w:rPr>
      </w:pPr>
      <w:r w:rsidRPr="00004B14">
        <w:rPr>
          <w:rFonts w:ascii="Palatino Linotype" w:hAnsi="Palatino Linotype"/>
          <w:bCs/>
          <w:sz w:val="24"/>
          <w:szCs w:val="24"/>
          <w:lang w:val="pt-BR"/>
        </w:rPr>
        <w:t xml:space="preserve">Concordar em, ou se comprometer a, ou adotar, ou autorizar, inclusive via exercício de direito de voto, qualquer dos atos previstos neste </w:t>
      </w:r>
      <w:r w:rsidRPr="00004B14">
        <w:rPr>
          <w:rFonts w:ascii="Palatino Linotype" w:hAnsi="Palatino Linotype"/>
          <w:b/>
          <w:sz w:val="24"/>
          <w:szCs w:val="24"/>
          <w:lang w:val="pt-BR"/>
        </w:rPr>
        <w:t>Anexo 7.</w:t>
      </w:r>
      <w:r>
        <w:rPr>
          <w:rFonts w:ascii="Palatino Linotype" w:hAnsi="Palatino Linotype"/>
          <w:b/>
          <w:sz w:val="24"/>
          <w:szCs w:val="24"/>
          <w:lang w:val="pt-BR"/>
        </w:rPr>
        <w:t>1</w:t>
      </w:r>
      <w:r w:rsidRPr="00004B14">
        <w:rPr>
          <w:rFonts w:ascii="Palatino Linotype" w:hAnsi="Palatino Linotype"/>
          <w:bCs/>
          <w:sz w:val="24"/>
          <w:szCs w:val="24"/>
          <w:lang w:val="pt-BR"/>
        </w:rPr>
        <w:t>.</w:t>
      </w:r>
    </w:p>
    <w:p w14:paraId="3CD999FE" w14:textId="77777777" w:rsidR="00EC5C66" w:rsidRPr="004C37CE" w:rsidRDefault="00EC5C66">
      <w:pPr>
        <w:rPr>
          <w:lang w:val="pt-BR"/>
        </w:rPr>
      </w:pPr>
    </w:p>
    <w:sectPr w:rsidR="00EC5C66" w:rsidRPr="004C37CE" w:rsidSect="00F54933">
      <w:headerReference w:type="even" r:id="rId7"/>
      <w:headerReference w:type="default" r:id="rId8"/>
      <w:footerReference w:type="even" r:id="rId9"/>
      <w:footerReference w:type="default" r:id="rId10"/>
      <w:headerReference w:type="first" r:id="rId11"/>
      <w:footerReference w:type="first" r:id="rId12"/>
      <w:pgSz w:w="12240" w:h="15840"/>
      <w:pgMar w:top="198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2BC58" w14:textId="77777777" w:rsidR="00824F86" w:rsidRDefault="00824F86">
      <w:pPr>
        <w:spacing w:after="0" w:line="240" w:lineRule="auto"/>
      </w:pPr>
      <w:r>
        <w:separator/>
      </w:r>
    </w:p>
  </w:endnote>
  <w:endnote w:type="continuationSeparator" w:id="0">
    <w:p w14:paraId="246A9495" w14:textId="77777777" w:rsidR="00824F86" w:rsidRDefault="0082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34DF" w14:textId="77777777" w:rsidR="00544B72" w:rsidRDefault="00B81F87" w:rsidP="006E098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A0251A" w14:textId="77777777" w:rsidR="00544B72" w:rsidRDefault="00544B72" w:rsidP="008B0090">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2E382" w14:textId="7BC439A1" w:rsidR="00544B72" w:rsidRPr="0092311D" w:rsidRDefault="00B81F87">
    <w:pPr>
      <w:pStyle w:val="Rodap"/>
      <w:jc w:val="right"/>
      <w:rPr>
        <w:rFonts w:ascii="Palatino Linotype" w:hAnsi="Palatino Linotype"/>
        <w:sz w:val="24"/>
      </w:rPr>
    </w:pPr>
    <w:r w:rsidRPr="0092311D">
      <w:rPr>
        <w:rFonts w:ascii="Palatino Linotype" w:hAnsi="Palatino Linotype"/>
        <w:sz w:val="24"/>
      </w:rPr>
      <w:fldChar w:fldCharType="begin"/>
    </w:r>
    <w:r w:rsidRPr="0092311D">
      <w:rPr>
        <w:rFonts w:ascii="Palatino Linotype" w:hAnsi="Palatino Linotype"/>
        <w:sz w:val="24"/>
      </w:rPr>
      <w:instrText>PAGE   \* MERGEFORMAT</w:instrText>
    </w:r>
    <w:r w:rsidRPr="0092311D">
      <w:rPr>
        <w:rFonts w:ascii="Palatino Linotype" w:hAnsi="Palatino Linotype"/>
        <w:sz w:val="24"/>
      </w:rPr>
      <w:fldChar w:fldCharType="separate"/>
    </w:r>
    <w:r w:rsidR="002B411D" w:rsidRPr="002B411D">
      <w:rPr>
        <w:rFonts w:ascii="Palatino Linotype" w:hAnsi="Palatino Linotype"/>
        <w:noProof/>
        <w:sz w:val="24"/>
        <w:lang w:val="pt-BR"/>
      </w:rPr>
      <w:t>3</w:t>
    </w:r>
    <w:r w:rsidRPr="0092311D">
      <w:rPr>
        <w:rFonts w:ascii="Palatino Linotype" w:hAnsi="Palatino Linotype"/>
        <w:sz w:val="24"/>
      </w:rPr>
      <w:fldChar w:fldCharType="end"/>
    </w:r>
  </w:p>
  <w:p w14:paraId="60FEADCB" w14:textId="77777777" w:rsidR="00544B72" w:rsidRDefault="00544B72">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27C6" w14:textId="77777777" w:rsidR="00544B72" w:rsidRDefault="00544B7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07438" w14:textId="77777777" w:rsidR="00824F86" w:rsidRDefault="00824F86">
      <w:pPr>
        <w:spacing w:after="0" w:line="240" w:lineRule="auto"/>
      </w:pPr>
      <w:r>
        <w:separator/>
      </w:r>
    </w:p>
  </w:footnote>
  <w:footnote w:type="continuationSeparator" w:id="0">
    <w:p w14:paraId="56B909C6" w14:textId="77777777" w:rsidR="00824F86" w:rsidRDefault="0082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5A55" w14:textId="77777777" w:rsidR="00544B72" w:rsidRDefault="00544B7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105" w14:textId="77777777" w:rsidR="00544B72" w:rsidRPr="009B6543" w:rsidRDefault="00544B72" w:rsidP="009B6543">
    <w:pPr>
      <w:pStyle w:val="Cabealho"/>
      <w:jc w:val="right"/>
      <w:rPr>
        <w:rFonts w:ascii="Palatino Linotype" w:hAnsi="Palatino Linotype"/>
        <w:lang w:val="pt-B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42DC" w14:textId="77777777" w:rsidR="00544B72" w:rsidRDefault="00544B7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044C5"/>
    <w:multiLevelType w:val="hybridMultilevel"/>
    <w:tmpl w:val="4A120402"/>
    <w:lvl w:ilvl="0" w:tplc="FFFFFFFF">
      <w:start w:val="1"/>
      <w:numFmt w:val="lowerRoman"/>
      <w:lvlText w:val="(%1)"/>
      <w:lvlJc w:val="left"/>
      <w:pPr>
        <w:ind w:left="1854" w:hanging="720"/>
      </w:pPr>
      <w:rPr>
        <w:rFonts w:hint="default"/>
        <w:b w:val="0"/>
        <w:bCs w:val="0"/>
        <w:i/>
        <w:iCs/>
      </w:rPr>
    </w:lvl>
    <w:lvl w:ilvl="1" w:tplc="FFFFFFFF">
      <w:start w:val="1"/>
      <w:numFmt w:val="lowerLetter"/>
      <w:lvlText w:val="%2."/>
      <w:lvlJc w:val="left"/>
      <w:pPr>
        <w:ind w:left="2214" w:hanging="360"/>
      </w:pPr>
      <w:rPr>
        <w:rFonts w:ascii="Palatino Linotype" w:hAnsi="Palatino Linotype" w:hint="default"/>
        <w:sz w:val="24"/>
        <w:szCs w:val="24"/>
      </w:rPr>
    </w:lvl>
    <w:lvl w:ilvl="2" w:tplc="FFFFFFFF">
      <w:start w:val="1"/>
      <w:numFmt w:val="lowerRoman"/>
      <w:lvlText w:val="%3."/>
      <w:lvlJc w:val="right"/>
      <w:pPr>
        <w:ind w:left="2934" w:hanging="180"/>
      </w:pPr>
    </w:lvl>
    <w:lvl w:ilvl="3" w:tplc="1CBCDD24">
      <w:start w:val="1"/>
      <w:numFmt w:val="decimal"/>
      <w:lvlText w:val="%4."/>
      <w:lvlJc w:val="left"/>
      <w:pPr>
        <w:ind w:left="3654" w:hanging="360"/>
      </w:pPr>
      <w:rPr>
        <w:b/>
        <w:bCs w:val="0"/>
      </w:r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CE"/>
    <w:rsid w:val="00041310"/>
    <w:rsid w:val="000578E5"/>
    <w:rsid w:val="00077A03"/>
    <w:rsid w:val="001245CB"/>
    <w:rsid w:val="0024464D"/>
    <w:rsid w:val="002B411D"/>
    <w:rsid w:val="00327082"/>
    <w:rsid w:val="00332C69"/>
    <w:rsid w:val="003B384C"/>
    <w:rsid w:val="004415FD"/>
    <w:rsid w:val="00485B2D"/>
    <w:rsid w:val="004C37CE"/>
    <w:rsid w:val="00544B72"/>
    <w:rsid w:val="005639D0"/>
    <w:rsid w:val="005B2B2D"/>
    <w:rsid w:val="00712C91"/>
    <w:rsid w:val="00727EFB"/>
    <w:rsid w:val="00824F86"/>
    <w:rsid w:val="0083509A"/>
    <w:rsid w:val="008D3858"/>
    <w:rsid w:val="008F3AE9"/>
    <w:rsid w:val="00A22705"/>
    <w:rsid w:val="00A9745D"/>
    <w:rsid w:val="00B81F87"/>
    <w:rsid w:val="00C378AE"/>
    <w:rsid w:val="00C740AC"/>
    <w:rsid w:val="00C975F1"/>
    <w:rsid w:val="00D16E30"/>
    <w:rsid w:val="00D368E5"/>
    <w:rsid w:val="00E17682"/>
    <w:rsid w:val="00E77F6A"/>
    <w:rsid w:val="00EC5C66"/>
    <w:rsid w:val="00F54933"/>
    <w:rsid w:val="00F62F8C"/>
    <w:rsid w:val="00F7018C"/>
    <w:rsid w:val="00FC1B95"/>
    <w:rsid w:val="00FE5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3272"/>
  <w15:chartTrackingRefBased/>
  <w15:docId w15:val="{06C1E304-EBD3-40B7-86BD-06B04231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7CE"/>
    <w:rPr>
      <w:rFonts w:ascii="Calibri" w:eastAsia="Calibri" w:hAnsi="Calibri" w:cs="Times New Roman"/>
      <w:lang w:val="en-US"/>
    </w:rPr>
  </w:style>
  <w:style w:type="paragraph" w:styleId="Ttulo1">
    <w:name w:val="heading 1"/>
    <w:basedOn w:val="Normal"/>
    <w:next w:val="Normal"/>
    <w:link w:val="Ttulo1Char"/>
    <w:uiPriority w:val="9"/>
    <w:qFormat/>
    <w:rsid w:val="004C3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C3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C37C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C37C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C37C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C37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C37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C37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C37C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C37C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C37C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C37C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C37C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C37C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C37C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C37C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C37C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C37CE"/>
    <w:rPr>
      <w:rFonts w:eastAsiaTheme="majorEastAsia" w:cstheme="majorBidi"/>
      <w:color w:val="272727" w:themeColor="text1" w:themeTint="D8"/>
    </w:rPr>
  </w:style>
  <w:style w:type="paragraph" w:styleId="Ttulo">
    <w:name w:val="Title"/>
    <w:basedOn w:val="Normal"/>
    <w:next w:val="Normal"/>
    <w:link w:val="TtuloChar"/>
    <w:uiPriority w:val="10"/>
    <w:qFormat/>
    <w:rsid w:val="004C3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C37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C37C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C37C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C37CE"/>
    <w:pPr>
      <w:spacing w:before="160"/>
      <w:jc w:val="center"/>
    </w:pPr>
    <w:rPr>
      <w:i/>
      <w:iCs/>
      <w:color w:val="404040" w:themeColor="text1" w:themeTint="BF"/>
    </w:rPr>
  </w:style>
  <w:style w:type="character" w:customStyle="1" w:styleId="CitaoChar">
    <w:name w:val="Citação Char"/>
    <w:basedOn w:val="Fontepargpadro"/>
    <w:link w:val="Citao"/>
    <w:uiPriority w:val="29"/>
    <w:rsid w:val="004C37CE"/>
    <w:rPr>
      <w:i/>
      <w:iCs/>
      <w:color w:val="404040" w:themeColor="text1" w:themeTint="BF"/>
    </w:rPr>
  </w:style>
  <w:style w:type="paragraph" w:styleId="PargrafodaLista">
    <w:name w:val="List Paragraph"/>
    <w:basedOn w:val="Normal"/>
    <w:uiPriority w:val="34"/>
    <w:qFormat/>
    <w:rsid w:val="004C37CE"/>
    <w:pPr>
      <w:ind w:left="720"/>
      <w:contextualSpacing/>
    </w:pPr>
  </w:style>
  <w:style w:type="character" w:styleId="nfaseIntensa">
    <w:name w:val="Intense Emphasis"/>
    <w:basedOn w:val="Fontepargpadro"/>
    <w:uiPriority w:val="21"/>
    <w:qFormat/>
    <w:rsid w:val="004C37CE"/>
    <w:rPr>
      <w:i/>
      <w:iCs/>
      <w:color w:val="2F5496" w:themeColor="accent1" w:themeShade="BF"/>
    </w:rPr>
  </w:style>
  <w:style w:type="paragraph" w:styleId="CitaoIntensa">
    <w:name w:val="Intense Quote"/>
    <w:basedOn w:val="Normal"/>
    <w:next w:val="Normal"/>
    <w:link w:val="CitaoIntensaChar"/>
    <w:uiPriority w:val="30"/>
    <w:qFormat/>
    <w:rsid w:val="004C3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C37CE"/>
    <w:rPr>
      <w:i/>
      <w:iCs/>
      <w:color w:val="2F5496" w:themeColor="accent1" w:themeShade="BF"/>
    </w:rPr>
  </w:style>
  <w:style w:type="character" w:styleId="RefernciaIntensa">
    <w:name w:val="Intense Reference"/>
    <w:basedOn w:val="Fontepargpadro"/>
    <w:uiPriority w:val="32"/>
    <w:qFormat/>
    <w:rsid w:val="004C37CE"/>
    <w:rPr>
      <w:b/>
      <w:bCs/>
      <w:smallCaps/>
      <w:color w:val="2F5496" w:themeColor="accent1" w:themeShade="BF"/>
      <w:spacing w:val="5"/>
    </w:rPr>
  </w:style>
  <w:style w:type="paragraph" w:customStyle="1" w:styleId="GradeMdia1-nfase21">
    <w:name w:val="Grade Média 1 - Ênfase 21"/>
    <w:basedOn w:val="Normal"/>
    <w:uiPriority w:val="34"/>
    <w:qFormat/>
    <w:rsid w:val="004C37CE"/>
    <w:pPr>
      <w:ind w:left="720"/>
      <w:contextualSpacing/>
    </w:pPr>
  </w:style>
  <w:style w:type="paragraph" w:styleId="Cabealho">
    <w:name w:val="header"/>
    <w:basedOn w:val="Normal"/>
    <w:link w:val="CabealhoChar"/>
    <w:uiPriority w:val="99"/>
    <w:unhideWhenUsed/>
    <w:rsid w:val="004C37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37CE"/>
    <w:rPr>
      <w:rFonts w:ascii="Calibri" w:eastAsia="Calibri" w:hAnsi="Calibri" w:cs="Times New Roman"/>
      <w:lang w:val="en-US"/>
    </w:rPr>
  </w:style>
  <w:style w:type="paragraph" w:styleId="Rodap">
    <w:name w:val="footer"/>
    <w:basedOn w:val="Normal"/>
    <w:link w:val="RodapChar"/>
    <w:uiPriority w:val="99"/>
    <w:unhideWhenUsed/>
    <w:rsid w:val="004C37CE"/>
    <w:pPr>
      <w:tabs>
        <w:tab w:val="center" w:pos="4252"/>
        <w:tab w:val="right" w:pos="8504"/>
      </w:tabs>
      <w:spacing w:after="0" w:line="240" w:lineRule="auto"/>
    </w:pPr>
  </w:style>
  <w:style w:type="character" w:customStyle="1" w:styleId="RodapChar">
    <w:name w:val="Rodapé Char"/>
    <w:basedOn w:val="Fontepargpadro"/>
    <w:link w:val="Rodap"/>
    <w:uiPriority w:val="99"/>
    <w:rsid w:val="004C37CE"/>
    <w:rPr>
      <w:rFonts w:ascii="Calibri" w:eastAsia="Calibri" w:hAnsi="Calibri" w:cs="Times New Roman"/>
      <w:lang w:val="en-US"/>
    </w:rPr>
  </w:style>
  <w:style w:type="character" w:styleId="Nmerodepgina">
    <w:name w:val="page number"/>
    <w:uiPriority w:val="99"/>
    <w:semiHidden/>
    <w:unhideWhenUsed/>
    <w:rsid w:val="004C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3835</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Medina Maciel Gomes | BMA</dc:creator>
  <cp:keywords/>
  <dc:description/>
  <cp:lastModifiedBy>Andy Lima</cp:lastModifiedBy>
  <cp:revision>2</cp:revision>
  <dcterms:created xsi:type="dcterms:W3CDTF">2024-03-25T19:16:00Z</dcterms:created>
  <dcterms:modified xsi:type="dcterms:W3CDTF">2024-03-25T19:16:00Z</dcterms:modified>
</cp:coreProperties>
</file>