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C19E" w14:textId="3B67C4A7" w:rsidR="002156C2" w:rsidRPr="002156C2" w:rsidRDefault="002156C2" w:rsidP="002156C2">
      <w:pPr>
        <w:spacing w:after="0"/>
        <w:ind w:right="-1" w:firstLine="4"/>
        <w:jc w:val="center"/>
        <w:rPr>
          <w:rFonts w:ascii="Palatino Linotype" w:hAnsi="Palatino Linotype"/>
          <w:b/>
          <w:smallCaps/>
          <w:sz w:val="24"/>
          <w:szCs w:val="24"/>
          <w:u w:val="single"/>
        </w:rPr>
      </w:pPr>
      <w:r w:rsidRPr="002156C2">
        <w:rPr>
          <w:rFonts w:ascii="Palatino Linotype" w:hAnsi="Palatino Linotype"/>
          <w:b/>
          <w:smallCaps/>
          <w:sz w:val="24"/>
          <w:szCs w:val="24"/>
          <w:u w:val="single"/>
        </w:rPr>
        <w:t>Anexo 4.2.</w:t>
      </w:r>
      <w:r w:rsidR="004A7CFE">
        <w:rPr>
          <w:rFonts w:ascii="Palatino Linotype" w:hAnsi="Palatino Linotype"/>
          <w:b/>
          <w:smallCaps/>
          <w:sz w:val="24"/>
          <w:szCs w:val="24"/>
          <w:u w:val="single"/>
        </w:rPr>
        <w:t>2.2.6</w:t>
      </w:r>
    </w:p>
    <w:p w14:paraId="44EBB28A" w14:textId="76C9135E" w:rsidR="002156C2" w:rsidRDefault="002156C2" w:rsidP="002156C2">
      <w:pPr>
        <w:spacing w:after="0"/>
        <w:ind w:right="-1" w:firstLine="4"/>
        <w:jc w:val="center"/>
        <w:rPr>
          <w:rFonts w:ascii="Palatino Linotype" w:hAnsi="Palatino Linotype"/>
          <w:b/>
          <w:smallCaps/>
          <w:sz w:val="24"/>
          <w:szCs w:val="24"/>
        </w:rPr>
      </w:pPr>
      <w:r>
        <w:rPr>
          <w:rFonts w:ascii="Palatino Linotype" w:hAnsi="Palatino Linotype"/>
          <w:b/>
          <w:smallCaps/>
          <w:sz w:val="24"/>
          <w:szCs w:val="24"/>
        </w:rPr>
        <w:t>Notificação de Renúncia ao recebimento das Novas Ações Capitalização de Créditos</w:t>
      </w:r>
    </w:p>
    <w:p w14:paraId="6D20B826" w14:textId="77777777" w:rsidR="002156C2" w:rsidRPr="002156C2" w:rsidRDefault="002156C2" w:rsidP="002156C2">
      <w:pPr>
        <w:spacing w:after="0"/>
        <w:ind w:right="-1" w:firstLine="4"/>
        <w:jc w:val="center"/>
        <w:rPr>
          <w:rFonts w:ascii="Palatino Linotype" w:hAnsi="Palatino Linotype"/>
          <w:b/>
          <w:smallCaps/>
          <w:spacing w:val="-12"/>
          <w:sz w:val="24"/>
          <w:szCs w:val="24"/>
        </w:rPr>
      </w:pPr>
    </w:p>
    <w:p w14:paraId="5BD7C6AA" w14:textId="77777777" w:rsidR="002156C2" w:rsidRDefault="002156C2" w:rsidP="00207001">
      <w:pPr>
        <w:spacing w:after="0" w:line="280" w:lineRule="exact"/>
        <w:jc w:val="right"/>
        <w:rPr>
          <w:rFonts w:ascii="Palatino Linotype" w:hAnsi="Palatino Linotype" w:cs="Times New Roman"/>
          <w:sz w:val="24"/>
          <w:szCs w:val="24"/>
        </w:rPr>
      </w:pPr>
    </w:p>
    <w:p w14:paraId="5737EE5F" w14:textId="212D2456" w:rsidR="00467991" w:rsidRPr="002156C2" w:rsidRDefault="00467991" w:rsidP="00207001">
      <w:pPr>
        <w:spacing w:after="0" w:line="280" w:lineRule="exact"/>
        <w:jc w:val="right"/>
        <w:rPr>
          <w:rFonts w:ascii="Palatino Linotype" w:hAnsi="Palatino Linotype" w:cs="Times New Roman"/>
          <w:sz w:val="24"/>
          <w:szCs w:val="24"/>
        </w:rPr>
      </w:pPr>
      <w:r w:rsidRPr="002156C2">
        <w:rPr>
          <w:rFonts w:ascii="Palatino Linotype" w:hAnsi="Palatino Linotype" w:cs="Times New Roman"/>
          <w:sz w:val="24"/>
          <w:szCs w:val="24"/>
        </w:rPr>
        <w:t>Rio de Janeiro, [</w:t>
      </w:r>
      <w:r w:rsidRPr="002156C2">
        <w:rPr>
          <w:rFonts w:ascii="Palatino Linotype" w:hAnsi="Palatino Linotype" w:cs="Times New Roman"/>
          <w:sz w:val="24"/>
          <w:szCs w:val="24"/>
          <w:highlight w:val="yellow"/>
        </w:rPr>
        <w:t>data</w:t>
      </w:r>
      <w:r w:rsidRPr="002156C2">
        <w:rPr>
          <w:rFonts w:ascii="Palatino Linotype" w:hAnsi="Palatino Linotype" w:cs="Times New Roman"/>
          <w:sz w:val="24"/>
          <w:szCs w:val="24"/>
        </w:rPr>
        <w:t>].</w:t>
      </w:r>
    </w:p>
    <w:p w14:paraId="6CB7E018" w14:textId="77777777" w:rsidR="00467991" w:rsidRPr="002156C2" w:rsidRDefault="00467991" w:rsidP="00207001">
      <w:pPr>
        <w:spacing w:after="0" w:line="280" w:lineRule="exact"/>
        <w:rPr>
          <w:rFonts w:ascii="Palatino Linotype" w:hAnsi="Palatino Linotype" w:cs="Times New Roman"/>
          <w:sz w:val="24"/>
          <w:szCs w:val="24"/>
        </w:rPr>
      </w:pPr>
    </w:p>
    <w:p w14:paraId="1F58F798" w14:textId="40786413" w:rsidR="00467991" w:rsidRPr="002156C2" w:rsidRDefault="00467991" w:rsidP="00207001">
      <w:pPr>
        <w:spacing w:after="0" w:line="280" w:lineRule="exact"/>
        <w:rPr>
          <w:rFonts w:ascii="Palatino Linotype" w:hAnsi="Palatino Linotype" w:cs="Times New Roman"/>
          <w:sz w:val="24"/>
          <w:szCs w:val="24"/>
        </w:rPr>
      </w:pPr>
      <w:r w:rsidRPr="002156C2">
        <w:rPr>
          <w:rFonts w:ascii="Palatino Linotype" w:hAnsi="Palatino Linotype" w:cs="Times New Roman"/>
          <w:sz w:val="24"/>
          <w:szCs w:val="24"/>
        </w:rPr>
        <w:t>À</w:t>
      </w:r>
    </w:p>
    <w:p w14:paraId="0563E42D" w14:textId="77777777" w:rsidR="007273A5" w:rsidRPr="002156C2" w:rsidRDefault="007273A5" w:rsidP="007273A5">
      <w:pPr>
        <w:spacing w:after="0" w:line="280" w:lineRule="exact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b/>
          <w:color w:val="000000"/>
          <w:sz w:val="24"/>
          <w:szCs w:val="24"/>
        </w:rPr>
        <w:t>Oi S.A. – Em Recuperação Judicial</w:t>
      </w:r>
    </w:p>
    <w:p w14:paraId="64353ABB" w14:textId="77777777" w:rsidR="007273A5" w:rsidRPr="002156C2" w:rsidRDefault="007273A5" w:rsidP="007273A5">
      <w:pPr>
        <w:spacing w:after="0" w:line="280" w:lineRule="exact"/>
        <w:rPr>
          <w:rFonts w:ascii="Palatino Linotype" w:hAnsi="Palatino Linotype" w:cs="Times New Roman"/>
          <w:b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b/>
          <w:color w:val="000000"/>
          <w:sz w:val="24"/>
          <w:szCs w:val="24"/>
        </w:rPr>
        <w:t>Portugal Telecom International Finance BV – Em Recuperação Judicial</w:t>
      </w:r>
    </w:p>
    <w:p w14:paraId="5869C4B0" w14:textId="2570CEAC" w:rsidR="007273A5" w:rsidRPr="002156C2" w:rsidRDefault="007273A5" w:rsidP="007273A5">
      <w:pPr>
        <w:spacing w:after="0" w:line="280" w:lineRule="exact"/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  <w:proofErr w:type="gramStart"/>
      <w:r w:rsidRPr="002156C2">
        <w:rPr>
          <w:rFonts w:ascii="Palatino Linotype" w:hAnsi="Palatino Linotype" w:cs="Times New Roman"/>
          <w:b/>
          <w:color w:val="000000"/>
          <w:sz w:val="24"/>
          <w:szCs w:val="24"/>
        </w:rPr>
        <w:t>Oi</w:t>
      </w:r>
      <w:proofErr w:type="gramEnd"/>
      <w:r w:rsidRPr="002156C2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 Brasil Holdings Coöperatief UA – Em Recuperação Judicial</w:t>
      </w:r>
      <w:r w:rsidRPr="002156C2" w:rsidDel="007273A5">
        <w:rPr>
          <w:rFonts w:ascii="Palatino Linotype" w:hAnsi="Palatino Linotype" w:cs="Times New Roman"/>
          <w:b/>
          <w:color w:val="000000"/>
          <w:sz w:val="24"/>
          <w:szCs w:val="24"/>
        </w:rPr>
        <w:t xml:space="preserve"> </w:t>
      </w:r>
    </w:p>
    <w:p w14:paraId="62BA07D8" w14:textId="023AFD87" w:rsidR="007273A5" w:rsidRPr="002156C2" w:rsidRDefault="007273A5" w:rsidP="007273A5">
      <w:pPr>
        <w:spacing w:after="0" w:line="280" w:lineRule="exact"/>
        <w:jc w:val="both"/>
        <w:rPr>
          <w:rFonts w:ascii="Palatino Linotype" w:hAnsi="Palatino Linotype" w:cs="Times New Roman"/>
          <w:bCs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bCs/>
          <w:color w:val="000000"/>
          <w:sz w:val="24"/>
          <w:szCs w:val="24"/>
        </w:rPr>
        <w:t>(Conjuntamente, “</w:t>
      </w:r>
      <w:r w:rsidRPr="002156C2">
        <w:rPr>
          <w:rFonts w:ascii="Palatino Linotype" w:hAnsi="Palatino Linotype" w:cs="Times New Roman"/>
          <w:bCs/>
          <w:color w:val="000000"/>
          <w:sz w:val="24"/>
          <w:szCs w:val="24"/>
          <w:u w:val="single"/>
        </w:rPr>
        <w:t>Grupo Oi</w:t>
      </w:r>
      <w:r w:rsidRPr="002156C2">
        <w:rPr>
          <w:rFonts w:ascii="Palatino Linotype" w:hAnsi="Palatino Linotype" w:cs="Times New Roman"/>
          <w:bCs/>
          <w:color w:val="000000"/>
          <w:sz w:val="24"/>
          <w:szCs w:val="24"/>
        </w:rPr>
        <w:t>”)</w:t>
      </w:r>
    </w:p>
    <w:p w14:paraId="70502D01" w14:textId="77777777" w:rsidR="007273A5" w:rsidRPr="002156C2" w:rsidRDefault="007273A5" w:rsidP="007273A5">
      <w:pPr>
        <w:spacing w:after="0" w:line="280" w:lineRule="exact"/>
        <w:jc w:val="both"/>
        <w:rPr>
          <w:rFonts w:ascii="Palatino Linotype" w:hAnsi="Palatino Linotype" w:cs="Times New Roman"/>
          <w:b/>
          <w:color w:val="000000"/>
          <w:sz w:val="24"/>
          <w:szCs w:val="24"/>
        </w:rPr>
      </w:pPr>
    </w:p>
    <w:p w14:paraId="36C0D4FA" w14:textId="1DA51853" w:rsidR="00916F06" w:rsidRPr="002156C2" w:rsidRDefault="007273A5" w:rsidP="00207001">
      <w:pPr>
        <w:spacing w:after="0" w:line="280" w:lineRule="exact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i/>
          <w:iCs/>
          <w:color w:val="000000"/>
          <w:sz w:val="24"/>
          <w:szCs w:val="24"/>
        </w:rPr>
        <w:t xml:space="preserve">Por e-mail exclusivamente - </w:t>
      </w:r>
      <w:hyperlink r:id="rId7" w:history="1">
        <w:r w:rsidRPr="002156C2">
          <w:rPr>
            <w:rStyle w:val="Hyperlink"/>
            <w:rFonts w:ascii="Palatino Linotype" w:hAnsi="Palatino Linotype" w:cs="Times New Roman"/>
            <w:i/>
            <w:iCs/>
            <w:sz w:val="24"/>
            <w:szCs w:val="24"/>
          </w:rPr>
          <w:t>rjoi@oi.net.br</w:t>
        </w:r>
      </w:hyperlink>
      <w:r w:rsidRPr="002156C2">
        <w:rPr>
          <w:rFonts w:ascii="Palatino Linotype" w:hAnsi="Palatino Linotype" w:cs="Times New Roman"/>
          <w:i/>
          <w:iCs/>
          <w:color w:val="000000"/>
          <w:sz w:val="24"/>
          <w:szCs w:val="24"/>
        </w:rPr>
        <w:t xml:space="preserve"> </w:t>
      </w:r>
    </w:p>
    <w:p w14:paraId="472A2456" w14:textId="77777777" w:rsidR="00916F06" w:rsidRPr="002156C2" w:rsidRDefault="00916F06" w:rsidP="00207001">
      <w:pPr>
        <w:autoSpaceDE w:val="0"/>
        <w:autoSpaceDN w:val="0"/>
        <w:adjustRightInd w:val="0"/>
        <w:spacing w:after="0" w:line="280" w:lineRule="exact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1BF5A4B5" w14:textId="77777777" w:rsidR="00015F1A" w:rsidRPr="002156C2" w:rsidRDefault="00015F1A" w:rsidP="00207001">
      <w:pPr>
        <w:autoSpaceDE w:val="0"/>
        <w:autoSpaceDN w:val="0"/>
        <w:adjustRightInd w:val="0"/>
        <w:spacing w:after="0" w:line="280" w:lineRule="exact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108579C0" w14:textId="2AE0EDDB" w:rsidR="005756B1" w:rsidRPr="002156C2" w:rsidRDefault="00015F1A" w:rsidP="00A05896">
      <w:pPr>
        <w:autoSpaceDE w:val="0"/>
        <w:autoSpaceDN w:val="0"/>
        <w:adjustRightInd w:val="0"/>
        <w:spacing w:after="0" w:line="280" w:lineRule="exact"/>
        <w:jc w:val="right"/>
        <w:rPr>
          <w:rFonts w:ascii="Palatino Linotype" w:hAnsi="Palatino Linotype" w:cs="Times New Roman"/>
          <w:b/>
          <w:bCs/>
          <w:color w:val="000000"/>
          <w:sz w:val="24"/>
          <w:szCs w:val="24"/>
          <w:u w:val="single"/>
        </w:rPr>
      </w:pPr>
      <w:r w:rsidRPr="002156C2">
        <w:rPr>
          <w:rFonts w:ascii="Palatino Linotype" w:hAnsi="Palatino Linotype" w:cs="Times New Roman"/>
          <w:b/>
          <w:bCs/>
          <w:color w:val="000000"/>
          <w:sz w:val="24"/>
          <w:szCs w:val="24"/>
          <w:u w:val="single"/>
        </w:rPr>
        <w:t xml:space="preserve">Ref.: </w:t>
      </w:r>
      <w:r w:rsidR="005A6A7D" w:rsidRPr="002156C2">
        <w:rPr>
          <w:rFonts w:ascii="Palatino Linotype" w:hAnsi="Palatino Linotype" w:cs="Times New Roman"/>
          <w:b/>
          <w:bCs/>
          <w:color w:val="000000"/>
          <w:sz w:val="24"/>
          <w:szCs w:val="24"/>
          <w:u w:val="single"/>
        </w:rPr>
        <w:t>Opção de Reestruturação I</w:t>
      </w:r>
      <w:r w:rsidRPr="002156C2">
        <w:rPr>
          <w:rFonts w:ascii="Palatino Linotype" w:hAnsi="Palatino Linotype" w:cs="Times New Roman"/>
          <w:b/>
          <w:bCs/>
          <w:color w:val="000000"/>
          <w:sz w:val="24"/>
          <w:szCs w:val="24"/>
          <w:u w:val="single"/>
        </w:rPr>
        <w:t xml:space="preserve"> – </w:t>
      </w:r>
    </w:p>
    <w:p w14:paraId="0B107CC6" w14:textId="4C6C4876" w:rsidR="00015F1A" w:rsidRPr="002156C2" w:rsidRDefault="00015F1A" w:rsidP="005756B1">
      <w:pPr>
        <w:autoSpaceDE w:val="0"/>
        <w:autoSpaceDN w:val="0"/>
        <w:adjustRightInd w:val="0"/>
        <w:spacing w:after="0" w:line="280" w:lineRule="exact"/>
        <w:jc w:val="right"/>
        <w:rPr>
          <w:rFonts w:ascii="Palatino Linotype" w:hAnsi="Palatino Linotype" w:cs="Times New Roman"/>
          <w:b/>
          <w:bCs/>
          <w:color w:val="000000"/>
          <w:sz w:val="24"/>
          <w:szCs w:val="24"/>
          <w:u w:val="single"/>
        </w:rPr>
      </w:pPr>
      <w:r w:rsidRPr="002156C2">
        <w:rPr>
          <w:rFonts w:ascii="Palatino Linotype" w:hAnsi="Palatino Linotype" w:cs="Times New Roman"/>
          <w:b/>
          <w:bCs/>
          <w:color w:val="000000"/>
          <w:sz w:val="24"/>
          <w:szCs w:val="24"/>
          <w:u w:val="single"/>
        </w:rPr>
        <w:t>Renúncia ao Recebimento</w:t>
      </w:r>
      <w:r w:rsidR="005443AE" w:rsidRPr="002156C2">
        <w:rPr>
          <w:rFonts w:ascii="Palatino Linotype" w:hAnsi="Palatino Linotype" w:cs="Times New Roman"/>
          <w:b/>
          <w:bCs/>
          <w:color w:val="000000"/>
          <w:sz w:val="24"/>
          <w:szCs w:val="24"/>
          <w:u w:val="single"/>
        </w:rPr>
        <w:t xml:space="preserve"> das Novas Ações Capitalização de Créditos</w:t>
      </w:r>
    </w:p>
    <w:p w14:paraId="14DFB651" w14:textId="77777777" w:rsidR="00916F06" w:rsidRPr="002156C2" w:rsidRDefault="00916F06" w:rsidP="00207001">
      <w:pPr>
        <w:autoSpaceDE w:val="0"/>
        <w:autoSpaceDN w:val="0"/>
        <w:adjustRightInd w:val="0"/>
        <w:spacing w:after="0" w:line="280" w:lineRule="exact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6E9F809C" w14:textId="203463A7" w:rsidR="00916F06" w:rsidRPr="002156C2" w:rsidRDefault="00916F06" w:rsidP="00207001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Prezados Senhores, </w:t>
      </w:r>
    </w:p>
    <w:p w14:paraId="4714C962" w14:textId="77777777" w:rsidR="00812B97" w:rsidRPr="002156C2" w:rsidRDefault="00812B97" w:rsidP="00207001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5EE3599D" w14:textId="2574D6E4" w:rsidR="00812B97" w:rsidRPr="002156C2" w:rsidRDefault="00812B97" w:rsidP="00207001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Fazemos referência ao Plano de Recuperação Judicial do </w:t>
      </w:r>
      <w:r w:rsidR="005756B1" w:rsidRPr="002156C2">
        <w:rPr>
          <w:rFonts w:ascii="Palatino Linotype" w:hAnsi="Palatino Linotype" w:cs="Times New Roman"/>
          <w:color w:val="000000"/>
          <w:sz w:val="24"/>
          <w:szCs w:val="24"/>
        </w:rPr>
        <w:t>Grupo Oi, aprovado em Assembleia Geral de Credores realizada em [</w:t>
      </w:r>
      <w:r w:rsidR="005756B1" w:rsidRPr="002156C2">
        <w:rPr>
          <w:rFonts w:ascii="Palatino Linotype" w:hAnsi="Palatino Linotype" w:cs="Times New Roman"/>
          <w:color w:val="000000"/>
          <w:sz w:val="24"/>
          <w:szCs w:val="24"/>
          <w:highlight w:val="yellow"/>
        </w:rPr>
        <w:t>=</w:t>
      </w:r>
      <w:r w:rsidR="005756B1" w:rsidRPr="002156C2">
        <w:rPr>
          <w:rFonts w:ascii="Palatino Linotype" w:hAnsi="Palatino Linotype" w:cs="Times New Roman"/>
          <w:color w:val="000000"/>
          <w:sz w:val="24"/>
          <w:szCs w:val="24"/>
        </w:rPr>
        <w:t>] (“</w:t>
      </w:r>
      <w:r w:rsidR="005756B1" w:rsidRPr="002156C2">
        <w:rPr>
          <w:rFonts w:ascii="Palatino Linotype" w:hAnsi="Palatino Linotype" w:cs="Times New Roman"/>
          <w:color w:val="000000"/>
          <w:sz w:val="24"/>
          <w:szCs w:val="24"/>
          <w:u w:val="single"/>
        </w:rPr>
        <w:t>Plano</w:t>
      </w:r>
      <w:r w:rsidR="005756B1" w:rsidRPr="002156C2">
        <w:rPr>
          <w:rFonts w:ascii="Palatino Linotype" w:hAnsi="Palatino Linotype" w:cs="Times New Roman"/>
          <w:color w:val="000000"/>
          <w:sz w:val="24"/>
          <w:szCs w:val="24"/>
        </w:rPr>
        <w:t>”). Os termos iniciados em letra maiúscula não definidos nesta notificação (“</w:t>
      </w:r>
      <w:r w:rsidR="005756B1" w:rsidRPr="002156C2">
        <w:rPr>
          <w:rFonts w:ascii="Palatino Linotype" w:hAnsi="Palatino Linotype" w:cs="Times New Roman"/>
          <w:color w:val="000000"/>
          <w:sz w:val="24"/>
          <w:szCs w:val="24"/>
          <w:u w:val="single"/>
        </w:rPr>
        <w:t>Notificação</w:t>
      </w:r>
      <w:r w:rsidR="005756B1" w:rsidRPr="002156C2">
        <w:rPr>
          <w:rFonts w:ascii="Palatino Linotype" w:hAnsi="Palatino Linotype" w:cs="Times New Roman"/>
          <w:color w:val="000000"/>
          <w:sz w:val="24"/>
          <w:szCs w:val="24"/>
        </w:rPr>
        <w:t>”) terão o significado a eles atribuído no Plano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>.</w:t>
      </w:r>
    </w:p>
    <w:p w14:paraId="2F1982AB" w14:textId="77777777" w:rsidR="00812B97" w:rsidRPr="002156C2" w:rsidRDefault="00812B97" w:rsidP="00207001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2E9D3164" w14:textId="2B0B02A2" w:rsidR="00A90CE5" w:rsidRPr="002156C2" w:rsidRDefault="00A90CE5" w:rsidP="00207001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color w:val="000000"/>
          <w:sz w:val="24"/>
          <w:szCs w:val="24"/>
        </w:rPr>
        <w:t>Em atendimento ao disposto na Cláusula 4.2.2.2.6 do Plano, o Credor abaixo identificado e assinado (“</w:t>
      </w:r>
      <w:r w:rsidRPr="002156C2">
        <w:rPr>
          <w:rFonts w:ascii="Palatino Linotype" w:hAnsi="Palatino Linotype" w:cs="Times New Roman"/>
          <w:color w:val="000000"/>
          <w:sz w:val="24"/>
          <w:szCs w:val="24"/>
          <w:u w:val="single"/>
        </w:rPr>
        <w:t>Credor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>”) vem, por meio da presente Notificação, por livre e espontânea vontade, renunciar, de maneira irrevogável e irretratável, ao recebimento das Novas Ações Capitalização de Créditos a serem emitid</w:t>
      </w:r>
      <w:r w:rsidR="001738EC" w:rsidRPr="002156C2">
        <w:rPr>
          <w:rFonts w:ascii="Palatino Linotype" w:hAnsi="Palatino Linotype" w:cs="Times New Roman"/>
          <w:color w:val="000000"/>
          <w:sz w:val="24"/>
          <w:szCs w:val="24"/>
        </w:rPr>
        <w:t>a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s no contexto do </w:t>
      </w:r>
      <w:r w:rsidR="001738EC" w:rsidRPr="002156C2">
        <w:rPr>
          <w:rFonts w:ascii="Palatino Linotype" w:hAnsi="Palatino Linotype" w:cs="Times New Roman"/>
          <w:color w:val="000000"/>
          <w:sz w:val="24"/>
          <w:szCs w:val="24"/>
        </w:rPr>
        <w:t>Aumento de Capital – Capitalização de Créditos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previsto na Cláusula 4.</w:t>
      </w:r>
      <w:r w:rsidR="001738EC" w:rsidRPr="002156C2">
        <w:rPr>
          <w:rFonts w:ascii="Palatino Linotype" w:hAnsi="Palatino Linotype" w:cs="Times New Roman"/>
          <w:color w:val="000000"/>
          <w:sz w:val="24"/>
          <w:szCs w:val="24"/>
        </w:rPr>
        <w:t>2.2.2</w:t>
      </w:r>
      <w:r w:rsidR="00F54D89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e seguintes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do Plano</w:t>
      </w:r>
      <w:r w:rsidR="004307FD" w:rsidRPr="002156C2">
        <w:rPr>
          <w:rFonts w:ascii="Palatino Linotype" w:hAnsi="Palatino Linotype" w:cs="Times New Roman"/>
          <w:color w:val="000000"/>
          <w:sz w:val="24"/>
          <w:szCs w:val="24"/>
        </w:rPr>
        <w:t>,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mediante a capitalização de parte do </w:t>
      </w:r>
      <w:r w:rsidR="001738EC" w:rsidRPr="002156C2">
        <w:rPr>
          <w:rFonts w:ascii="Palatino Linotype" w:hAnsi="Palatino Linotype" w:cs="Times New Roman"/>
          <w:color w:val="000000"/>
          <w:sz w:val="24"/>
          <w:szCs w:val="24"/>
        </w:rPr>
        <w:t>saldo remanescente de Crédito Opção de Reestruturação I após o pagamento nos termos da Cláusula 4.2.2.1 do Plano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, bem como a todo e qualquer direito relacionado a tais </w:t>
      </w:r>
      <w:r w:rsidR="001738EC" w:rsidRPr="002156C2">
        <w:rPr>
          <w:rFonts w:ascii="Palatino Linotype" w:hAnsi="Palatino Linotype" w:cs="Times New Roman"/>
          <w:color w:val="000000"/>
          <w:sz w:val="24"/>
          <w:szCs w:val="24"/>
        </w:rPr>
        <w:t>Novas Ações Capitalização de Créditos.</w:t>
      </w:r>
    </w:p>
    <w:p w14:paraId="47D2253B" w14:textId="77777777" w:rsidR="00A90CE5" w:rsidRPr="002156C2" w:rsidRDefault="00A90CE5" w:rsidP="00207001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0C058237" w14:textId="2EBAEA5A" w:rsidR="005E1DFF" w:rsidRPr="002156C2" w:rsidRDefault="001738EC" w:rsidP="005E1DFF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  <w:highlight w:val="yellow"/>
        </w:rPr>
      </w:pPr>
      <w:r w:rsidRPr="002156C2">
        <w:rPr>
          <w:rFonts w:ascii="Palatino Linotype" w:hAnsi="Palatino Linotype" w:cs="Times New Roman"/>
          <w:color w:val="000000"/>
          <w:sz w:val="24"/>
          <w:szCs w:val="24"/>
        </w:rPr>
        <w:t>O</w:t>
      </w:r>
      <w:r w:rsidR="005E1DFF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Credor, neste ato, declara e reconhece que, a despeito da presente renúncia, o crédito correspondente às Novas Ações Capitalização de Créditos a que o Credor faria jus estará quitado e a presente renúncia não prejudicará o direito dos demais 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>C</w:t>
      </w:r>
      <w:r w:rsidR="005E1DFF" w:rsidRPr="002156C2">
        <w:rPr>
          <w:rFonts w:ascii="Palatino Linotype" w:hAnsi="Palatino Linotype" w:cs="Times New Roman"/>
          <w:color w:val="000000"/>
          <w:sz w:val="24"/>
          <w:szCs w:val="24"/>
        </w:rPr>
        <w:t>redores, tampouco conferirá direitos adicionais ao Credor ora renunciante, sendo certo que essa renúncia</w:t>
      </w:r>
      <w:r w:rsidR="00F54D89" w:rsidRPr="002156C2">
        <w:rPr>
          <w:rFonts w:ascii="Palatino Linotype" w:hAnsi="Palatino Linotype" w:cs="Times New Roman"/>
          <w:color w:val="000000"/>
          <w:sz w:val="24"/>
          <w:szCs w:val="24"/>
        </w:rPr>
        <w:t>, conforme previsto na Cláusula 4.2.2.2.7 do Plano,</w:t>
      </w:r>
      <w:r w:rsidR="005E1DFF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(i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) 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não afetará as alocações do </w:t>
      </w:r>
      <w:r w:rsidR="009B15ED" w:rsidRPr="002156C2">
        <w:rPr>
          <w:rFonts w:ascii="Palatino Linotype" w:eastAsia="Times New Roman" w:hAnsi="Palatino Linotype"/>
          <w:sz w:val="24"/>
          <w:szCs w:val="24"/>
        </w:rPr>
        <w:t xml:space="preserve">Valor Total da Tranche 1 e do Valor Total da Tranche 2 da Dívida </w:t>
      </w:r>
      <w:r w:rsidR="009B15ED" w:rsidRPr="002156C2">
        <w:rPr>
          <w:rFonts w:ascii="Palatino Linotype" w:eastAsia="Times New Roman" w:hAnsi="Palatino Linotype"/>
          <w:bCs/>
          <w:i/>
          <w:iCs/>
          <w:sz w:val="24"/>
          <w:szCs w:val="24"/>
        </w:rPr>
        <w:t>Roll-Up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, que deverão ser realizadas como se tal renúncia ou transferência de direito não </w:t>
      </w:r>
      <w:r w:rsidR="00FF2F35" w:rsidRPr="002156C2">
        <w:rPr>
          <w:rFonts w:ascii="Palatino Linotype" w:hAnsi="Palatino Linotype"/>
          <w:color w:val="000000" w:themeColor="text1"/>
          <w:sz w:val="24"/>
          <w:szCs w:val="24"/>
        </w:rPr>
        <w:t>tivesse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 sido realizada</w:t>
      </w:r>
      <w:r w:rsidR="005E1DFF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; e (ii) 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não afetará a quantidade de Debêntures </w:t>
      </w:r>
      <w:r w:rsidR="009B15ED" w:rsidRPr="002156C2">
        <w:rPr>
          <w:rFonts w:ascii="Palatino Linotype" w:hAnsi="Palatino Linotype"/>
          <w:i/>
          <w:iCs/>
          <w:color w:val="000000" w:themeColor="text1"/>
          <w:sz w:val="24"/>
          <w:szCs w:val="24"/>
        </w:rPr>
        <w:t>Roll-Up</w:t>
      </w:r>
      <w:r w:rsidR="009B15ED" w:rsidRPr="002156C2">
        <w:rPr>
          <w:rFonts w:ascii="Palatino Linotype" w:hAnsi="Palatino Linotype"/>
          <w:i/>
          <w:color w:val="000000" w:themeColor="text1"/>
          <w:sz w:val="24"/>
          <w:szCs w:val="24"/>
        </w:rPr>
        <w:t>,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 Notes </w:t>
      </w:r>
      <w:r w:rsidR="009B15ED" w:rsidRPr="002156C2">
        <w:rPr>
          <w:rFonts w:ascii="Palatino Linotype" w:hAnsi="Palatino Linotype"/>
          <w:i/>
          <w:iCs/>
          <w:color w:val="000000" w:themeColor="text1"/>
          <w:sz w:val="24"/>
          <w:szCs w:val="24"/>
        </w:rPr>
        <w:t>Roll-Up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 Tranche 1 e Notes </w:t>
      </w:r>
      <w:r w:rsidR="009B15ED" w:rsidRPr="002156C2">
        <w:rPr>
          <w:rFonts w:ascii="Palatino Linotype" w:hAnsi="Palatino Linotype"/>
          <w:i/>
          <w:iCs/>
          <w:color w:val="000000" w:themeColor="text1"/>
          <w:sz w:val="24"/>
          <w:szCs w:val="24"/>
        </w:rPr>
        <w:t>Roll-Up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 Tranche 2 que o Credor </w:t>
      </w:r>
      <w:r w:rsidR="009B15ED" w:rsidRPr="002156C2">
        <w:rPr>
          <w:rFonts w:ascii="Palatino Linotype" w:eastAsia="Times New Roman" w:hAnsi="Palatino Linotype"/>
          <w:sz w:val="24"/>
          <w:szCs w:val="24"/>
        </w:rPr>
        <w:t xml:space="preserve">Opção de Reestruturação I 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em questão e que os demais Credores Opção de Reestruturação I fazem jus, cujos cálculos deverão ser realizados como se tal renúncia ou transferência de direito não </w:t>
      </w:r>
      <w:r w:rsidR="00FF2F35" w:rsidRPr="002156C2">
        <w:rPr>
          <w:rFonts w:ascii="Palatino Linotype" w:hAnsi="Palatino Linotype"/>
          <w:color w:val="000000" w:themeColor="text1"/>
          <w:sz w:val="24"/>
          <w:szCs w:val="24"/>
        </w:rPr>
        <w:t>tivesse</w:t>
      </w:r>
      <w:r w:rsidR="009B15ED" w:rsidRPr="002156C2">
        <w:rPr>
          <w:rFonts w:ascii="Palatino Linotype" w:hAnsi="Palatino Linotype"/>
          <w:color w:val="000000" w:themeColor="text1"/>
          <w:sz w:val="24"/>
          <w:szCs w:val="24"/>
        </w:rPr>
        <w:t xml:space="preserve"> sido realizada</w:t>
      </w:r>
      <w:r w:rsidR="005E1DFF" w:rsidRPr="002156C2">
        <w:rPr>
          <w:rFonts w:ascii="Palatino Linotype" w:hAnsi="Palatino Linotype" w:cs="Times New Roman"/>
          <w:color w:val="000000"/>
          <w:sz w:val="24"/>
          <w:szCs w:val="24"/>
        </w:rPr>
        <w:t>.</w:t>
      </w:r>
    </w:p>
    <w:p w14:paraId="4A612587" w14:textId="77777777" w:rsidR="005E1DFF" w:rsidRPr="002156C2" w:rsidRDefault="005E1DFF" w:rsidP="005E1DFF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  <w:highlight w:val="yellow"/>
        </w:rPr>
      </w:pPr>
    </w:p>
    <w:p w14:paraId="3FB22702" w14:textId="3014B0CE" w:rsidR="005E1DFF" w:rsidRPr="002156C2" w:rsidRDefault="005E1DFF" w:rsidP="005E1DFF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Para fins de clareza, o Credor reconhece que em nenhuma hipótese em razão da presente renúncia (a) deverá receber montante adicional de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Debêntures </w:t>
      </w:r>
      <w:r w:rsidR="00107BF2" w:rsidRPr="002156C2">
        <w:rPr>
          <w:rFonts w:ascii="Palatino Linotype" w:hAnsi="Palatino Linotype" w:cs="Times New Roman"/>
          <w:i/>
          <w:iCs/>
          <w:color w:val="000000"/>
          <w:sz w:val="24"/>
          <w:szCs w:val="24"/>
        </w:rPr>
        <w:t>Roll-Up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>,</w:t>
      </w:r>
      <w:r w:rsidR="00107BF2" w:rsidRPr="002156C2">
        <w:rPr>
          <w:rFonts w:ascii="Palatino Linotype" w:hAnsi="Palatino Linotype"/>
          <w:sz w:val="24"/>
          <w:szCs w:val="24"/>
        </w:rPr>
        <w:t xml:space="preserve">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Notes </w:t>
      </w:r>
      <w:r w:rsidR="00107BF2" w:rsidRPr="002156C2">
        <w:rPr>
          <w:rFonts w:ascii="Palatino Linotype" w:hAnsi="Palatino Linotype" w:cs="Times New Roman"/>
          <w:i/>
          <w:iCs/>
          <w:color w:val="000000"/>
          <w:sz w:val="24"/>
          <w:szCs w:val="24"/>
        </w:rPr>
        <w:t xml:space="preserve">Roll-Up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Tranche 1 e de Notes </w:t>
      </w:r>
      <w:r w:rsidR="00107BF2" w:rsidRPr="002156C2">
        <w:rPr>
          <w:rFonts w:ascii="Palatino Linotype" w:hAnsi="Palatino Linotype" w:cs="Times New Roman"/>
          <w:i/>
          <w:iCs/>
          <w:color w:val="000000"/>
          <w:sz w:val="24"/>
          <w:szCs w:val="24"/>
        </w:rPr>
        <w:t>Roll-Up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Tranche 2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>; e (</w:t>
      </w:r>
      <w:r w:rsidR="004E4130" w:rsidRPr="002156C2">
        <w:rPr>
          <w:rFonts w:ascii="Palatino Linotype" w:hAnsi="Palatino Linotype" w:cs="Times New Roman"/>
          <w:color w:val="000000"/>
          <w:sz w:val="24"/>
          <w:szCs w:val="24"/>
        </w:rPr>
        <w:t>b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) fará jus ao pagamento de qualquer valor adicional correspondente ao valor de Créditos Quirografários que deixará de ser capitalizado no contexto do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>Aumento de Capital – Capitalização de Créditos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>, sendo certo que o respectivo montante de Créditos Quirografários será extinto para todos os fins de direito; e (</w:t>
      </w:r>
      <w:r w:rsidR="00CA458E" w:rsidRPr="002156C2">
        <w:rPr>
          <w:rFonts w:ascii="Palatino Linotype" w:hAnsi="Palatino Linotype" w:cs="Times New Roman"/>
          <w:color w:val="000000"/>
          <w:sz w:val="24"/>
          <w:szCs w:val="24"/>
        </w:rPr>
        <w:t>c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) os demais Credores Quirografários Opção I receberão uma proporção inferior de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Debêntures </w:t>
      </w:r>
      <w:r w:rsidR="00107BF2" w:rsidRPr="002156C2">
        <w:rPr>
          <w:rFonts w:ascii="Palatino Linotype" w:hAnsi="Palatino Linotype" w:cs="Times New Roman"/>
          <w:i/>
          <w:iCs/>
          <w:color w:val="000000"/>
          <w:sz w:val="24"/>
          <w:szCs w:val="24"/>
        </w:rPr>
        <w:t>Roll-Up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>,</w:t>
      </w:r>
      <w:r w:rsidR="00107BF2" w:rsidRPr="002156C2">
        <w:rPr>
          <w:rFonts w:ascii="Palatino Linotype" w:hAnsi="Palatino Linotype"/>
          <w:sz w:val="24"/>
          <w:szCs w:val="24"/>
        </w:rPr>
        <w:t xml:space="preserve">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Notes </w:t>
      </w:r>
      <w:r w:rsidR="00107BF2" w:rsidRPr="002156C2">
        <w:rPr>
          <w:rFonts w:ascii="Palatino Linotype" w:hAnsi="Palatino Linotype" w:cs="Times New Roman"/>
          <w:i/>
          <w:iCs/>
          <w:color w:val="000000"/>
          <w:sz w:val="24"/>
          <w:szCs w:val="24"/>
        </w:rPr>
        <w:t xml:space="preserve">Roll-Up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Tranche 1 e de Notes </w:t>
      </w:r>
      <w:r w:rsidR="00107BF2" w:rsidRPr="002156C2">
        <w:rPr>
          <w:rFonts w:ascii="Palatino Linotype" w:hAnsi="Palatino Linotype" w:cs="Times New Roman"/>
          <w:i/>
          <w:iCs/>
          <w:color w:val="000000"/>
          <w:sz w:val="24"/>
          <w:szCs w:val="24"/>
        </w:rPr>
        <w:t>Roll-Up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Tranche 2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a que fariam jus no momento da escolha da opção de pagamento prevista na Cláusula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>4.2.2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>.</w:t>
      </w:r>
    </w:p>
    <w:p w14:paraId="74C470C9" w14:textId="77777777" w:rsidR="00404DCA" w:rsidRPr="002156C2" w:rsidRDefault="00404DCA" w:rsidP="00207001">
      <w:pPr>
        <w:spacing w:after="0" w:line="280" w:lineRule="exact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</w:p>
    <w:p w14:paraId="01108F25" w14:textId="3BF25D9E" w:rsidR="009837BF" w:rsidRPr="002156C2" w:rsidRDefault="00404DCA" w:rsidP="00F00100">
      <w:pPr>
        <w:spacing w:after="0" w:line="280" w:lineRule="exact"/>
        <w:ind w:firstLine="708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Por fim, o Credor, neste ato, declara e reconhece que a presente renúncia não altera ou modifica a opção de pagamento realizada nos termos do Plano, tampouco limita, em qualquer aspecto, os compromissos assumidos pelo Credor nos termos do Plano e da Opção de Reestruturação I, incluindo o Compromisso de Não Litigar, Quitação e Renúncia previsto na Cláusula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>8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.3 do Plano e a quitação outorgada pelo Credor ao Grupo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>Oi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com relação à totalidade dos seus Créditos Quirografários, mediante o pagamento nos termos da Cláusula </w:t>
      </w:r>
      <w:r w:rsidR="00107BF2" w:rsidRPr="002156C2">
        <w:rPr>
          <w:rFonts w:ascii="Palatino Linotype" w:hAnsi="Palatino Linotype" w:cs="Times New Roman"/>
          <w:color w:val="000000"/>
          <w:sz w:val="24"/>
          <w:szCs w:val="24"/>
        </w:rPr>
        <w:t>4.2.2</w:t>
      </w:r>
      <w:r w:rsidRPr="002156C2">
        <w:rPr>
          <w:rFonts w:ascii="Palatino Linotype" w:hAnsi="Palatino Linotype" w:cs="Times New Roman"/>
          <w:color w:val="000000"/>
          <w:sz w:val="24"/>
          <w:szCs w:val="24"/>
        </w:rPr>
        <w:t xml:space="preserve"> e subcláusulas do Plano.</w:t>
      </w:r>
    </w:p>
    <w:p w14:paraId="0C04E59F" w14:textId="77777777" w:rsidR="00593E62" w:rsidRPr="002156C2" w:rsidRDefault="00593E62" w:rsidP="00207001">
      <w:pPr>
        <w:spacing w:after="0" w:line="280" w:lineRule="exact"/>
        <w:jc w:val="both"/>
        <w:rPr>
          <w:rFonts w:ascii="Palatino Linotype" w:hAnsi="Palatino Linotype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837BF" w:rsidRPr="002156C2" w14:paraId="0A924C27" w14:textId="77777777" w:rsidTr="009837BF">
        <w:tc>
          <w:tcPr>
            <w:tcW w:w="5000" w:type="pct"/>
          </w:tcPr>
          <w:p w14:paraId="02A4E282" w14:textId="77777777" w:rsidR="009837BF" w:rsidRPr="002156C2" w:rsidRDefault="009837BF" w:rsidP="009837BF">
            <w:pPr>
              <w:pStyle w:val="Default"/>
              <w:spacing w:line="320" w:lineRule="exact"/>
              <w:jc w:val="both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9837BF" w:rsidRPr="002156C2" w14:paraId="354FA42B" w14:textId="77777777" w:rsidTr="009837BF">
        <w:tc>
          <w:tcPr>
            <w:tcW w:w="5000" w:type="pct"/>
          </w:tcPr>
          <w:p w14:paraId="29802D1E" w14:textId="77777777" w:rsidR="009837BF" w:rsidRPr="002156C2" w:rsidRDefault="009837BF" w:rsidP="00414D6B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156C2">
              <w:rPr>
                <w:rFonts w:ascii="Palatino Linotype" w:hAnsi="Palatino Linotype"/>
                <w:sz w:val="24"/>
                <w:szCs w:val="24"/>
              </w:rPr>
              <w:t>Cordialmente,</w:t>
            </w:r>
          </w:p>
        </w:tc>
      </w:tr>
      <w:tr w:rsidR="009837BF" w:rsidRPr="002156C2" w14:paraId="48BD866A" w14:textId="77777777" w:rsidTr="009837BF">
        <w:tc>
          <w:tcPr>
            <w:tcW w:w="5000" w:type="pct"/>
          </w:tcPr>
          <w:p w14:paraId="4B59CCC4" w14:textId="77777777" w:rsidR="009837BF" w:rsidRPr="002156C2" w:rsidRDefault="009837BF" w:rsidP="00414D6B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156C2">
              <w:rPr>
                <w:rFonts w:ascii="Palatino Linotype" w:hAnsi="Palatino Linotype"/>
                <w:sz w:val="24"/>
                <w:szCs w:val="24"/>
              </w:rPr>
              <w:t>_____________________________________</w:t>
            </w:r>
          </w:p>
          <w:p w14:paraId="4F1153CE" w14:textId="77777777" w:rsidR="009837BF" w:rsidRPr="002156C2" w:rsidRDefault="009837BF" w:rsidP="00414D6B">
            <w:pPr>
              <w:spacing w:line="320" w:lineRule="exact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</w:pPr>
            <w:r w:rsidRPr="002156C2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[</w:t>
            </w:r>
            <w:r w:rsidRPr="002156C2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  <w:highlight w:val="yellow"/>
              </w:rPr>
              <w:t>Credor</w:t>
            </w:r>
            <w:r w:rsidRPr="002156C2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]</w:t>
            </w:r>
          </w:p>
          <w:p w14:paraId="66C8EAD6" w14:textId="77777777" w:rsidR="009837BF" w:rsidRPr="002156C2" w:rsidRDefault="009837BF" w:rsidP="00414D6B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156C2">
              <w:rPr>
                <w:rFonts w:ascii="Palatino Linotype" w:hAnsi="Palatino Linotype"/>
                <w:sz w:val="24"/>
                <w:szCs w:val="24"/>
              </w:rPr>
              <w:t xml:space="preserve">Representante Legal: </w:t>
            </w:r>
            <w:r w:rsidRPr="002156C2">
              <w:rPr>
                <w:rFonts w:ascii="Palatino Linotype" w:hAnsi="Palatino Linotype"/>
                <w:sz w:val="24"/>
                <w:szCs w:val="24"/>
                <w:highlight w:val="yellow"/>
              </w:rPr>
              <w:t>[=]</w:t>
            </w:r>
          </w:p>
          <w:p w14:paraId="44E60E40" w14:textId="77777777" w:rsidR="009837BF" w:rsidRPr="002156C2" w:rsidRDefault="009837BF" w:rsidP="00414D6B">
            <w:pPr>
              <w:spacing w:line="320" w:lineRule="exact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156C2">
              <w:rPr>
                <w:rFonts w:ascii="Palatino Linotype" w:hAnsi="Palatino Linotype"/>
                <w:sz w:val="24"/>
                <w:szCs w:val="24"/>
              </w:rPr>
              <w:t xml:space="preserve">Id: </w:t>
            </w:r>
            <w:r w:rsidRPr="002156C2">
              <w:rPr>
                <w:rFonts w:ascii="Palatino Linotype" w:hAnsi="Palatino Linotype"/>
                <w:sz w:val="24"/>
                <w:szCs w:val="24"/>
                <w:highlight w:val="yellow"/>
              </w:rPr>
              <w:t>[=]</w:t>
            </w:r>
          </w:p>
        </w:tc>
      </w:tr>
    </w:tbl>
    <w:p w14:paraId="3CECF6EE" w14:textId="77777777" w:rsidR="009837BF" w:rsidRPr="002156C2" w:rsidRDefault="009837BF" w:rsidP="00207001">
      <w:pPr>
        <w:spacing w:after="0" w:line="280" w:lineRule="exact"/>
        <w:jc w:val="both"/>
        <w:rPr>
          <w:rFonts w:ascii="Palatino Linotype" w:hAnsi="Palatino Linotype" w:cs="Times New Roman"/>
          <w:sz w:val="24"/>
          <w:szCs w:val="24"/>
        </w:rPr>
      </w:pPr>
    </w:p>
    <w:sectPr w:rsidR="009837BF" w:rsidRPr="002156C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BAC7A" w14:textId="77777777" w:rsidR="0023723A" w:rsidRDefault="0023723A" w:rsidP="00521D06">
      <w:pPr>
        <w:spacing w:after="0" w:line="240" w:lineRule="auto"/>
      </w:pPr>
      <w:r>
        <w:separator/>
      </w:r>
    </w:p>
  </w:endnote>
  <w:endnote w:type="continuationSeparator" w:id="0">
    <w:p w14:paraId="6F38417F" w14:textId="77777777" w:rsidR="0023723A" w:rsidRDefault="0023723A" w:rsidP="0052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2749314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8"/>
        <w:szCs w:val="18"/>
      </w:rPr>
    </w:sdtEndPr>
    <w:sdtContent>
      <w:p w14:paraId="203513C6" w14:textId="69D4EF5F" w:rsidR="001A7595" w:rsidRPr="001A7595" w:rsidRDefault="001A7595">
        <w:pPr>
          <w:pStyle w:val="Rodap"/>
          <w:jc w:val="right"/>
          <w:rPr>
            <w:rFonts w:ascii="Palatino Linotype" w:hAnsi="Palatino Linotype"/>
            <w:sz w:val="18"/>
            <w:szCs w:val="18"/>
          </w:rPr>
        </w:pPr>
        <w:r w:rsidRPr="001A7595">
          <w:rPr>
            <w:rFonts w:ascii="Palatino Linotype" w:hAnsi="Palatino Linotype"/>
            <w:sz w:val="18"/>
            <w:szCs w:val="18"/>
          </w:rPr>
          <w:fldChar w:fldCharType="begin"/>
        </w:r>
        <w:r w:rsidRPr="001A7595">
          <w:rPr>
            <w:rFonts w:ascii="Palatino Linotype" w:hAnsi="Palatino Linotype"/>
            <w:sz w:val="18"/>
            <w:szCs w:val="18"/>
          </w:rPr>
          <w:instrText>PAGE   \* MERGEFORMAT</w:instrText>
        </w:r>
        <w:r w:rsidRPr="001A7595">
          <w:rPr>
            <w:rFonts w:ascii="Palatino Linotype" w:hAnsi="Palatino Linotype"/>
            <w:sz w:val="18"/>
            <w:szCs w:val="18"/>
          </w:rPr>
          <w:fldChar w:fldCharType="separate"/>
        </w:r>
        <w:r w:rsidRPr="001A7595">
          <w:rPr>
            <w:rFonts w:ascii="Palatino Linotype" w:hAnsi="Palatino Linotype"/>
            <w:sz w:val="18"/>
            <w:szCs w:val="18"/>
          </w:rPr>
          <w:t>2</w:t>
        </w:r>
        <w:r w:rsidRPr="001A7595">
          <w:rPr>
            <w:rFonts w:ascii="Palatino Linotype" w:hAnsi="Palatino Linotype"/>
            <w:sz w:val="18"/>
            <w:szCs w:val="18"/>
          </w:rPr>
          <w:fldChar w:fldCharType="end"/>
        </w:r>
      </w:p>
    </w:sdtContent>
  </w:sdt>
  <w:p w14:paraId="36B8FA48" w14:textId="77777777" w:rsidR="001A7595" w:rsidRDefault="001A75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E2BB8" w14:textId="77777777" w:rsidR="0023723A" w:rsidRDefault="0023723A" w:rsidP="00521D06">
      <w:pPr>
        <w:spacing w:after="0" w:line="240" w:lineRule="auto"/>
      </w:pPr>
      <w:r>
        <w:separator/>
      </w:r>
    </w:p>
  </w:footnote>
  <w:footnote w:type="continuationSeparator" w:id="0">
    <w:p w14:paraId="0212626B" w14:textId="77777777" w:rsidR="0023723A" w:rsidRDefault="0023723A" w:rsidP="00521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06"/>
    <w:rsid w:val="00015F1A"/>
    <w:rsid w:val="00041310"/>
    <w:rsid w:val="00107BF2"/>
    <w:rsid w:val="001245CB"/>
    <w:rsid w:val="001738EC"/>
    <w:rsid w:val="00186B36"/>
    <w:rsid w:val="001A7595"/>
    <w:rsid w:val="001D3F1F"/>
    <w:rsid w:val="00207001"/>
    <w:rsid w:val="002156C2"/>
    <w:rsid w:val="0023723A"/>
    <w:rsid w:val="0024464D"/>
    <w:rsid w:val="00250092"/>
    <w:rsid w:val="0028284F"/>
    <w:rsid w:val="002C738B"/>
    <w:rsid w:val="00327082"/>
    <w:rsid w:val="003B384C"/>
    <w:rsid w:val="00404DCA"/>
    <w:rsid w:val="00405A3E"/>
    <w:rsid w:val="00412A6E"/>
    <w:rsid w:val="004307FD"/>
    <w:rsid w:val="004415FD"/>
    <w:rsid w:val="00467991"/>
    <w:rsid w:val="00485B2D"/>
    <w:rsid w:val="004A7CFE"/>
    <w:rsid w:val="004E4130"/>
    <w:rsid w:val="00504B44"/>
    <w:rsid w:val="00521D06"/>
    <w:rsid w:val="005443AE"/>
    <w:rsid w:val="005639D0"/>
    <w:rsid w:val="005756B1"/>
    <w:rsid w:val="00593E62"/>
    <w:rsid w:val="005A6A7D"/>
    <w:rsid w:val="005B2B2D"/>
    <w:rsid w:val="005D78B1"/>
    <w:rsid w:val="005E1DFF"/>
    <w:rsid w:val="006167E6"/>
    <w:rsid w:val="006B39B0"/>
    <w:rsid w:val="00712C91"/>
    <w:rsid w:val="00724124"/>
    <w:rsid w:val="007273A5"/>
    <w:rsid w:val="00727EFB"/>
    <w:rsid w:val="00793C87"/>
    <w:rsid w:val="007F6F02"/>
    <w:rsid w:val="00812B97"/>
    <w:rsid w:val="0083509A"/>
    <w:rsid w:val="00850A51"/>
    <w:rsid w:val="008702D4"/>
    <w:rsid w:val="008D3858"/>
    <w:rsid w:val="008F3AE9"/>
    <w:rsid w:val="00916F06"/>
    <w:rsid w:val="0097648C"/>
    <w:rsid w:val="009837BF"/>
    <w:rsid w:val="009B15ED"/>
    <w:rsid w:val="009D3570"/>
    <w:rsid w:val="00A00486"/>
    <w:rsid w:val="00A05896"/>
    <w:rsid w:val="00A22705"/>
    <w:rsid w:val="00A90CE5"/>
    <w:rsid w:val="00A9745D"/>
    <w:rsid w:val="00B651AC"/>
    <w:rsid w:val="00BE34C4"/>
    <w:rsid w:val="00C2604F"/>
    <w:rsid w:val="00C378AE"/>
    <w:rsid w:val="00C56BF5"/>
    <w:rsid w:val="00C60A19"/>
    <w:rsid w:val="00C740AC"/>
    <w:rsid w:val="00C975F1"/>
    <w:rsid w:val="00CA458E"/>
    <w:rsid w:val="00D368E5"/>
    <w:rsid w:val="00E17682"/>
    <w:rsid w:val="00E77F6A"/>
    <w:rsid w:val="00EC5C66"/>
    <w:rsid w:val="00F00100"/>
    <w:rsid w:val="00F41B1A"/>
    <w:rsid w:val="00F54D89"/>
    <w:rsid w:val="00F62F8C"/>
    <w:rsid w:val="00F7018C"/>
    <w:rsid w:val="00FB6D5F"/>
    <w:rsid w:val="00FC1B95"/>
    <w:rsid w:val="00FE5734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FE45"/>
  <w15:chartTrackingRefBased/>
  <w15:docId w15:val="{1D197C3A-8095-4F66-865C-84BD3B50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1D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1D0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21D06"/>
    <w:rPr>
      <w:vertAlign w:val="superscript"/>
    </w:rPr>
  </w:style>
  <w:style w:type="paragraph" w:styleId="Reviso">
    <w:name w:val="Revision"/>
    <w:hidden/>
    <w:uiPriority w:val="99"/>
    <w:semiHidden/>
    <w:rsid w:val="00C2604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273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73A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8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A7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95"/>
  </w:style>
  <w:style w:type="paragraph" w:styleId="Rodap">
    <w:name w:val="footer"/>
    <w:basedOn w:val="Normal"/>
    <w:link w:val="RodapChar"/>
    <w:uiPriority w:val="99"/>
    <w:unhideWhenUsed/>
    <w:rsid w:val="001A7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joi@oi.net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93F3D-EADD-4751-80A1-5E635F9A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 Martins De Lima | BMA</dc:creator>
  <cp:keywords/>
  <dc:description/>
  <cp:lastModifiedBy>Mariana Gofferjé Pereira | BMA</cp:lastModifiedBy>
  <cp:revision>4</cp:revision>
  <dcterms:created xsi:type="dcterms:W3CDTF">2024-03-25T04:55:00Z</dcterms:created>
  <dcterms:modified xsi:type="dcterms:W3CDTF">2024-03-25T04:58:00Z</dcterms:modified>
</cp:coreProperties>
</file>