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E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95.450pt;height:842.05pt;mso-position-horizontal-relative:page;mso-position-vertical-relative:page;z-index:-15934976" id="docshape1" filled="true" fillcolor="#465ef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0</wp:posOffset>
                </wp:positionH>
                <wp:positionV relativeFrom="page">
                  <wp:posOffset>-3395</wp:posOffset>
                </wp:positionV>
                <wp:extent cx="7564120" cy="106946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4120" cy="10694670"/>
                          <a:chExt cx="7564120" cy="1069467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63" y="2774296"/>
                            <a:ext cx="7110400" cy="792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81171" y="3395"/>
                            <a:ext cx="5479415" cy="372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9415" h="3724275">
                                <a:moveTo>
                                  <a:pt x="5479392" y="3724237"/>
                                </a:moveTo>
                                <a:lnTo>
                                  <a:pt x="3997302" y="2744596"/>
                                </a:lnTo>
                                <a:lnTo>
                                  <a:pt x="3928595" y="2699257"/>
                                </a:lnTo>
                                <a:lnTo>
                                  <a:pt x="3913924" y="2688407"/>
                                </a:lnTo>
                                <a:lnTo>
                                  <a:pt x="3880081" y="2646044"/>
                                </a:lnTo>
                                <a:lnTo>
                                  <a:pt x="3863888" y="2579623"/>
                                </a:lnTo>
                                <a:lnTo>
                                  <a:pt x="3867937" y="2545675"/>
                                </a:lnTo>
                                <a:lnTo>
                                  <a:pt x="3889536" y="2497637"/>
                                </a:lnTo>
                                <a:lnTo>
                                  <a:pt x="3928595" y="2459989"/>
                                </a:lnTo>
                                <a:lnTo>
                                  <a:pt x="5479392" y="1442693"/>
                                </a:lnTo>
                              </a:path>
                              <a:path w="5479415" h="3724275">
                                <a:moveTo>
                                  <a:pt x="5479392" y="1098884"/>
                                </a:moveTo>
                                <a:lnTo>
                                  <a:pt x="3694534" y="2316860"/>
                                </a:lnTo>
                                <a:lnTo>
                                  <a:pt x="3656053" y="2335291"/>
                                </a:lnTo>
                                <a:lnTo>
                                  <a:pt x="3613762" y="2341625"/>
                                </a:lnTo>
                                <a:lnTo>
                                  <a:pt x="3592978" y="2340115"/>
                                </a:lnTo>
                                <a:lnTo>
                                  <a:pt x="3572741" y="2335640"/>
                                </a:lnTo>
                                <a:lnTo>
                                  <a:pt x="3553362" y="2328284"/>
                                </a:lnTo>
                                <a:lnTo>
                                  <a:pt x="3535149" y="2318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204306"/>
                            <a:ext cx="5425440" cy="948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440" h="9488805">
                                <a:moveTo>
                                  <a:pt x="1537335" y="1055624"/>
                                </a:moveTo>
                                <a:lnTo>
                                  <a:pt x="1415923" y="973201"/>
                                </a:lnTo>
                                <a:lnTo>
                                  <a:pt x="1297559" y="1055624"/>
                                </a:lnTo>
                                <a:lnTo>
                                  <a:pt x="1297559" y="1226820"/>
                                </a:lnTo>
                                <a:lnTo>
                                  <a:pt x="1537335" y="1055624"/>
                                </a:lnTo>
                                <a:close/>
                              </a:path>
                              <a:path w="5425440" h="9488805">
                                <a:moveTo>
                                  <a:pt x="2474849" y="814705"/>
                                </a:moveTo>
                                <a:lnTo>
                                  <a:pt x="2235073" y="646684"/>
                                </a:lnTo>
                                <a:lnTo>
                                  <a:pt x="1936115" y="849503"/>
                                </a:lnTo>
                                <a:lnTo>
                                  <a:pt x="2063750" y="932053"/>
                                </a:lnTo>
                                <a:lnTo>
                                  <a:pt x="1898650" y="1049274"/>
                                </a:lnTo>
                                <a:lnTo>
                                  <a:pt x="1549908" y="808355"/>
                                </a:lnTo>
                                <a:lnTo>
                                  <a:pt x="2113661" y="412115"/>
                                </a:lnTo>
                                <a:lnTo>
                                  <a:pt x="2001520" y="332867"/>
                                </a:lnTo>
                                <a:lnTo>
                                  <a:pt x="1297559" y="814705"/>
                                </a:lnTo>
                                <a:lnTo>
                                  <a:pt x="1886204" y="1220470"/>
                                </a:lnTo>
                                <a:lnTo>
                                  <a:pt x="2134552" y="1049274"/>
                                </a:lnTo>
                                <a:lnTo>
                                  <a:pt x="2474849" y="814705"/>
                                </a:lnTo>
                                <a:close/>
                              </a:path>
                              <a:path w="5425440" h="9488805">
                                <a:moveTo>
                                  <a:pt x="2474976" y="405765"/>
                                </a:moveTo>
                                <a:lnTo>
                                  <a:pt x="2134679" y="171196"/>
                                </a:lnTo>
                                <a:lnTo>
                                  <a:pt x="1886331" y="0"/>
                                </a:lnTo>
                                <a:lnTo>
                                  <a:pt x="1297559" y="405765"/>
                                </a:lnTo>
                                <a:lnTo>
                                  <a:pt x="1543558" y="573786"/>
                                </a:lnTo>
                                <a:lnTo>
                                  <a:pt x="1836420" y="374015"/>
                                </a:lnTo>
                                <a:lnTo>
                                  <a:pt x="1708658" y="288544"/>
                                </a:lnTo>
                                <a:lnTo>
                                  <a:pt x="1873758" y="171196"/>
                                </a:lnTo>
                                <a:lnTo>
                                  <a:pt x="2222627" y="412115"/>
                                </a:lnTo>
                                <a:lnTo>
                                  <a:pt x="1658874" y="808355"/>
                                </a:lnTo>
                                <a:lnTo>
                                  <a:pt x="1777238" y="887603"/>
                                </a:lnTo>
                                <a:lnTo>
                                  <a:pt x="2474976" y="405765"/>
                                </a:lnTo>
                                <a:close/>
                              </a:path>
                              <a:path w="5425440" h="9488805">
                                <a:moveTo>
                                  <a:pt x="2481199" y="6350"/>
                                </a:moveTo>
                                <a:lnTo>
                                  <a:pt x="2241296" y="171196"/>
                                </a:lnTo>
                                <a:lnTo>
                                  <a:pt x="2359660" y="256794"/>
                                </a:lnTo>
                                <a:lnTo>
                                  <a:pt x="2481199" y="171196"/>
                                </a:lnTo>
                                <a:lnTo>
                                  <a:pt x="2481199" y="6350"/>
                                </a:lnTo>
                                <a:close/>
                              </a:path>
                              <a:path w="5425440" h="9488805">
                                <a:moveTo>
                                  <a:pt x="5425122" y="8757031"/>
                                </a:moveTo>
                                <a:lnTo>
                                  <a:pt x="5408930" y="8690635"/>
                                </a:lnTo>
                                <a:lnTo>
                                  <a:pt x="5375021" y="8648243"/>
                                </a:lnTo>
                                <a:lnTo>
                                  <a:pt x="268655" y="5298186"/>
                                </a:lnTo>
                                <a:lnTo>
                                  <a:pt x="230009" y="5280418"/>
                                </a:lnTo>
                                <a:lnTo>
                                  <a:pt x="188734" y="5274729"/>
                                </a:lnTo>
                                <a:lnTo>
                                  <a:pt x="147548" y="5281079"/>
                                </a:lnTo>
                                <a:lnTo>
                                  <a:pt x="109194" y="5299456"/>
                                </a:lnTo>
                                <a:lnTo>
                                  <a:pt x="0" y="5373967"/>
                                </a:lnTo>
                                <a:lnTo>
                                  <a:pt x="0" y="9488564"/>
                                </a:lnTo>
                                <a:lnTo>
                                  <a:pt x="4434332" y="9488576"/>
                                </a:lnTo>
                                <a:lnTo>
                                  <a:pt x="5360416" y="8876652"/>
                                </a:lnTo>
                                <a:lnTo>
                                  <a:pt x="5399456" y="8839009"/>
                                </a:lnTo>
                                <a:lnTo>
                                  <a:pt x="5421071" y="8790965"/>
                                </a:lnTo>
                                <a:lnTo>
                                  <a:pt x="5425122" y="875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267325pt;width:595.6pt;height:842.1pt;mso-position-horizontal-relative:page;mso-position-vertical-relative:page;z-index:-15934464" id="docshapegroup2" coordorigin="0,-5" coordsize="11912,16842">
                <v:shape style="position:absolute;left:708;top:4363;width:11198;height:12473" type="#_x0000_t75" id="docshape3" stroked="false">
                  <v:imagedata r:id="rId5" o:title=""/>
                </v:shape>
                <v:shape style="position:absolute;left:3277;top:0;width:8629;height:5865" id="docshape4" coordorigin="3277,0" coordsize="8629,5865" path="m11906,5865l9572,4322,9464,4251,9441,4234,9421,4214,9403,4192,9388,4167,9369,4116,9362,4062,9369,4009,9388,3958,9403,3933,9421,3911,9441,3891,9464,3874,11906,2272m11906,1731l9096,3649,9066,3665,9035,3678,9002,3685,8968,3688,8936,3685,8904,3678,8873,3667,8845,3651,3277,0e" filled="false" stroked="true" strokeweight=".534650pt" strokecolor="#ffffff">
                  <v:path arrowok="t"/>
                  <v:stroke dashstyle="solid"/>
                </v:shape>
                <v:shape style="position:absolute;left:0;top:1891;width:8544;height:14943" id="docshape5" coordorigin="0,1891" coordsize="8544,14943" path="m2421,3554l2230,3424,2043,3554,2043,3823,2421,3554xm3897,3174l3520,2910,3049,3229,3250,3359,2990,3544,2441,3164,3329,2540,3152,2415,2043,3174,2970,3813,3362,3544,3897,3174xm3898,2530l3362,2161,2971,1891,2043,2530,2431,2795,2892,2480,2691,2346,2951,2161,3500,2540,2612,3164,2799,3289,3898,2530xm3907,1901l3530,2161,3716,2296,3907,2161,3907,1901xm8544,15682l8537,15628,8518,15577,8503,15553,8485,15530,8465,15510,8442,15493,423,10235,362,10207,297,10198,232,10208,172,10237,0,10354,0,16834,6983,16834,8442,15870,8465,15853,8485,15833,8503,15811,8518,15786,8537,15735,8544,15682xe" filled="true" fillcolor="#fbfb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3"/>
        <w:rPr>
          <w:rFonts w:ascii="Times New Roman"/>
          <w:sz w:val="26"/>
        </w:rPr>
      </w:pPr>
    </w:p>
    <w:p>
      <w:pPr>
        <w:spacing w:line="272" w:lineRule="exact" w:before="0"/>
        <w:ind w:left="1605" w:right="0" w:firstLine="0"/>
        <w:jc w:val="left"/>
        <w:rPr>
          <w:rFonts w:ascii="BancoDoBrasil Titulos" w:hAnsi="BancoDoBrasil Titulos"/>
          <w:b/>
          <w:sz w:val="26"/>
        </w:rPr>
      </w:pPr>
      <w:bookmarkStart w:name="Capa_Relad_Português" w:id="1"/>
      <w:bookmarkEnd w:id="1"/>
      <w:r>
        <w:rPr/>
      </w:r>
      <w:r>
        <w:rPr>
          <w:rFonts w:ascii="BancoDoBrasil Titulos" w:hAnsi="BancoDoBrasil Titulos"/>
          <w:b/>
          <w:color w:val="FFF8F8"/>
          <w:spacing w:val="-2"/>
          <w:sz w:val="26"/>
        </w:rPr>
        <w:t>Relatório</w:t>
      </w:r>
      <w:r>
        <w:rPr>
          <w:rFonts w:ascii="BancoDoBrasil Titulos" w:hAnsi="BancoDoBrasil Titulos"/>
          <w:b/>
          <w:color w:val="FFF8F8"/>
          <w:spacing w:val="-12"/>
          <w:sz w:val="26"/>
        </w:rPr>
        <w:t> </w:t>
      </w:r>
      <w:r>
        <w:rPr>
          <w:rFonts w:ascii="BancoDoBrasil Titulos" w:hAnsi="BancoDoBrasil Titulos"/>
          <w:b/>
          <w:color w:val="FFF8F8"/>
          <w:spacing w:val="-7"/>
          <w:sz w:val="26"/>
        </w:rPr>
        <w:t>da</w:t>
      </w:r>
    </w:p>
    <w:p>
      <w:pPr>
        <w:spacing w:line="512" w:lineRule="exact" w:before="0"/>
        <w:ind w:left="1567" w:right="0" w:firstLine="0"/>
        <w:jc w:val="left"/>
        <w:rPr>
          <w:rFonts w:ascii="BancoDoBrasil Titulos" w:hAnsi="BancoDoBrasil Titulos"/>
          <w:b/>
          <w:sz w:val="48"/>
        </w:rPr>
      </w:pPr>
      <w:r>
        <w:rPr>
          <w:rFonts w:ascii="BancoDoBrasil Titulos" w:hAnsi="BancoDoBrasil Titulos"/>
          <w:b/>
          <w:color w:val="FFF8F8"/>
          <w:spacing w:val="-2"/>
          <w:sz w:val="48"/>
        </w:rPr>
        <w:t>Administração</w:t>
      </w:r>
    </w:p>
    <w:p>
      <w:pPr>
        <w:pStyle w:val="Title"/>
      </w:pPr>
      <w:r>
        <w:rPr>
          <w:color w:val="FFFFFF"/>
          <w:spacing w:val="-4"/>
        </w:rPr>
        <w:t>1S25</w:t>
      </w:r>
    </w:p>
    <w:p>
      <w:pPr>
        <w:pStyle w:val="Title"/>
        <w:spacing w:after="0"/>
        <w:sectPr>
          <w:type w:val="continuous"/>
          <w:pgSz w:w="11910" w:h="16840"/>
          <w:pgMar w:top="1920" w:bottom="280" w:left="425" w:right="708"/>
        </w:sectPr>
      </w:pPr>
    </w:p>
    <w:p>
      <w:pPr>
        <w:spacing w:line="626" w:lineRule="exact" w:before="24"/>
        <w:ind w:left="134" w:right="0" w:firstLine="0"/>
        <w:jc w:val="left"/>
        <w:rPr>
          <w:rFonts w:ascii="BancoDoBrasil Titulos Medium" w:hAnsi="BancoDoBrasil Titulos Medium"/>
          <w:b w:val="0"/>
          <w:sz w:val="52"/>
        </w:rPr>
      </w:pPr>
      <w:bookmarkStart w:name="RELAD_1S25_COSIF_1408_12h38" w:id="2"/>
      <w:bookmarkEnd w:id="2"/>
      <w:r>
        <w:rPr/>
      </w:r>
      <w:r>
        <w:rPr>
          <w:rFonts w:ascii="BancoDoBrasil Titulos Medium" w:hAnsi="BancoDoBrasil Titulos Medium"/>
          <w:b w:val="0"/>
          <w:color w:val="FFFFFF"/>
          <w:spacing w:val="13"/>
          <w:sz w:val="52"/>
        </w:rPr>
        <w:t>Relatório</w:t>
      </w:r>
      <w:r>
        <w:rPr>
          <w:rFonts w:ascii="BancoDoBrasil Titulos Medium" w:hAnsi="BancoDoBrasil Titulos Medium"/>
          <w:b w:val="0"/>
          <w:color w:val="FFFFFF"/>
          <w:spacing w:val="41"/>
          <w:sz w:val="52"/>
        </w:rPr>
        <w:t> </w:t>
      </w:r>
      <w:r>
        <w:rPr>
          <w:rFonts w:ascii="BancoDoBrasil Titulos Medium" w:hAnsi="BancoDoBrasil Titulos Medium"/>
          <w:b w:val="0"/>
          <w:color w:val="FFFFFF"/>
          <w:spacing w:val="-5"/>
          <w:sz w:val="52"/>
        </w:rPr>
        <w:t>da</w:t>
      </w:r>
    </w:p>
    <w:p>
      <w:pPr>
        <w:spacing w:line="626" w:lineRule="exact" w:before="0"/>
        <w:ind w:left="134" w:right="0" w:firstLine="0"/>
        <w:jc w:val="left"/>
        <w:rPr>
          <w:rFonts w:ascii="BancoDoBrasil Titulos Medium" w:hAnsi="BancoDoBrasil Titulos Medium"/>
          <w:b w:val="0"/>
          <w:sz w:val="52"/>
        </w:rPr>
      </w:pPr>
      <w:r>
        <w:rPr>
          <w:rFonts w:ascii="BancoDoBrasil Titulos Medium" w:hAnsi="BancoDoBrasil Titulos Medium"/>
          <w:b w:val="0"/>
          <w:color w:val="FFFFFF"/>
          <w:spacing w:val="14"/>
          <w:sz w:val="52"/>
        </w:rPr>
        <w:t>Administração</w:t>
      </w:r>
      <w:r>
        <w:rPr>
          <w:rFonts w:ascii="BancoDoBrasil Titulos Medium" w:hAnsi="BancoDoBrasil Titulos Medium"/>
          <w:b w:val="0"/>
          <w:color w:val="FFFFFF"/>
          <w:spacing w:val="40"/>
          <w:sz w:val="52"/>
        </w:rPr>
        <w:t> </w:t>
      </w:r>
      <w:r>
        <w:rPr>
          <w:rFonts w:ascii="BancoDoBrasil Textos Light" w:hAnsi="BancoDoBrasil Textos Light"/>
          <w:b w:val="0"/>
          <w:color w:val="FFFFFF"/>
          <w:sz w:val="52"/>
        </w:rPr>
        <w:t>|</w:t>
      </w:r>
      <w:r>
        <w:rPr>
          <w:rFonts w:ascii="BancoDoBrasil Textos Light" w:hAnsi="BancoDoBrasil Textos Light"/>
          <w:b w:val="0"/>
          <w:color w:val="FFFFFF"/>
          <w:spacing w:val="44"/>
          <w:sz w:val="52"/>
        </w:rPr>
        <w:t> </w:t>
      </w:r>
      <w:r>
        <w:rPr>
          <w:rFonts w:ascii="BancoDoBrasil Titulos Medium" w:hAnsi="BancoDoBrasil Titulos Medium"/>
          <w:b w:val="0"/>
          <w:color w:val="FFFFFF"/>
          <w:spacing w:val="10"/>
          <w:sz w:val="52"/>
        </w:rPr>
        <w:t>1S25</w:t>
      </w:r>
    </w:p>
    <w:p>
      <w:pPr>
        <w:pStyle w:val="BodyText"/>
        <w:rPr>
          <w:rFonts w:ascii="BancoDoBrasil Titulos Medium"/>
          <w:b w:val="0"/>
        </w:rPr>
      </w:pPr>
    </w:p>
    <w:p>
      <w:pPr>
        <w:pStyle w:val="BodyText"/>
        <w:rPr>
          <w:rFonts w:ascii="BancoDoBrasil Titulos Medium"/>
          <w:b w:val="0"/>
        </w:rPr>
      </w:pPr>
    </w:p>
    <w:p>
      <w:pPr>
        <w:pStyle w:val="BodyText"/>
        <w:rPr>
          <w:rFonts w:ascii="BancoDoBrasil Titulos Medium"/>
          <w:b w:val="0"/>
        </w:rPr>
      </w:pPr>
    </w:p>
    <w:p>
      <w:pPr>
        <w:pStyle w:val="BodyText"/>
        <w:rPr>
          <w:rFonts w:ascii="BancoDoBrasil Titulos Medium"/>
          <w:b w:val="0"/>
        </w:rPr>
      </w:pPr>
    </w:p>
    <w:p>
      <w:pPr>
        <w:pStyle w:val="BodyText"/>
        <w:spacing w:before="36"/>
        <w:rPr>
          <w:rFonts w:ascii="BancoDoBrasil Titulos Medium"/>
          <w:b w:val="0"/>
        </w:rPr>
      </w:pPr>
    </w:p>
    <w:p>
      <w:pPr>
        <w:pStyle w:val="BodyText"/>
        <w:spacing w:line="321" w:lineRule="auto" w:before="1"/>
        <w:ind w:left="5881" w:right="141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Influenciadas pela nova dinâmica de constituição a partir da adoção da Resolução 4.966/21, as perdas esperadas refletiram, principalmente, o aumento da </w:t>
      </w:r>
      <w:r>
        <w:rPr>
          <w:rFonts w:ascii="BancoDoBrasil Textos Light" w:hAnsi="BancoDoBrasil Textos Light"/>
          <w:b w:val="0"/>
          <w:color w:val="FFFFFF"/>
          <w:spacing w:val="-2"/>
        </w:rPr>
        <w:t>inadimplência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na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carteira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de</w:t>
      </w:r>
      <w:r>
        <w:rPr>
          <w:rFonts w:ascii="BancoDoBrasil Textos Light" w:hAnsi="BancoDoBrasil Textos Light"/>
          <w:b w:val="0"/>
          <w:color w:val="FFFFFF"/>
          <w:spacing w:val="-6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agronegócios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e</w:t>
      </w:r>
      <w:r>
        <w:rPr>
          <w:rFonts w:ascii="BancoDoBrasil Textos Light" w:hAnsi="BancoDoBrasil Textos Light"/>
          <w:b w:val="0"/>
          <w:color w:val="FFFFFF"/>
          <w:spacing w:val="-6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de</w:t>
      </w:r>
      <w:r>
        <w:rPr>
          <w:rFonts w:ascii="BancoDoBrasil Textos Light" w:hAnsi="BancoDoBrasil Textos Light"/>
          <w:b w:val="0"/>
          <w:color w:val="FFFFFF"/>
          <w:spacing w:val="-4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Micro, </w:t>
      </w:r>
      <w:r>
        <w:rPr>
          <w:rFonts w:ascii="BancoDoBrasil Textos Light" w:hAnsi="BancoDoBrasil Textos Light"/>
          <w:b w:val="0"/>
          <w:color w:val="FFFFFF"/>
        </w:rPr>
        <w:t>Pequenas e Médias Empresas, em menor escala. Diante</w:t>
      </w:r>
      <w:r>
        <w:rPr>
          <w:rFonts w:ascii="BancoDoBrasil Textos Light" w:hAnsi="BancoDoBrasil Textos Light"/>
          <w:b w:val="0"/>
          <w:color w:val="FFFFFF"/>
          <w:spacing w:val="-13"/>
        </w:rPr>
        <w:t> </w:t>
      </w:r>
      <w:r>
        <w:rPr>
          <w:rFonts w:ascii="BancoDoBrasil Textos Light" w:hAnsi="BancoDoBrasil Textos Light"/>
          <w:b w:val="0"/>
          <w:color w:val="FFFFFF"/>
        </w:rPr>
        <w:t>disso,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tomamos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ações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imediatas</w:t>
      </w:r>
      <w:r>
        <w:rPr>
          <w:rFonts w:ascii="BancoDoBrasil Textos Light" w:hAnsi="BancoDoBrasil Textos Light"/>
          <w:b w:val="0"/>
          <w:color w:val="FFFFFF"/>
          <w:spacing w:val="-13"/>
        </w:rPr>
        <w:t> </w:t>
      </w:r>
      <w:r>
        <w:rPr>
          <w:rFonts w:ascii="BancoDoBrasil Textos Light" w:hAnsi="BancoDoBrasil Textos Light"/>
          <w:b w:val="0"/>
          <w:color w:val="FFFFFF"/>
        </w:rPr>
        <w:t>que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incluem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a revisão dos fluxos de cobrança, priorização de desembolsos no contexto da matriz de resiliência, maior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concessão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em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linhas</w:t>
      </w:r>
      <w:r>
        <w:rPr>
          <w:rFonts w:ascii="BancoDoBrasil Textos Light" w:hAnsi="BancoDoBrasil Textos Light"/>
          <w:b w:val="0"/>
          <w:color w:val="FFFFFF"/>
          <w:spacing w:val="-7"/>
        </w:rPr>
        <w:t> </w:t>
      </w:r>
      <w:r>
        <w:rPr>
          <w:rFonts w:ascii="BancoDoBrasil Textos Light" w:hAnsi="BancoDoBrasil Textos Light"/>
          <w:b w:val="0"/>
          <w:color w:val="FFFFFF"/>
        </w:rPr>
        <w:t>que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possuem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mitigadores ou fundos garantidores e o reforço do relacionamento cada vez mais próximo e resolutivo junto aos clientes.</w:t>
      </w:r>
    </w:p>
    <w:p>
      <w:pPr>
        <w:pStyle w:val="BodyText"/>
        <w:spacing w:line="321" w:lineRule="auto" w:before="113"/>
        <w:ind w:left="5881" w:right="141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Nas Receitas de Prestação de Serviços, os destaques foram as linhas de administração de fundos, consórcios e comissões de seguros, previdência e capitalização, que já representam 56,8% do total, demonstrando a complementariedade do portfólio junto à BB Asset, BB Consórcios e BB Seguridade.</w:t>
      </w:r>
    </w:p>
    <w:p>
      <w:pPr>
        <w:pStyle w:val="BodyText"/>
        <w:spacing w:line="321" w:lineRule="auto" w:before="116"/>
        <w:ind w:left="5881" w:right="142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As Despesas Administrativas, por sua vez, apresentaram</w:t>
      </w:r>
      <w:r>
        <w:rPr>
          <w:rFonts w:ascii="BancoDoBrasil Textos Light" w:hAnsi="BancoDoBrasil Textos Light"/>
          <w:b w:val="0"/>
          <w:color w:val="FFFFFF"/>
          <w:spacing w:val="-13"/>
        </w:rPr>
        <w:t> </w:t>
      </w:r>
      <w:r>
        <w:rPr>
          <w:rFonts w:ascii="BancoDoBrasil Textos Light" w:hAnsi="BancoDoBrasil Textos Light"/>
          <w:b w:val="0"/>
          <w:color w:val="FFFFFF"/>
        </w:rPr>
        <w:t>crescimento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coerente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com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a</w:t>
      </w:r>
      <w:r>
        <w:rPr>
          <w:rFonts w:ascii="BancoDoBrasil Textos Light" w:hAnsi="BancoDoBrasil Textos Light"/>
          <w:b w:val="0"/>
          <w:color w:val="FFFFFF"/>
          <w:spacing w:val="-13"/>
        </w:rPr>
        <w:t> </w:t>
      </w:r>
      <w:r>
        <w:rPr>
          <w:rFonts w:ascii="BancoDoBrasil Textos Light" w:hAnsi="BancoDoBrasil Textos Light"/>
          <w:b w:val="0"/>
          <w:color w:val="FFFFFF"/>
        </w:rPr>
        <w:t>operação, alinhado a elevação dos salários dos funcionários e com os investimentos em tecnologia.</w:t>
      </w:r>
    </w:p>
    <w:p>
      <w:pPr>
        <w:pStyle w:val="BodyText"/>
        <w:spacing w:after="0" w:line="321" w:lineRule="auto"/>
        <w:jc w:val="both"/>
        <w:rPr>
          <w:rFonts w:ascii="BancoDoBrasil Textos Light" w:hAnsi="BancoDoBrasil Textos Light"/>
          <w:b w:val="0"/>
        </w:rPr>
        <w:sectPr>
          <w:pgSz w:w="11910" w:h="16850"/>
          <w:pgMar w:top="400" w:bottom="0" w:left="425" w:right="708"/>
        </w:sectPr>
      </w:pPr>
    </w:p>
    <w:p>
      <w:pPr>
        <w:pStyle w:val="BodyText"/>
        <w:spacing w:before="148"/>
        <w:rPr>
          <w:rFonts w:ascii="BancoDoBrasil Textos Light"/>
          <w:b w:val="0"/>
        </w:rPr>
      </w:pPr>
    </w:p>
    <w:p>
      <w:pPr>
        <w:pStyle w:val="BodyText"/>
        <w:spacing w:line="321" w:lineRule="auto" w:before="1"/>
        <w:ind w:left="426" w:right="38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Em junho/25, nossos ativos alcançaram R$ 2,4 trilhões, a carteira de crédito superou R$ 1,2 trilhão, com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crescimento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em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todos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os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segmentos,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</w:rPr>
        <w:t>enquanto os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recursos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de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clientes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totalizaram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R$</w:t>
      </w:r>
      <w:r>
        <w:rPr>
          <w:rFonts w:ascii="BancoDoBrasil Textos Light" w:hAnsi="BancoDoBrasil Textos Light"/>
          <w:b w:val="0"/>
          <w:color w:val="FFFFFF"/>
          <w:spacing w:val="-6"/>
        </w:rPr>
        <w:t> </w:t>
      </w:r>
      <w:r>
        <w:rPr>
          <w:rFonts w:ascii="BancoDoBrasil Textos Light" w:hAnsi="BancoDoBrasil Textos Light"/>
          <w:b w:val="0"/>
          <w:color w:val="FFFFFF"/>
        </w:rPr>
        <w:t>880,4</w:t>
      </w:r>
      <w:r>
        <w:rPr>
          <w:rFonts w:ascii="BancoDoBrasil Textos Light" w:hAnsi="BancoDoBrasil Textos Light"/>
          <w:b w:val="0"/>
          <w:color w:val="FFFFFF"/>
          <w:spacing w:val="-6"/>
        </w:rPr>
        <w:t> </w:t>
      </w:r>
      <w:r>
        <w:rPr>
          <w:rFonts w:ascii="BancoDoBrasil Textos Light" w:hAnsi="BancoDoBrasil Textos Light"/>
          <w:b w:val="0"/>
          <w:color w:val="FFFFFF"/>
        </w:rPr>
        <w:t>bilhões.</w:t>
      </w:r>
    </w:p>
    <w:p>
      <w:pPr>
        <w:pStyle w:val="BodyText"/>
        <w:spacing w:line="321" w:lineRule="auto" w:before="116"/>
        <w:ind w:left="426" w:right="38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O resultado da intermediação financeira foi impactado pelo aumento das despesas de captação dado o maior volume de depósitos e pelo aumento da Taxa Média Selic e da Taxa Referência, parcialmente compensado pelo crescimento da carteira de crédito que beneficiou as receitas.</w:t>
      </w:r>
    </w:p>
    <w:p>
      <w:pPr>
        <w:pStyle w:val="BodyText"/>
        <w:spacing w:line="321" w:lineRule="auto" w:before="116"/>
        <w:ind w:left="427" w:right="141"/>
        <w:jc w:val="both"/>
        <w:rPr>
          <w:rFonts w:ascii="BancoDoBrasil Textos Light" w:hAnsi="BancoDoBrasil Textos Light"/>
          <w:b w:val="0"/>
        </w:rPr>
      </w:pPr>
      <w:r>
        <w:rPr/>
        <w:br w:type="column"/>
      </w:r>
      <w:r>
        <w:rPr>
          <w:rFonts w:ascii="BancoDoBrasil Textos Light" w:hAnsi="BancoDoBrasil Textos Light"/>
          <w:b w:val="0"/>
          <w:color w:val="FFFFFF"/>
        </w:rPr>
        <w:t>Com</w:t>
      </w:r>
      <w:r>
        <w:rPr>
          <w:rFonts w:ascii="BancoDoBrasil Textos Light" w:hAnsi="BancoDoBrasil Textos Light"/>
          <w:b w:val="0"/>
          <w:color w:val="FFFFFF"/>
          <w:spacing w:val="-7"/>
        </w:rPr>
        <w:t> </w:t>
      </w:r>
      <w:r>
        <w:rPr>
          <w:rFonts w:ascii="BancoDoBrasil Textos Light" w:hAnsi="BancoDoBrasil Textos Light"/>
          <w:b w:val="0"/>
          <w:color w:val="FFFFFF"/>
        </w:rPr>
        <w:t>isso,</w:t>
      </w:r>
      <w:r>
        <w:rPr>
          <w:rFonts w:ascii="BancoDoBrasil Textos Light" w:hAnsi="BancoDoBrasil Textos Light"/>
          <w:b w:val="0"/>
          <w:color w:val="FFFFFF"/>
          <w:spacing w:val="-7"/>
        </w:rPr>
        <w:t> </w:t>
      </w:r>
      <w:r>
        <w:rPr>
          <w:rFonts w:ascii="BancoDoBrasil Textos Light" w:hAnsi="BancoDoBrasil Textos Light"/>
          <w:b w:val="0"/>
          <w:color w:val="FFFFFF"/>
        </w:rPr>
        <w:t>o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lucro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líquido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do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primeiro</w:t>
      </w:r>
      <w:r>
        <w:rPr>
          <w:rFonts w:ascii="BancoDoBrasil Textos Light" w:hAnsi="BancoDoBrasil Textos Light"/>
          <w:b w:val="0"/>
          <w:color w:val="FFFFFF"/>
          <w:spacing w:val="-8"/>
        </w:rPr>
        <w:t> </w:t>
      </w:r>
      <w:r>
        <w:rPr>
          <w:rFonts w:ascii="BancoDoBrasil Textos Light" w:hAnsi="BancoDoBrasil Textos Light"/>
          <w:b w:val="0"/>
          <w:color w:val="FFFFFF"/>
        </w:rPr>
        <w:t>semestre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foi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</w:rPr>
        <w:t>de </w:t>
      </w:r>
      <w:r>
        <w:rPr>
          <w:rFonts w:ascii="BancoDoBrasil Textos Light" w:hAnsi="BancoDoBrasil Textos Light"/>
          <w:b w:val="0"/>
          <w:color w:val="FFFFFF"/>
          <w:spacing w:val="-2"/>
        </w:rPr>
        <w:t>R$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9,8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bilhões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e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o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banco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entregou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R$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28,4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bilhões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em </w:t>
      </w:r>
      <w:r>
        <w:rPr>
          <w:rFonts w:ascii="BancoDoBrasil Textos Light" w:hAnsi="BancoDoBrasil Textos Light"/>
          <w:b w:val="0"/>
          <w:color w:val="FFFFFF"/>
        </w:rPr>
        <w:t>valor adicionado, considerando impostos, salários, dividendos e demais componentes.</w:t>
      </w:r>
    </w:p>
    <w:p>
      <w:pPr>
        <w:pStyle w:val="BodyText"/>
        <w:spacing w:line="321" w:lineRule="auto" w:before="118"/>
        <w:ind w:left="426" w:right="141"/>
        <w:jc w:val="both"/>
        <w:rPr>
          <w:rFonts w:ascii="BancoDoBrasil Textos Light" w:hAnsi="BancoDoBrasil Textos Light"/>
          <w:b w:val="0"/>
        </w:rPr>
      </w:pPr>
      <w:r>
        <w:rPr>
          <w:rFonts w:ascii="BancoDoBrasil Textos Light" w:hAnsi="BancoDoBrasil Textos Light"/>
          <w:b w:val="0"/>
          <w:color w:val="FFFFFF"/>
        </w:rPr>
        <w:t>O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BB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é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um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banco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</w:rPr>
        <w:t>sólido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e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resiliente,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com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mais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de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200 anos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</w:rPr>
        <w:t>de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história.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</w:rPr>
        <w:t>Sabemos</w:t>
      </w:r>
      <w:r>
        <w:rPr>
          <w:rFonts w:ascii="BancoDoBrasil Textos Light" w:hAnsi="BancoDoBrasil Textos Light"/>
          <w:b w:val="0"/>
          <w:color w:val="FFFFFF"/>
          <w:spacing w:val="-9"/>
        </w:rPr>
        <w:t> </w:t>
      </w:r>
      <w:r>
        <w:rPr>
          <w:rFonts w:ascii="BancoDoBrasil Textos Light" w:hAnsi="BancoDoBrasil Textos Light"/>
          <w:b w:val="0"/>
          <w:color w:val="FFFFFF"/>
        </w:rPr>
        <w:t>que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o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ano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de</w:t>
      </w:r>
      <w:r>
        <w:rPr>
          <w:rFonts w:ascii="BancoDoBrasil Textos Light" w:hAnsi="BancoDoBrasil Textos Light"/>
          <w:b w:val="0"/>
          <w:color w:val="FFFFFF"/>
          <w:spacing w:val="-12"/>
        </w:rPr>
        <w:t> </w:t>
      </w:r>
      <w:r>
        <w:rPr>
          <w:rFonts w:ascii="BancoDoBrasil Textos Light" w:hAnsi="BancoDoBrasil Textos Light"/>
          <w:b w:val="0"/>
          <w:color w:val="FFFFFF"/>
        </w:rPr>
        <w:t>2025</w:t>
      </w:r>
      <w:r>
        <w:rPr>
          <w:rFonts w:ascii="BancoDoBrasil Textos Light" w:hAnsi="BancoDoBrasil Textos Light"/>
          <w:b w:val="0"/>
          <w:color w:val="FFFFFF"/>
          <w:spacing w:val="-10"/>
        </w:rPr>
        <w:t> </w:t>
      </w:r>
      <w:r>
        <w:rPr>
          <w:rFonts w:ascii="BancoDoBrasil Textos Light" w:hAnsi="BancoDoBrasil Textos Light"/>
          <w:b w:val="0"/>
          <w:color w:val="FFFFFF"/>
        </w:rPr>
        <w:t>será</w:t>
      </w:r>
      <w:r>
        <w:rPr>
          <w:rFonts w:ascii="BancoDoBrasil Textos Light" w:hAnsi="BancoDoBrasil Textos Light"/>
          <w:b w:val="0"/>
          <w:color w:val="FFFFFF"/>
          <w:spacing w:val="-11"/>
        </w:rPr>
        <w:t> </w:t>
      </w:r>
      <w:r>
        <w:rPr>
          <w:rFonts w:ascii="BancoDoBrasil Textos Light" w:hAnsi="BancoDoBrasil Textos Light"/>
          <w:b w:val="0"/>
          <w:color w:val="FFFFFF"/>
        </w:rPr>
        <w:t>um ano</w:t>
      </w:r>
      <w:r>
        <w:rPr>
          <w:rFonts w:ascii="BancoDoBrasil Textos Light" w:hAnsi="BancoDoBrasil Textos Light"/>
          <w:b w:val="0"/>
          <w:color w:val="FFFFFF"/>
          <w:spacing w:val="-2"/>
        </w:rPr>
        <w:t> </w:t>
      </w:r>
      <w:r>
        <w:rPr>
          <w:rFonts w:ascii="BancoDoBrasil Textos Light" w:hAnsi="BancoDoBrasil Textos Light"/>
          <w:b w:val="0"/>
          <w:color w:val="FFFFFF"/>
        </w:rPr>
        <w:t>de ajuste.</w:t>
      </w:r>
      <w:r>
        <w:rPr>
          <w:rFonts w:ascii="BancoDoBrasil Textos Light" w:hAnsi="BancoDoBrasil Textos Light"/>
          <w:b w:val="0"/>
          <w:color w:val="FFFFFF"/>
          <w:spacing w:val="-1"/>
        </w:rPr>
        <w:t> </w:t>
      </w:r>
      <w:r>
        <w:rPr>
          <w:rFonts w:ascii="BancoDoBrasil Textos Light" w:hAnsi="BancoDoBrasil Textos Light"/>
          <w:b w:val="0"/>
          <w:color w:val="FFFFFF"/>
        </w:rPr>
        <w:t>Mais do que respostas de curto prazo, estamos reforçando as bases para um futuro </w:t>
      </w:r>
      <w:r>
        <w:rPr>
          <w:rFonts w:ascii="BancoDoBrasil Textos Light" w:hAnsi="BancoDoBrasil Textos Light"/>
          <w:b w:val="0"/>
          <w:color w:val="FFFFFF"/>
          <w:spacing w:val="-2"/>
        </w:rPr>
        <w:t>sustentável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e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geração</w:t>
      </w:r>
      <w:r>
        <w:rPr>
          <w:rFonts w:ascii="BancoDoBrasil Textos Light" w:hAnsi="BancoDoBrasil Textos Light"/>
          <w:b w:val="0"/>
          <w:color w:val="FFFFFF"/>
          <w:spacing w:val="-6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de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valor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consistente</w:t>
      </w:r>
      <w:r>
        <w:rPr>
          <w:rFonts w:ascii="BancoDoBrasil Textos Light" w:hAnsi="BancoDoBrasil Textos Light"/>
          <w:b w:val="0"/>
          <w:color w:val="FFFFFF"/>
          <w:spacing w:val="-3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para</w:t>
      </w:r>
      <w:r>
        <w:rPr>
          <w:rFonts w:ascii="BancoDoBrasil Textos Light" w:hAnsi="BancoDoBrasil Textos Light"/>
          <w:b w:val="0"/>
          <w:color w:val="FFFFFF"/>
          <w:spacing w:val="-5"/>
        </w:rPr>
        <w:t> </w:t>
      </w:r>
      <w:r>
        <w:rPr>
          <w:rFonts w:ascii="BancoDoBrasil Textos Light" w:hAnsi="BancoDoBrasil Textos Light"/>
          <w:b w:val="0"/>
          <w:color w:val="FFFFFF"/>
          <w:spacing w:val="-2"/>
        </w:rPr>
        <w:t>todos </w:t>
      </w:r>
      <w:r>
        <w:rPr>
          <w:rFonts w:ascii="BancoDoBrasil Textos Light" w:hAnsi="BancoDoBrasil Textos Light"/>
          <w:b w:val="0"/>
          <w:color w:val="FFFFFF"/>
        </w:rPr>
        <w:t>os nossos stakeholders.</w:t>
      </w:r>
    </w:p>
    <w:p>
      <w:pPr>
        <w:pStyle w:val="BodyText"/>
        <w:spacing w:after="0" w:line="321" w:lineRule="auto"/>
        <w:jc w:val="both"/>
        <w:rPr>
          <w:rFonts w:ascii="BancoDoBrasil Textos Light" w:hAnsi="BancoDoBrasil Textos Light"/>
          <w:b w:val="0"/>
        </w:rPr>
        <w:sectPr>
          <w:type w:val="continuous"/>
          <w:pgSz w:w="11910" w:h="16850"/>
          <w:pgMar w:top="1920" w:bottom="280" w:left="425" w:right="708"/>
          <w:cols w:num="2" w:equalWidth="0">
            <w:col w:w="5215" w:space="240"/>
            <w:col w:w="5322"/>
          </w:cols>
        </w:sectPr>
      </w:pPr>
    </w:p>
    <w:p>
      <w:pPr>
        <w:pStyle w:val="BodyText"/>
        <w:rPr>
          <w:rFonts w:ascii="BancoDoBrasil Textos Light"/>
          <w:b w:val="0"/>
          <w:sz w:val="14"/>
        </w:rPr>
      </w:pPr>
      <w:r>
        <w:rPr>
          <w:rFonts w:ascii="BancoDoBrasil Textos Light"/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403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945" cy="10694035"/>
                          <a:chExt cx="7560945" cy="1069403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3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413678" y="468311"/>
                            <a:ext cx="42481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16559">
                                <a:moveTo>
                                  <a:pt x="86004" y="360565"/>
                                </a:moveTo>
                                <a:lnTo>
                                  <a:pt x="42087" y="330974"/>
                                </a:lnTo>
                                <a:lnTo>
                                  <a:pt x="0" y="357619"/>
                                </a:lnTo>
                                <a:lnTo>
                                  <a:pt x="0" y="416090"/>
                                </a:lnTo>
                                <a:lnTo>
                                  <a:pt x="86004" y="360565"/>
                                </a:lnTo>
                                <a:close/>
                              </a:path>
                              <a:path w="424815" h="416559">
                                <a:moveTo>
                                  <a:pt x="421284" y="276517"/>
                                </a:moveTo>
                                <a:lnTo>
                                  <a:pt x="334048" y="217919"/>
                                </a:lnTo>
                                <a:lnTo>
                                  <a:pt x="230797" y="287769"/>
                                </a:lnTo>
                                <a:lnTo>
                                  <a:pt x="274116" y="317004"/>
                                </a:lnTo>
                                <a:lnTo>
                                  <a:pt x="217144" y="356425"/>
                                </a:lnTo>
                                <a:lnTo>
                                  <a:pt x="91935" y="272376"/>
                                </a:lnTo>
                                <a:lnTo>
                                  <a:pt x="294881" y="140970"/>
                                </a:lnTo>
                                <a:lnTo>
                                  <a:pt x="249783" y="111379"/>
                                </a:lnTo>
                                <a:lnTo>
                                  <a:pt x="0" y="276517"/>
                                </a:lnTo>
                                <a:lnTo>
                                  <a:pt x="212178" y="416090"/>
                                </a:lnTo>
                                <a:lnTo>
                                  <a:pt x="421284" y="276517"/>
                                </a:lnTo>
                                <a:close/>
                              </a:path>
                              <a:path w="424815" h="416559">
                                <a:moveTo>
                                  <a:pt x="421284" y="138607"/>
                                </a:moveTo>
                                <a:lnTo>
                                  <a:pt x="212178" y="0"/>
                                </a:lnTo>
                                <a:lnTo>
                                  <a:pt x="0" y="136232"/>
                                </a:lnTo>
                                <a:lnTo>
                                  <a:pt x="88963" y="195427"/>
                                </a:lnTo>
                                <a:lnTo>
                                  <a:pt x="191033" y="127355"/>
                                </a:lnTo>
                                <a:lnTo>
                                  <a:pt x="148310" y="96583"/>
                                </a:lnTo>
                                <a:lnTo>
                                  <a:pt x="206463" y="58102"/>
                                </a:lnTo>
                                <a:lnTo>
                                  <a:pt x="329298" y="140385"/>
                                </a:lnTo>
                                <a:lnTo>
                                  <a:pt x="129908" y="274739"/>
                                </a:lnTo>
                                <a:lnTo>
                                  <a:pt x="172046" y="303149"/>
                                </a:lnTo>
                                <a:lnTo>
                                  <a:pt x="421284" y="138607"/>
                                </a:lnTo>
                                <a:close/>
                              </a:path>
                              <a:path w="424815" h="416559">
                                <a:moveTo>
                                  <a:pt x="424345" y="0"/>
                                </a:moveTo>
                                <a:lnTo>
                                  <a:pt x="338797" y="54559"/>
                                </a:lnTo>
                                <a:lnTo>
                                  <a:pt x="384492" y="86525"/>
                                </a:lnTo>
                                <a:lnTo>
                                  <a:pt x="424345" y="60477"/>
                                </a:lnTo>
                                <a:lnTo>
                                  <a:pt x="42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 descr="Interface gráfica do usuário, Texto, Aplicativo  O conteúdo gerado por IA pode estar incorreto.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85" y="1908149"/>
                            <a:ext cx="3014979" cy="5095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5pt;height:842.05pt;mso-position-horizontal-relative:page;mso-position-vertical-relative:page;z-index:-15933952" id="docshapegroup6" coordorigin="0,0" coordsize="11907,16841">
                <v:shape style="position:absolute;left:0;top:0;width:11907;height:16841" type="#_x0000_t75" id="docshape7" stroked="false">
                  <v:imagedata r:id="rId6" o:title=""/>
                </v:shape>
                <v:shape style="position:absolute;left:10100;top:737;width:669;height:656" id="docshape8" coordorigin="10100,737" coordsize="669,656" path="m10236,1305l10167,1259,10100,1301,10100,1393,10236,1305xm10764,1173l10626,1081,10464,1191,10532,1237,10442,1299,10245,1166,10565,959,10494,913,10100,1173,10434,1393,10764,1173xm10764,956l10434,737,10100,952,10240,1045,10401,938,10334,890,10425,829,10619,959,10305,1170,10371,1215,10764,956xm10769,737l10634,823,10706,874,10769,833,10769,737xe" filled="true" fillcolor="#fbfb2f" stroked="false">
                  <v:path arrowok="t"/>
                  <v:fill type="solid"/>
                </v:shape>
                <v:shape style="position:absolute;left:851;top:3004;width:4748;height:8024" type="#_x0000_t75" id="docshape9" alt="Interface gráfica do usuário, Texto, Aplicativo  O conteúdo gerado por IA pode estar incorreto. 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rPr>
          <w:rFonts w:ascii="BancoDoBrasil Textos Light"/>
          <w:b w:val="0"/>
          <w:sz w:val="14"/>
        </w:rPr>
      </w:pPr>
    </w:p>
    <w:p>
      <w:pPr>
        <w:pStyle w:val="BodyText"/>
        <w:spacing w:before="103"/>
        <w:rPr>
          <w:rFonts w:ascii="BancoDoBrasil Textos Light"/>
          <w:b w:val="0"/>
          <w:sz w:val="14"/>
        </w:rPr>
      </w:pPr>
    </w:p>
    <w:p>
      <w:pPr>
        <w:spacing w:line="216" w:lineRule="auto" w:before="0"/>
        <w:ind w:left="427" w:right="138" w:firstLine="0"/>
        <w:jc w:val="both"/>
        <w:rPr>
          <w:sz w:val="14"/>
        </w:rPr>
      </w:pPr>
      <w:r>
        <w:rPr>
          <w:color w:val="FFFFFF"/>
          <w:sz w:val="14"/>
        </w:rPr>
        <w:t>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partir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janeiro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2025,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resultados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passaram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incorporar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mudanças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Resolução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CMN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4.966/2021,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que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alterou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forma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contabilização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ativos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financeiros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mensuração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perdas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esperadas.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comparações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neste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documento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consideram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os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normativos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vigentes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à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época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divulgação,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sem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retroagir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os dados a 2024. Para saber mais sobre as principais mudanças entre os padrões, acesse as Demonstrações Contábeis.</w:t>
      </w:r>
    </w:p>
    <w:p>
      <w:pPr>
        <w:spacing w:after="0" w:line="216" w:lineRule="auto"/>
        <w:jc w:val="both"/>
        <w:rPr>
          <w:sz w:val="14"/>
        </w:rPr>
        <w:sectPr>
          <w:type w:val="continuous"/>
          <w:pgSz w:w="11910" w:h="16850"/>
          <w:pgMar w:top="1920" w:bottom="280" w:left="425" w:right="708"/>
        </w:sectPr>
      </w:pPr>
    </w:p>
    <w:p>
      <w:pPr>
        <w:pStyle w:val="Heading1"/>
        <w:spacing w:before="376"/>
      </w:pPr>
      <w:r>
        <w:rPr>
          <w:color w:val="465EFF"/>
          <w:spacing w:val="35"/>
        </w:rPr>
        <w:t>Principais</w:t>
      </w:r>
      <w:r>
        <w:rPr>
          <w:color w:val="465EFF"/>
          <w:spacing w:val="67"/>
        </w:rPr>
        <w:t> </w:t>
      </w:r>
      <w:r>
        <w:rPr>
          <w:color w:val="465EFF"/>
          <w:spacing w:val="34"/>
        </w:rPr>
        <w:t>destaques</w:t>
      </w:r>
      <w:r>
        <w:rPr>
          <w:color w:val="465EFF"/>
          <w:spacing w:val="69"/>
        </w:rPr>
        <w:t> </w:t>
      </w:r>
      <w:r>
        <w:rPr>
          <w:color w:val="465EFF"/>
          <w:spacing w:val="20"/>
        </w:rPr>
        <w:t>do</w:t>
      </w:r>
      <w:r>
        <w:rPr>
          <w:color w:val="465EFF"/>
          <w:spacing w:val="67"/>
        </w:rPr>
        <w:t> </w:t>
      </w:r>
      <w:r>
        <w:rPr>
          <w:color w:val="465EFF"/>
          <w:spacing w:val="32"/>
        </w:rPr>
        <w:t>período </w:t>
      </w:r>
    </w:p>
    <w:p>
      <w:pPr>
        <w:pStyle w:val="BodyText"/>
        <w:rPr>
          <w:rFonts w:ascii="BancoDoBrasil Titulos"/>
        </w:rPr>
      </w:pPr>
    </w:p>
    <w:p>
      <w:pPr>
        <w:pStyle w:val="BodyText"/>
        <w:spacing w:after="0"/>
        <w:rPr>
          <w:rFonts w:ascii="BancoDoBrasil Titulos"/>
        </w:rPr>
        <w:sectPr>
          <w:headerReference w:type="default" r:id="rId8"/>
          <w:footerReference w:type="default" r:id="rId9"/>
          <w:pgSz w:w="11910" w:h="16850"/>
          <w:pgMar w:header="152" w:footer="572" w:top="900" w:bottom="760" w:left="425" w:right="708"/>
          <w:pgNumType w:start="2"/>
        </w:sectPr>
      </w:pPr>
    </w:p>
    <w:p>
      <w:pPr>
        <w:pStyle w:val="Heading2"/>
        <w:spacing w:before="71"/>
        <w:ind w:left="427"/>
        <w:rPr>
          <w:b w:val="0"/>
        </w:rPr>
      </w:pPr>
      <w:r>
        <w:rPr>
          <w:b w:val="0"/>
          <w:color w:val="465EFF"/>
          <w:spacing w:val="17"/>
        </w:rPr>
        <w:t>Crédito</w:t>
      </w:r>
      <w:r>
        <w:rPr>
          <w:b w:val="0"/>
          <w:color w:val="465EFF"/>
          <w:spacing w:val="46"/>
        </w:rPr>
        <w:t> </w:t>
      </w:r>
      <w:r>
        <w:rPr>
          <w:b w:val="0"/>
          <w:color w:val="465EFF"/>
          <w:spacing w:val="11"/>
        </w:rPr>
        <w:t>do</w:t>
      </w:r>
      <w:r>
        <w:rPr>
          <w:b w:val="0"/>
          <w:color w:val="465EFF"/>
          <w:spacing w:val="49"/>
        </w:rPr>
        <w:t> </w:t>
      </w:r>
      <w:r>
        <w:rPr>
          <w:b w:val="0"/>
          <w:color w:val="465EFF"/>
          <w:spacing w:val="20"/>
        </w:rPr>
        <w:t>trabalhador</w:t>
      </w:r>
    </w:p>
    <w:p>
      <w:pPr>
        <w:pStyle w:val="BodyText"/>
        <w:spacing w:line="321" w:lineRule="auto" w:before="250"/>
        <w:ind w:left="426" w:right="38"/>
        <w:jc w:val="both"/>
      </w:pPr>
      <w:r>
        <w:rPr>
          <w:color w:val="1B1B22"/>
        </w:rPr>
        <w:t>Em</w:t>
      </w:r>
      <w:r>
        <w:rPr>
          <w:color w:val="1B1B22"/>
          <w:spacing w:val="-2"/>
        </w:rPr>
        <w:t> </w:t>
      </w:r>
      <w:r>
        <w:rPr>
          <w:color w:val="1B1B22"/>
        </w:rPr>
        <w:t>junho,</w:t>
      </w:r>
      <w:r>
        <w:rPr>
          <w:color w:val="1B1B22"/>
          <w:spacing w:val="-2"/>
        </w:rPr>
        <w:t> </w:t>
      </w:r>
      <w:r>
        <w:rPr>
          <w:color w:val="1B1B22"/>
        </w:rPr>
        <w:t>superamos</w:t>
      </w:r>
      <w:r>
        <w:rPr>
          <w:color w:val="1B1B22"/>
          <w:spacing w:val="-1"/>
        </w:rPr>
        <w:t> </w:t>
      </w:r>
      <w:r>
        <w:rPr>
          <w:color w:val="1B1B22"/>
        </w:rPr>
        <w:t>a</w:t>
      </w:r>
      <w:r>
        <w:rPr>
          <w:color w:val="1B1B22"/>
          <w:spacing w:val="-3"/>
        </w:rPr>
        <w:t> </w:t>
      </w:r>
      <w:r>
        <w:rPr>
          <w:color w:val="1B1B22"/>
        </w:rPr>
        <w:t>marca</w:t>
      </w:r>
      <w:r>
        <w:rPr>
          <w:color w:val="1B1B22"/>
          <w:spacing w:val="-3"/>
        </w:rPr>
        <w:t> </w:t>
      </w:r>
      <w:r>
        <w:rPr>
          <w:color w:val="1B1B22"/>
        </w:rPr>
        <w:t>de</w:t>
      </w:r>
      <w:r>
        <w:rPr>
          <w:color w:val="1B1B22"/>
          <w:spacing w:val="-2"/>
        </w:rPr>
        <w:t> </w:t>
      </w:r>
      <w:r>
        <w:rPr>
          <w:color w:val="1B1B22"/>
        </w:rPr>
        <w:t>R$</w:t>
      </w:r>
      <w:r>
        <w:rPr>
          <w:color w:val="1B1B22"/>
          <w:spacing w:val="-2"/>
        </w:rPr>
        <w:t> </w:t>
      </w:r>
      <w:r>
        <w:rPr>
          <w:color w:val="1B1B22"/>
        </w:rPr>
        <w:t>4,5</w:t>
      </w:r>
      <w:r>
        <w:rPr>
          <w:color w:val="1B1B22"/>
          <w:spacing w:val="-2"/>
        </w:rPr>
        <w:t> </w:t>
      </w:r>
      <w:r>
        <w:rPr>
          <w:color w:val="1B1B22"/>
        </w:rPr>
        <w:t>bilhões</w:t>
      </w:r>
      <w:r>
        <w:rPr>
          <w:color w:val="1B1B22"/>
          <w:spacing w:val="-1"/>
        </w:rPr>
        <w:t> </w:t>
      </w:r>
      <w:r>
        <w:rPr>
          <w:color w:val="1B1B22"/>
        </w:rPr>
        <w:t>de contratações</w:t>
      </w:r>
      <w:r>
        <w:rPr>
          <w:color w:val="1B1B22"/>
          <w:spacing w:val="-11"/>
        </w:rPr>
        <w:t> </w:t>
      </w:r>
      <w:r>
        <w:rPr>
          <w:color w:val="1B1B22"/>
        </w:rPr>
        <w:t>no</w:t>
      </w:r>
      <w:r>
        <w:rPr>
          <w:color w:val="1B1B22"/>
          <w:spacing w:val="-8"/>
        </w:rPr>
        <w:t> </w:t>
      </w:r>
      <w:r>
        <w:rPr>
          <w:color w:val="1B1B22"/>
        </w:rPr>
        <w:t>Crédito</w:t>
      </w:r>
      <w:r>
        <w:rPr>
          <w:color w:val="1B1B22"/>
          <w:spacing w:val="-8"/>
        </w:rPr>
        <w:t> </w:t>
      </w:r>
      <w:r>
        <w:rPr>
          <w:color w:val="1B1B22"/>
        </w:rPr>
        <w:t>do</w:t>
      </w:r>
      <w:r>
        <w:rPr>
          <w:color w:val="1B1B22"/>
          <w:spacing w:val="-13"/>
        </w:rPr>
        <w:t> </w:t>
      </w:r>
      <w:r>
        <w:rPr>
          <w:color w:val="1B1B22"/>
        </w:rPr>
        <w:t>Trabalhador,</w:t>
      </w:r>
      <w:r>
        <w:rPr>
          <w:color w:val="1B1B22"/>
          <w:spacing w:val="-7"/>
        </w:rPr>
        <w:t> </w:t>
      </w:r>
      <w:r>
        <w:rPr>
          <w:color w:val="1B1B22"/>
        </w:rPr>
        <w:t>com</w:t>
      </w:r>
      <w:r>
        <w:rPr>
          <w:color w:val="1B1B22"/>
          <w:spacing w:val="-8"/>
        </w:rPr>
        <w:t> </w:t>
      </w:r>
      <w:r>
        <w:rPr>
          <w:color w:val="1B1B22"/>
        </w:rPr>
        <w:t>mais de 433 mil operações em 5.094 municípios brasileiros desde seu lançamento em março deste ano.</w:t>
      </w:r>
      <w:r>
        <w:rPr>
          <w:color w:val="1B1B22"/>
          <w:spacing w:val="40"/>
        </w:rPr>
        <w:t> </w:t>
      </w:r>
      <w:r>
        <w:rPr>
          <w:color w:val="1B1B22"/>
        </w:rPr>
        <w:t>Com uma plataforma de análise que integra um amplo conjunto de dados e informações de relacionamento com empresas e trabalhadores, o BB oferece propostas personalizadas, seguras e eficientes, reforçando seu compromisso com uma atuação cada vez mais inclusiva e centrada no </w:t>
      </w:r>
      <w:r>
        <w:rPr>
          <w:color w:val="1B1B22"/>
          <w:spacing w:val="-2"/>
        </w:rPr>
        <w:t>cliente.</w:t>
      </w:r>
    </w:p>
    <w:p>
      <w:pPr>
        <w:pStyle w:val="Heading2"/>
        <w:spacing w:before="102"/>
        <w:ind w:left="427"/>
        <w:rPr>
          <w:b w:val="0"/>
        </w:rPr>
      </w:pPr>
      <w:r>
        <w:rPr>
          <w:b w:val="0"/>
          <w:color w:val="465EFF"/>
          <w:spacing w:val="18"/>
        </w:rPr>
        <w:t>Plano</w:t>
      </w:r>
      <w:r>
        <w:rPr>
          <w:b w:val="0"/>
          <w:color w:val="465EFF"/>
          <w:spacing w:val="46"/>
        </w:rPr>
        <w:t> </w:t>
      </w:r>
      <w:r>
        <w:rPr>
          <w:b w:val="0"/>
          <w:color w:val="465EFF"/>
          <w:spacing w:val="16"/>
        </w:rPr>
        <w:t>Safra</w:t>
      </w:r>
      <w:r>
        <w:rPr>
          <w:b w:val="0"/>
          <w:color w:val="465EFF"/>
          <w:spacing w:val="51"/>
        </w:rPr>
        <w:t> </w:t>
      </w:r>
      <w:r>
        <w:rPr>
          <w:b w:val="0"/>
          <w:color w:val="465EFF"/>
          <w:spacing w:val="16"/>
        </w:rPr>
        <w:t>2025/2026</w:t>
      </w:r>
    </w:p>
    <w:p>
      <w:pPr>
        <w:pStyle w:val="BodyText"/>
        <w:spacing w:line="321" w:lineRule="auto" w:before="250"/>
        <w:ind w:left="427" w:right="38"/>
        <w:jc w:val="both"/>
      </w:pPr>
      <w:r>
        <w:rPr>
          <w:color w:val="1B1B22"/>
        </w:rPr>
        <w:t>Anunciamos</w:t>
      </w:r>
      <w:r>
        <w:rPr>
          <w:color w:val="1B1B22"/>
          <w:spacing w:val="-1"/>
        </w:rPr>
        <w:t> </w:t>
      </w:r>
      <w:r>
        <w:rPr>
          <w:color w:val="1B1B22"/>
        </w:rPr>
        <w:t>a</w:t>
      </w:r>
      <w:r>
        <w:rPr>
          <w:color w:val="1B1B22"/>
          <w:spacing w:val="-4"/>
        </w:rPr>
        <w:t> </w:t>
      </w:r>
      <w:r>
        <w:rPr>
          <w:color w:val="1B1B22"/>
        </w:rPr>
        <w:t>destinação de</w:t>
      </w:r>
      <w:r>
        <w:rPr>
          <w:color w:val="1B1B22"/>
          <w:spacing w:val="-3"/>
        </w:rPr>
        <w:t> </w:t>
      </w:r>
      <w:r>
        <w:rPr>
          <w:color w:val="1B1B22"/>
        </w:rPr>
        <w:t>R$</w:t>
      </w:r>
      <w:r>
        <w:rPr>
          <w:color w:val="1B1B22"/>
          <w:spacing w:val="-3"/>
        </w:rPr>
        <w:t> </w:t>
      </w:r>
      <w:r>
        <w:rPr>
          <w:color w:val="1B1B22"/>
        </w:rPr>
        <w:t>230</w:t>
      </w:r>
      <w:r>
        <w:rPr>
          <w:color w:val="1B1B22"/>
          <w:spacing w:val="-2"/>
        </w:rPr>
        <w:t> </w:t>
      </w:r>
      <w:r>
        <w:rPr>
          <w:color w:val="1B1B22"/>
        </w:rPr>
        <w:t>bilhões</w:t>
      </w:r>
      <w:r>
        <w:rPr>
          <w:color w:val="1B1B22"/>
          <w:spacing w:val="-2"/>
        </w:rPr>
        <w:t> </w:t>
      </w:r>
      <w:r>
        <w:rPr>
          <w:color w:val="1B1B22"/>
        </w:rPr>
        <w:t>para</w:t>
      </w:r>
      <w:r>
        <w:rPr>
          <w:color w:val="1B1B22"/>
          <w:spacing w:val="-1"/>
        </w:rPr>
        <w:t> </w:t>
      </w:r>
      <w:r>
        <w:rPr>
          <w:color w:val="1B1B22"/>
        </w:rPr>
        <w:t>o segmento. Desse total, R$ 54 bilhões serão voltados a pequenos e médios produtores, enquanto R$ 106 bilhões atenderão a agricultura empresarial, incluindo grandes produtores, cooperativas</w:t>
      </w:r>
      <w:r>
        <w:rPr>
          <w:color w:val="1B1B22"/>
          <w:spacing w:val="-13"/>
        </w:rPr>
        <w:t> </w:t>
      </w:r>
      <w:r>
        <w:rPr>
          <w:color w:val="1B1B22"/>
        </w:rPr>
        <w:t>e</w:t>
      </w:r>
      <w:r>
        <w:rPr>
          <w:color w:val="1B1B22"/>
          <w:spacing w:val="-12"/>
        </w:rPr>
        <w:t> </w:t>
      </w:r>
      <w:r>
        <w:rPr>
          <w:color w:val="1B1B22"/>
        </w:rPr>
        <w:t>agroindústrias.</w:t>
      </w:r>
      <w:r>
        <w:rPr>
          <w:color w:val="1B1B22"/>
          <w:spacing w:val="-13"/>
        </w:rPr>
        <w:t> </w:t>
      </w:r>
      <w:r>
        <w:rPr>
          <w:color w:val="1B1B22"/>
        </w:rPr>
        <w:t>As</w:t>
      </w:r>
      <w:r>
        <w:rPr>
          <w:color w:val="1B1B22"/>
          <w:spacing w:val="-12"/>
        </w:rPr>
        <w:t> </w:t>
      </w:r>
      <w:r>
        <w:rPr>
          <w:color w:val="1B1B22"/>
        </w:rPr>
        <w:t>premissas</w:t>
      </w:r>
      <w:r>
        <w:rPr>
          <w:color w:val="1B1B22"/>
          <w:spacing w:val="-12"/>
        </w:rPr>
        <w:t> </w:t>
      </w:r>
      <w:r>
        <w:rPr>
          <w:color w:val="1B1B22"/>
        </w:rPr>
        <w:t>para</w:t>
      </w:r>
      <w:r>
        <w:rPr>
          <w:color w:val="1B1B22"/>
          <w:spacing w:val="-13"/>
        </w:rPr>
        <w:t> </w:t>
      </w:r>
      <w:r>
        <w:rPr>
          <w:color w:val="1B1B22"/>
        </w:rPr>
        <w:t>os desembolsos do novo Plano Safra foram alicerçadas observando-se os cenários externos, como clima, produtividade, endividamento e margens dos produtores, e internos, como exigibilidades, análise de risco de crédito e exigências de garantias com maiores efetividades no retorno dos financiamentos.</w:t>
      </w:r>
    </w:p>
    <w:p>
      <w:pPr>
        <w:pStyle w:val="Heading2"/>
        <w:spacing w:line="321" w:lineRule="auto" w:before="102"/>
        <w:ind w:right="59"/>
        <w:rPr>
          <w:b w:val="0"/>
        </w:rPr>
      </w:pPr>
      <w:r>
        <w:rPr>
          <w:b w:val="0"/>
          <w:color w:val="465EFF"/>
          <w:spacing w:val="20"/>
        </w:rPr>
        <w:t>Desembolsos</w:t>
      </w:r>
      <w:r>
        <w:rPr>
          <w:b w:val="0"/>
          <w:color w:val="465EFF"/>
          <w:spacing w:val="20"/>
        </w:rPr>
        <w:t> </w:t>
      </w:r>
      <w:r>
        <w:rPr>
          <w:b w:val="0"/>
          <w:color w:val="465EFF"/>
          <w:spacing w:val="13"/>
        </w:rPr>
        <w:t>com</w:t>
      </w:r>
      <w:r>
        <w:rPr>
          <w:b w:val="0"/>
          <w:color w:val="465EFF"/>
          <w:spacing w:val="13"/>
        </w:rPr>
        <w:t> PEAC</w:t>
      </w:r>
      <w:r>
        <w:rPr>
          <w:b w:val="0"/>
          <w:color w:val="465EFF"/>
          <w:spacing w:val="13"/>
        </w:rPr>
        <w:t> </w:t>
      </w:r>
      <w:r>
        <w:rPr>
          <w:b w:val="0"/>
          <w:color w:val="465EFF"/>
          <w:spacing w:val="14"/>
        </w:rPr>
        <w:t>FGI</w:t>
      </w:r>
      <w:r>
        <w:rPr>
          <w:b w:val="0"/>
          <w:color w:val="465EFF"/>
          <w:spacing w:val="14"/>
        </w:rPr>
        <w:t> </w:t>
      </w:r>
      <w:r>
        <w:rPr>
          <w:b w:val="0"/>
          <w:color w:val="465EFF"/>
        </w:rPr>
        <w:t>e </w:t>
      </w:r>
      <w:r>
        <w:rPr>
          <w:b w:val="0"/>
          <w:color w:val="465EFF"/>
          <w:spacing w:val="19"/>
        </w:rPr>
        <w:t>Pronampe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8"/>
        </w:rPr>
        <w:t>superam</w:t>
      </w:r>
      <w:r>
        <w:rPr>
          <w:b w:val="0"/>
          <w:color w:val="465EFF"/>
          <w:spacing w:val="18"/>
        </w:rPr>
        <w:t> </w:t>
      </w:r>
      <w:r>
        <w:rPr>
          <w:b w:val="0"/>
          <w:color w:val="465EFF"/>
        </w:rPr>
        <w:t>R$ 30 </w:t>
      </w:r>
      <w:r>
        <w:rPr>
          <w:b w:val="0"/>
          <w:color w:val="465EFF"/>
          <w:spacing w:val="17"/>
        </w:rPr>
        <w:t>bilhões</w:t>
      </w:r>
    </w:p>
    <w:p>
      <w:pPr>
        <w:pStyle w:val="BodyText"/>
        <w:spacing w:line="321" w:lineRule="auto" w:before="126"/>
        <w:ind w:left="426" w:right="38"/>
        <w:jc w:val="both"/>
      </w:pPr>
      <w:r>
        <w:rPr>
          <w:color w:val="1B1B22"/>
        </w:rPr>
        <w:t>Considerando</w:t>
      </w:r>
      <w:r>
        <w:rPr>
          <w:color w:val="1B1B22"/>
          <w:spacing w:val="-5"/>
        </w:rPr>
        <w:t> </w:t>
      </w:r>
      <w:r>
        <w:rPr>
          <w:color w:val="1B1B22"/>
        </w:rPr>
        <w:t>a</w:t>
      </w:r>
      <w:r>
        <w:rPr>
          <w:color w:val="1B1B22"/>
          <w:spacing w:val="-5"/>
        </w:rPr>
        <w:t> </w:t>
      </w:r>
      <w:r>
        <w:rPr>
          <w:color w:val="1B1B22"/>
        </w:rPr>
        <w:t>melhor</w:t>
      </w:r>
      <w:r>
        <w:rPr>
          <w:color w:val="1B1B22"/>
          <w:spacing w:val="-5"/>
        </w:rPr>
        <w:t> </w:t>
      </w:r>
      <w:r>
        <w:rPr>
          <w:color w:val="1B1B22"/>
        </w:rPr>
        <w:t>condição</w:t>
      </w:r>
      <w:r>
        <w:rPr>
          <w:color w:val="1B1B22"/>
          <w:spacing w:val="-5"/>
        </w:rPr>
        <w:t> </w:t>
      </w:r>
      <w:r>
        <w:rPr>
          <w:color w:val="1B1B22"/>
        </w:rPr>
        <w:t>de</w:t>
      </w:r>
      <w:r>
        <w:rPr>
          <w:color w:val="1B1B22"/>
          <w:spacing w:val="-5"/>
        </w:rPr>
        <w:t> </w:t>
      </w:r>
      <w:r>
        <w:rPr>
          <w:color w:val="1B1B22"/>
        </w:rPr>
        <w:t>risco-retorno, os</w:t>
      </w:r>
      <w:r>
        <w:rPr>
          <w:color w:val="1B1B22"/>
          <w:spacing w:val="-13"/>
        </w:rPr>
        <w:t> </w:t>
      </w:r>
      <w:r>
        <w:rPr>
          <w:color w:val="1B1B22"/>
        </w:rPr>
        <w:t>desembolsos</w:t>
      </w:r>
      <w:r>
        <w:rPr>
          <w:color w:val="1B1B22"/>
          <w:spacing w:val="-12"/>
        </w:rPr>
        <w:t> </w:t>
      </w:r>
      <w:r>
        <w:rPr>
          <w:color w:val="1B1B22"/>
        </w:rPr>
        <w:t>de</w:t>
      </w:r>
      <w:r>
        <w:rPr>
          <w:color w:val="1B1B22"/>
          <w:spacing w:val="-13"/>
        </w:rPr>
        <w:t> </w:t>
      </w:r>
      <w:r>
        <w:rPr>
          <w:color w:val="1B1B22"/>
        </w:rPr>
        <w:t>crédito</w:t>
      </w:r>
      <w:r>
        <w:rPr>
          <w:color w:val="1B1B22"/>
          <w:spacing w:val="-12"/>
        </w:rPr>
        <w:t> </w:t>
      </w:r>
      <w:r>
        <w:rPr>
          <w:color w:val="1B1B22"/>
        </w:rPr>
        <w:t>para</w:t>
      </w:r>
      <w:r>
        <w:rPr>
          <w:color w:val="1B1B22"/>
          <w:spacing w:val="-12"/>
        </w:rPr>
        <w:t> </w:t>
      </w:r>
      <w:r>
        <w:rPr>
          <w:color w:val="1B1B22"/>
        </w:rPr>
        <w:t>as</w:t>
      </w:r>
      <w:r>
        <w:rPr>
          <w:color w:val="1B1B22"/>
          <w:spacing w:val="-13"/>
        </w:rPr>
        <w:t> </w:t>
      </w:r>
      <w:r>
        <w:rPr>
          <w:color w:val="1B1B22"/>
        </w:rPr>
        <w:t>micro,</w:t>
      </w:r>
      <w:r>
        <w:rPr>
          <w:color w:val="1B1B22"/>
          <w:spacing w:val="-12"/>
        </w:rPr>
        <w:t> </w:t>
      </w:r>
      <w:r>
        <w:rPr>
          <w:color w:val="1B1B22"/>
        </w:rPr>
        <w:t>pequenas e médias empresas com a utilização de fundos garantidores (PEAC FGI e Pronampe)</w:t>
      </w:r>
      <w:r>
        <w:rPr>
          <w:color w:val="1B1B22"/>
          <w:spacing w:val="40"/>
        </w:rPr>
        <w:t> </w:t>
      </w:r>
      <w:r>
        <w:rPr>
          <w:color w:val="1B1B22"/>
        </w:rPr>
        <w:t>alcançaram mais</w:t>
      </w:r>
      <w:r>
        <w:rPr>
          <w:color w:val="1B1B22"/>
          <w:spacing w:val="32"/>
        </w:rPr>
        <w:t> </w:t>
      </w:r>
      <w:r>
        <w:rPr>
          <w:color w:val="1B1B22"/>
        </w:rPr>
        <w:t>de</w:t>
      </w:r>
      <w:r>
        <w:rPr>
          <w:color w:val="1B1B22"/>
          <w:spacing w:val="32"/>
        </w:rPr>
        <w:t> </w:t>
      </w:r>
      <w:r>
        <w:rPr>
          <w:color w:val="1B1B22"/>
        </w:rPr>
        <w:t>R$</w:t>
      </w:r>
      <w:r>
        <w:rPr>
          <w:color w:val="1B1B22"/>
          <w:spacing w:val="32"/>
        </w:rPr>
        <w:t> </w:t>
      </w:r>
      <w:r>
        <w:rPr>
          <w:color w:val="1B1B22"/>
        </w:rPr>
        <w:t>30</w:t>
      </w:r>
      <w:r>
        <w:rPr>
          <w:color w:val="1B1B22"/>
          <w:spacing w:val="32"/>
        </w:rPr>
        <w:t> </w:t>
      </w:r>
      <w:r>
        <w:rPr>
          <w:color w:val="1B1B22"/>
        </w:rPr>
        <w:t>bilhões</w:t>
      </w:r>
      <w:r>
        <w:rPr>
          <w:color w:val="1B1B22"/>
          <w:spacing w:val="33"/>
        </w:rPr>
        <w:t> </w:t>
      </w:r>
      <w:r>
        <w:rPr>
          <w:color w:val="1B1B22"/>
        </w:rPr>
        <w:t>em</w:t>
      </w:r>
      <w:r>
        <w:rPr>
          <w:color w:val="1B1B22"/>
          <w:spacing w:val="32"/>
        </w:rPr>
        <w:t> </w:t>
      </w:r>
      <w:r>
        <w:rPr>
          <w:color w:val="1B1B22"/>
        </w:rPr>
        <w:t>junho/25.</w:t>
      </w:r>
      <w:r>
        <w:rPr>
          <w:color w:val="1B1B22"/>
          <w:spacing w:val="27"/>
        </w:rPr>
        <w:t> </w:t>
      </w:r>
      <w:r>
        <w:rPr>
          <w:color w:val="1B1B22"/>
        </w:rPr>
        <w:t>Além</w:t>
      </w:r>
      <w:r>
        <w:rPr>
          <w:color w:val="1B1B22"/>
          <w:spacing w:val="31"/>
        </w:rPr>
        <w:t> </w:t>
      </w:r>
      <w:r>
        <w:rPr>
          <w:color w:val="1B1B22"/>
          <w:spacing w:val="-2"/>
        </w:rPr>
        <w:t>disso,</w:t>
      </w:r>
    </w:p>
    <w:p>
      <w:pPr>
        <w:pStyle w:val="BodyText"/>
        <w:spacing w:before="80"/>
        <w:ind w:left="426"/>
        <w:jc w:val="both"/>
      </w:pPr>
      <w:r>
        <w:rPr/>
        <w:br w:type="column"/>
      </w:r>
      <w:r>
        <w:rPr>
          <w:color w:val="1B1B22"/>
        </w:rPr>
        <w:t>temos</w:t>
      </w:r>
      <w:r>
        <w:rPr>
          <w:color w:val="1B1B22"/>
          <w:spacing w:val="2"/>
        </w:rPr>
        <w:t> </w:t>
      </w:r>
      <w:r>
        <w:rPr>
          <w:color w:val="1B1B22"/>
        </w:rPr>
        <w:t>atuado</w:t>
      </w:r>
      <w:r>
        <w:rPr>
          <w:color w:val="1B1B22"/>
          <w:spacing w:val="1"/>
        </w:rPr>
        <w:t> </w:t>
      </w:r>
      <w:r>
        <w:rPr>
          <w:color w:val="1B1B22"/>
        </w:rPr>
        <w:t>no</w:t>
      </w:r>
      <w:r>
        <w:rPr>
          <w:color w:val="1B1B22"/>
          <w:spacing w:val="1"/>
        </w:rPr>
        <w:t> </w:t>
      </w:r>
      <w:r>
        <w:rPr>
          <w:color w:val="1B1B22"/>
        </w:rPr>
        <w:t>contexto da matriz</w:t>
      </w:r>
      <w:r>
        <w:rPr>
          <w:color w:val="1B1B22"/>
          <w:spacing w:val="1"/>
        </w:rPr>
        <w:t> </w:t>
      </w:r>
      <w:r>
        <w:rPr>
          <w:color w:val="1B1B22"/>
        </w:rPr>
        <w:t>de</w:t>
      </w:r>
      <w:r>
        <w:rPr>
          <w:color w:val="1B1B22"/>
          <w:spacing w:val="1"/>
        </w:rPr>
        <w:t> </w:t>
      </w:r>
      <w:r>
        <w:rPr>
          <w:color w:val="1B1B22"/>
          <w:spacing w:val="-2"/>
        </w:rPr>
        <w:t>resiliência</w:t>
      </w:r>
    </w:p>
    <w:p>
      <w:pPr>
        <w:pStyle w:val="BodyText"/>
        <w:spacing w:before="86"/>
        <w:ind w:left="426"/>
        <w:jc w:val="both"/>
      </w:pPr>
      <w:r>
        <w:rPr>
          <w:color w:val="1B1B22"/>
          <w:spacing w:val="-4"/>
        </w:rPr>
        <w:t>e</w:t>
      </w:r>
      <w:r>
        <w:rPr>
          <w:color w:val="1B1B22"/>
          <w:spacing w:val="-7"/>
        </w:rPr>
        <w:t> </w:t>
      </w:r>
      <w:r>
        <w:rPr>
          <w:color w:val="1B1B22"/>
          <w:spacing w:val="-4"/>
        </w:rPr>
        <w:t>ampliado</w:t>
      </w:r>
      <w:r>
        <w:rPr>
          <w:color w:val="1B1B22"/>
        </w:rPr>
        <w:t> </w:t>
      </w:r>
      <w:r>
        <w:rPr>
          <w:color w:val="1B1B22"/>
          <w:spacing w:val="-4"/>
        </w:rPr>
        <w:t>as</w:t>
      </w:r>
      <w:r>
        <w:rPr>
          <w:color w:val="1B1B22"/>
          <w:spacing w:val="-2"/>
        </w:rPr>
        <w:t> </w:t>
      </w:r>
      <w:r>
        <w:rPr>
          <w:color w:val="1B1B22"/>
          <w:spacing w:val="-4"/>
        </w:rPr>
        <w:t>operações</w:t>
      </w:r>
      <w:r>
        <w:rPr>
          <w:color w:val="1B1B22"/>
          <w:spacing w:val="-2"/>
        </w:rPr>
        <w:t> </w:t>
      </w:r>
      <w:r>
        <w:rPr>
          <w:color w:val="1B1B22"/>
          <w:spacing w:val="-4"/>
        </w:rPr>
        <w:t>com recebíveis</w:t>
      </w:r>
      <w:r>
        <w:rPr>
          <w:color w:val="1B1B22"/>
          <w:spacing w:val="-2"/>
        </w:rPr>
        <w:t> </w:t>
      </w:r>
      <w:r>
        <w:rPr>
          <w:color w:val="1B1B22"/>
          <w:spacing w:val="-4"/>
        </w:rPr>
        <w:t>e garantias.</w:t>
      </w:r>
    </w:p>
    <w:p>
      <w:pPr>
        <w:pStyle w:val="Heading2"/>
        <w:spacing w:line="321" w:lineRule="auto" w:before="198"/>
        <w:ind w:right="164"/>
        <w:rPr>
          <w:b w:val="0"/>
        </w:rPr>
      </w:pPr>
      <w:r>
        <w:rPr>
          <w:b w:val="0"/>
          <w:color w:val="465EFF"/>
          <w:spacing w:val="16"/>
        </w:rPr>
        <w:t>Alterações</w:t>
      </w:r>
      <w:r>
        <w:rPr>
          <w:b w:val="0"/>
          <w:color w:val="465EFF"/>
          <w:spacing w:val="16"/>
        </w:rPr>
        <w:t> </w:t>
      </w:r>
      <w:r>
        <w:rPr>
          <w:b w:val="0"/>
          <w:color w:val="465EFF"/>
          <w:spacing w:val="15"/>
        </w:rPr>
        <w:t>nas</w:t>
      </w:r>
      <w:r>
        <w:rPr>
          <w:b w:val="0"/>
          <w:color w:val="465EFF"/>
          <w:spacing w:val="15"/>
        </w:rPr>
        <w:t> </w:t>
      </w:r>
      <w:r>
        <w:rPr>
          <w:b w:val="0"/>
          <w:color w:val="465EFF"/>
          <w:spacing w:val="19"/>
        </w:rPr>
        <w:t>estruturas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</w:rPr>
        <w:t>e </w:t>
      </w:r>
      <w:r>
        <w:rPr>
          <w:b w:val="0"/>
          <w:color w:val="465EFF"/>
          <w:spacing w:val="19"/>
        </w:rPr>
        <w:t>práticas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1"/>
        </w:rPr>
        <w:t>de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9"/>
        </w:rPr>
        <w:t>cobrança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</w:rPr>
        <w:t>e </w:t>
      </w:r>
      <w:r>
        <w:rPr>
          <w:b w:val="0"/>
          <w:color w:val="465EFF"/>
          <w:spacing w:val="17"/>
        </w:rPr>
        <w:t>recuperação </w:t>
      </w:r>
    </w:p>
    <w:p>
      <w:pPr>
        <w:pStyle w:val="BodyText"/>
        <w:spacing w:line="321" w:lineRule="auto" w:before="126"/>
        <w:ind w:left="426" w:right="141"/>
        <w:jc w:val="both"/>
      </w:pPr>
      <w:r>
        <w:rPr>
          <w:color w:val="1B1B22"/>
        </w:rPr>
        <w:t>Buscando capturar melhores resultados nos processos de cobrança e recuperação de créditos, especialmente nas operações rurais e com empresas, realizamos melhorias em nossas estruturas e procedimentos, visando um atendimento mais próximo, tempestivo e resolutivo,</w:t>
      </w:r>
      <w:r>
        <w:rPr>
          <w:color w:val="1B1B22"/>
          <w:spacing w:val="-8"/>
        </w:rPr>
        <w:t> </w:t>
      </w:r>
      <w:r>
        <w:rPr>
          <w:color w:val="1B1B22"/>
        </w:rPr>
        <w:t>seja</w:t>
      </w:r>
      <w:r>
        <w:rPr>
          <w:color w:val="1B1B22"/>
          <w:spacing w:val="-9"/>
        </w:rPr>
        <w:t> </w:t>
      </w:r>
      <w:r>
        <w:rPr>
          <w:color w:val="1B1B22"/>
        </w:rPr>
        <w:t>para</w:t>
      </w:r>
      <w:r>
        <w:rPr>
          <w:color w:val="1B1B22"/>
          <w:spacing w:val="-9"/>
        </w:rPr>
        <w:t> </w:t>
      </w:r>
      <w:r>
        <w:rPr>
          <w:color w:val="1B1B22"/>
        </w:rPr>
        <w:t>a</w:t>
      </w:r>
      <w:r>
        <w:rPr>
          <w:color w:val="1B1B22"/>
          <w:spacing w:val="-9"/>
        </w:rPr>
        <w:t> </w:t>
      </w:r>
      <w:r>
        <w:rPr>
          <w:color w:val="1B1B22"/>
        </w:rPr>
        <w:t>solução</w:t>
      </w:r>
      <w:r>
        <w:rPr>
          <w:color w:val="1B1B22"/>
          <w:spacing w:val="-8"/>
        </w:rPr>
        <w:t> </w:t>
      </w:r>
      <w:r>
        <w:rPr>
          <w:color w:val="1B1B22"/>
        </w:rPr>
        <w:t>das</w:t>
      </w:r>
      <w:r>
        <w:rPr>
          <w:color w:val="1B1B22"/>
          <w:spacing w:val="-8"/>
        </w:rPr>
        <w:t> </w:t>
      </w:r>
      <w:r>
        <w:rPr>
          <w:color w:val="1B1B22"/>
        </w:rPr>
        <w:t>dívidas</w:t>
      </w:r>
      <w:r>
        <w:rPr>
          <w:color w:val="1B1B22"/>
          <w:spacing w:val="-8"/>
        </w:rPr>
        <w:t> </w:t>
      </w:r>
      <w:r>
        <w:rPr>
          <w:color w:val="1B1B22"/>
        </w:rPr>
        <w:t>por</w:t>
      </w:r>
      <w:r>
        <w:rPr>
          <w:color w:val="1B1B22"/>
          <w:spacing w:val="-8"/>
        </w:rPr>
        <w:t> </w:t>
      </w:r>
      <w:r>
        <w:rPr>
          <w:color w:val="1B1B22"/>
        </w:rPr>
        <w:t>meio de renegociações, ou para execução das garantias </w:t>
      </w:r>
      <w:r>
        <w:rPr>
          <w:color w:val="1B1B22"/>
          <w:spacing w:val="-2"/>
        </w:rPr>
        <w:t>contratuais.</w:t>
      </w:r>
    </w:p>
    <w:p>
      <w:pPr>
        <w:pStyle w:val="Heading2"/>
        <w:spacing w:line="319" w:lineRule="auto" w:before="105"/>
        <w:ind w:right="162"/>
        <w:rPr>
          <w:b w:val="0"/>
        </w:rPr>
      </w:pPr>
      <w:r>
        <w:rPr>
          <w:b w:val="0"/>
          <w:color w:val="465EFF"/>
          <w:spacing w:val="11"/>
        </w:rPr>
        <w:t>BB</w:t>
      </w:r>
      <w:r>
        <w:rPr>
          <w:b w:val="0"/>
          <w:color w:val="465EFF"/>
          <w:spacing w:val="11"/>
        </w:rPr>
        <w:t> no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9"/>
        </w:rPr>
        <w:t>Ranking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8"/>
        </w:rPr>
        <w:t>Bacen</w:t>
      </w:r>
      <w:r>
        <w:rPr>
          <w:b w:val="0"/>
          <w:color w:val="465EFF"/>
          <w:spacing w:val="18"/>
        </w:rPr>
        <w:t> </w:t>
      </w:r>
      <w:r>
        <w:rPr>
          <w:b w:val="0"/>
          <w:color w:val="465EFF"/>
          <w:spacing w:val="11"/>
        </w:rPr>
        <w:t>de </w:t>
      </w:r>
      <w:r>
        <w:rPr>
          <w:b w:val="0"/>
          <w:color w:val="465EFF"/>
          <w:spacing w:val="20"/>
        </w:rPr>
        <w:t>Reclamações</w:t>
      </w:r>
    </w:p>
    <w:p>
      <w:pPr>
        <w:pStyle w:val="BodyText"/>
        <w:spacing w:line="321" w:lineRule="auto" w:before="134"/>
        <w:ind w:left="426" w:right="140"/>
        <w:jc w:val="both"/>
      </w:pPr>
      <w:r>
        <w:rPr>
          <w:color w:val="1B1B22"/>
        </w:rPr>
        <w:t>Completamos 12 trimestres consecutivos na </w:t>
      </w:r>
      <w:r>
        <w:rPr>
          <w:color w:val="1B1B22"/>
          <w:spacing w:val="-2"/>
        </w:rPr>
        <w:t>melhor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posição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entre</w:t>
      </w:r>
      <w:r>
        <w:rPr>
          <w:color w:val="1B1B22"/>
          <w:spacing w:val="-4"/>
        </w:rPr>
        <w:t> </w:t>
      </w:r>
      <w:r>
        <w:rPr>
          <w:color w:val="1B1B22"/>
          <w:spacing w:val="-2"/>
        </w:rPr>
        <w:t>os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cinco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principais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bancos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dos </w:t>
      </w:r>
      <w:r>
        <w:rPr>
          <w:color w:val="1B1B22"/>
        </w:rPr>
        <w:t>conglomerados financeiros, reforçando o compromisso</w:t>
      </w:r>
      <w:r>
        <w:rPr>
          <w:color w:val="1B1B22"/>
          <w:spacing w:val="-1"/>
        </w:rPr>
        <w:t> </w:t>
      </w:r>
      <w:r>
        <w:rPr>
          <w:color w:val="1B1B22"/>
        </w:rPr>
        <w:t>com</w:t>
      </w:r>
      <w:r>
        <w:rPr>
          <w:color w:val="1B1B22"/>
          <w:spacing w:val="-1"/>
        </w:rPr>
        <w:t> </w:t>
      </w:r>
      <w:r>
        <w:rPr>
          <w:color w:val="1B1B22"/>
        </w:rPr>
        <w:t>a</w:t>
      </w:r>
      <w:r>
        <w:rPr>
          <w:color w:val="1B1B22"/>
          <w:spacing w:val="-1"/>
        </w:rPr>
        <w:t> </w:t>
      </w:r>
      <w:r>
        <w:rPr>
          <w:color w:val="1B1B22"/>
        </w:rPr>
        <w:t>excelência</w:t>
      </w:r>
      <w:r>
        <w:rPr>
          <w:color w:val="1B1B22"/>
          <w:spacing w:val="-1"/>
        </w:rPr>
        <w:t> </w:t>
      </w:r>
      <w:r>
        <w:rPr>
          <w:color w:val="1B1B22"/>
        </w:rPr>
        <w:t>no relacionamento com os clientes.</w:t>
      </w:r>
    </w:p>
    <w:p>
      <w:pPr>
        <w:pStyle w:val="Heading2"/>
        <w:spacing w:line="321" w:lineRule="auto"/>
        <w:ind w:right="162"/>
        <w:rPr>
          <w:b w:val="0"/>
        </w:rPr>
      </w:pPr>
      <w:r>
        <w:rPr>
          <w:b w:val="0"/>
          <w:color w:val="465EFF"/>
        </w:rPr>
        <w:t>O </w:t>
      </w:r>
      <w:r>
        <w:rPr>
          <w:b w:val="0"/>
          <w:color w:val="465EFF"/>
          <w:spacing w:val="17"/>
        </w:rPr>
        <w:t>banco</w:t>
      </w:r>
      <w:r>
        <w:rPr>
          <w:b w:val="0"/>
          <w:color w:val="465EFF"/>
          <w:spacing w:val="17"/>
        </w:rPr>
        <w:t> mais</w:t>
      </w:r>
      <w:r>
        <w:rPr>
          <w:b w:val="0"/>
          <w:color w:val="465EFF"/>
          <w:spacing w:val="17"/>
        </w:rPr>
        <w:t> sustentável</w:t>
      </w:r>
      <w:r>
        <w:rPr>
          <w:b w:val="0"/>
          <w:color w:val="465EFF"/>
          <w:spacing w:val="17"/>
        </w:rPr>
        <w:t> </w:t>
      </w:r>
      <w:r>
        <w:rPr>
          <w:b w:val="0"/>
          <w:color w:val="465EFF"/>
          <w:spacing w:val="11"/>
        </w:rPr>
        <w:t>do </w:t>
      </w:r>
      <w:r>
        <w:rPr>
          <w:b w:val="0"/>
          <w:color w:val="465EFF"/>
          <w:spacing w:val="19"/>
        </w:rPr>
        <w:t>planeta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7"/>
        </w:rPr>
        <w:t>pela</w:t>
      </w:r>
      <w:r>
        <w:rPr>
          <w:b w:val="0"/>
          <w:color w:val="465EFF"/>
          <w:spacing w:val="17"/>
        </w:rPr>
        <w:t> </w:t>
      </w:r>
      <w:r>
        <w:rPr>
          <w:b w:val="0"/>
          <w:color w:val="465EFF"/>
          <w:spacing w:val="11"/>
        </w:rPr>
        <w:t>6ª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2"/>
        </w:rPr>
        <w:t>vez</w:t>
      </w:r>
    </w:p>
    <w:p>
      <w:pPr>
        <w:pStyle w:val="BodyText"/>
        <w:spacing w:line="321" w:lineRule="auto" w:before="126"/>
        <w:ind w:left="426" w:right="140" w:hanging="1"/>
        <w:jc w:val="both"/>
      </w:pPr>
      <w:r>
        <w:rPr>
          <w:color w:val="1B1B22"/>
        </w:rPr>
        <w:t>Novamente fomos reconhecidos como o Banco mais sustentável do planeta no ranking das 100 Corporações Mais Sustentáveis do Mundo 2025 – Global</w:t>
      </w:r>
      <w:r>
        <w:rPr>
          <w:color w:val="1B1B22"/>
          <w:spacing w:val="-1"/>
        </w:rPr>
        <w:t> </w:t>
      </w:r>
      <w:r>
        <w:rPr>
          <w:color w:val="1B1B22"/>
        </w:rPr>
        <w:t>100, da</w:t>
      </w:r>
      <w:r>
        <w:rPr>
          <w:color w:val="1B1B22"/>
          <w:spacing w:val="-1"/>
        </w:rPr>
        <w:t> </w:t>
      </w:r>
      <w:r>
        <w:rPr>
          <w:color w:val="1B1B22"/>
        </w:rPr>
        <w:t>Corporate Knights. Fatores como o resultado financeiro, o volume da carteira de </w:t>
      </w:r>
      <w:r>
        <w:rPr>
          <w:color w:val="1B1B22"/>
          <w:spacing w:val="-2"/>
        </w:rPr>
        <w:t>crédito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sustentável, a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compensação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emissões</w:t>
      </w:r>
      <w:r>
        <w:rPr>
          <w:color w:val="1B1B22"/>
          <w:spacing w:val="-4"/>
        </w:rPr>
        <w:t> </w:t>
      </w:r>
      <w:r>
        <w:rPr>
          <w:color w:val="1B1B22"/>
          <w:spacing w:val="-2"/>
        </w:rPr>
        <w:t>de </w:t>
      </w:r>
      <w:r>
        <w:rPr>
          <w:color w:val="1B1B22"/>
        </w:rPr>
        <w:t>carbono, o uso de energia limpa, as práticas de governança e a diversidade do corpo funcional contribuíram para alcançarmos a posição 17 no ranking</w:t>
      </w:r>
      <w:r>
        <w:rPr>
          <w:color w:val="1B1B22"/>
          <w:spacing w:val="-11"/>
        </w:rPr>
        <w:t> </w:t>
      </w:r>
      <w:r>
        <w:rPr>
          <w:color w:val="1B1B22"/>
        </w:rPr>
        <w:t>geral</w:t>
      </w:r>
      <w:r>
        <w:rPr>
          <w:color w:val="1B1B22"/>
          <w:spacing w:val="-11"/>
        </w:rPr>
        <w:t> </w:t>
      </w:r>
      <w:r>
        <w:rPr>
          <w:color w:val="1B1B22"/>
        </w:rPr>
        <w:t>e</w:t>
      </w:r>
      <w:r>
        <w:rPr>
          <w:color w:val="1B1B22"/>
          <w:spacing w:val="-11"/>
        </w:rPr>
        <w:t> </w:t>
      </w:r>
      <w:r>
        <w:rPr>
          <w:color w:val="1B1B22"/>
        </w:rPr>
        <w:t>nos</w:t>
      </w:r>
      <w:r>
        <w:rPr>
          <w:color w:val="1B1B22"/>
          <w:spacing w:val="-11"/>
        </w:rPr>
        <w:t> </w:t>
      </w:r>
      <w:r>
        <w:rPr>
          <w:color w:val="1B1B22"/>
        </w:rPr>
        <w:t>mantermos</w:t>
      </w:r>
      <w:r>
        <w:rPr>
          <w:color w:val="1B1B22"/>
          <w:spacing w:val="-11"/>
        </w:rPr>
        <w:t> </w:t>
      </w:r>
      <w:r>
        <w:rPr>
          <w:color w:val="1B1B22"/>
        </w:rPr>
        <w:t>como</w:t>
      </w:r>
      <w:r>
        <w:rPr>
          <w:color w:val="1B1B22"/>
          <w:spacing w:val="-11"/>
        </w:rPr>
        <w:t> </w:t>
      </w:r>
      <w:r>
        <w:rPr>
          <w:color w:val="1B1B22"/>
        </w:rPr>
        <w:t>líder</w:t>
      </w:r>
      <w:r>
        <w:rPr>
          <w:color w:val="1B1B22"/>
          <w:spacing w:val="-11"/>
        </w:rPr>
        <w:t> </w:t>
      </w:r>
      <w:r>
        <w:rPr>
          <w:color w:val="1B1B22"/>
        </w:rPr>
        <w:t>entre</w:t>
      </w:r>
      <w:r>
        <w:rPr>
          <w:color w:val="1B1B22"/>
          <w:spacing w:val="-12"/>
        </w:rPr>
        <w:t> </w:t>
      </w:r>
      <w:r>
        <w:rPr>
          <w:color w:val="1B1B22"/>
        </w:rPr>
        <w:t>os bancos por seis vezes na última década.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5" w:space="240"/>
            <w:col w:w="532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0"/>
        <w:sectPr>
          <w:pgSz w:w="11910" w:h="16850"/>
          <w:pgMar w:header="152" w:footer="572" w:top="900" w:bottom="760" w:left="425" w:right="708"/>
        </w:sectPr>
      </w:pPr>
    </w:p>
    <w:p>
      <w:pPr>
        <w:pStyle w:val="Heading2"/>
        <w:spacing w:line="321" w:lineRule="auto" w:before="71"/>
        <w:ind w:left="427" w:right="38"/>
        <w:rPr>
          <w:b w:val="0"/>
        </w:rPr>
      </w:pPr>
      <w:r>
        <w:rPr>
          <w:b w:val="0"/>
          <w:color w:val="465EFF"/>
          <w:spacing w:val="18"/>
        </w:rPr>
        <w:t>Solução</w:t>
      </w:r>
      <w:r>
        <w:rPr>
          <w:b w:val="0"/>
          <w:color w:val="465EFF"/>
          <w:spacing w:val="18"/>
        </w:rPr>
        <w:t> </w:t>
      </w:r>
      <w:r>
        <w:rPr>
          <w:b w:val="0"/>
          <w:color w:val="465EFF"/>
          <w:spacing w:val="14"/>
        </w:rPr>
        <w:t>com</w:t>
      </w:r>
      <w:r>
        <w:rPr>
          <w:b w:val="0"/>
          <w:color w:val="465EFF"/>
          <w:spacing w:val="14"/>
        </w:rPr>
        <w:t> </w:t>
      </w:r>
      <w:r>
        <w:rPr>
          <w:b w:val="0"/>
          <w:color w:val="465EFF"/>
          <w:spacing w:val="11"/>
        </w:rPr>
        <w:t>IA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5"/>
        </w:rPr>
        <w:t>para</w:t>
      </w:r>
      <w:r>
        <w:rPr>
          <w:b w:val="0"/>
          <w:color w:val="465EFF"/>
          <w:spacing w:val="15"/>
        </w:rPr>
        <w:t> </w:t>
      </w:r>
      <w:r>
        <w:rPr>
          <w:b w:val="0"/>
          <w:color w:val="465EFF"/>
        </w:rPr>
        <w:t>a PJ </w:t>
      </w:r>
      <w:r>
        <w:rPr>
          <w:b w:val="0"/>
          <w:color w:val="465EFF"/>
          <w:spacing w:val="15"/>
        </w:rPr>
        <w:t>gera </w:t>
      </w:r>
      <w:r>
        <w:rPr>
          <w:b w:val="0"/>
          <w:color w:val="465EFF"/>
          <w:spacing w:val="17"/>
        </w:rPr>
        <w:t>mais</w:t>
      </w:r>
      <w:r>
        <w:rPr>
          <w:b w:val="0"/>
          <w:color w:val="465EFF"/>
          <w:spacing w:val="17"/>
        </w:rPr>
        <w:t> </w:t>
      </w:r>
      <w:r>
        <w:rPr>
          <w:b w:val="0"/>
          <w:color w:val="465EFF"/>
          <w:spacing w:val="11"/>
        </w:rPr>
        <w:t>de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0"/>
        </w:rPr>
        <w:t>60</w:t>
      </w:r>
      <w:r>
        <w:rPr>
          <w:b w:val="0"/>
          <w:color w:val="465EFF"/>
          <w:spacing w:val="10"/>
        </w:rPr>
        <w:t> </w:t>
      </w:r>
      <w:r>
        <w:rPr>
          <w:b w:val="0"/>
          <w:color w:val="465EFF"/>
          <w:spacing w:val="20"/>
        </w:rPr>
        <w:t>milhões</w:t>
      </w:r>
      <w:r>
        <w:rPr>
          <w:b w:val="0"/>
          <w:color w:val="465EFF"/>
          <w:spacing w:val="20"/>
        </w:rPr>
        <w:t> </w:t>
      </w:r>
      <w:r>
        <w:rPr>
          <w:b w:val="0"/>
          <w:color w:val="465EFF"/>
          <w:spacing w:val="23"/>
        </w:rPr>
        <w:t>de </w:t>
      </w:r>
      <w:r>
        <w:rPr>
          <w:b w:val="0"/>
          <w:color w:val="465EFF"/>
          <w:spacing w:val="18"/>
        </w:rPr>
        <w:t>recomendações</w:t>
      </w:r>
    </w:p>
    <w:p>
      <w:pPr>
        <w:pStyle w:val="BodyText"/>
        <w:spacing w:line="321" w:lineRule="auto" w:before="126"/>
        <w:ind w:left="427" w:right="38"/>
        <w:jc w:val="both"/>
      </w:pPr>
      <w:r>
        <w:rPr>
          <w:color w:val="1B1B22"/>
        </w:rPr>
        <w:t>Lançamos há um ano a ARI – Área de Recomendações Inteligentes que utiliza IA Generativa para apoiar a gestão de micro e pequenas empresas. Já foram geradas mais de 60 milhões de recomendações personalizadas, beneficiando 2,6 milhões de negócios em todo o país. Os insights traduzem dados complexos em orientações práticas e acessíveis, com curadoria humana para garantir segurança e relevância.</w:t>
      </w:r>
    </w:p>
    <w:p>
      <w:pPr>
        <w:pStyle w:val="BodyText"/>
        <w:spacing w:line="321" w:lineRule="auto" w:before="115"/>
        <w:ind w:left="427" w:right="39"/>
        <w:jc w:val="both"/>
      </w:pPr>
      <w:r>
        <w:rPr>
          <w:color w:val="1B1B22"/>
          <w:spacing w:val="-2"/>
        </w:rPr>
        <w:t>A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ferramenta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está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disponível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Painel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PJ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(web),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BB </w:t>
      </w:r>
      <w:r>
        <w:rPr>
          <w:color w:val="1B1B22"/>
        </w:rPr>
        <w:t>Digital PJ e app BB PJ. No 2T25, registrou 23 mil acessos únicos via mobile, e o NPS do Painel PJ atingiu 83,66, um dos maiores da categoria.</w:t>
      </w:r>
    </w:p>
    <w:p>
      <w:pPr>
        <w:pStyle w:val="Heading2"/>
        <w:spacing w:line="319" w:lineRule="auto" w:before="109"/>
        <w:ind w:right="61"/>
        <w:rPr>
          <w:b w:val="0"/>
        </w:rPr>
      </w:pPr>
      <w:r>
        <w:rPr>
          <w:b w:val="0"/>
          <w:color w:val="465EFF"/>
          <w:spacing w:val="11"/>
        </w:rPr>
        <w:t>IA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19"/>
        </w:rPr>
        <w:t>generativa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1"/>
        </w:rPr>
        <w:t>no</w:t>
      </w:r>
      <w:r>
        <w:rPr>
          <w:b w:val="0"/>
          <w:color w:val="465EFF"/>
          <w:spacing w:val="11"/>
        </w:rPr>
        <w:t> </w:t>
      </w:r>
      <w:r>
        <w:rPr>
          <w:b w:val="0"/>
          <w:color w:val="465EFF"/>
          <w:spacing w:val="20"/>
        </w:rPr>
        <w:t>gerenciador </w:t>
      </w:r>
      <w:r>
        <w:rPr>
          <w:b w:val="0"/>
          <w:color w:val="465EFF"/>
          <w:spacing w:val="19"/>
        </w:rPr>
        <w:t>financeiro</w:t>
      </w:r>
      <w:r>
        <w:rPr>
          <w:b w:val="0"/>
          <w:color w:val="465EFF"/>
          <w:spacing w:val="19"/>
        </w:rPr>
        <w:t> </w:t>
      </w:r>
      <w:r>
        <w:rPr>
          <w:b w:val="0"/>
          <w:color w:val="465EFF"/>
          <w:spacing w:val="18"/>
        </w:rPr>
        <w:t>pessoal</w:t>
      </w:r>
    </w:p>
    <w:p>
      <w:pPr>
        <w:pStyle w:val="BodyText"/>
        <w:spacing w:line="321" w:lineRule="auto" w:before="134"/>
        <w:ind w:left="426" w:right="38"/>
        <w:jc w:val="both"/>
      </w:pPr>
      <w:r>
        <w:rPr>
          <w:color w:val="1B1B22"/>
        </w:rPr>
        <w:t>O Minhas Finanças Multibanco, nossa ferramenta de gestão financeira, agora utiliza IA generativa para criar dicas personalizadas, auxiliando mensalmente mais de sete milhões de clientes pessoas</w:t>
      </w:r>
      <w:r>
        <w:rPr>
          <w:color w:val="1B1B22"/>
          <w:spacing w:val="-13"/>
        </w:rPr>
        <w:t> </w:t>
      </w:r>
      <w:r>
        <w:rPr>
          <w:color w:val="1B1B22"/>
        </w:rPr>
        <w:t>físicas.</w:t>
      </w:r>
      <w:r>
        <w:rPr>
          <w:color w:val="1B1B22"/>
          <w:spacing w:val="-12"/>
        </w:rPr>
        <w:t> </w:t>
      </w:r>
      <w:r>
        <w:rPr>
          <w:color w:val="1B1B22"/>
        </w:rPr>
        <w:t>Essas</w:t>
      </w:r>
      <w:r>
        <w:rPr>
          <w:color w:val="1B1B22"/>
          <w:spacing w:val="-13"/>
        </w:rPr>
        <w:t> </w:t>
      </w:r>
      <w:r>
        <w:rPr>
          <w:color w:val="1B1B22"/>
        </w:rPr>
        <w:t>dicas</w:t>
      </w:r>
      <w:r>
        <w:rPr>
          <w:color w:val="1B1B22"/>
          <w:spacing w:val="-12"/>
        </w:rPr>
        <w:t> </w:t>
      </w:r>
      <w:r>
        <w:rPr>
          <w:color w:val="1B1B22"/>
        </w:rPr>
        <w:t>passam</w:t>
      </w:r>
      <w:r>
        <w:rPr>
          <w:color w:val="1B1B22"/>
          <w:spacing w:val="-12"/>
        </w:rPr>
        <w:t> </w:t>
      </w:r>
      <w:r>
        <w:rPr>
          <w:color w:val="1B1B22"/>
        </w:rPr>
        <w:t>por</w:t>
      </w:r>
      <w:r>
        <w:rPr>
          <w:color w:val="1B1B22"/>
          <w:spacing w:val="-13"/>
        </w:rPr>
        <w:t> </w:t>
      </w:r>
      <w:r>
        <w:rPr>
          <w:color w:val="1B1B22"/>
        </w:rPr>
        <w:t>um</w:t>
      </w:r>
      <w:r>
        <w:rPr>
          <w:color w:val="1B1B22"/>
          <w:spacing w:val="-12"/>
        </w:rPr>
        <w:t> </w:t>
      </w:r>
      <w:r>
        <w:rPr>
          <w:color w:val="1B1B22"/>
        </w:rPr>
        <w:t>processo de curadoria humana, garantindo a qualidade das mensagens e</w:t>
      </w:r>
      <w:r>
        <w:rPr>
          <w:color w:val="1B1B22"/>
          <w:spacing w:val="-1"/>
        </w:rPr>
        <w:t> </w:t>
      </w:r>
      <w:r>
        <w:rPr>
          <w:color w:val="1B1B22"/>
        </w:rPr>
        <w:t>a</w:t>
      </w:r>
      <w:r>
        <w:rPr>
          <w:color w:val="1B1B22"/>
          <w:spacing w:val="-2"/>
        </w:rPr>
        <w:t> </w:t>
      </w:r>
      <w:r>
        <w:rPr>
          <w:color w:val="1B1B22"/>
        </w:rPr>
        <w:t>mitigação de</w:t>
      </w:r>
      <w:r>
        <w:rPr>
          <w:color w:val="1B1B22"/>
          <w:spacing w:val="-1"/>
        </w:rPr>
        <w:t> </w:t>
      </w:r>
      <w:r>
        <w:rPr>
          <w:color w:val="1B1B22"/>
        </w:rPr>
        <w:t>vieses indesejados.</w:t>
      </w:r>
      <w:r>
        <w:rPr>
          <w:color w:val="1B1B22"/>
          <w:spacing w:val="-5"/>
        </w:rPr>
        <w:t> </w:t>
      </w:r>
      <w:r>
        <w:rPr>
          <w:color w:val="1B1B22"/>
        </w:rPr>
        <w:t>As dicas são apresentadas de acordo com diferentes contextos e perfis financeiros dos clientes, abordando, por exemplo, a melhor condição de utilização de crédito ou até mesmo sugerindo o compartilhamento</w:t>
      </w:r>
      <w:r>
        <w:rPr>
          <w:color w:val="1B1B22"/>
          <w:spacing w:val="-11"/>
        </w:rPr>
        <w:t> </w:t>
      </w:r>
      <w:r>
        <w:rPr>
          <w:color w:val="1B1B22"/>
        </w:rPr>
        <w:t>de</w:t>
      </w:r>
      <w:r>
        <w:rPr>
          <w:color w:val="1B1B22"/>
          <w:spacing w:val="-11"/>
        </w:rPr>
        <w:t> </w:t>
      </w:r>
      <w:r>
        <w:rPr>
          <w:color w:val="1B1B22"/>
        </w:rPr>
        <w:t>dados</w:t>
      </w:r>
      <w:r>
        <w:rPr>
          <w:color w:val="1B1B22"/>
          <w:spacing w:val="-10"/>
        </w:rPr>
        <w:t> </w:t>
      </w:r>
      <w:r>
        <w:rPr>
          <w:color w:val="1B1B22"/>
        </w:rPr>
        <w:t>via</w:t>
      </w:r>
      <w:r>
        <w:rPr>
          <w:color w:val="1B1B22"/>
          <w:spacing w:val="-12"/>
        </w:rPr>
        <w:t> </w:t>
      </w:r>
      <w:r>
        <w:rPr>
          <w:color w:val="1B1B22"/>
        </w:rPr>
        <w:t>Open</w:t>
      </w:r>
      <w:r>
        <w:rPr>
          <w:color w:val="1B1B22"/>
          <w:spacing w:val="-11"/>
        </w:rPr>
        <w:t> </w:t>
      </w:r>
      <w:r>
        <w:rPr>
          <w:color w:val="1B1B22"/>
        </w:rPr>
        <w:t>Finance</w:t>
      </w:r>
      <w:r>
        <w:rPr>
          <w:color w:val="1B1B22"/>
          <w:spacing w:val="-11"/>
        </w:rPr>
        <w:t> </w:t>
      </w:r>
      <w:r>
        <w:rPr>
          <w:color w:val="1B1B22"/>
        </w:rPr>
        <w:t>para proporcionar condições negociais ainda mais </w:t>
      </w:r>
      <w:r>
        <w:rPr>
          <w:color w:val="1B1B22"/>
          <w:spacing w:val="-2"/>
        </w:rPr>
        <w:t>vantajosas.</w:t>
      </w:r>
    </w:p>
    <w:p>
      <w:pPr>
        <w:pStyle w:val="Heading2"/>
        <w:spacing w:before="71"/>
        <w:jc w:val="left"/>
        <w:rPr>
          <w:b w:val="0"/>
        </w:rPr>
      </w:pPr>
      <w:r>
        <w:rPr/>
        <w:br w:type="column"/>
      </w:r>
      <w:r>
        <w:rPr>
          <w:b w:val="0"/>
          <w:color w:val="465EFF"/>
          <w:spacing w:val="15"/>
        </w:rPr>
        <w:t>CRM</w:t>
      </w:r>
      <w:r>
        <w:rPr>
          <w:b w:val="0"/>
          <w:color w:val="465EFF"/>
          <w:spacing w:val="42"/>
        </w:rPr>
        <w:t> </w:t>
      </w:r>
      <w:r>
        <w:rPr>
          <w:b w:val="0"/>
          <w:color w:val="465EFF"/>
          <w:spacing w:val="14"/>
        </w:rPr>
        <w:t>com</w:t>
      </w:r>
      <w:r>
        <w:rPr>
          <w:b w:val="0"/>
          <w:color w:val="465EFF"/>
          <w:spacing w:val="43"/>
        </w:rPr>
        <w:t> </w:t>
      </w:r>
      <w:r>
        <w:rPr>
          <w:b w:val="0"/>
          <w:color w:val="465EFF"/>
          <w:spacing w:val="20"/>
        </w:rPr>
        <w:t>inteligência</w:t>
      </w:r>
      <w:r>
        <w:rPr>
          <w:b w:val="0"/>
          <w:color w:val="465EFF"/>
          <w:spacing w:val="44"/>
        </w:rPr>
        <w:t> </w:t>
      </w:r>
      <w:r>
        <w:rPr>
          <w:b w:val="0"/>
          <w:color w:val="465EFF"/>
          <w:spacing w:val="18"/>
        </w:rPr>
        <w:t>analítica</w:t>
      </w:r>
    </w:p>
    <w:p>
      <w:pPr>
        <w:pStyle w:val="BodyText"/>
        <w:spacing w:line="321" w:lineRule="auto" w:before="250"/>
        <w:ind w:left="426" w:right="140"/>
        <w:jc w:val="both"/>
      </w:pPr>
      <w:r>
        <w:rPr>
          <w:color w:val="1B1B22"/>
        </w:rPr>
        <w:t>Avançamos na atuação em CRM com inteligência analítica, automação e agilidade, conectando as necessidades dos clientes às soluções mais adequadas</w:t>
      </w:r>
      <w:r>
        <w:rPr>
          <w:color w:val="1B1B22"/>
          <w:spacing w:val="-13"/>
        </w:rPr>
        <w:t> </w:t>
      </w:r>
      <w:r>
        <w:rPr>
          <w:color w:val="1B1B22"/>
        </w:rPr>
        <w:t>em</w:t>
      </w:r>
      <w:r>
        <w:rPr>
          <w:color w:val="1B1B22"/>
          <w:spacing w:val="-12"/>
        </w:rPr>
        <w:t> </w:t>
      </w:r>
      <w:r>
        <w:rPr>
          <w:color w:val="1B1B22"/>
        </w:rPr>
        <w:t>todos</w:t>
      </w:r>
      <w:r>
        <w:rPr>
          <w:color w:val="1B1B22"/>
          <w:spacing w:val="-13"/>
        </w:rPr>
        <w:t> </w:t>
      </w:r>
      <w:r>
        <w:rPr>
          <w:color w:val="1B1B22"/>
        </w:rPr>
        <w:t>os</w:t>
      </w:r>
      <w:r>
        <w:rPr>
          <w:color w:val="1B1B22"/>
          <w:spacing w:val="-12"/>
        </w:rPr>
        <w:t> </w:t>
      </w:r>
      <w:r>
        <w:rPr>
          <w:color w:val="1B1B22"/>
        </w:rPr>
        <w:t>canais.</w:t>
      </w:r>
      <w:r>
        <w:rPr>
          <w:color w:val="1B1B22"/>
          <w:spacing w:val="-12"/>
        </w:rPr>
        <w:t> </w:t>
      </w:r>
      <w:r>
        <w:rPr>
          <w:color w:val="1B1B22"/>
        </w:rPr>
        <w:t>No</w:t>
      </w:r>
      <w:r>
        <w:rPr>
          <w:color w:val="1B1B22"/>
          <w:spacing w:val="-13"/>
        </w:rPr>
        <w:t> </w:t>
      </w:r>
      <w:r>
        <w:rPr>
          <w:color w:val="1B1B22"/>
        </w:rPr>
        <w:t>1S25,</w:t>
      </w:r>
      <w:r>
        <w:rPr>
          <w:color w:val="1B1B22"/>
          <w:spacing w:val="-12"/>
        </w:rPr>
        <w:t> </w:t>
      </w:r>
      <w:r>
        <w:rPr>
          <w:color w:val="1B1B22"/>
        </w:rPr>
        <w:t>realizamos mais de mil novas ações personalizadas de oferta, gerando 1,6 bilhão de abordagens dirigidas e 145 milhões de contatos efetivos com clientes.</w:t>
      </w:r>
    </w:p>
    <w:p>
      <w:pPr>
        <w:pStyle w:val="Heading2"/>
        <w:spacing w:before="106"/>
        <w:jc w:val="left"/>
        <w:rPr>
          <w:b w:val="0"/>
        </w:rPr>
      </w:pPr>
      <w:r>
        <w:rPr>
          <w:b w:val="0"/>
          <w:color w:val="465EFF"/>
          <w:spacing w:val="21"/>
        </w:rPr>
        <w:t>Empreendedorismo</w:t>
      </w:r>
      <w:r>
        <w:rPr>
          <w:b w:val="0"/>
          <w:color w:val="465EFF"/>
          <w:spacing w:val="46"/>
        </w:rPr>
        <w:t> </w:t>
      </w:r>
      <w:r>
        <w:rPr>
          <w:b w:val="0"/>
          <w:color w:val="465EFF"/>
          <w:spacing w:val="16"/>
        </w:rPr>
        <w:t>feminino</w:t>
      </w:r>
    </w:p>
    <w:p>
      <w:pPr>
        <w:pStyle w:val="BodyText"/>
        <w:spacing w:line="321" w:lineRule="auto" w:before="250"/>
        <w:ind w:left="426" w:right="141"/>
        <w:jc w:val="both"/>
      </w:pPr>
      <w:r>
        <w:rPr>
          <w:color w:val="1B1B22"/>
        </w:rPr>
        <w:t>Reafirmamos nosso compromisso com a equidade de gênero e o empreendedorismo feminino. No 2T25,</w:t>
      </w:r>
      <w:r>
        <w:rPr>
          <w:color w:val="1B1B22"/>
          <w:spacing w:val="-1"/>
        </w:rPr>
        <w:t> </w:t>
      </w:r>
      <w:r>
        <w:rPr>
          <w:color w:val="1B1B22"/>
        </w:rPr>
        <w:t>desembolsamos R$ 294,6</w:t>
      </w:r>
      <w:r>
        <w:rPr>
          <w:color w:val="1B1B22"/>
          <w:spacing w:val="-2"/>
        </w:rPr>
        <w:t> </w:t>
      </w:r>
      <w:r>
        <w:rPr>
          <w:color w:val="1B1B22"/>
        </w:rPr>
        <w:t>milhões em</w:t>
      </w:r>
      <w:r>
        <w:rPr>
          <w:color w:val="1B1B22"/>
          <w:spacing w:val="-2"/>
        </w:rPr>
        <w:t> </w:t>
      </w:r>
      <w:r>
        <w:rPr>
          <w:color w:val="1B1B22"/>
        </w:rPr>
        <w:t>linhas exclusivas para mulheres, como o GIRO e o FCO Mulher Empreendedora, beneficiando mais de 1,3 milhão de empresas lideradas por mulheres.</w:t>
      </w:r>
    </w:p>
    <w:p>
      <w:pPr>
        <w:pStyle w:val="BodyText"/>
        <w:spacing w:line="321" w:lineRule="auto" w:before="115"/>
        <w:ind w:left="426" w:right="139"/>
        <w:jc w:val="both"/>
      </w:pPr>
      <w:r>
        <w:rPr>
          <w:color w:val="1B1B22"/>
        </w:rPr>
        <w:t>No Comércio Exterior, promovemos a inserção internacional de MPEs femininas. O programa Primeira Exportação – Edição Mulheres no Mundo capacitou,</w:t>
      </w:r>
      <w:r>
        <w:rPr>
          <w:color w:val="1B1B22"/>
          <w:spacing w:val="-6"/>
        </w:rPr>
        <w:t> </w:t>
      </w:r>
      <w:r>
        <w:rPr>
          <w:color w:val="1B1B22"/>
        </w:rPr>
        <w:t>até</w:t>
      </w:r>
      <w:r>
        <w:rPr>
          <w:color w:val="1B1B22"/>
          <w:spacing w:val="-6"/>
        </w:rPr>
        <w:t> </w:t>
      </w:r>
      <w:r>
        <w:rPr>
          <w:color w:val="1B1B22"/>
        </w:rPr>
        <w:t>junho/25,</w:t>
      </w:r>
      <w:r>
        <w:rPr>
          <w:color w:val="1B1B22"/>
          <w:spacing w:val="-3"/>
        </w:rPr>
        <w:t> </w:t>
      </w:r>
      <w:r>
        <w:rPr>
          <w:color w:val="1B1B22"/>
        </w:rPr>
        <w:t>550</w:t>
      </w:r>
      <w:r>
        <w:rPr>
          <w:color w:val="1B1B22"/>
          <w:spacing w:val="-5"/>
        </w:rPr>
        <w:t> </w:t>
      </w:r>
      <w:r>
        <w:rPr>
          <w:color w:val="1B1B22"/>
        </w:rPr>
        <w:t>empreendedoras</w:t>
      </w:r>
      <w:r>
        <w:rPr>
          <w:color w:val="1B1B22"/>
          <w:spacing w:val="-5"/>
        </w:rPr>
        <w:t> </w:t>
      </w:r>
      <w:r>
        <w:rPr>
          <w:color w:val="1B1B22"/>
        </w:rPr>
        <w:t>que já exportam para mais de 50 países.</w:t>
      </w:r>
    </w:p>
    <w:p>
      <w:pPr>
        <w:pStyle w:val="Heading2"/>
        <w:jc w:val="left"/>
        <w:rPr>
          <w:b w:val="0"/>
        </w:rPr>
      </w:pPr>
      <w:r>
        <w:rPr>
          <w:b w:val="0"/>
          <w:color w:val="465EFF"/>
          <w:spacing w:val="18"/>
        </w:rPr>
        <w:t>Cofrinho</w:t>
      </w:r>
      <w:r>
        <w:rPr>
          <w:b w:val="0"/>
          <w:color w:val="465EFF"/>
          <w:spacing w:val="52"/>
        </w:rPr>
        <w:t> </w:t>
      </w:r>
      <w:r>
        <w:rPr>
          <w:b w:val="0"/>
          <w:color w:val="465EFF"/>
          <w:spacing w:val="17"/>
        </w:rPr>
        <w:t>BB</w:t>
      </w:r>
    </w:p>
    <w:p>
      <w:pPr>
        <w:pStyle w:val="BodyText"/>
        <w:spacing w:line="321" w:lineRule="auto" w:before="250"/>
        <w:ind w:left="426" w:right="141"/>
        <w:jc w:val="both"/>
      </w:pPr>
      <w:r>
        <w:rPr>
          <w:color w:val="1B1B22"/>
        </w:rPr>
        <w:t>Somando-se às soluções com foco em educação financeira, em maio/25, disponibilizamos o Cofrinho BB, nossa ferramenta de formação de reserva financeira, para todos os clientes pessoa física. Pelo app do BB, é possível criar metas, acompanhar a evolução financeira e personalizar cada</w:t>
      </w:r>
      <w:r>
        <w:rPr>
          <w:color w:val="1B1B22"/>
          <w:spacing w:val="-1"/>
        </w:rPr>
        <w:t> </w:t>
      </w:r>
      <w:r>
        <w:rPr>
          <w:color w:val="1B1B22"/>
        </w:rPr>
        <w:t>objetivo de forma</w:t>
      </w:r>
      <w:r>
        <w:rPr>
          <w:color w:val="1B1B22"/>
          <w:spacing w:val="-1"/>
        </w:rPr>
        <w:t> </w:t>
      </w:r>
      <w:r>
        <w:rPr>
          <w:color w:val="1B1B22"/>
        </w:rPr>
        <w:t>simples, intuitiva</w:t>
      </w:r>
      <w:r>
        <w:rPr>
          <w:color w:val="1B1B22"/>
          <w:spacing w:val="-1"/>
        </w:rPr>
        <w:t> </w:t>
      </w:r>
      <w:r>
        <w:rPr>
          <w:color w:val="1B1B22"/>
        </w:rPr>
        <w:t>e segura. A solução, lançada em 2024 inicialmente para uso </w:t>
      </w:r>
      <w:r>
        <w:rPr>
          <w:color w:val="1B1B22"/>
          <w:spacing w:val="-2"/>
        </w:rPr>
        <w:t>exclusivo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do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público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jovem,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fechou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semestre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com mais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90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mil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clientes,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sendo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que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65%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dos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clientes </w:t>
      </w:r>
      <w:r>
        <w:rPr>
          <w:color w:val="1B1B22"/>
        </w:rPr>
        <w:t>tem até 40 anos, e o volume de investimentos supera R$ 145 milhões.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6" w:space="240"/>
            <w:col w:w="5321"/>
          </w:cols>
        </w:sectPr>
      </w:pPr>
    </w:p>
    <w:p>
      <w:pPr>
        <w:pStyle w:val="Heading1"/>
        <w:spacing w:before="184"/>
        <w:jc w:val="both"/>
      </w:pPr>
      <w:r>
        <w:rPr>
          <w:color w:val="465EFF"/>
          <w:spacing w:val="31"/>
        </w:rPr>
        <w:t>Acionistas</w:t>
      </w:r>
    </w:p>
    <w:p>
      <w:pPr>
        <w:pStyle w:val="BodyText"/>
        <w:spacing w:line="321" w:lineRule="auto" w:before="334"/>
        <w:ind w:left="427" w:right="137"/>
        <w:jc w:val="both"/>
      </w:pPr>
      <w:r>
        <w:rPr>
          <w:color w:val="1B1B22"/>
        </w:rPr>
        <w:t>Contamos</w:t>
      </w:r>
      <w:r>
        <w:rPr>
          <w:color w:val="1B1B22"/>
          <w:spacing w:val="-4"/>
        </w:rPr>
        <w:t> </w:t>
      </w:r>
      <w:r>
        <w:rPr>
          <w:color w:val="1B1B22"/>
        </w:rPr>
        <w:t>com</w:t>
      </w:r>
      <w:r>
        <w:rPr>
          <w:color w:val="1B1B22"/>
          <w:spacing w:val="-3"/>
        </w:rPr>
        <w:t> </w:t>
      </w:r>
      <w:r>
        <w:rPr>
          <w:color w:val="1B1B22"/>
        </w:rPr>
        <w:t>uma</w:t>
      </w:r>
      <w:r>
        <w:rPr>
          <w:color w:val="1B1B22"/>
          <w:spacing w:val="-6"/>
        </w:rPr>
        <w:t> </w:t>
      </w:r>
      <w:r>
        <w:rPr>
          <w:color w:val="1B1B22"/>
        </w:rPr>
        <w:t>base</w:t>
      </w:r>
      <w:r>
        <w:rPr>
          <w:color w:val="1B1B22"/>
          <w:spacing w:val="-3"/>
        </w:rPr>
        <w:t> </w:t>
      </w:r>
      <w:r>
        <w:rPr>
          <w:color w:val="1B1B22"/>
        </w:rPr>
        <w:t>de</w:t>
      </w:r>
      <w:r>
        <w:rPr>
          <w:color w:val="1B1B22"/>
          <w:spacing w:val="-5"/>
        </w:rPr>
        <w:t> </w:t>
      </w:r>
      <w:r>
        <w:rPr>
          <w:color w:val="1B1B22"/>
        </w:rPr>
        <w:t>1,6</w:t>
      </w:r>
      <w:r>
        <w:rPr>
          <w:color w:val="1B1B22"/>
          <w:spacing w:val="-6"/>
        </w:rPr>
        <w:t> </w:t>
      </w:r>
      <w:r>
        <w:rPr>
          <w:color w:val="1B1B22"/>
        </w:rPr>
        <w:t>milhão</w:t>
      </w:r>
      <w:r>
        <w:rPr>
          <w:color w:val="1B1B22"/>
          <w:spacing w:val="-5"/>
        </w:rPr>
        <w:t> </w:t>
      </w:r>
      <w:r>
        <w:rPr>
          <w:color w:val="1B1B22"/>
        </w:rPr>
        <w:t>de</w:t>
      </w:r>
      <w:r>
        <w:rPr>
          <w:color w:val="1B1B22"/>
          <w:spacing w:val="-5"/>
        </w:rPr>
        <w:t> </w:t>
      </w:r>
      <w:r>
        <w:rPr>
          <w:color w:val="1B1B22"/>
        </w:rPr>
        <w:t>acionistas,</w:t>
      </w:r>
      <w:r>
        <w:rPr>
          <w:color w:val="1B1B22"/>
          <w:spacing w:val="-5"/>
        </w:rPr>
        <w:t> </w:t>
      </w:r>
      <w:r>
        <w:rPr>
          <w:color w:val="1B1B22"/>
        </w:rPr>
        <w:t>sendo</w:t>
      </w:r>
      <w:r>
        <w:rPr>
          <w:color w:val="1B1B22"/>
          <w:spacing w:val="-5"/>
        </w:rPr>
        <w:t> </w:t>
      </w:r>
      <w:r>
        <w:rPr>
          <w:color w:val="1B1B22"/>
        </w:rPr>
        <w:t>99,0%</w:t>
      </w:r>
      <w:r>
        <w:rPr>
          <w:color w:val="1B1B22"/>
          <w:spacing w:val="-6"/>
        </w:rPr>
        <w:t> </w:t>
      </w:r>
      <w:r>
        <w:rPr>
          <w:color w:val="1B1B22"/>
        </w:rPr>
        <w:t>de</w:t>
      </w:r>
      <w:r>
        <w:rPr>
          <w:color w:val="1B1B22"/>
          <w:spacing w:val="-5"/>
        </w:rPr>
        <w:t> </w:t>
      </w:r>
      <w:r>
        <w:rPr>
          <w:color w:val="1B1B22"/>
        </w:rPr>
        <w:t>pessoas</w:t>
      </w:r>
      <w:r>
        <w:rPr>
          <w:color w:val="1B1B22"/>
          <w:spacing w:val="-4"/>
        </w:rPr>
        <w:t> </w:t>
      </w:r>
      <w:r>
        <w:rPr>
          <w:color w:val="1B1B22"/>
        </w:rPr>
        <w:t>físicas</w:t>
      </w:r>
      <w:r>
        <w:rPr>
          <w:color w:val="1B1B22"/>
          <w:spacing w:val="-4"/>
        </w:rPr>
        <w:t> </w:t>
      </w:r>
      <w:r>
        <w:rPr>
          <w:color w:val="1B1B22"/>
        </w:rPr>
        <w:t>locais.</w:t>
      </w:r>
      <w:r>
        <w:rPr>
          <w:color w:val="1B1B22"/>
          <w:spacing w:val="-9"/>
        </w:rPr>
        <w:t> </w:t>
      </w:r>
      <w:r>
        <w:rPr>
          <w:color w:val="1B1B22"/>
        </w:rPr>
        <w:t>Ao</w:t>
      </w:r>
      <w:r>
        <w:rPr>
          <w:color w:val="1B1B22"/>
          <w:spacing w:val="-5"/>
        </w:rPr>
        <w:t> </w:t>
      </w:r>
      <w:r>
        <w:rPr>
          <w:color w:val="1B1B22"/>
        </w:rPr>
        <w:t>final</w:t>
      </w:r>
      <w:r>
        <w:rPr>
          <w:color w:val="1B1B22"/>
          <w:spacing w:val="-6"/>
        </w:rPr>
        <w:t> </w:t>
      </w:r>
      <w:r>
        <w:rPr>
          <w:color w:val="1B1B22"/>
        </w:rPr>
        <w:t>de</w:t>
      </w:r>
      <w:r>
        <w:rPr>
          <w:color w:val="1B1B22"/>
          <w:spacing w:val="-3"/>
        </w:rPr>
        <w:t> </w:t>
      </w:r>
      <w:r>
        <w:rPr>
          <w:color w:val="1B1B22"/>
        </w:rPr>
        <w:t>junho, nossa</w:t>
      </w:r>
      <w:r>
        <w:rPr>
          <w:color w:val="1B1B22"/>
          <w:spacing w:val="-8"/>
        </w:rPr>
        <w:t> </w:t>
      </w:r>
      <w:r>
        <w:rPr>
          <w:color w:val="1B1B22"/>
        </w:rPr>
        <w:t>composição</w:t>
      </w:r>
      <w:r>
        <w:rPr>
          <w:color w:val="1B1B22"/>
          <w:spacing w:val="-5"/>
        </w:rPr>
        <w:t> </w:t>
      </w:r>
      <w:r>
        <w:rPr>
          <w:color w:val="1B1B22"/>
        </w:rPr>
        <w:t>acionária</w:t>
      </w:r>
      <w:r>
        <w:rPr>
          <w:color w:val="1B1B22"/>
          <w:spacing w:val="-8"/>
        </w:rPr>
        <w:t> </w:t>
      </w:r>
      <w:r>
        <w:rPr>
          <w:color w:val="1B1B22"/>
        </w:rPr>
        <w:t>estava</w:t>
      </w:r>
      <w:r>
        <w:rPr>
          <w:color w:val="1B1B22"/>
          <w:spacing w:val="-8"/>
        </w:rPr>
        <w:t> </w:t>
      </w:r>
      <w:r>
        <w:rPr>
          <w:color w:val="1B1B22"/>
        </w:rPr>
        <w:t>distribuída</w:t>
      </w:r>
      <w:r>
        <w:rPr>
          <w:color w:val="1B1B22"/>
          <w:spacing w:val="-8"/>
        </w:rPr>
        <w:t> </w:t>
      </w:r>
      <w:r>
        <w:rPr>
          <w:color w:val="1B1B22"/>
        </w:rPr>
        <w:t>entre</w:t>
      </w:r>
      <w:r>
        <w:rPr>
          <w:color w:val="1B1B22"/>
          <w:spacing w:val="-8"/>
        </w:rPr>
        <w:t> </w:t>
      </w:r>
      <w:r>
        <w:rPr>
          <w:color w:val="1B1B22"/>
        </w:rPr>
        <w:t>50%</w:t>
      </w:r>
      <w:r>
        <w:rPr>
          <w:color w:val="1B1B22"/>
          <w:spacing w:val="-8"/>
        </w:rPr>
        <w:t> </w:t>
      </w:r>
      <w:r>
        <w:rPr>
          <w:color w:val="1B1B22"/>
        </w:rPr>
        <w:t>de</w:t>
      </w:r>
      <w:r>
        <w:rPr>
          <w:color w:val="1B1B22"/>
          <w:spacing w:val="-8"/>
        </w:rPr>
        <w:t> </w:t>
      </w:r>
      <w:r>
        <w:rPr>
          <w:color w:val="1B1B22"/>
        </w:rPr>
        <w:t>ações</w:t>
      </w:r>
      <w:r>
        <w:rPr>
          <w:color w:val="1B1B22"/>
          <w:spacing w:val="-6"/>
        </w:rPr>
        <w:t> </w:t>
      </w:r>
      <w:r>
        <w:rPr>
          <w:color w:val="1B1B22"/>
        </w:rPr>
        <w:t>em</w:t>
      </w:r>
      <w:r>
        <w:rPr>
          <w:color w:val="1B1B22"/>
          <w:spacing w:val="-8"/>
        </w:rPr>
        <w:t> </w:t>
      </w:r>
      <w:r>
        <w:rPr>
          <w:color w:val="1B1B22"/>
        </w:rPr>
        <w:t>poder</w:t>
      </w:r>
      <w:r>
        <w:rPr>
          <w:color w:val="1B1B22"/>
          <w:spacing w:val="-8"/>
        </w:rPr>
        <w:t> </w:t>
      </w:r>
      <w:r>
        <w:rPr>
          <w:color w:val="1B1B22"/>
        </w:rPr>
        <w:t>da</w:t>
      </w:r>
      <w:r>
        <w:rPr>
          <w:color w:val="1B1B22"/>
          <w:spacing w:val="-8"/>
        </w:rPr>
        <w:t> </w:t>
      </w:r>
      <w:r>
        <w:rPr>
          <w:color w:val="1B1B22"/>
        </w:rPr>
        <w:t>União</w:t>
      </w:r>
      <w:r>
        <w:rPr>
          <w:color w:val="1B1B22"/>
          <w:spacing w:val="-8"/>
        </w:rPr>
        <w:t> </w:t>
      </w:r>
      <w:r>
        <w:rPr>
          <w:color w:val="1B1B22"/>
        </w:rPr>
        <w:t>Federal,</w:t>
      </w:r>
      <w:r>
        <w:rPr>
          <w:color w:val="1B1B22"/>
          <w:spacing w:val="-8"/>
        </w:rPr>
        <w:t> </w:t>
      </w:r>
      <w:r>
        <w:rPr>
          <w:color w:val="1B1B22"/>
        </w:rPr>
        <w:t>49,6%</w:t>
      </w:r>
      <w:r>
        <w:rPr>
          <w:color w:val="1B1B22"/>
          <w:spacing w:val="-8"/>
        </w:rPr>
        <w:t> </w:t>
      </w:r>
      <w:r>
        <w:rPr>
          <w:color w:val="1B1B22"/>
        </w:rPr>
        <w:t>em</w:t>
      </w:r>
      <w:r>
        <w:rPr>
          <w:color w:val="1B1B22"/>
          <w:spacing w:val="-8"/>
        </w:rPr>
        <w:t> </w:t>
      </w:r>
      <w:r>
        <w:rPr>
          <w:i/>
          <w:color w:val="1B1B22"/>
        </w:rPr>
        <w:t>free</w:t>
      </w:r>
      <w:r>
        <w:rPr>
          <w:i/>
          <w:color w:val="1B1B22"/>
        </w:rPr>
        <w:t> float </w:t>
      </w:r>
      <w:r>
        <w:rPr>
          <w:color w:val="1B1B22"/>
        </w:rPr>
        <w:t>e 0,4% em tesouraria. Do total de ações, 77,6% são detidas por investidores locais e 22,4% por investidores residentes no exterior. Nossas ações (BBAS3) representaram 2,55% do Ibovespa no último quadrimestre. No último pregão do mês de junho, as BBAS3 estavam cotadas a</w:t>
      </w:r>
      <w:r>
        <w:rPr>
          <w:color w:val="1B1B22"/>
          <w:spacing w:val="-1"/>
        </w:rPr>
        <w:t> </w:t>
      </w:r>
      <w:r>
        <w:rPr>
          <w:color w:val="1B1B22"/>
        </w:rPr>
        <w:t>R$ 22,09.</w:t>
      </w:r>
    </w:p>
    <w:p>
      <w:pPr>
        <w:pStyle w:val="Heading1"/>
        <w:spacing w:before="90"/>
        <w:jc w:val="both"/>
      </w:pPr>
      <w:r>
        <w:rPr>
          <w:color w:val="465EFF"/>
          <w:spacing w:val="32"/>
        </w:rPr>
        <w:t>Estratégia</w:t>
      </w:r>
      <w:r>
        <w:rPr>
          <w:color w:val="465EFF"/>
          <w:spacing w:val="67"/>
        </w:rPr>
        <w:t> </w:t>
      </w:r>
      <w:r>
        <w:rPr>
          <w:color w:val="465EFF"/>
        </w:rPr>
        <w:t>e</w:t>
      </w:r>
      <w:r>
        <w:rPr>
          <w:color w:val="465EFF"/>
          <w:spacing w:val="69"/>
        </w:rPr>
        <w:t> </w:t>
      </w:r>
      <w:r>
        <w:rPr>
          <w:color w:val="465EFF"/>
          <w:spacing w:val="32"/>
        </w:rPr>
        <w:t>Governança</w:t>
      </w:r>
      <w:r>
        <w:rPr>
          <w:color w:val="465EFF"/>
          <w:spacing w:val="66"/>
        </w:rPr>
        <w:t> </w:t>
      </w:r>
      <w:r>
        <w:rPr>
          <w:color w:val="465EFF"/>
          <w:spacing w:val="31"/>
        </w:rPr>
        <w:t>Corporativa</w:t>
      </w:r>
    </w:p>
    <w:p>
      <w:pPr>
        <w:pStyle w:val="BodyText"/>
        <w:spacing w:before="3"/>
        <w:rPr>
          <w:rFonts w:ascii="BancoDoBrasil Titulos"/>
        </w:rPr>
      </w:pPr>
    </w:p>
    <w:p>
      <w:pPr>
        <w:pStyle w:val="BodyText"/>
        <w:spacing w:after="0"/>
        <w:rPr>
          <w:rFonts w:ascii="BancoDoBrasil Titulos"/>
        </w:rPr>
        <w:sectPr>
          <w:pgSz w:w="11910" w:h="16850"/>
          <w:pgMar w:header="152" w:footer="572" w:top="900" w:bottom="760" w:left="425" w:right="708"/>
        </w:sect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rPr>
          <w:rFonts w:ascii="BancoDoBrasil Titulos"/>
        </w:rPr>
      </w:pPr>
    </w:p>
    <w:p>
      <w:pPr>
        <w:pStyle w:val="BodyText"/>
        <w:spacing w:before="208"/>
        <w:rPr>
          <w:rFonts w:ascii="BancoDoBrasil Titulos"/>
        </w:rPr>
      </w:pPr>
    </w:p>
    <w:p>
      <w:pPr>
        <w:pStyle w:val="BodyText"/>
        <w:spacing w:line="321" w:lineRule="auto"/>
        <w:ind w:left="426" w:right="38"/>
        <w:jc w:val="both"/>
      </w:pPr>
      <w:r>
        <w:rPr>
          <w:color w:val="1B1B22"/>
        </w:rPr>
        <w:t>Nossa estrutura de governança é composta pela Assembleia Geral de Acionistas; pelo Conselho de Administração (CA) e seus comitês de assessoramento – Comitê de Auditoria (Coaud); Comitê de Pessoas, Elegibilidade, Sucessão e Remuneração (Corem); Comitê de Riscos e de Capital</w:t>
      </w:r>
      <w:r>
        <w:rPr>
          <w:color w:val="1B1B22"/>
          <w:spacing w:val="31"/>
        </w:rPr>
        <w:t> </w:t>
      </w:r>
      <w:r>
        <w:rPr>
          <w:color w:val="1B1B22"/>
        </w:rPr>
        <w:t>(Coris),</w:t>
      </w:r>
      <w:r>
        <w:rPr>
          <w:color w:val="1B1B22"/>
          <w:spacing w:val="31"/>
        </w:rPr>
        <w:t> </w:t>
      </w:r>
      <w:r>
        <w:rPr>
          <w:color w:val="1B1B22"/>
        </w:rPr>
        <w:t>Comitê</w:t>
      </w:r>
      <w:r>
        <w:rPr>
          <w:color w:val="1B1B22"/>
          <w:spacing w:val="31"/>
        </w:rPr>
        <w:t> </w:t>
      </w:r>
      <w:r>
        <w:rPr>
          <w:color w:val="1B1B22"/>
        </w:rPr>
        <w:t>de</w:t>
      </w:r>
      <w:r>
        <w:rPr>
          <w:color w:val="1B1B22"/>
          <w:spacing w:val="17"/>
        </w:rPr>
        <w:t> </w:t>
      </w:r>
      <w:r>
        <w:rPr>
          <w:color w:val="1B1B22"/>
        </w:rPr>
        <w:t>Tecnologia</w:t>
      </w:r>
      <w:r>
        <w:rPr>
          <w:color w:val="1B1B22"/>
          <w:spacing w:val="30"/>
        </w:rPr>
        <w:t> </w:t>
      </w:r>
      <w:r>
        <w:rPr>
          <w:color w:val="1B1B22"/>
        </w:rPr>
        <w:t>e</w:t>
      </w:r>
      <w:r>
        <w:rPr>
          <w:color w:val="1B1B22"/>
          <w:spacing w:val="31"/>
        </w:rPr>
        <w:t> </w:t>
      </w:r>
      <w:r>
        <w:rPr>
          <w:color w:val="1B1B22"/>
          <w:spacing w:val="-2"/>
        </w:rPr>
        <w:t>Inovação</w:t>
      </w:r>
    </w:p>
    <w:p>
      <w:pPr>
        <w:pStyle w:val="BodyText"/>
        <w:spacing w:line="321" w:lineRule="auto" w:before="78"/>
        <w:ind w:left="426" w:right="144"/>
        <w:jc w:val="both"/>
      </w:pPr>
      <w:r>
        <w:rPr/>
        <w:br w:type="column"/>
      </w:r>
      <w:r>
        <w:rPr>
          <w:color w:val="1B1B22"/>
        </w:rPr>
        <w:t>(Cotei) e Comitê de Sustentabilidade Empresarial (Cosem); pela Diretoria Executiva; e pelo CF.</w:t>
      </w:r>
    </w:p>
    <w:p>
      <w:pPr>
        <w:pStyle w:val="BodyText"/>
        <w:spacing w:line="321" w:lineRule="auto" w:before="119"/>
        <w:ind w:left="426" w:right="14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298450</wp:posOffset>
                </wp:positionH>
                <wp:positionV relativeFrom="paragraph">
                  <wp:posOffset>-531487</wp:posOffset>
                </wp:positionV>
                <wp:extent cx="3559175" cy="54406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559175" cy="5440680"/>
                        </a:xfrm>
                        <a:prstGeom prst="rect">
                          <a:avLst/>
                        </a:prstGeom>
                        <a:solidFill>
                          <a:srgbClr val="FFB7AB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21" w:lineRule="auto" w:before="154"/>
                              <w:ind w:left="382" w:right="47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B1B22"/>
                              </w:rPr>
                              <w:t>A Estratégia Corporativa (ECBB) é o documento que traduz a essência da nossa empresa, nossa visão de futuro e onde queremos chegar. Ela é resultado das escolhas e renúncias que fazemos para posicionar estrategicamente o BB frente aos cenários e desafios do mercado. A partir desse posicionamento, avaliamos nossas capacidades e necessidades e definimos nossa atuação por meio de um processo estruturado, participativo e com uso de metodologias consolidadas.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697" w:val="left" w:leader="none"/>
                                <w:tab w:pos="4903" w:val="left" w:leader="none"/>
                              </w:tabs>
                              <w:spacing w:line="321" w:lineRule="auto" w:before="114"/>
                              <w:ind w:left="381" w:right="47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B1B22"/>
                              </w:rPr>
                              <w:t>Apesar</w:t>
                            </w:r>
                            <w:r>
                              <w:rPr>
                                <w:color w:val="1B1B22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do</w:t>
                            </w:r>
                            <w:r>
                              <w:rPr>
                                <w:color w:val="1B1B22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horizonte</w:t>
                            </w:r>
                            <w:r>
                              <w:rPr>
                                <w:color w:val="1B1B22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temporal</w:t>
                            </w:r>
                            <w:r>
                              <w:rPr>
                                <w:color w:val="1B1B22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da</w:t>
                            </w:r>
                            <w:r>
                              <w:rPr>
                                <w:color w:val="1B1B22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ECBB</w:t>
                            </w:r>
                            <w:r>
                              <w:rPr>
                                <w:color w:val="1B1B22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ser</w:t>
                            </w:r>
                            <w:r>
                              <w:rPr>
                                <w:color w:val="1B1B22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de</w:t>
                            </w:r>
                            <w:r>
                              <w:rPr>
                                <w:color w:val="1B1B22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cinco anos,</w:t>
                            </w:r>
                            <w:r>
                              <w:rPr>
                                <w:color w:val="1B1B22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ela</w:t>
                            </w:r>
                            <w:r>
                              <w:rPr>
                                <w:color w:val="1B1B22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é</w:t>
                            </w:r>
                            <w:r>
                              <w:rPr>
                                <w:color w:val="1B1B22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revisada</w:t>
                            </w:r>
                            <w:r>
                              <w:rPr>
                                <w:color w:val="1B1B22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anualmente.</w:t>
                            </w:r>
                            <w:r>
                              <w:rPr>
                                <w:color w:val="1B1B22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Na</w:t>
                            </w:r>
                            <w:r>
                              <w:rPr>
                                <w:color w:val="1B1B22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última</w:t>
                            </w:r>
                            <w:r>
                              <w:rPr>
                                <w:color w:val="1B1B22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</w:rPr>
                              <w:t>revisão, para o ciclo de 2025-2029, ratificamos nosso propósito e nossos valores e reforçamos nosso compromisso de gerar valor para nossos clientes, acionistas e para a sociedade, com foco na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responsabilidade</w:t>
                            </w:r>
                            <w:r>
                              <w:rPr>
                                <w:color w:val="1B1B22"/>
                              </w:rPr>
                              <w:tab/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socioambiental,</w:t>
                            </w:r>
                            <w:r>
                              <w:rPr>
                                <w:color w:val="1B1B22"/>
                              </w:rPr>
                              <w:tab/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na </w:t>
                            </w:r>
                            <w:r>
                              <w:rPr>
                                <w:color w:val="1B1B22"/>
                              </w:rPr>
                              <w:t>transformação digital e na inovação.</w:t>
                            </w:r>
                          </w:p>
                          <w:p>
                            <w:pPr>
                              <w:pStyle w:val="BodyText"/>
                              <w:spacing w:line="321" w:lineRule="auto" w:before="112"/>
                              <w:ind w:left="381" w:right="47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B1B22"/>
                              </w:rPr>
                              <w:t>O nosso Jeito BB é único, é o que nos move e orienta, e está presente em cada um dos nossos funcionários e colaboradores, que possibilitam atingirmos nossos objetivos. Por isso, promover o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aprendizado</w:t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contínuo</w:t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um</w:t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ambiente</w:t>
                            </w:r>
                            <w:r>
                              <w:rPr>
                                <w:color w:val="1B1B2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cada</w:t>
                            </w:r>
                            <w:r>
                              <w:rPr>
                                <w:color w:val="1B1B22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vez</w:t>
                            </w:r>
                            <w:r>
                              <w:rPr>
                                <w:color w:val="1B1B22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B1B22"/>
                                <w:spacing w:val="-2"/>
                              </w:rPr>
                              <w:t>mais </w:t>
                            </w:r>
                            <w:r>
                              <w:rPr>
                                <w:color w:val="1B1B22"/>
                              </w:rPr>
                              <w:t>seguro e inclusivo faz parte de nossa cultura.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pt;margin-top:-41.8494pt;width:280.25pt;height:428.4pt;mso-position-horizontal-relative:page;mso-position-vertical-relative:paragraph;z-index:15730176" type="#_x0000_t202" id="docshape16" filled="true" fillcolor="#ffb7ab" stroked="false">
                <v:textbox inset="0,0,0,0">
                  <w:txbxContent>
                    <w:p>
                      <w:pPr>
                        <w:pStyle w:val="BodyText"/>
                        <w:spacing w:line="321" w:lineRule="auto" w:before="154"/>
                        <w:ind w:left="382" w:right="47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1B1B22"/>
                        </w:rPr>
                        <w:t>A Estratégia Corporativa (ECBB) é o documento que traduz a essência da nossa empresa, nossa visão de futuro e onde queremos chegar. Ela é resultado das escolhas e renúncias que fazemos para posicionar estrategicamente o BB frente aos cenários e desafios do mercado. A partir desse posicionamento, avaliamos nossas capacidades e necessidades e definimos nossa atuação por meio de um processo estruturado, participativo e com uso de metodologias consolidadas.</w:t>
                      </w:r>
                    </w:p>
                    <w:p>
                      <w:pPr>
                        <w:pStyle w:val="BodyText"/>
                        <w:tabs>
                          <w:tab w:pos="2697" w:val="left" w:leader="none"/>
                          <w:tab w:pos="4903" w:val="left" w:leader="none"/>
                        </w:tabs>
                        <w:spacing w:line="321" w:lineRule="auto" w:before="114"/>
                        <w:ind w:left="381" w:right="47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1B1B22"/>
                        </w:rPr>
                        <w:t>Apesar</w:t>
                      </w:r>
                      <w:r>
                        <w:rPr>
                          <w:color w:val="1B1B22"/>
                          <w:spacing w:val="-13"/>
                        </w:rPr>
                        <w:t> </w:t>
                      </w:r>
                      <w:r>
                        <w:rPr>
                          <w:color w:val="1B1B22"/>
                        </w:rPr>
                        <w:t>do</w:t>
                      </w:r>
                      <w:r>
                        <w:rPr>
                          <w:color w:val="1B1B22"/>
                          <w:spacing w:val="-12"/>
                        </w:rPr>
                        <w:t> </w:t>
                      </w:r>
                      <w:r>
                        <w:rPr>
                          <w:color w:val="1B1B22"/>
                        </w:rPr>
                        <w:t>horizonte</w:t>
                      </w:r>
                      <w:r>
                        <w:rPr>
                          <w:color w:val="1B1B22"/>
                          <w:spacing w:val="-13"/>
                        </w:rPr>
                        <w:t> </w:t>
                      </w:r>
                      <w:r>
                        <w:rPr>
                          <w:color w:val="1B1B22"/>
                        </w:rPr>
                        <w:t>temporal</w:t>
                      </w:r>
                      <w:r>
                        <w:rPr>
                          <w:color w:val="1B1B22"/>
                          <w:spacing w:val="-12"/>
                        </w:rPr>
                        <w:t> </w:t>
                      </w:r>
                      <w:r>
                        <w:rPr>
                          <w:color w:val="1B1B22"/>
                        </w:rPr>
                        <w:t>da</w:t>
                      </w:r>
                      <w:r>
                        <w:rPr>
                          <w:color w:val="1B1B22"/>
                          <w:spacing w:val="-12"/>
                        </w:rPr>
                        <w:t> </w:t>
                      </w:r>
                      <w:r>
                        <w:rPr>
                          <w:color w:val="1B1B22"/>
                        </w:rPr>
                        <w:t>ECBB</w:t>
                      </w:r>
                      <w:r>
                        <w:rPr>
                          <w:color w:val="1B1B22"/>
                          <w:spacing w:val="-13"/>
                        </w:rPr>
                        <w:t> </w:t>
                      </w:r>
                      <w:r>
                        <w:rPr>
                          <w:color w:val="1B1B22"/>
                        </w:rPr>
                        <w:t>ser</w:t>
                      </w:r>
                      <w:r>
                        <w:rPr>
                          <w:color w:val="1B1B22"/>
                          <w:spacing w:val="-12"/>
                        </w:rPr>
                        <w:t> </w:t>
                      </w:r>
                      <w:r>
                        <w:rPr>
                          <w:color w:val="1B1B22"/>
                        </w:rPr>
                        <w:t>de</w:t>
                      </w:r>
                      <w:r>
                        <w:rPr>
                          <w:color w:val="1B1B22"/>
                          <w:spacing w:val="-12"/>
                        </w:rPr>
                        <w:t> </w:t>
                      </w:r>
                      <w:r>
                        <w:rPr>
                          <w:color w:val="1B1B22"/>
                        </w:rPr>
                        <w:t>cinco anos,</w:t>
                      </w:r>
                      <w:r>
                        <w:rPr>
                          <w:color w:val="1B1B22"/>
                          <w:spacing w:val="-9"/>
                        </w:rPr>
                        <w:t> </w:t>
                      </w:r>
                      <w:r>
                        <w:rPr>
                          <w:color w:val="1B1B22"/>
                        </w:rPr>
                        <w:t>ela</w:t>
                      </w:r>
                      <w:r>
                        <w:rPr>
                          <w:color w:val="1B1B22"/>
                          <w:spacing w:val="-10"/>
                        </w:rPr>
                        <w:t> </w:t>
                      </w:r>
                      <w:r>
                        <w:rPr>
                          <w:color w:val="1B1B22"/>
                        </w:rPr>
                        <w:t>é</w:t>
                      </w:r>
                      <w:r>
                        <w:rPr>
                          <w:color w:val="1B1B22"/>
                          <w:spacing w:val="-9"/>
                        </w:rPr>
                        <w:t> </w:t>
                      </w:r>
                      <w:r>
                        <w:rPr>
                          <w:color w:val="1B1B22"/>
                        </w:rPr>
                        <w:t>revisada</w:t>
                      </w:r>
                      <w:r>
                        <w:rPr>
                          <w:color w:val="1B1B22"/>
                          <w:spacing w:val="-8"/>
                        </w:rPr>
                        <w:t> </w:t>
                      </w:r>
                      <w:r>
                        <w:rPr>
                          <w:color w:val="1B1B22"/>
                        </w:rPr>
                        <w:t>anualmente.</w:t>
                      </w:r>
                      <w:r>
                        <w:rPr>
                          <w:color w:val="1B1B22"/>
                          <w:spacing w:val="-9"/>
                        </w:rPr>
                        <w:t> </w:t>
                      </w:r>
                      <w:r>
                        <w:rPr>
                          <w:color w:val="1B1B22"/>
                        </w:rPr>
                        <w:t>Na</w:t>
                      </w:r>
                      <w:r>
                        <w:rPr>
                          <w:color w:val="1B1B22"/>
                          <w:spacing w:val="-8"/>
                        </w:rPr>
                        <w:t> </w:t>
                      </w:r>
                      <w:r>
                        <w:rPr>
                          <w:color w:val="1B1B22"/>
                        </w:rPr>
                        <w:t>última</w:t>
                      </w:r>
                      <w:r>
                        <w:rPr>
                          <w:color w:val="1B1B22"/>
                          <w:spacing w:val="-10"/>
                        </w:rPr>
                        <w:t> </w:t>
                      </w:r>
                      <w:r>
                        <w:rPr>
                          <w:color w:val="1B1B22"/>
                        </w:rPr>
                        <w:t>revisão, para o ciclo de 2025-2029, ratificamos nosso propósito e nossos valores e reforçamos nosso compromisso de gerar valor para nossos clientes, acionistas e para a sociedade, com foco na </w:t>
                      </w:r>
                      <w:r>
                        <w:rPr>
                          <w:color w:val="1B1B22"/>
                          <w:spacing w:val="-2"/>
                        </w:rPr>
                        <w:t>responsabilidade</w:t>
                      </w:r>
                      <w:r>
                        <w:rPr>
                          <w:color w:val="1B1B22"/>
                        </w:rPr>
                        <w:tab/>
                      </w:r>
                      <w:r>
                        <w:rPr>
                          <w:color w:val="1B1B22"/>
                          <w:spacing w:val="-2"/>
                        </w:rPr>
                        <w:t>socioambiental,</w:t>
                      </w:r>
                      <w:r>
                        <w:rPr>
                          <w:color w:val="1B1B22"/>
                        </w:rPr>
                        <w:tab/>
                      </w:r>
                      <w:r>
                        <w:rPr>
                          <w:color w:val="1B1B22"/>
                          <w:spacing w:val="-6"/>
                        </w:rPr>
                        <w:t>na </w:t>
                      </w:r>
                      <w:r>
                        <w:rPr>
                          <w:color w:val="1B1B22"/>
                        </w:rPr>
                        <w:t>transformação digital e na inovação.</w:t>
                      </w:r>
                    </w:p>
                    <w:p>
                      <w:pPr>
                        <w:pStyle w:val="BodyText"/>
                        <w:spacing w:line="321" w:lineRule="auto" w:before="112"/>
                        <w:ind w:left="381" w:right="47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1B1B22"/>
                        </w:rPr>
                        <w:t>O nosso Jeito BB é único, é o que nos move e orienta, e está presente em cada um dos nossos funcionários e colaboradores, que possibilitam atingirmos nossos objetivos. Por isso, promover o </w:t>
                      </w:r>
                      <w:r>
                        <w:rPr>
                          <w:color w:val="1B1B22"/>
                          <w:spacing w:val="-2"/>
                        </w:rPr>
                        <w:t>aprendizado</w:t>
                      </w:r>
                      <w:r>
                        <w:rPr>
                          <w:color w:val="1B1B22"/>
                          <w:spacing w:val="-6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contínuo</w:t>
                      </w:r>
                      <w:r>
                        <w:rPr>
                          <w:color w:val="1B1B22"/>
                          <w:spacing w:val="-6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e</w:t>
                      </w:r>
                      <w:r>
                        <w:rPr>
                          <w:color w:val="1B1B22"/>
                          <w:spacing w:val="-6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um</w:t>
                      </w:r>
                      <w:r>
                        <w:rPr>
                          <w:color w:val="1B1B22"/>
                          <w:spacing w:val="-6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ambiente</w:t>
                      </w:r>
                      <w:r>
                        <w:rPr>
                          <w:color w:val="1B1B22"/>
                          <w:spacing w:val="-6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cada</w:t>
                      </w:r>
                      <w:r>
                        <w:rPr>
                          <w:color w:val="1B1B22"/>
                          <w:spacing w:val="-7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vez</w:t>
                      </w:r>
                      <w:r>
                        <w:rPr>
                          <w:color w:val="1B1B22"/>
                          <w:spacing w:val="-7"/>
                        </w:rPr>
                        <w:t> </w:t>
                      </w:r>
                      <w:r>
                        <w:rPr>
                          <w:color w:val="1B1B22"/>
                          <w:spacing w:val="-2"/>
                        </w:rPr>
                        <w:t>mais </w:t>
                      </w:r>
                      <w:r>
                        <w:rPr>
                          <w:color w:val="1B1B22"/>
                        </w:rPr>
                        <w:t>seguro e inclusivo faz parte de nossa cultura.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1B1B22"/>
        </w:rPr>
        <w:t>O CA, possui, no mínimo 30% de membros independentes, observado o disposto no Estatuto Social, na legislação e no Regulamento do Novo Mercado da B3.</w:t>
      </w:r>
    </w:p>
    <w:p>
      <w:pPr>
        <w:pStyle w:val="BodyText"/>
        <w:tabs>
          <w:tab w:pos="2053" w:val="left" w:leader="none"/>
          <w:tab w:pos="2925" w:val="left" w:leader="none"/>
          <w:tab w:pos="4538" w:val="left" w:leader="none"/>
        </w:tabs>
        <w:spacing w:line="321" w:lineRule="auto" w:before="119"/>
        <w:ind w:left="426" w:right="141"/>
        <w:jc w:val="both"/>
      </w:pPr>
      <w:r>
        <w:rPr>
          <w:color w:val="1B1B22"/>
        </w:rPr>
        <w:t>No</w:t>
      </w:r>
      <w:r>
        <w:rPr>
          <w:color w:val="1B1B22"/>
          <w:spacing w:val="-8"/>
        </w:rPr>
        <w:t> </w:t>
      </w:r>
      <w:r>
        <w:rPr>
          <w:color w:val="1B1B22"/>
        </w:rPr>
        <w:t>dia</w:t>
      </w:r>
      <w:r>
        <w:rPr>
          <w:color w:val="1B1B22"/>
          <w:spacing w:val="-9"/>
        </w:rPr>
        <w:t> </w:t>
      </w:r>
      <w:r>
        <w:rPr>
          <w:color w:val="1B1B22"/>
        </w:rPr>
        <w:t>30</w:t>
      </w:r>
      <w:r>
        <w:rPr>
          <w:color w:val="1B1B22"/>
          <w:spacing w:val="-7"/>
        </w:rPr>
        <w:t> </w:t>
      </w:r>
      <w:r>
        <w:rPr>
          <w:color w:val="1B1B22"/>
        </w:rPr>
        <w:t>de</w:t>
      </w:r>
      <w:r>
        <w:rPr>
          <w:color w:val="1B1B22"/>
          <w:spacing w:val="-8"/>
        </w:rPr>
        <w:t> </w:t>
      </w:r>
      <w:r>
        <w:rPr>
          <w:color w:val="1B1B22"/>
        </w:rPr>
        <w:t>abril,</w:t>
      </w:r>
      <w:r>
        <w:rPr>
          <w:color w:val="1B1B22"/>
          <w:spacing w:val="-7"/>
        </w:rPr>
        <w:t> </w:t>
      </w:r>
      <w:r>
        <w:rPr>
          <w:color w:val="1B1B22"/>
        </w:rPr>
        <w:t>foram</w:t>
      </w:r>
      <w:r>
        <w:rPr>
          <w:color w:val="1B1B22"/>
          <w:spacing w:val="-8"/>
        </w:rPr>
        <w:t> </w:t>
      </w:r>
      <w:r>
        <w:rPr>
          <w:color w:val="1B1B22"/>
        </w:rPr>
        <w:t>realizadas</w:t>
      </w:r>
      <w:r>
        <w:rPr>
          <w:color w:val="1B1B22"/>
          <w:spacing w:val="-7"/>
        </w:rPr>
        <w:t> </w:t>
      </w:r>
      <w:r>
        <w:rPr>
          <w:color w:val="1B1B22"/>
        </w:rPr>
        <w:t>as</w:t>
      </w:r>
      <w:r>
        <w:rPr>
          <w:color w:val="1B1B22"/>
          <w:spacing w:val="-9"/>
        </w:rPr>
        <w:t> </w:t>
      </w:r>
      <w:r>
        <w:rPr>
          <w:color w:val="1B1B22"/>
        </w:rPr>
        <w:t>Assembleias Gerais</w:t>
      </w:r>
      <w:r>
        <w:rPr>
          <w:color w:val="1B1B22"/>
          <w:spacing w:val="-8"/>
        </w:rPr>
        <w:t> </w:t>
      </w:r>
      <w:r>
        <w:rPr>
          <w:color w:val="1B1B22"/>
        </w:rPr>
        <w:t>Ordinária</w:t>
      </w:r>
      <w:r>
        <w:rPr>
          <w:color w:val="1B1B22"/>
          <w:spacing w:val="-10"/>
        </w:rPr>
        <w:t> </w:t>
      </w:r>
      <w:r>
        <w:rPr>
          <w:color w:val="1B1B22"/>
        </w:rPr>
        <w:t>e</w:t>
      </w:r>
      <w:r>
        <w:rPr>
          <w:color w:val="1B1B22"/>
          <w:spacing w:val="-9"/>
        </w:rPr>
        <w:t> </w:t>
      </w:r>
      <w:r>
        <w:rPr>
          <w:color w:val="1B1B22"/>
        </w:rPr>
        <w:t>Extraordinária</w:t>
      </w:r>
      <w:r>
        <w:rPr>
          <w:color w:val="1B1B22"/>
          <w:spacing w:val="-10"/>
        </w:rPr>
        <w:t> </w:t>
      </w:r>
      <w:r>
        <w:rPr>
          <w:color w:val="1B1B22"/>
        </w:rPr>
        <w:t>que</w:t>
      </w:r>
      <w:r>
        <w:rPr>
          <w:color w:val="1B1B22"/>
          <w:spacing w:val="-8"/>
        </w:rPr>
        <w:t> </w:t>
      </w:r>
      <w:r>
        <w:rPr>
          <w:color w:val="1B1B22"/>
        </w:rPr>
        <w:t>aprovaram</w:t>
      </w:r>
      <w:r>
        <w:rPr>
          <w:color w:val="1B1B22"/>
          <w:spacing w:val="-9"/>
        </w:rPr>
        <w:t> </w:t>
      </w:r>
      <w:r>
        <w:rPr>
          <w:color w:val="1B1B22"/>
        </w:rPr>
        <w:t>as contas dos Administradores e as Demonstrações Financeiras relativas ao ano de 2024, bem como a destinação do lucro líquido e a respectiva </w:t>
      </w:r>
      <w:r>
        <w:rPr>
          <w:color w:val="1B1B22"/>
          <w:spacing w:val="-2"/>
        </w:rPr>
        <w:t>distribuição</w:t>
      </w:r>
      <w:r>
        <w:rPr>
          <w:color w:val="1B1B22"/>
        </w:rPr>
        <w:tab/>
      </w:r>
      <w:r>
        <w:rPr>
          <w:color w:val="1B1B22"/>
          <w:spacing w:val="-4"/>
        </w:rPr>
        <w:t>dos</w:t>
      </w:r>
      <w:r>
        <w:rPr>
          <w:color w:val="1B1B22"/>
        </w:rPr>
        <w:tab/>
      </w:r>
      <w:r>
        <w:rPr>
          <w:color w:val="1B1B22"/>
          <w:spacing w:val="-2"/>
        </w:rPr>
        <w:t>dividendos;</w:t>
      </w:r>
      <w:r>
        <w:rPr>
          <w:color w:val="1B1B22"/>
        </w:rPr>
        <w:tab/>
      </w:r>
      <w:r>
        <w:rPr>
          <w:color w:val="1B1B22"/>
          <w:spacing w:val="-2"/>
        </w:rPr>
        <w:t>elegeu </w:t>
      </w:r>
      <w:r>
        <w:rPr>
          <w:color w:val="1B1B22"/>
        </w:rPr>
        <w:t>administradores e fixou o montante global anual para a remuneração dos Administradores, dos Conselhos</w:t>
      </w:r>
      <w:r>
        <w:rPr>
          <w:color w:val="1B1B22"/>
          <w:spacing w:val="-2"/>
        </w:rPr>
        <w:t> </w:t>
      </w:r>
      <w:r>
        <w:rPr>
          <w:color w:val="1B1B22"/>
        </w:rPr>
        <w:t>e</w:t>
      </w:r>
      <w:r>
        <w:rPr>
          <w:color w:val="1B1B22"/>
          <w:spacing w:val="-3"/>
        </w:rPr>
        <w:t> </w:t>
      </w:r>
      <w:r>
        <w:rPr>
          <w:color w:val="1B1B22"/>
        </w:rPr>
        <w:t>Comitês.</w:t>
      </w:r>
      <w:r>
        <w:rPr>
          <w:color w:val="1B1B22"/>
          <w:spacing w:val="-7"/>
        </w:rPr>
        <w:t> </w:t>
      </w:r>
      <w:r>
        <w:rPr>
          <w:color w:val="1B1B22"/>
        </w:rPr>
        <w:t>Além</w:t>
      </w:r>
      <w:r>
        <w:rPr>
          <w:color w:val="1B1B22"/>
          <w:spacing w:val="-4"/>
        </w:rPr>
        <w:t> </w:t>
      </w:r>
      <w:r>
        <w:rPr>
          <w:color w:val="1B1B22"/>
        </w:rPr>
        <w:t>disso,</w:t>
      </w:r>
      <w:r>
        <w:rPr>
          <w:color w:val="1B1B22"/>
          <w:spacing w:val="40"/>
        </w:rPr>
        <w:t> </w:t>
      </w:r>
      <w:r>
        <w:rPr>
          <w:color w:val="1B1B22"/>
        </w:rPr>
        <w:t>aprovou</w:t>
      </w:r>
      <w:r>
        <w:rPr>
          <w:color w:val="1B1B22"/>
          <w:spacing w:val="-3"/>
        </w:rPr>
        <w:t> </w:t>
      </w:r>
      <w:r>
        <w:rPr>
          <w:color w:val="1B1B22"/>
        </w:rPr>
        <w:t>revisão do Estatuto Social.</w:t>
      </w:r>
    </w:p>
    <w:p>
      <w:pPr>
        <w:pStyle w:val="BodyText"/>
        <w:spacing w:line="321" w:lineRule="auto" w:before="112"/>
        <w:ind w:left="426" w:right="139"/>
        <w:jc w:val="both"/>
      </w:pPr>
      <w:r>
        <w:rPr>
          <w:color w:val="1B1B22"/>
        </w:rPr>
        <w:t>Ainda</w:t>
      </w:r>
      <w:r>
        <w:rPr>
          <w:color w:val="1B1B22"/>
          <w:spacing w:val="-9"/>
        </w:rPr>
        <w:t> </w:t>
      </w:r>
      <w:r>
        <w:rPr>
          <w:color w:val="1B1B22"/>
        </w:rPr>
        <w:t>no</w:t>
      </w:r>
      <w:r>
        <w:rPr>
          <w:color w:val="1B1B22"/>
          <w:spacing w:val="-8"/>
        </w:rPr>
        <w:t> </w:t>
      </w:r>
      <w:r>
        <w:rPr>
          <w:color w:val="1B1B22"/>
        </w:rPr>
        <w:t>2T25,</w:t>
      </w:r>
      <w:r>
        <w:rPr>
          <w:color w:val="1B1B22"/>
          <w:spacing w:val="-8"/>
        </w:rPr>
        <w:t> </w:t>
      </w:r>
      <w:r>
        <w:rPr>
          <w:color w:val="1B1B22"/>
        </w:rPr>
        <w:t>elaboramos</w:t>
      </w:r>
      <w:r>
        <w:rPr>
          <w:color w:val="1B1B22"/>
          <w:spacing w:val="-7"/>
        </w:rPr>
        <w:t> </w:t>
      </w:r>
      <w:r>
        <w:rPr>
          <w:color w:val="1B1B22"/>
        </w:rPr>
        <w:t>uma</w:t>
      </w:r>
      <w:r>
        <w:rPr>
          <w:color w:val="1B1B22"/>
          <w:spacing w:val="-7"/>
        </w:rPr>
        <w:t> </w:t>
      </w:r>
      <w:r>
        <w:rPr>
          <w:color w:val="1B1B22"/>
        </w:rPr>
        <w:t>ampla</w:t>
      </w:r>
      <w:r>
        <w:rPr>
          <w:color w:val="1B1B22"/>
          <w:spacing w:val="-9"/>
        </w:rPr>
        <w:t> </w:t>
      </w:r>
      <w:r>
        <w:rPr>
          <w:color w:val="1B1B22"/>
        </w:rPr>
        <w:t>atualização dos Regimentos Internos dos órgãos da administração (CA, CD e</w:t>
      </w:r>
      <w:r>
        <w:rPr>
          <w:color w:val="1B1B22"/>
          <w:spacing w:val="-2"/>
        </w:rPr>
        <w:t> </w:t>
      </w:r>
      <w:r>
        <w:rPr>
          <w:color w:val="1B1B22"/>
        </w:rPr>
        <w:t>Diretoria</w:t>
      </w:r>
      <w:r>
        <w:rPr>
          <w:color w:val="1B1B22"/>
          <w:spacing w:val="-1"/>
        </w:rPr>
        <w:t> </w:t>
      </w:r>
      <w:r>
        <w:rPr>
          <w:color w:val="1B1B22"/>
        </w:rPr>
        <w:t>Executiva) e dos comitês de assessoramento ao CA, objetivando o contínuo alinhamento às melhores práticas de governança corporativa e às normas aplicáveis.</w:t>
      </w:r>
    </w:p>
    <w:p>
      <w:pPr>
        <w:pStyle w:val="BodyText"/>
        <w:spacing w:line="321" w:lineRule="auto" w:before="118"/>
        <w:ind w:left="427" w:right="139"/>
        <w:jc w:val="both"/>
      </w:pPr>
      <w:r>
        <w:rPr>
          <w:color w:val="1B1B22"/>
        </w:rPr>
        <w:t>Por fim, no 2T25, o CA aprovou a Carta Anual de Políticas Públicas e Governança Corporativa, unificada</w:t>
      </w:r>
      <w:r>
        <w:rPr>
          <w:color w:val="1B1B22"/>
          <w:spacing w:val="-9"/>
        </w:rPr>
        <w:t> </w:t>
      </w:r>
      <w:r>
        <w:rPr>
          <w:color w:val="1B1B22"/>
        </w:rPr>
        <w:t>para</w:t>
      </w:r>
      <w:r>
        <w:rPr>
          <w:color w:val="1B1B22"/>
          <w:spacing w:val="-9"/>
        </w:rPr>
        <w:t> </w:t>
      </w:r>
      <w:r>
        <w:rPr>
          <w:color w:val="1B1B22"/>
        </w:rPr>
        <w:t>o</w:t>
      </w:r>
      <w:r>
        <w:rPr>
          <w:color w:val="1B1B22"/>
          <w:spacing w:val="-8"/>
        </w:rPr>
        <w:t> </w:t>
      </w:r>
      <w:r>
        <w:rPr>
          <w:color w:val="1B1B22"/>
        </w:rPr>
        <w:t>Conglomerado</w:t>
      </w:r>
      <w:r>
        <w:rPr>
          <w:color w:val="1B1B22"/>
          <w:spacing w:val="-8"/>
        </w:rPr>
        <w:t> </w:t>
      </w:r>
      <w:r>
        <w:rPr>
          <w:color w:val="1B1B22"/>
        </w:rPr>
        <w:t>Prudencial</w:t>
      </w:r>
      <w:r>
        <w:rPr>
          <w:color w:val="1B1B22"/>
          <w:spacing w:val="-8"/>
        </w:rPr>
        <w:t> </w:t>
      </w:r>
      <w:r>
        <w:rPr>
          <w:color w:val="1B1B22"/>
        </w:rPr>
        <w:t>(CPBB), contemplando as Entidades Ligadas sediadas no Brasil,</w:t>
      </w:r>
      <w:r>
        <w:rPr>
          <w:color w:val="1B1B22"/>
          <w:spacing w:val="-11"/>
        </w:rPr>
        <w:t> </w:t>
      </w:r>
      <w:r>
        <w:rPr>
          <w:color w:val="1B1B22"/>
        </w:rPr>
        <w:t>que</w:t>
      </w:r>
      <w:r>
        <w:rPr>
          <w:color w:val="1B1B22"/>
          <w:spacing w:val="-12"/>
        </w:rPr>
        <w:t> </w:t>
      </w:r>
      <w:r>
        <w:rPr>
          <w:color w:val="1B1B22"/>
        </w:rPr>
        <w:t>compõem</w:t>
      </w:r>
      <w:r>
        <w:rPr>
          <w:color w:val="1B1B22"/>
          <w:spacing w:val="-12"/>
        </w:rPr>
        <w:t> </w:t>
      </w:r>
      <w:r>
        <w:rPr>
          <w:color w:val="1B1B22"/>
        </w:rPr>
        <w:t>o</w:t>
      </w:r>
      <w:r>
        <w:rPr>
          <w:color w:val="1B1B22"/>
          <w:spacing w:val="-11"/>
        </w:rPr>
        <w:t> </w:t>
      </w:r>
      <w:r>
        <w:rPr>
          <w:color w:val="1B1B22"/>
        </w:rPr>
        <w:t>CPBB,</w:t>
      </w:r>
      <w:r>
        <w:rPr>
          <w:color w:val="1B1B22"/>
          <w:spacing w:val="-11"/>
        </w:rPr>
        <w:t> </w:t>
      </w:r>
      <w:r>
        <w:rPr>
          <w:color w:val="1B1B22"/>
        </w:rPr>
        <w:t>e</w:t>
      </w:r>
      <w:r>
        <w:rPr>
          <w:color w:val="1B1B22"/>
          <w:spacing w:val="-12"/>
        </w:rPr>
        <w:t> </w:t>
      </w:r>
      <w:r>
        <w:rPr>
          <w:color w:val="1B1B22"/>
        </w:rPr>
        <w:t>que</w:t>
      </w:r>
      <w:r>
        <w:rPr>
          <w:color w:val="1B1B22"/>
          <w:spacing w:val="-12"/>
        </w:rPr>
        <w:t> </w:t>
      </w:r>
      <w:r>
        <w:rPr>
          <w:color w:val="1B1B22"/>
        </w:rPr>
        <w:t>manifestaram</w:t>
      </w:r>
      <w:r>
        <w:rPr>
          <w:color w:val="1B1B22"/>
          <w:spacing w:val="-12"/>
        </w:rPr>
        <w:t> </w:t>
      </w:r>
      <w:r>
        <w:rPr>
          <w:color w:val="1B1B22"/>
        </w:rPr>
        <w:t>a adesão à Carta Anual unificada. Os documentos acima referenciados estão disponíveis no site </w:t>
      </w:r>
      <w:hyperlink r:id="rId10">
        <w:r>
          <w:rPr>
            <w:color w:val="0562C1"/>
            <w:u w:val="single" w:color="0562C1"/>
          </w:rPr>
          <w:t>https://ri.bb.com.br/</w:t>
        </w:r>
      </w:hyperlink>
      <w:r>
        <w:rPr>
          <w:color w:val="0562C1"/>
          <w:u w:val="none"/>
        </w:rPr>
        <w:t> </w:t>
      </w:r>
      <w:r>
        <w:rPr>
          <w:color w:val="1B1B22"/>
          <w:u w:val="none"/>
        </w:rPr>
        <w:t>&gt; aba Governança e </w:t>
      </w:r>
      <w:r>
        <w:rPr>
          <w:color w:val="1B1B22"/>
          <w:spacing w:val="-2"/>
          <w:u w:val="none"/>
        </w:rPr>
        <w:t>Sustentabilidade.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6" w:space="239"/>
            <w:col w:w="5322"/>
          </w:cols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239"/>
        <w:rPr>
          <w:sz w:val="44"/>
        </w:rPr>
      </w:pPr>
    </w:p>
    <w:p>
      <w:pPr>
        <w:pStyle w:val="Heading1"/>
        <w:spacing w:before="1"/>
      </w:pPr>
      <w:r>
        <w:rPr>
          <w:color w:val="465EFF"/>
          <w:spacing w:val="29"/>
        </w:rPr>
        <w:t>Tecnologia</w:t>
      </w:r>
      <w:r>
        <w:rPr>
          <w:color w:val="465EFF"/>
          <w:spacing w:val="68"/>
        </w:rPr>
        <w:t> </w:t>
      </w:r>
      <w:r>
        <w:rPr>
          <w:color w:val="465EFF"/>
          <w:spacing w:val="27"/>
        </w:rPr>
        <w:t>que</w:t>
      </w:r>
      <w:r>
        <w:rPr>
          <w:color w:val="465EFF"/>
          <w:spacing w:val="42"/>
        </w:rPr>
        <w:t> </w:t>
      </w:r>
      <w:r>
        <w:rPr>
          <w:color w:val="465EFF"/>
          <w:spacing w:val="28"/>
        </w:rPr>
        <w:t>Transforma</w:t>
      </w:r>
    </w:p>
    <w:p>
      <w:pPr>
        <w:pStyle w:val="BodyText"/>
        <w:spacing w:before="2"/>
        <w:rPr>
          <w:rFonts w:ascii="BancoDoBrasil Titulos"/>
        </w:rPr>
      </w:pPr>
    </w:p>
    <w:p>
      <w:pPr>
        <w:pStyle w:val="BodyText"/>
        <w:spacing w:after="0"/>
        <w:rPr>
          <w:rFonts w:ascii="BancoDoBrasil Titulos"/>
        </w:rPr>
        <w:sectPr>
          <w:pgSz w:w="11910" w:h="16850"/>
          <w:pgMar w:header="152" w:footer="572" w:top="900" w:bottom="780" w:left="425" w:right="708"/>
        </w:sectPr>
      </w:pPr>
    </w:p>
    <w:p>
      <w:pPr>
        <w:pStyle w:val="BodyText"/>
        <w:spacing w:line="321" w:lineRule="auto" w:before="78"/>
        <w:ind w:left="427" w:right="39"/>
        <w:jc w:val="both"/>
      </w:pPr>
      <w:r>
        <w:rPr>
          <w:color w:val="1B1B22"/>
        </w:rPr>
        <w:t>A nossa Estratégia Digital é focada na transformação digital e cultural, com inovações </w:t>
      </w:r>
      <w:r>
        <w:rPr>
          <w:color w:val="1B1B22"/>
          <w:spacing w:val="-2"/>
        </w:rPr>
        <w:t>constantes,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tecnologia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ponta,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novos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modelos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de negócio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maior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agilidade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para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encantar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os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clientes.</w:t>
      </w:r>
    </w:p>
    <w:p>
      <w:pPr>
        <w:pStyle w:val="BodyText"/>
        <w:spacing w:line="321" w:lineRule="auto" w:before="116"/>
        <w:ind w:left="427" w:right="38"/>
        <w:jc w:val="both"/>
      </w:pPr>
      <w:r>
        <w:rPr>
          <w:color w:val="1B1B22"/>
        </w:rPr>
        <w:t>A</w:t>
      </w:r>
      <w:r>
        <w:rPr>
          <w:color w:val="1B1B22"/>
          <w:spacing w:val="-1"/>
        </w:rPr>
        <w:t> </w:t>
      </w:r>
      <w:r>
        <w:rPr>
          <w:color w:val="1B1B22"/>
        </w:rPr>
        <w:t>aplicação estratégica de inteligência analítica de dados e Inteligência Artificial (IA) tem gerado resultados expressivos: aumento da eficiência operacional, impulsão de negócios e experiências personalizadas.</w:t>
      </w:r>
      <w:r>
        <w:rPr>
          <w:color w:val="1B1B22"/>
          <w:spacing w:val="-13"/>
        </w:rPr>
        <w:t> </w:t>
      </w:r>
      <w:r>
        <w:rPr>
          <w:color w:val="1B1B22"/>
        </w:rPr>
        <w:t>Um</w:t>
      </w:r>
      <w:r>
        <w:rPr>
          <w:color w:val="1B1B22"/>
          <w:spacing w:val="-12"/>
        </w:rPr>
        <w:t> </w:t>
      </w:r>
      <w:r>
        <w:rPr>
          <w:color w:val="1B1B22"/>
        </w:rPr>
        <w:t>exemplo</w:t>
      </w:r>
      <w:r>
        <w:rPr>
          <w:color w:val="1B1B22"/>
          <w:spacing w:val="-13"/>
        </w:rPr>
        <w:t> </w:t>
      </w:r>
      <w:r>
        <w:rPr>
          <w:color w:val="1B1B22"/>
        </w:rPr>
        <w:t>é</w:t>
      </w:r>
      <w:r>
        <w:rPr>
          <w:color w:val="1B1B22"/>
          <w:spacing w:val="-12"/>
        </w:rPr>
        <w:t> </w:t>
      </w:r>
      <w:r>
        <w:rPr>
          <w:color w:val="1B1B22"/>
        </w:rPr>
        <w:t>a</w:t>
      </w:r>
      <w:r>
        <w:rPr>
          <w:color w:val="1B1B22"/>
          <w:spacing w:val="-12"/>
        </w:rPr>
        <w:t> </w:t>
      </w:r>
      <w:r>
        <w:rPr>
          <w:color w:val="1B1B22"/>
        </w:rPr>
        <w:t>solução</w:t>
      </w:r>
      <w:r>
        <w:rPr>
          <w:color w:val="1B1B22"/>
          <w:spacing w:val="-13"/>
        </w:rPr>
        <w:t> </w:t>
      </w:r>
      <w:r>
        <w:rPr>
          <w:color w:val="1B1B22"/>
        </w:rPr>
        <w:t>“Potencial Crédito</w:t>
      </w:r>
      <w:r>
        <w:rPr>
          <w:color w:val="1B1B22"/>
          <w:spacing w:val="-13"/>
        </w:rPr>
        <w:t> </w:t>
      </w:r>
      <w:r>
        <w:rPr>
          <w:color w:val="1B1B22"/>
        </w:rPr>
        <w:t>Carbono</w:t>
      </w:r>
      <w:r>
        <w:rPr>
          <w:color w:val="1B1B22"/>
          <w:spacing w:val="-12"/>
        </w:rPr>
        <w:t> </w:t>
      </w:r>
      <w:r>
        <w:rPr>
          <w:color w:val="1B1B22"/>
        </w:rPr>
        <w:t>–</w:t>
      </w:r>
      <w:r>
        <w:rPr>
          <w:color w:val="1B1B22"/>
          <w:spacing w:val="-13"/>
        </w:rPr>
        <w:t> </w:t>
      </w:r>
      <w:r>
        <w:rPr>
          <w:color w:val="1B1B22"/>
        </w:rPr>
        <w:t>Agricultura</w:t>
      </w:r>
      <w:r>
        <w:rPr>
          <w:color w:val="1B1B22"/>
          <w:spacing w:val="-12"/>
        </w:rPr>
        <w:t> </w:t>
      </w:r>
      <w:r>
        <w:rPr>
          <w:color w:val="1B1B22"/>
        </w:rPr>
        <w:t>Baixo</w:t>
      </w:r>
      <w:r>
        <w:rPr>
          <w:color w:val="1B1B22"/>
          <w:spacing w:val="-12"/>
        </w:rPr>
        <w:t> </w:t>
      </w:r>
      <w:r>
        <w:rPr>
          <w:color w:val="1B1B22"/>
        </w:rPr>
        <w:t>Carbono”,</w:t>
      </w:r>
      <w:r>
        <w:rPr>
          <w:color w:val="1B1B22"/>
          <w:spacing w:val="-13"/>
        </w:rPr>
        <w:t> </w:t>
      </w:r>
      <w:r>
        <w:rPr>
          <w:color w:val="1B1B22"/>
        </w:rPr>
        <w:t>que identifica propriedades com maior retenção de Gases de Efeito Estufa. Reconhecida pelo Prêmio MapBiomas em julho/25, a solução gera cinco índices estatísticos que otimizam a prospecção de </w:t>
      </w:r>
      <w:r>
        <w:rPr>
          <w:color w:val="1B1B22"/>
          <w:spacing w:val="-2"/>
        </w:rPr>
        <w:t>clientes.</w:t>
      </w:r>
    </w:p>
    <w:p>
      <w:pPr>
        <w:pStyle w:val="BodyText"/>
        <w:spacing w:line="321" w:lineRule="auto" w:before="114"/>
        <w:ind w:left="427" w:right="39"/>
        <w:jc w:val="both"/>
      </w:pPr>
      <w:r>
        <w:rPr>
          <w:color w:val="1B1B22"/>
        </w:rPr>
        <w:t>A IA também está presente nas ofertas de investimentos personalizadas, alinhadas ao perfil suitability do cliente, com mais de R$ 260 milhões </w:t>
      </w:r>
      <w:r>
        <w:rPr>
          <w:color w:val="1B1B22"/>
          <w:spacing w:val="-2"/>
        </w:rPr>
        <w:t>contratados.</w:t>
      </w:r>
    </w:p>
    <w:p>
      <w:pPr>
        <w:pStyle w:val="BodyText"/>
        <w:spacing w:line="321" w:lineRule="auto" w:before="116"/>
        <w:ind w:left="427" w:right="38"/>
        <w:jc w:val="both"/>
      </w:pPr>
      <w:r>
        <w:rPr>
          <w:color w:val="1B1B22"/>
        </w:rPr>
        <w:t>No campo dos pagamentos, o BB Pay permite receber por aproximação diretamente no App BB, com a função Tap on Phone, transformando o celular em uma maquininha. No acumulado do semestre,</w:t>
      </w:r>
      <w:r>
        <w:rPr>
          <w:color w:val="1B1B22"/>
          <w:spacing w:val="-13"/>
        </w:rPr>
        <w:t> </w:t>
      </w:r>
      <w:r>
        <w:rPr>
          <w:color w:val="1B1B22"/>
        </w:rPr>
        <w:t>a</w:t>
      </w:r>
      <w:r>
        <w:rPr>
          <w:color w:val="1B1B22"/>
          <w:spacing w:val="-12"/>
        </w:rPr>
        <w:t> </w:t>
      </w:r>
      <w:r>
        <w:rPr>
          <w:color w:val="1B1B22"/>
        </w:rPr>
        <w:t>solução</w:t>
      </w:r>
      <w:r>
        <w:rPr>
          <w:color w:val="1B1B22"/>
          <w:spacing w:val="-13"/>
        </w:rPr>
        <w:t> </w:t>
      </w:r>
      <w:r>
        <w:rPr>
          <w:color w:val="1B1B22"/>
        </w:rPr>
        <w:t>movimentou</w:t>
      </w:r>
      <w:r>
        <w:rPr>
          <w:color w:val="1B1B22"/>
          <w:spacing w:val="-12"/>
        </w:rPr>
        <w:t> </w:t>
      </w:r>
      <w:r>
        <w:rPr>
          <w:color w:val="1B1B22"/>
        </w:rPr>
        <w:t>R$</w:t>
      </w:r>
      <w:r>
        <w:rPr>
          <w:color w:val="1B1B22"/>
          <w:spacing w:val="-12"/>
        </w:rPr>
        <w:t> </w:t>
      </w:r>
      <w:r>
        <w:rPr>
          <w:color w:val="1B1B22"/>
        </w:rPr>
        <w:t>7,8</w:t>
      </w:r>
      <w:r>
        <w:rPr>
          <w:color w:val="1B1B22"/>
          <w:spacing w:val="-13"/>
        </w:rPr>
        <w:t> </w:t>
      </w:r>
      <w:r>
        <w:rPr>
          <w:color w:val="1B1B22"/>
        </w:rPr>
        <w:t>bilhões</w:t>
      </w:r>
      <w:r>
        <w:rPr>
          <w:color w:val="1B1B22"/>
          <w:spacing w:val="-12"/>
        </w:rPr>
        <w:t> </w:t>
      </w:r>
      <w:r>
        <w:rPr>
          <w:color w:val="1B1B22"/>
        </w:rPr>
        <w:t>em 8,9 milhões de pagamentos, evidenciando a crescente adesão.</w:t>
      </w:r>
    </w:p>
    <w:p>
      <w:pPr>
        <w:pStyle w:val="BodyText"/>
        <w:spacing w:line="321" w:lineRule="auto" w:before="117"/>
        <w:ind w:left="426" w:right="41"/>
        <w:jc w:val="both"/>
      </w:pPr>
      <w:r>
        <w:rPr>
          <w:color w:val="1B1B22"/>
        </w:rPr>
        <w:t>Inovamos</w:t>
      </w:r>
      <w:r>
        <w:rPr>
          <w:color w:val="1B1B22"/>
          <w:spacing w:val="-6"/>
        </w:rPr>
        <w:t> </w:t>
      </w:r>
      <w:r>
        <w:rPr>
          <w:color w:val="1B1B22"/>
        </w:rPr>
        <w:t>também</w:t>
      </w:r>
      <w:r>
        <w:rPr>
          <w:color w:val="1B1B22"/>
          <w:spacing w:val="-5"/>
        </w:rPr>
        <w:t> </w:t>
      </w:r>
      <w:r>
        <w:rPr>
          <w:color w:val="1B1B22"/>
        </w:rPr>
        <w:t>lançando</w:t>
      </w:r>
      <w:r>
        <w:rPr>
          <w:color w:val="1B1B22"/>
          <w:spacing w:val="-7"/>
        </w:rPr>
        <w:t> </w:t>
      </w:r>
      <w:r>
        <w:rPr>
          <w:color w:val="1B1B22"/>
        </w:rPr>
        <w:t>a</w:t>
      </w:r>
      <w:r>
        <w:rPr>
          <w:color w:val="1B1B22"/>
          <w:spacing w:val="-8"/>
        </w:rPr>
        <w:t> </w:t>
      </w:r>
      <w:r>
        <w:rPr>
          <w:color w:val="1B1B22"/>
        </w:rPr>
        <w:t>nossa</w:t>
      </w:r>
      <w:r>
        <w:rPr>
          <w:color w:val="1B1B22"/>
          <w:spacing w:val="-8"/>
        </w:rPr>
        <w:t> </w:t>
      </w:r>
      <w:r>
        <w:rPr>
          <w:color w:val="1B1B22"/>
        </w:rPr>
        <w:t>marca</w:t>
      </w:r>
      <w:r>
        <w:rPr>
          <w:color w:val="1B1B22"/>
          <w:spacing w:val="-8"/>
        </w:rPr>
        <w:t> </w:t>
      </w:r>
      <w:r>
        <w:rPr>
          <w:color w:val="1B1B22"/>
        </w:rPr>
        <w:t>própria de</w:t>
      </w:r>
      <w:r>
        <w:rPr>
          <w:color w:val="1B1B22"/>
          <w:spacing w:val="-13"/>
        </w:rPr>
        <w:t> </w:t>
      </w:r>
      <w:r>
        <w:rPr>
          <w:color w:val="1B1B22"/>
        </w:rPr>
        <w:t>Banco</w:t>
      </w:r>
      <w:r>
        <w:rPr>
          <w:color w:val="1B1B22"/>
          <w:spacing w:val="-12"/>
        </w:rPr>
        <w:t> </w:t>
      </w:r>
      <w:r>
        <w:rPr>
          <w:color w:val="1B1B22"/>
        </w:rPr>
        <w:t>como</w:t>
      </w:r>
      <w:r>
        <w:rPr>
          <w:color w:val="1B1B22"/>
          <w:spacing w:val="-13"/>
        </w:rPr>
        <w:t> </w:t>
      </w:r>
      <w:r>
        <w:rPr>
          <w:color w:val="1B1B22"/>
        </w:rPr>
        <w:t>Serviço</w:t>
      </w:r>
      <w:r>
        <w:rPr>
          <w:color w:val="1B1B22"/>
          <w:spacing w:val="-12"/>
        </w:rPr>
        <w:t> </w:t>
      </w:r>
      <w:r>
        <w:rPr>
          <w:color w:val="1B1B22"/>
        </w:rPr>
        <w:t>(BBaaS),</w:t>
      </w:r>
      <w:r>
        <w:rPr>
          <w:color w:val="1B1B22"/>
          <w:spacing w:val="-12"/>
        </w:rPr>
        <w:t> </w:t>
      </w:r>
      <w:r>
        <w:rPr>
          <w:color w:val="1B1B22"/>
        </w:rPr>
        <w:t>o</w:t>
      </w:r>
      <w:r>
        <w:rPr>
          <w:color w:val="1B1B22"/>
          <w:spacing w:val="-13"/>
        </w:rPr>
        <w:t> </w:t>
      </w:r>
      <w:r>
        <w:rPr>
          <w:color w:val="1B1B22"/>
        </w:rPr>
        <w:t>BB</w:t>
      </w:r>
      <w:r>
        <w:rPr>
          <w:color w:val="1B1B22"/>
          <w:spacing w:val="-12"/>
        </w:rPr>
        <w:t> </w:t>
      </w:r>
      <w:r>
        <w:rPr>
          <w:color w:val="1B1B22"/>
        </w:rPr>
        <w:t>como</w:t>
      </w:r>
      <w:r>
        <w:rPr>
          <w:color w:val="1B1B22"/>
          <w:spacing w:val="-12"/>
        </w:rPr>
        <w:t> </w:t>
      </w:r>
      <w:r>
        <w:rPr>
          <w:color w:val="1B1B22"/>
        </w:rPr>
        <w:t>Serviço, com</w:t>
      </w:r>
      <w:r>
        <w:rPr>
          <w:color w:val="1B1B22"/>
          <w:spacing w:val="-4"/>
        </w:rPr>
        <w:t> </w:t>
      </w:r>
      <w:r>
        <w:rPr>
          <w:color w:val="1B1B22"/>
        </w:rPr>
        <w:t>mais</w:t>
      </w:r>
      <w:r>
        <w:rPr>
          <w:color w:val="1B1B22"/>
          <w:spacing w:val="-3"/>
        </w:rPr>
        <w:t> </w:t>
      </w:r>
      <w:r>
        <w:rPr>
          <w:color w:val="1B1B22"/>
        </w:rPr>
        <w:t>de</w:t>
      </w:r>
      <w:r>
        <w:rPr>
          <w:color w:val="1B1B22"/>
          <w:spacing w:val="-2"/>
        </w:rPr>
        <w:t> </w:t>
      </w:r>
      <w:r>
        <w:rPr>
          <w:color w:val="1B1B22"/>
        </w:rPr>
        <w:t>30</w:t>
      </w:r>
      <w:r>
        <w:rPr>
          <w:color w:val="1B1B22"/>
          <w:spacing w:val="-3"/>
        </w:rPr>
        <w:t> </w:t>
      </w:r>
      <w:r>
        <w:rPr>
          <w:color w:val="1B1B22"/>
        </w:rPr>
        <w:t>soluções</w:t>
      </w:r>
      <w:r>
        <w:rPr>
          <w:color w:val="1B1B22"/>
          <w:spacing w:val="-3"/>
        </w:rPr>
        <w:t> </w:t>
      </w:r>
      <w:r>
        <w:rPr>
          <w:color w:val="1B1B22"/>
        </w:rPr>
        <w:t>em</w:t>
      </w:r>
      <w:r>
        <w:rPr>
          <w:color w:val="1B1B22"/>
          <w:spacing w:val="-4"/>
        </w:rPr>
        <w:t> </w:t>
      </w:r>
      <w:r>
        <w:rPr>
          <w:color w:val="1B1B22"/>
        </w:rPr>
        <w:t>pagamentos,</w:t>
      </w:r>
      <w:r>
        <w:rPr>
          <w:color w:val="1B1B22"/>
          <w:spacing w:val="-4"/>
        </w:rPr>
        <w:t> </w:t>
      </w:r>
      <w:r>
        <w:rPr>
          <w:color w:val="1B1B22"/>
        </w:rPr>
        <w:t>crédito, seguros e consultas.</w:t>
      </w:r>
    </w:p>
    <w:p>
      <w:pPr>
        <w:pStyle w:val="BodyText"/>
        <w:spacing w:before="117"/>
        <w:ind w:left="426"/>
        <w:jc w:val="both"/>
      </w:pPr>
      <w:r>
        <w:rPr>
          <w:color w:val="1B1B22"/>
        </w:rPr>
        <w:t>Viabilizamos</w:t>
      </w:r>
      <w:r>
        <w:rPr>
          <w:color w:val="1B1B22"/>
          <w:spacing w:val="18"/>
        </w:rPr>
        <w:t> </w:t>
      </w:r>
      <w:r>
        <w:rPr>
          <w:color w:val="1B1B22"/>
        </w:rPr>
        <w:t>negócios</w:t>
      </w:r>
      <w:r>
        <w:rPr>
          <w:color w:val="1B1B22"/>
          <w:spacing w:val="19"/>
        </w:rPr>
        <w:t> </w:t>
      </w:r>
      <w:r>
        <w:rPr>
          <w:color w:val="1B1B22"/>
        </w:rPr>
        <w:t>e</w:t>
      </w:r>
      <w:r>
        <w:rPr>
          <w:color w:val="1B1B22"/>
          <w:spacing w:val="18"/>
        </w:rPr>
        <w:t> </w:t>
      </w:r>
      <w:r>
        <w:rPr>
          <w:color w:val="1B1B22"/>
        </w:rPr>
        <w:t>promovemos</w:t>
      </w:r>
      <w:r>
        <w:rPr>
          <w:color w:val="1B1B22"/>
          <w:spacing w:val="19"/>
        </w:rPr>
        <w:t> </w:t>
      </w:r>
      <w:r>
        <w:rPr>
          <w:color w:val="1B1B22"/>
        </w:rPr>
        <w:t>a</w:t>
      </w:r>
      <w:r>
        <w:rPr>
          <w:color w:val="1B1B22"/>
          <w:spacing w:val="16"/>
        </w:rPr>
        <w:t> </w:t>
      </w:r>
      <w:r>
        <w:rPr>
          <w:color w:val="1B1B22"/>
          <w:spacing w:val="-2"/>
        </w:rPr>
        <w:t>educação</w:t>
      </w:r>
    </w:p>
    <w:p>
      <w:pPr>
        <w:pStyle w:val="BodyText"/>
        <w:spacing w:before="86"/>
        <w:ind w:left="426"/>
        <w:jc w:val="both"/>
      </w:pPr>
      <w:r>
        <w:rPr>
          <w:color w:val="1B1B22"/>
        </w:rPr>
        <w:t>financeira.</w:t>
      </w:r>
      <w:r>
        <w:rPr>
          <w:color w:val="1B1B22"/>
          <w:spacing w:val="50"/>
        </w:rPr>
        <w:t>  </w:t>
      </w:r>
      <w:r>
        <w:rPr>
          <w:color w:val="1B1B22"/>
        </w:rPr>
        <w:t>No</w:t>
      </w:r>
      <w:r>
        <w:rPr>
          <w:color w:val="1B1B22"/>
          <w:spacing w:val="51"/>
        </w:rPr>
        <w:t>  </w:t>
      </w:r>
      <w:r>
        <w:rPr>
          <w:color w:val="1B1B22"/>
        </w:rPr>
        <w:t>Open</w:t>
      </w:r>
      <w:r>
        <w:rPr>
          <w:color w:val="1B1B22"/>
          <w:spacing w:val="53"/>
        </w:rPr>
        <w:t>  </w:t>
      </w:r>
      <w:r>
        <w:rPr>
          <w:color w:val="1B1B22"/>
        </w:rPr>
        <w:t>Finance,</w:t>
      </w:r>
      <w:r>
        <w:rPr>
          <w:color w:val="1B1B22"/>
          <w:spacing w:val="52"/>
        </w:rPr>
        <w:t>  </w:t>
      </w:r>
      <w:r>
        <w:rPr>
          <w:color w:val="1B1B22"/>
        </w:rPr>
        <w:t>por</w:t>
      </w:r>
      <w:r>
        <w:rPr>
          <w:color w:val="1B1B22"/>
          <w:spacing w:val="51"/>
        </w:rPr>
        <w:t>  </w:t>
      </w:r>
      <w:r>
        <w:rPr>
          <w:color w:val="1B1B22"/>
          <w:spacing w:val="-2"/>
        </w:rPr>
        <w:t>exemplo,</w:t>
      </w:r>
    </w:p>
    <w:p>
      <w:pPr>
        <w:pStyle w:val="BodyText"/>
        <w:spacing w:line="321" w:lineRule="auto" w:before="78"/>
        <w:ind w:left="427" w:right="141"/>
        <w:jc w:val="both"/>
      </w:pPr>
      <w:r>
        <w:rPr/>
        <w:br w:type="column"/>
      </w:r>
      <w:r>
        <w:rPr>
          <w:color w:val="1B1B22"/>
        </w:rPr>
        <w:t>atingimos três milhões de clientes com consentimento ativo, crescimento de 17% comparando</w:t>
      </w:r>
      <w:r>
        <w:rPr>
          <w:color w:val="1B1B22"/>
          <w:spacing w:val="40"/>
        </w:rPr>
        <w:t>  </w:t>
      </w:r>
      <w:r>
        <w:rPr>
          <w:color w:val="1B1B22"/>
        </w:rPr>
        <w:t>com</w:t>
      </w:r>
      <w:r>
        <w:rPr>
          <w:color w:val="1B1B22"/>
          <w:spacing w:val="80"/>
          <w:w w:val="150"/>
        </w:rPr>
        <w:t> </w:t>
      </w:r>
      <w:r>
        <w:rPr>
          <w:color w:val="1B1B22"/>
        </w:rPr>
        <w:t>o</w:t>
      </w:r>
      <w:r>
        <w:rPr>
          <w:color w:val="1B1B22"/>
          <w:spacing w:val="40"/>
        </w:rPr>
        <w:t>  </w:t>
      </w:r>
      <w:r>
        <w:rPr>
          <w:color w:val="1B1B22"/>
        </w:rPr>
        <w:t>1S24</w:t>
      </w:r>
      <w:r>
        <w:rPr>
          <w:color w:val="1B1B22"/>
          <w:spacing w:val="80"/>
          <w:w w:val="150"/>
        </w:rPr>
        <w:t> </w:t>
      </w:r>
      <w:r>
        <w:rPr>
          <w:color w:val="1B1B22"/>
        </w:rPr>
        <w:t>e</w:t>
      </w:r>
      <w:r>
        <w:rPr>
          <w:color w:val="1B1B22"/>
          <w:spacing w:val="40"/>
        </w:rPr>
        <w:t>  </w:t>
      </w:r>
      <w:r>
        <w:rPr>
          <w:color w:val="1B1B22"/>
        </w:rPr>
        <w:t>ultrapassamos</w:t>
      </w:r>
      <w:r>
        <w:rPr>
          <w:color w:val="1B1B22"/>
          <w:spacing w:val="40"/>
        </w:rPr>
        <w:t> </w:t>
      </w:r>
      <w:r>
        <w:rPr>
          <w:color w:val="1B1B22"/>
        </w:rPr>
        <w:t>R$ 2 bilhões em portabilidade de crédito, com 57 mil clientes transferindo suas operações ao BB.</w:t>
      </w:r>
    </w:p>
    <w:p>
      <w:pPr>
        <w:pStyle w:val="BodyText"/>
        <w:spacing w:line="321" w:lineRule="auto" w:before="116"/>
        <w:ind w:left="427" w:right="142"/>
        <w:jc w:val="both"/>
      </w:pPr>
      <w:r>
        <w:rPr>
          <w:color w:val="1B1B22"/>
        </w:rPr>
        <w:t>No</w:t>
      </w:r>
      <w:r>
        <w:rPr>
          <w:color w:val="1B1B22"/>
          <w:spacing w:val="-6"/>
        </w:rPr>
        <w:t> </w:t>
      </w:r>
      <w:r>
        <w:rPr>
          <w:color w:val="1B1B22"/>
        </w:rPr>
        <w:t>1S25,</w:t>
      </w:r>
      <w:r>
        <w:rPr>
          <w:color w:val="1B1B22"/>
          <w:spacing w:val="-6"/>
        </w:rPr>
        <w:t> </w:t>
      </w:r>
      <w:r>
        <w:rPr>
          <w:color w:val="1B1B22"/>
        </w:rPr>
        <w:t>realizamos</w:t>
      </w:r>
      <w:r>
        <w:rPr>
          <w:color w:val="1B1B22"/>
          <w:spacing w:val="-6"/>
        </w:rPr>
        <w:t> </w:t>
      </w:r>
      <w:r>
        <w:rPr>
          <w:color w:val="1B1B22"/>
        </w:rPr>
        <w:t>mais</w:t>
      </w:r>
      <w:r>
        <w:rPr>
          <w:color w:val="1B1B22"/>
          <w:spacing w:val="-6"/>
        </w:rPr>
        <w:t> </w:t>
      </w:r>
      <w:r>
        <w:rPr>
          <w:color w:val="1B1B22"/>
        </w:rPr>
        <w:t>de</w:t>
      </w:r>
      <w:r>
        <w:rPr>
          <w:color w:val="1B1B22"/>
          <w:spacing w:val="-6"/>
        </w:rPr>
        <w:t> </w:t>
      </w:r>
      <w:r>
        <w:rPr>
          <w:color w:val="1B1B22"/>
        </w:rPr>
        <w:t>920</w:t>
      </w:r>
      <w:r>
        <w:rPr>
          <w:color w:val="1B1B22"/>
          <w:spacing w:val="-6"/>
        </w:rPr>
        <w:t> </w:t>
      </w:r>
      <w:r>
        <w:rPr>
          <w:color w:val="1B1B22"/>
        </w:rPr>
        <w:t>mil</w:t>
      </w:r>
      <w:r>
        <w:rPr>
          <w:color w:val="1B1B22"/>
          <w:spacing w:val="-6"/>
        </w:rPr>
        <w:t> </w:t>
      </w:r>
      <w:r>
        <w:rPr>
          <w:color w:val="1B1B22"/>
        </w:rPr>
        <w:t>atendimentos na central Minha Privacidade, canal de serviços sobre</w:t>
      </w:r>
      <w:r>
        <w:rPr>
          <w:color w:val="1B1B22"/>
          <w:spacing w:val="-11"/>
        </w:rPr>
        <w:t> </w:t>
      </w:r>
      <w:r>
        <w:rPr>
          <w:color w:val="1B1B22"/>
        </w:rPr>
        <w:t>dados</w:t>
      </w:r>
      <w:r>
        <w:rPr>
          <w:color w:val="1B1B22"/>
          <w:spacing w:val="-8"/>
        </w:rPr>
        <w:t> </w:t>
      </w:r>
      <w:r>
        <w:rPr>
          <w:color w:val="1B1B22"/>
        </w:rPr>
        <w:t>pessoais,</w:t>
      </w:r>
      <w:r>
        <w:rPr>
          <w:color w:val="1B1B22"/>
          <w:spacing w:val="-10"/>
        </w:rPr>
        <w:t> </w:t>
      </w:r>
      <w:r>
        <w:rPr>
          <w:color w:val="1B1B22"/>
        </w:rPr>
        <w:t>sendo</w:t>
      </w:r>
      <w:r>
        <w:rPr>
          <w:color w:val="1B1B22"/>
          <w:spacing w:val="-10"/>
        </w:rPr>
        <w:t> </w:t>
      </w:r>
      <w:r>
        <w:rPr>
          <w:color w:val="1B1B22"/>
        </w:rPr>
        <w:t>95%</w:t>
      </w:r>
      <w:r>
        <w:rPr>
          <w:color w:val="1B1B22"/>
          <w:spacing w:val="-10"/>
        </w:rPr>
        <w:t> </w:t>
      </w:r>
      <w:r>
        <w:rPr>
          <w:color w:val="1B1B22"/>
        </w:rPr>
        <w:t>deles</w:t>
      </w:r>
      <w:r>
        <w:rPr>
          <w:color w:val="1B1B22"/>
          <w:spacing w:val="-8"/>
        </w:rPr>
        <w:t> </w:t>
      </w:r>
      <w:r>
        <w:rPr>
          <w:color w:val="1B1B22"/>
        </w:rPr>
        <w:t>via</w:t>
      </w:r>
      <w:r>
        <w:rPr>
          <w:color w:val="1B1B22"/>
          <w:spacing w:val="-13"/>
        </w:rPr>
        <w:t> </w:t>
      </w:r>
      <w:r>
        <w:rPr>
          <w:color w:val="1B1B22"/>
        </w:rPr>
        <w:t>App</w:t>
      </w:r>
      <w:r>
        <w:rPr>
          <w:color w:val="1B1B22"/>
          <w:spacing w:val="-9"/>
        </w:rPr>
        <w:t> </w:t>
      </w:r>
      <w:r>
        <w:rPr>
          <w:color w:val="1B1B22"/>
        </w:rPr>
        <w:t>BB. As melhorias aplicadas elevaram à qualidade da experiência digital, com interações mais ágeis e </w:t>
      </w:r>
      <w:r>
        <w:rPr>
          <w:color w:val="1B1B22"/>
          <w:spacing w:val="-2"/>
        </w:rPr>
        <w:t>seguras.</w:t>
      </w:r>
    </w:p>
    <w:p>
      <w:pPr>
        <w:pStyle w:val="BodyText"/>
        <w:spacing w:line="321" w:lineRule="auto" w:before="116"/>
        <w:ind w:left="427" w:right="142"/>
        <w:jc w:val="both"/>
      </w:pPr>
      <w:r>
        <w:rPr>
          <w:color w:val="1B1B22"/>
        </w:rPr>
        <w:t>Além disso, mantivemos excelente avaliação do App</w:t>
      </w:r>
      <w:r>
        <w:rPr>
          <w:color w:val="1B1B22"/>
          <w:spacing w:val="-8"/>
        </w:rPr>
        <w:t> </w:t>
      </w:r>
      <w:r>
        <w:rPr>
          <w:color w:val="1B1B22"/>
        </w:rPr>
        <w:t>BB</w:t>
      </w:r>
      <w:r>
        <w:rPr>
          <w:color w:val="1B1B22"/>
          <w:spacing w:val="-8"/>
        </w:rPr>
        <w:t> </w:t>
      </w:r>
      <w:r>
        <w:rPr>
          <w:color w:val="1B1B22"/>
        </w:rPr>
        <w:t>(4,7</w:t>
      </w:r>
      <w:r>
        <w:rPr>
          <w:color w:val="1B1B22"/>
          <w:spacing w:val="-8"/>
        </w:rPr>
        <w:t> </w:t>
      </w:r>
      <w:r>
        <w:rPr>
          <w:color w:val="1B1B22"/>
        </w:rPr>
        <w:t>na</w:t>
      </w:r>
      <w:r>
        <w:rPr>
          <w:color w:val="1B1B22"/>
          <w:spacing w:val="-9"/>
        </w:rPr>
        <w:t> </w:t>
      </w:r>
      <w:r>
        <w:rPr>
          <w:color w:val="1B1B22"/>
        </w:rPr>
        <w:t>Google</w:t>
      </w:r>
      <w:r>
        <w:rPr>
          <w:color w:val="1B1B22"/>
          <w:spacing w:val="-8"/>
        </w:rPr>
        <w:t> </w:t>
      </w:r>
      <w:r>
        <w:rPr>
          <w:color w:val="1B1B22"/>
        </w:rPr>
        <w:t>Play</w:t>
      </w:r>
      <w:r>
        <w:rPr>
          <w:color w:val="1B1B22"/>
          <w:spacing w:val="-8"/>
        </w:rPr>
        <w:t> </w:t>
      </w:r>
      <w:r>
        <w:rPr>
          <w:color w:val="1B1B22"/>
        </w:rPr>
        <w:t>e</w:t>
      </w:r>
      <w:r>
        <w:rPr>
          <w:color w:val="1B1B22"/>
          <w:spacing w:val="-8"/>
        </w:rPr>
        <w:t> </w:t>
      </w:r>
      <w:r>
        <w:rPr>
          <w:color w:val="1B1B22"/>
        </w:rPr>
        <w:t>4,8</w:t>
      </w:r>
      <w:r>
        <w:rPr>
          <w:color w:val="1B1B22"/>
          <w:spacing w:val="-9"/>
        </w:rPr>
        <w:t> </w:t>
      </w:r>
      <w:r>
        <w:rPr>
          <w:color w:val="1B1B22"/>
        </w:rPr>
        <w:t>na</w:t>
      </w:r>
      <w:r>
        <w:rPr>
          <w:color w:val="1B1B22"/>
          <w:spacing w:val="-13"/>
        </w:rPr>
        <w:t> </w:t>
      </w:r>
      <w:r>
        <w:rPr>
          <w:color w:val="1B1B22"/>
        </w:rPr>
        <w:t>Apple</w:t>
      </w:r>
      <w:r>
        <w:rPr>
          <w:color w:val="1B1B22"/>
          <w:spacing w:val="-7"/>
        </w:rPr>
        <w:t> </w:t>
      </w:r>
      <w:r>
        <w:rPr>
          <w:color w:val="1B1B22"/>
        </w:rPr>
        <w:t>Store)</w:t>
      </w:r>
      <w:r>
        <w:rPr>
          <w:color w:val="1B1B22"/>
          <w:spacing w:val="-8"/>
        </w:rPr>
        <w:t> </w:t>
      </w:r>
      <w:r>
        <w:rPr>
          <w:color w:val="1B1B22"/>
        </w:rPr>
        <w:t>e chegamos</w:t>
      </w:r>
      <w:r>
        <w:rPr>
          <w:color w:val="1B1B22"/>
          <w:spacing w:val="-7"/>
        </w:rPr>
        <w:t> </w:t>
      </w:r>
      <w:r>
        <w:rPr>
          <w:color w:val="1B1B22"/>
        </w:rPr>
        <w:t>a</w:t>
      </w:r>
      <w:r>
        <w:rPr>
          <w:color w:val="1B1B22"/>
          <w:spacing w:val="-10"/>
        </w:rPr>
        <w:t> </w:t>
      </w:r>
      <w:r>
        <w:rPr>
          <w:color w:val="1B1B22"/>
        </w:rPr>
        <w:t>27,2</w:t>
      </w:r>
      <w:r>
        <w:rPr>
          <w:color w:val="1B1B22"/>
          <w:spacing w:val="-10"/>
        </w:rPr>
        <w:t> </w:t>
      </w:r>
      <w:r>
        <w:rPr>
          <w:color w:val="1B1B22"/>
        </w:rPr>
        <w:t>milhões</w:t>
      </w:r>
      <w:r>
        <w:rPr>
          <w:color w:val="1B1B22"/>
          <w:spacing w:val="-7"/>
        </w:rPr>
        <w:t> </w:t>
      </w:r>
      <w:r>
        <w:rPr>
          <w:color w:val="1B1B22"/>
        </w:rPr>
        <w:t>de</w:t>
      </w:r>
      <w:r>
        <w:rPr>
          <w:color w:val="1B1B22"/>
          <w:spacing w:val="-9"/>
        </w:rPr>
        <w:t> </w:t>
      </w:r>
      <w:r>
        <w:rPr>
          <w:color w:val="1B1B22"/>
        </w:rPr>
        <w:t>usuários</w:t>
      </w:r>
      <w:r>
        <w:rPr>
          <w:color w:val="1B1B22"/>
          <w:spacing w:val="-7"/>
        </w:rPr>
        <w:t> </w:t>
      </w:r>
      <w:r>
        <w:rPr>
          <w:color w:val="1B1B22"/>
        </w:rPr>
        <w:t>no</w:t>
      </w:r>
      <w:r>
        <w:rPr>
          <w:color w:val="1B1B22"/>
          <w:spacing w:val="-9"/>
        </w:rPr>
        <w:t> </w:t>
      </w:r>
      <w:r>
        <w:rPr>
          <w:color w:val="1B1B22"/>
        </w:rPr>
        <w:t>2T25.</w:t>
      </w:r>
      <w:r>
        <w:rPr>
          <w:color w:val="1B1B22"/>
          <w:spacing w:val="-9"/>
        </w:rPr>
        <w:t> </w:t>
      </w:r>
      <w:r>
        <w:rPr>
          <w:color w:val="1B1B22"/>
        </w:rPr>
        <w:t>E</w:t>
      </w:r>
      <w:r>
        <w:rPr>
          <w:color w:val="1B1B22"/>
          <w:spacing w:val="-9"/>
        </w:rPr>
        <w:t> </w:t>
      </w:r>
      <w:r>
        <w:rPr>
          <w:color w:val="1B1B22"/>
        </w:rPr>
        <w:t>no App BB Investimentos, dedicado aos clientes </w:t>
      </w:r>
      <w:r>
        <w:rPr>
          <w:color w:val="1B1B22"/>
          <w:spacing w:val="-2"/>
        </w:rPr>
        <w:t>investidores,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obtivemos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nota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4,6,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tanto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na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Apple </w:t>
      </w:r>
      <w:r>
        <w:rPr>
          <w:color w:val="1B1B22"/>
        </w:rPr>
        <w:t>Store quanto na Google Play.</w:t>
      </w:r>
    </w:p>
    <w:p>
      <w:pPr>
        <w:pStyle w:val="BodyText"/>
        <w:spacing w:before="117"/>
        <w:ind w:left="427"/>
      </w:pPr>
      <w:r>
        <w:rPr>
          <w:color w:val="1B1B22"/>
        </w:rPr>
        <w:t>Hoje,</w:t>
      </w:r>
      <w:r>
        <w:rPr>
          <w:color w:val="1B1B22"/>
          <w:spacing w:val="-8"/>
        </w:rPr>
        <w:t> </w:t>
      </w:r>
      <w:r>
        <w:rPr>
          <w:color w:val="1B1B22"/>
        </w:rPr>
        <w:t>94%</w:t>
      </w:r>
      <w:r>
        <w:rPr>
          <w:color w:val="1B1B22"/>
          <w:spacing w:val="-7"/>
        </w:rPr>
        <w:t> </w:t>
      </w:r>
      <w:r>
        <w:rPr>
          <w:color w:val="1B1B22"/>
        </w:rPr>
        <w:t>das</w:t>
      </w:r>
      <w:r>
        <w:rPr>
          <w:color w:val="1B1B22"/>
          <w:spacing w:val="-7"/>
        </w:rPr>
        <w:t> </w:t>
      </w:r>
      <w:r>
        <w:rPr>
          <w:color w:val="1B1B22"/>
        </w:rPr>
        <w:t>transações</w:t>
      </w:r>
      <w:r>
        <w:rPr>
          <w:color w:val="1B1B22"/>
          <w:spacing w:val="-4"/>
        </w:rPr>
        <w:t> </w:t>
      </w:r>
      <w:r>
        <w:rPr>
          <w:color w:val="1B1B22"/>
        </w:rPr>
        <w:t>são</w:t>
      </w:r>
      <w:r>
        <w:rPr>
          <w:color w:val="1B1B22"/>
          <w:spacing w:val="-8"/>
        </w:rPr>
        <w:t> </w:t>
      </w:r>
      <w:r>
        <w:rPr>
          <w:color w:val="1B1B22"/>
        </w:rPr>
        <w:t>realizadas</w:t>
      </w:r>
      <w:r>
        <w:rPr>
          <w:color w:val="1B1B22"/>
          <w:spacing w:val="-6"/>
        </w:rPr>
        <w:t> </w:t>
      </w:r>
      <w:r>
        <w:rPr>
          <w:color w:val="1B1B22"/>
        </w:rPr>
        <w:t>por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canais</w:t>
      </w:r>
    </w:p>
    <w:p>
      <w:pPr>
        <w:pStyle w:val="BodyText"/>
        <w:spacing w:before="87"/>
        <w:ind w:left="427"/>
      </w:pPr>
      <w:r>
        <w:rPr>
          <w:color w:val="1B1B22"/>
          <w:spacing w:val="-2"/>
        </w:rPr>
        <w:t>digitais.</w:t>
      </w:r>
    </w:p>
    <w:p>
      <w:pPr>
        <w:pStyle w:val="BodyText"/>
        <w:spacing w:line="321" w:lineRule="auto" w:before="203"/>
        <w:ind w:left="427" w:right="141" w:hanging="1"/>
        <w:jc w:val="both"/>
      </w:pPr>
      <w:r>
        <w:rPr>
          <w:color w:val="1B1B22"/>
        </w:rPr>
        <w:t>Estamos atentos ao futuro e ao que acontece no mercado. Temos um Radar de Tendências Tecnológicas,</w:t>
      </w:r>
      <w:r>
        <w:rPr>
          <w:color w:val="1B1B22"/>
          <w:spacing w:val="-13"/>
        </w:rPr>
        <w:t> </w:t>
      </w:r>
      <w:r>
        <w:rPr>
          <w:color w:val="1B1B22"/>
        </w:rPr>
        <w:t>disponível</w:t>
      </w:r>
      <w:r>
        <w:rPr>
          <w:color w:val="1B1B22"/>
          <w:spacing w:val="-12"/>
        </w:rPr>
        <w:t> </w:t>
      </w:r>
      <w:r>
        <w:rPr>
          <w:color w:val="1B1B22"/>
        </w:rPr>
        <w:t>em</w:t>
      </w:r>
      <w:r>
        <w:rPr>
          <w:color w:val="1B1B22"/>
          <w:spacing w:val="-13"/>
        </w:rPr>
        <w:t> </w:t>
      </w:r>
      <w:r>
        <w:rPr>
          <w:color w:val="1B1B22"/>
        </w:rPr>
        <w:t>bb.com.br/tendencias por meio do qual monitoramos tendências e tecnologias, experimentando e adotando as que forem pertinentes.</w:t>
      </w:r>
    </w:p>
    <w:p>
      <w:pPr>
        <w:pStyle w:val="BodyText"/>
        <w:spacing w:line="321" w:lineRule="auto" w:before="117"/>
        <w:ind w:left="427" w:right="141"/>
        <w:jc w:val="both"/>
      </w:pPr>
      <w:r>
        <w:rPr>
          <w:color w:val="1B1B22"/>
        </w:rPr>
        <w:t>Para</w:t>
      </w:r>
      <w:r>
        <w:rPr>
          <w:color w:val="1B1B22"/>
          <w:spacing w:val="-4"/>
        </w:rPr>
        <w:t> </w:t>
      </w:r>
      <w:r>
        <w:rPr>
          <w:color w:val="1B1B22"/>
        </w:rPr>
        <w:t>garantir</w:t>
      </w:r>
      <w:r>
        <w:rPr>
          <w:color w:val="1B1B22"/>
          <w:spacing w:val="-3"/>
        </w:rPr>
        <w:t> </w:t>
      </w:r>
      <w:r>
        <w:rPr>
          <w:color w:val="1B1B22"/>
        </w:rPr>
        <w:t>crescimento</w:t>
      </w:r>
      <w:r>
        <w:rPr>
          <w:color w:val="1B1B22"/>
          <w:spacing w:val="-1"/>
        </w:rPr>
        <w:t> </w:t>
      </w:r>
      <w:r>
        <w:rPr>
          <w:color w:val="1B1B22"/>
        </w:rPr>
        <w:t>orgânico</w:t>
      </w:r>
      <w:r>
        <w:rPr>
          <w:color w:val="1B1B22"/>
          <w:spacing w:val="-3"/>
        </w:rPr>
        <w:t> </w:t>
      </w:r>
      <w:r>
        <w:rPr>
          <w:color w:val="1B1B22"/>
        </w:rPr>
        <w:t>e</w:t>
      </w:r>
      <w:r>
        <w:rPr>
          <w:color w:val="1B1B22"/>
          <w:spacing w:val="-4"/>
        </w:rPr>
        <w:t> </w:t>
      </w:r>
      <w:r>
        <w:rPr>
          <w:color w:val="1B1B22"/>
        </w:rPr>
        <w:t>continuidade dos negócios, seguimos investindo em tecnologia: foram R$ 3,2 bilhões no 1S25, reforçando nosso compromisso com uma experiência digital de </w:t>
      </w:r>
      <w:r>
        <w:rPr>
          <w:color w:val="1B1B22"/>
          <w:spacing w:val="-2"/>
        </w:rPr>
        <w:t>excelência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—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onde,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quando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como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o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cliente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quiser.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6" w:space="238"/>
            <w:col w:w="5323"/>
          </w:cols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26"/>
        <w:rPr>
          <w:sz w:val="44"/>
        </w:rPr>
      </w:pPr>
    </w:p>
    <w:p>
      <w:pPr>
        <w:pStyle w:val="Heading1"/>
        <w:tabs>
          <w:tab w:pos="2654" w:val="left" w:leader="none"/>
          <w:tab w:pos="4074" w:val="left" w:leader="none"/>
          <w:tab w:pos="7410" w:val="left" w:leader="none"/>
          <w:tab w:pos="9318" w:val="left" w:leader="none"/>
          <w:tab w:pos="10048" w:val="left" w:leader="none"/>
        </w:tabs>
        <w:spacing w:line="321" w:lineRule="auto"/>
        <w:ind w:left="426" w:right="177"/>
      </w:pPr>
      <w:r>
        <w:rPr>
          <w:color w:val="465EFF"/>
          <w:spacing w:val="28"/>
        </w:rPr>
        <w:t>Agenda</w:t>
      </w:r>
      <w:r>
        <w:rPr>
          <w:color w:val="465EFF"/>
        </w:rPr>
        <w:tab/>
      </w:r>
      <w:r>
        <w:rPr>
          <w:color w:val="465EFF"/>
          <w:spacing w:val="20"/>
        </w:rPr>
        <w:t>ASG</w:t>
      </w:r>
      <w:r>
        <w:rPr>
          <w:color w:val="465EFF"/>
        </w:rPr>
        <w:tab/>
      </w:r>
      <w:r>
        <w:rPr>
          <w:color w:val="465EFF"/>
          <w:spacing w:val="33"/>
        </w:rPr>
        <w:t>(Ambiental,</w:t>
      </w:r>
      <w:r>
        <w:rPr>
          <w:color w:val="465EFF"/>
        </w:rPr>
        <w:tab/>
      </w:r>
      <w:r>
        <w:rPr>
          <w:color w:val="465EFF"/>
          <w:spacing w:val="31"/>
        </w:rPr>
        <w:t>Social</w:t>
      </w:r>
      <w:r>
        <w:rPr>
          <w:color w:val="465EFF"/>
        </w:rPr>
        <w:tab/>
      </w:r>
      <w:r>
        <w:rPr>
          <w:color w:val="465EFF"/>
          <w:spacing w:val="-10"/>
        </w:rPr>
        <w:t>e</w:t>
      </w:r>
      <w:r>
        <w:rPr>
          <w:color w:val="465EFF"/>
        </w:rPr>
        <w:tab/>
      </w:r>
      <w:r>
        <w:rPr>
          <w:color w:val="465EFF"/>
          <w:spacing w:val="6"/>
        </w:rPr>
        <w:t>de </w:t>
      </w:r>
      <w:r>
        <w:rPr>
          <w:color w:val="465EFF"/>
          <w:spacing w:val="31"/>
        </w:rPr>
        <w:t>Governança)</w:t>
      </w:r>
    </w:p>
    <w:p>
      <w:pPr>
        <w:pStyle w:val="Heading1"/>
        <w:spacing w:after="0" w:line="321" w:lineRule="auto"/>
        <w:sectPr>
          <w:pgSz w:w="11910" w:h="16850"/>
          <w:pgMar w:header="152" w:footer="572" w:top="900" w:bottom="780" w:left="425" w:right="708"/>
        </w:sectPr>
      </w:pPr>
    </w:p>
    <w:p>
      <w:pPr>
        <w:pStyle w:val="BodyText"/>
        <w:spacing w:line="321" w:lineRule="auto" w:before="142"/>
        <w:ind w:left="427" w:right="40"/>
        <w:jc w:val="both"/>
      </w:pPr>
      <w:r>
        <w:rPr>
          <w:color w:val="1B1B22"/>
        </w:rPr>
        <w:t>Somos</w:t>
      </w:r>
      <w:r>
        <w:rPr>
          <w:color w:val="1B1B22"/>
          <w:spacing w:val="-7"/>
        </w:rPr>
        <w:t> </w:t>
      </w:r>
      <w:r>
        <w:rPr>
          <w:color w:val="1B1B22"/>
        </w:rPr>
        <w:t>referência</w:t>
      </w:r>
      <w:r>
        <w:rPr>
          <w:color w:val="1B1B22"/>
          <w:spacing w:val="-8"/>
        </w:rPr>
        <w:t> </w:t>
      </w:r>
      <w:r>
        <w:rPr>
          <w:color w:val="1B1B22"/>
        </w:rPr>
        <w:t>em</w:t>
      </w:r>
      <w:r>
        <w:rPr>
          <w:color w:val="1B1B22"/>
          <w:spacing w:val="-8"/>
        </w:rPr>
        <w:t> </w:t>
      </w:r>
      <w:r>
        <w:rPr>
          <w:color w:val="1B1B22"/>
        </w:rPr>
        <w:t>práticas</w:t>
      </w:r>
      <w:r>
        <w:rPr>
          <w:color w:val="1B1B22"/>
          <w:spacing w:val="-10"/>
        </w:rPr>
        <w:t> </w:t>
      </w:r>
      <w:r>
        <w:rPr>
          <w:color w:val="1B1B22"/>
        </w:rPr>
        <w:t>Ambientais,</w:t>
      </w:r>
      <w:r>
        <w:rPr>
          <w:color w:val="1B1B22"/>
          <w:spacing w:val="-7"/>
        </w:rPr>
        <w:t> </w:t>
      </w:r>
      <w:r>
        <w:rPr>
          <w:color w:val="1B1B22"/>
        </w:rPr>
        <w:t>Sociais</w:t>
      </w:r>
      <w:r>
        <w:rPr>
          <w:color w:val="1B1B22"/>
          <w:spacing w:val="-7"/>
        </w:rPr>
        <w:t> </w:t>
      </w:r>
      <w:r>
        <w:rPr>
          <w:color w:val="1B1B22"/>
        </w:rPr>
        <w:t>e </w:t>
      </w:r>
      <w:r>
        <w:rPr>
          <w:color w:val="1B1B22"/>
          <w:spacing w:val="-2"/>
        </w:rPr>
        <w:t>de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Governança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(ASG),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com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ações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gerenciamento </w:t>
      </w:r>
      <w:r>
        <w:rPr>
          <w:color w:val="1B1B22"/>
        </w:rPr>
        <w:t>de riscos e oportunidades. Nosso Plano de </w:t>
      </w:r>
      <w:r>
        <w:rPr>
          <w:color w:val="1B1B22"/>
          <w:spacing w:val="-2"/>
        </w:rPr>
        <w:t>Sustentabilidade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-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Agenda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30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BB,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alinhado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aos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ODS </w:t>
      </w:r>
      <w:r>
        <w:rPr>
          <w:color w:val="1B1B22"/>
        </w:rPr>
        <w:t>da ONU e ao Acordo de Paris, é nosso principal instrumento, incluindo 47 ações e 100 indicadores para 2023-2025.</w:t>
      </w:r>
      <w:r>
        <w:rPr>
          <w:color w:val="1B1B22"/>
          <w:spacing w:val="-3"/>
        </w:rPr>
        <w:t> </w:t>
      </w:r>
      <w:r>
        <w:rPr>
          <w:color w:val="1B1B22"/>
        </w:rPr>
        <w:t>Além disso, os Compromissos BB 2030 para um Mundo +Sustentável estabelecem objetivos em quatro frentes de atuação: crédito </w:t>
      </w:r>
      <w:r>
        <w:rPr>
          <w:color w:val="1B1B22"/>
          <w:spacing w:val="-2"/>
        </w:rPr>
        <w:t>sustentável,</w:t>
      </w:r>
      <w:r>
        <w:rPr>
          <w:color w:val="1B1B22"/>
          <w:spacing w:val="-3"/>
        </w:rPr>
        <w:t> </w:t>
      </w:r>
      <w:r>
        <w:rPr>
          <w:color w:val="1B1B22"/>
          <w:spacing w:val="-2"/>
        </w:rPr>
        <w:t>investimento</w:t>
      </w:r>
      <w:r>
        <w:rPr>
          <w:color w:val="1B1B22"/>
          <w:spacing w:val="-3"/>
        </w:rPr>
        <w:t> </w:t>
      </w:r>
      <w:r>
        <w:rPr>
          <w:color w:val="1B1B22"/>
          <w:spacing w:val="-2"/>
        </w:rPr>
        <w:t>responsável,</w:t>
      </w:r>
      <w:r>
        <w:rPr>
          <w:color w:val="1B1B22"/>
          <w:spacing w:val="-3"/>
        </w:rPr>
        <w:t> </w:t>
      </w:r>
      <w:r>
        <w:rPr>
          <w:color w:val="1B1B22"/>
          <w:spacing w:val="-2"/>
        </w:rPr>
        <w:t>gestão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ASG </w:t>
      </w:r>
      <w:r>
        <w:rPr>
          <w:color w:val="1B1B22"/>
        </w:rPr>
        <w:t>e climática, visando gerar impactos positivos na cadeia de valor.</w:t>
      </w:r>
    </w:p>
    <w:p>
      <w:pPr>
        <w:pStyle w:val="Heading2"/>
        <w:spacing w:before="105"/>
        <w:ind w:left="427"/>
        <w:rPr>
          <w:b w:val="0"/>
        </w:rPr>
      </w:pPr>
      <w:r>
        <w:rPr>
          <w:b w:val="0"/>
          <w:color w:val="465EFF"/>
          <w:spacing w:val="19"/>
        </w:rPr>
        <w:t>Captações</w:t>
      </w:r>
      <w:r>
        <w:rPr>
          <w:b w:val="0"/>
          <w:color w:val="465EFF"/>
          <w:spacing w:val="53"/>
        </w:rPr>
        <w:t> </w:t>
      </w:r>
      <w:r>
        <w:rPr>
          <w:b w:val="0"/>
          <w:color w:val="465EFF"/>
          <w:spacing w:val="16"/>
        </w:rPr>
        <w:t>Sustentáveis</w:t>
      </w:r>
    </w:p>
    <w:p>
      <w:pPr>
        <w:pStyle w:val="BodyText"/>
        <w:spacing w:line="321" w:lineRule="auto" w:before="250"/>
        <w:ind w:left="426" w:right="41"/>
        <w:jc w:val="both"/>
      </w:pPr>
      <w:r>
        <w:rPr>
          <w:color w:val="1B1B22"/>
        </w:rPr>
        <w:t>Captamos R$ 39,8 bilhões destinados a investimentos em iniciativas ASG. Os recursos foram obtidos por meio da emissão de Bonds com perfil ASG, além de captações junto a instituições multilaterais, bancos de investimento e bancos comerciais internacionais.</w:t>
      </w:r>
    </w:p>
    <w:p>
      <w:pPr>
        <w:pStyle w:val="BodyText"/>
        <w:spacing w:line="321" w:lineRule="auto" w:before="115"/>
        <w:ind w:left="426" w:right="39"/>
        <w:jc w:val="both"/>
      </w:pPr>
      <w:r>
        <w:rPr>
          <w:color w:val="1B1B22"/>
        </w:rPr>
        <w:t>Como destaque para junho/25, realizamos uma nova captação denominada SmartClimate-Smart Agriculture Repurchase Agreement com o Banco Natixis,</w:t>
      </w:r>
      <w:r>
        <w:rPr>
          <w:color w:val="1B1B22"/>
          <w:spacing w:val="-3"/>
        </w:rPr>
        <w:t> </w:t>
      </w:r>
      <w:r>
        <w:rPr>
          <w:color w:val="1B1B22"/>
        </w:rPr>
        <w:t>no</w:t>
      </w:r>
      <w:r>
        <w:rPr>
          <w:color w:val="1B1B22"/>
          <w:spacing w:val="-3"/>
        </w:rPr>
        <w:t> </w:t>
      </w:r>
      <w:r>
        <w:rPr>
          <w:color w:val="1B1B22"/>
        </w:rPr>
        <w:t>valor</w:t>
      </w:r>
      <w:r>
        <w:rPr>
          <w:color w:val="1B1B22"/>
          <w:spacing w:val="-3"/>
        </w:rPr>
        <w:t> </w:t>
      </w:r>
      <w:r>
        <w:rPr>
          <w:color w:val="1B1B22"/>
        </w:rPr>
        <w:t>de</w:t>
      </w:r>
      <w:r>
        <w:rPr>
          <w:color w:val="1B1B22"/>
          <w:spacing w:val="-3"/>
        </w:rPr>
        <w:t> </w:t>
      </w:r>
      <w:r>
        <w:rPr>
          <w:color w:val="1B1B22"/>
        </w:rPr>
        <w:t>US$</w:t>
      </w:r>
      <w:r>
        <w:rPr>
          <w:color w:val="1B1B22"/>
          <w:spacing w:val="-3"/>
        </w:rPr>
        <w:t> </w:t>
      </w:r>
      <w:r>
        <w:rPr>
          <w:color w:val="1B1B22"/>
        </w:rPr>
        <w:t>100</w:t>
      </w:r>
      <w:r>
        <w:rPr>
          <w:color w:val="1B1B22"/>
          <w:spacing w:val="-3"/>
        </w:rPr>
        <w:t> </w:t>
      </w:r>
      <w:r>
        <w:rPr>
          <w:color w:val="1B1B22"/>
        </w:rPr>
        <w:t>milhões,</w:t>
      </w:r>
      <w:r>
        <w:rPr>
          <w:color w:val="1B1B22"/>
          <w:spacing w:val="-3"/>
        </w:rPr>
        <w:t> </w:t>
      </w:r>
      <w:r>
        <w:rPr>
          <w:color w:val="1B1B22"/>
        </w:rPr>
        <w:t>cujo</w:t>
      </w:r>
      <w:r>
        <w:rPr>
          <w:color w:val="1B1B22"/>
          <w:spacing w:val="-3"/>
        </w:rPr>
        <w:t> </w:t>
      </w:r>
      <w:r>
        <w:rPr>
          <w:color w:val="1B1B22"/>
        </w:rPr>
        <w:t>objetivo é impulsionar a agricultura sustentável, assegurando suporte à produção responsável.</w:t>
      </w:r>
    </w:p>
    <w:p>
      <w:pPr>
        <w:pStyle w:val="BodyText"/>
        <w:spacing w:line="321" w:lineRule="auto" w:before="116"/>
        <w:ind w:left="426" w:right="38"/>
        <w:jc w:val="both"/>
      </w:pPr>
      <w:r>
        <w:rPr>
          <w:color w:val="1B1B22"/>
        </w:rPr>
        <w:t>Destacamos as primeiras liberações de recursos referentes ao primeiro leilão da sublinha de blended finance, do programa ecoinvest, uma iniciativa que combina capital público e privado para fomentar projetos sustentáveis no país. A iniciativa</w:t>
      </w:r>
      <w:r>
        <w:rPr>
          <w:color w:val="1B1B22"/>
          <w:spacing w:val="43"/>
        </w:rPr>
        <w:t> </w:t>
      </w:r>
      <w:r>
        <w:rPr>
          <w:color w:val="1B1B22"/>
        </w:rPr>
        <w:t>deverá</w:t>
      </w:r>
      <w:r>
        <w:rPr>
          <w:color w:val="1B1B22"/>
          <w:spacing w:val="45"/>
        </w:rPr>
        <w:t> </w:t>
      </w:r>
      <w:r>
        <w:rPr>
          <w:color w:val="1B1B22"/>
        </w:rPr>
        <w:t>gerar</w:t>
      </w:r>
      <w:r>
        <w:rPr>
          <w:color w:val="1B1B22"/>
          <w:spacing w:val="46"/>
        </w:rPr>
        <w:t> </w:t>
      </w:r>
      <w:r>
        <w:rPr>
          <w:color w:val="1B1B22"/>
        </w:rPr>
        <w:t>R$</w:t>
      </w:r>
      <w:r>
        <w:rPr>
          <w:color w:val="1B1B22"/>
          <w:spacing w:val="45"/>
        </w:rPr>
        <w:t> </w:t>
      </w:r>
      <w:r>
        <w:rPr>
          <w:color w:val="1B1B22"/>
        </w:rPr>
        <w:t>4,8</w:t>
      </w:r>
      <w:r>
        <w:rPr>
          <w:color w:val="1B1B22"/>
          <w:spacing w:val="47"/>
        </w:rPr>
        <w:t> </w:t>
      </w:r>
      <w:r>
        <w:rPr>
          <w:color w:val="1B1B22"/>
        </w:rPr>
        <w:t>bilhões</w:t>
      </w:r>
      <w:r>
        <w:rPr>
          <w:color w:val="1B1B22"/>
          <w:spacing w:val="47"/>
        </w:rPr>
        <w:t> </w:t>
      </w:r>
      <w:r>
        <w:rPr>
          <w:color w:val="1B1B22"/>
        </w:rPr>
        <w:t>em</w:t>
      </w:r>
      <w:r>
        <w:rPr>
          <w:color w:val="1B1B22"/>
          <w:spacing w:val="46"/>
        </w:rPr>
        <w:t> </w:t>
      </w:r>
      <w:r>
        <w:rPr>
          <w:color w:val="1B1B22"/>
          <w:spacing w:val="-2"/>
        </w:rPr>
        <w:t>novas</w:t>
      </w:r>
    </w:p>
    <w:p>
      <w:pPr>
        <w:pStyle w:val="BodyText"/>
        <w:spacing w:line="321" w:lineRule="auto" w:before="143"/>
        <w:ind w:left="427" w:right="143"/>
        <w:jc w:val="both"/>
      </w:pPr>
      <w:r>
        <w:rPr/>
        <w:br w:type="column"/>
      </w:r>
      <w:r>
        <w:rPr>
          <w:color w:val="1B1B22"/>
        </w:rPr>
        <w:t>operações sustentáveis, alavancando os recursos </w:t>
      </w:r>
      <w:r>
        <w:rPr>
          <w:color w:val="1B1B22"/>
          <w:spacing w:val="-2"/>
        </w:rPr>
        <w:t>captados,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gerando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alto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impacto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mundo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real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com </w:t>
      </w:r>
      <w:r>
        <w:rPr>
          <w:color w:val="1B1B22"/>
        </w:rPr>
        <w:t>as temáticas sustentáveis direcionadas pelo </w:t>
      </w:r>
      <w:r>
        <w:rPr>
          <w:color w:val="1B1B22"/>
          <w:spacing w:val="-2"/>
        </w:rPr>
        <w:t>programa.</w:t>
      </w:r>
    </w:p>
    <w:p>
      <w:pPr>
        <w:pStyle w:val="BodyText"/>
        <w:spacing w:before="24"/>
      </w:pPr>
    </w:p>
    <w:p>
      <w:pPr>
        <w:pStyle w:val="BodyText"/>
        <w:spacing w:line="321" w:lineRule="auto"/>
        <w:ind w:left="426" w:right="143"/>
        <w:jc w:val="both"/>
      </w:pPr>
      <w:r>
        <w:rPr>
          <w:color w:val="1B1B22"/>
        </w:rPr>
        <w:t>Somos um dos principais atores na execução dos investimentos sustentáveis no Brasil, com a aplicação</w:t>
      </w:r>
      <w:r>
        <w:rPr>
          <w:color w:val="1B1B22"/>
          <w:spacing w:val="-4"/>
        </w:rPr>
        <w:t> </w:t>
      </w:r>
      <w:r>
        <w:rPr>
          <w:color w:val="1B1B22"/>
        </w:rPr>
        <w:t>da</w:t>
      </w:r>
      <w:r>
        <w:rPr>
          <w:color w:val="1B1B22"/>
          <w:spacing w:val="-6"/>
        </w:rPr>
        <w:t> </w:t>
      </w:r>
      <w:r>
        <w:rPr>
          <w:color w:val="1B1B22"/>
        </w:rPr>
        <w:t>sustentabilidade</w:t>
      </w:r>
      <w:r>
        <w:rPr>
          <w:color w:val="1B1B22"/>
          <w:spacing w:val="-5"/>
        </w:rPr>
        <w:t> </w:t>
      </w:r>
      <w:r>
        <w:rPr>
          <w:color w:val="1B1B22"/>
        </w:rPr>
        <w:t>na</w:t>
      </w:r>
      <w:r>
        <w:rPr>
          <w:color w:val="1B1B22"/>
          <w:spacing w:val="-6"/>
        </w:rPr>
        <w:t> </w:t>
      </w:r>
      <w:r>
        <w:rPr>
          <w:color w:val="1B1B22"/>
        </w:rPr>
        <w:t>forma</w:t>
      </w:r>
      <w:r>
        <w:rPr>
          <w:color w:val="1B1B22"/>
          <w:spacing w:val="-6"/>
        </w:rPr>
        <w:t> </w:t>
      </w:r>
      <w:r>
        <w:rPr>
          <w:color w:val="1B1B22"/>
        </w:rPr>
        <w:t>dos</w:t>
      </w:r>
      <w:r>
        <w:rPr>
          <w:color w:val="1B1B22"/>
          <w:spacing w:val="-3"/>
        </w:rPr>
        <w:t> </w:t>
      </w:r>
      <w:r>
        <w:rPr>
          <w:color w:val="1B1B22"/>
        </w:rPr>
        <w:t>nossos Frameworks divulgados ao mercado.</w:t>
      </w:r>
    </w:p>
    <w:p>
      <w:pPr>
        <w:pStyle w:val="BodyText"/>
        <w:spacing w:before="16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4005581</wp:posOffset>
            </wp:positionH>
            <wp:positionV relativeFrom="paragraph">
              <wp:posOffset>187202</wp:posOffset>
            </wp:positionV>
            <wp:extent cx="3039595" cy="1709927"/>
            <wp:effectExtent l="0" t="0" r="0" b="0"/>
            <wp:wrapTopAndBottom/>
            <wp:docPr id="17" name="Image 17" descr="Homem em pé na grama  O conteúdo gerado por IA pode estar incorreto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Homem em pé na grama  O conteúdo gerado por IA pode estar incorreto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59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42"/>
        <w:ind w:left="427"/>
        <w:rPr>
          <w:b w:val="0"/>
        </w:rPr>
      </w:pPr>
      <w:r>
        <w:rPr>
          <w:b w:val="0"/>
          <w:color w:val="465EFF"/>
          <w:spacing w:val="20"/>
        </w:rPr>
        <w:t>Bioeconomia</w:t>
      </w:r>
      <w:r>
        <w:rPr>
          <w:b w:val="0"/>
          <w:color w:val="465EFF"/>
          <w:spacing w:val="48"/>
        </w:rPr>
        <w:t> </w:t>
      </w:r>
      <w:r>
        <w:rPr>
          <w:b w:val="0"/>
          <w:color w:val="465EFF"/>
        </w:rPr>
        <w:t>e</w:t>
      </w:r>
      <w:r>
        <w:rPr>
          <w:b w:val="0"/>
          <w:color w:val="465EFF"/>
          <w:spacing w:val="48"/>
        </w:rPr>
        <w:t> </w:t>
      </w:r>
      <w:r>
        <w:rPr>
          <w:b w:val="0"/>
          <w:color w:val="465EFF"/>
          <w:spacing w:val="19"/>
        </w:rPr>
        <w:t>Cadeia</w:t>
      </w:r>
      <w:r>
        <w:rPr>
          <w:b w:val="0"/>
          <w:color w:val="465EFF"/>
          <w:spacing w:val="51"/>
        </w:rPr>
        <w:t> </w:t>
      </w:r>
      <w:r>
        <w:rPr>
          <w:b w:val="0"/>
          <w:color w:val="465EFF"/>
          <w:spacing w:val="11"/>
        </w:rPr>
        <w:t>de</w:t>
      </w:r>
      <w:r>
        <w:rPr>
          <w:b w:val="0"/>
          <w:color w:val="465EFF"/>
          <w:spacing w:val="39"/>
        </w:rPr>
        <w:t> </w:t>
      </w:r>
      <w:r>
        <w:rPr>
          <w:b w:val="0"/>
          <w:color w:val="465EFF"/>
          <w:spacing w:val="11"/>
        </w:rPr>
        <w:t>Valor</w:t>
      </w:r>
    </w:p>
    <w:p>
      <w:pPr>
        <w:pStyle w:val="BodyText"/>
        <w:spacing w:line="321" w:lineRule="auto" w:before="247"/>
        <w:ind w:left="427" w:right="141"/>
        <w:jc w:val="both"/>
      </w:pPr>
      <w:r>
        <w:rPr>
          <w:color w:val="1B1B22"/>
        </w:rPr>
        <w:t>Temos contribuído com o desenvolvimento da biodiversidade no país, disponibilizando recursos financeiros, atendimento especializado, linhas de crédito com condições atrativas e serviços de consultoria financeira para auxiliar produtores familiares quilombolas e povos indígenas que atuam com bioeconomia. Atualmente, somos um dos principais financiadores de produtos compatíveis com a floresta, com R$ 1,9 bilhão em projetos de bioeconomia e cadeia de valor na Amazônia</w:t>
      </w:r>
      <w:r>
        <w:rPr>
          <w:color w:val="1B1B22"/>
          <w:spacing w:val="-13"/>
        </w:rPr>
        <w:t> </w:t>
      </w:r>
      <w:r>
        <w:rPr>
          <w:color w:val="1B1B22"/>
        </w:rPr>
        <w:t>legal,</w:t>
      </w:r>
      <w:r>
        <w:rPr>
          <w:color w:val="1B1B22"/>
          <w:spacing w:val="-12"/>
        </w:rPr>
        <w:t> </w:t>
      </w:r>
      <w:r>
        <w:rPr>
          <w:color w:val="1B1B22"/>
        </w:rPr>
        <w:t>representando</w:t>
      </w:r>
      <w:r>
        <w:rPr>
          <w:color w:val="1B1B22"/>
          <w:spacing w:val="-13"/>
        </w:rPr>
        <w:t> </w:t>
      </w:r>
      <w:r>
        <w:rPr>
          <w:color w:val="1B1B22"/>
        </w:rPr>
        <w:t>um</w:t>
      </w:r>
      <w:r>
        <w:rPr>
          <w:color w:val="1B1B22"/>
          <w:spacing w:val="-12"/>
        </w:rPr>
        <w:t> </w:t>
      </w:r>
      <w:r>
        <w:rPr>
          <w:color w:val="1B1B22"/>
        </w:rPr>
        <w:t>crescimento</w:t>
      </w:r>
      <w:r>
        <w:rPr>
          <w:color w:val="1B1B22"/>
          <w:spacing w:val="-12"/>
        </w:rPr>
        <w:t> </w:t>
      </w:r>
      <w:r>
        <w:rPr>
          <w:color w:val="1B1B22"/>
        </w:rPr>
        <w:t>de 39% nos últimos 12 meses.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8" w:space="237"/>
            <w:col w:w="5322"/>
          </w:cols>
        </w:sectPr>
      </w:pPr>
    </w:p>
    <w:p>
      <w:pPr>
        <w:pStyle w:val="BodyText"/>
        <w:spacing w:before="88"/>
      </w:pPr>
    </w:p>
    <w:p>
      <w:pPr>
        <w:pStyle w:val="BodyText"/>
        <w:spacing w:line="88" w:lineRule="exact"/>
        <w:ind w:left="398"/>
        <w:rPr>
          <w:position w:val="-1"/>
          <w:sz w:val="8"/>
        </w:rPr>
      </w:pPr>
      <w:r>
        <w:rPr>
          <w:position w:val="-1"/>
          <w:sz w:val="8"/>
        </w:rPr>
        <mc:AlternateContent>
          <mc:Choice Requires="wps">
            <w:drawing>
              <wp:inline distT="0" distB="0" distL="0" distR="0">
                <wp:extent cx="6517005" cy="56515"/>
                <wp:effectExtent l="0" t="0" r="0" b="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517005" cy="56515"/>
                          <a:chExt cx="6517005" cy="5651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5170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56515">
                                <a:moveTo>
                                  <a:pt x="65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516624" y="56388"/>
                                </a:lnTo>
                                <a:lnTo>
                                  <a:pt x="651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3.15pt;height:4.45pt;mso-position-horizontal-relative:char;mso-position-vertical-relative:line" id="docshapegroup17" coordorigin="0,0" coordsize="10263,89">
                <v:rect style="position:absolute;left:0;top:0;width:10263;height:89" id="docshape18" filled="true" fillcolor="#dadeff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8"/>
        </w:rPr>
      </w:r>
    </w:p>
    <w:p>
      <w:pPr>
        <w:pStyle w:val="BodyText"/>
        <w:spacing w:before="3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540385</wp:posOffset>
            </wp:positionH>
            <wp:positionV relativeFrom="paragraph">
              <wp:posOffset>73813</wp:posOffset>
            </wp:positionV>
            <wp:extent cx="6484758" cy="3584924"/>
            <wp:effectExtent l="0" t="0" r="0" b="0"/>
            <wp:wrapTopAndBottom/>
            <wp:docPr id="20" name="Image 20" descr="Interface gráfica do usuário, Texto, Site  O conteúdo gerado por IA pode estar incorreto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Interface gráfica do usuário, Texto, Site  O conteúdo gerado por IA pode estar incorreto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58" cy="358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88" w:lineRule="exact"/>
        <w:ind w:left="398"/>
        <w:rPr>
          <w:position w:val="-1"/>
          <w:sz w:val="8"/>
        </w:rPr>
      </w:pPr>
      <w:r>
        <w:rPr>
          <w:position w:val="-1"/>
          <w:sz w:val="8"/>
        </w:rPr>
        <mc:AlternateContent>
          <mc:Choice Requires="wps">
            <w:drawing>
              <wp:inline distT="0" distB="0" distL="0" distR="0">
                <wp:extent cx="6517005" cy="56515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517005" cy="56515"/>
                          <a:chExt cx="6517005" cy="565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5170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56515">
                                <a:moveTo>
                                  <a:pt x="65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6516624" y="56387"/>
                                </a:lnTo>
                                <a:lnTo>
                                  <a:pt x="651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3.15pt;height:4.45pt;mso-position-horizontal-relative:char;mso-position-vertical-relative:line" id="docshapegroup19" coordorigin="0,0" coordsize="10263,89">
                <v:rect style="position:absolute;left:0;top:0;width:10263;height:89" id="docshape20" filled="true" fillcolor="#dadeff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8"/>
        </w:rPr>
      </w:r>
    </w:p>
    <w:p>
      <w:pPr>
        <w:pStyle w:val="BodyText"/>
        <w:spacing w:after="0" w:line="88" w:lineRule="exact"/>
        <w:rPr>
          <w:position w:val="-1"/>
          <w:sz w:val="8"/>
        </w:rPr>
        <w:sectPr>
          <w:pgSz w:w="11910" w:h="16850"/>
          <w:pgMar w:header="152" w:footer="572" w:top="900" w:bottom="780" w:left="425" w:right="708"/>
        </w:sectPr>
      </w:pPr>
    </w:p>
    <w:p>
      <w:pPr>
        <w:pStyle w:val="Heading2"/>
        <w:spacing w:before="96"/>
        <w:ind w:left="427"/>
        <w:rPr>
          <w:b w:val="0"/>
        </w:rPr>
      </w:pPr>
      <w:r>
        <w:rPr>
          <w:b w:val="0"/>
          <w:color w:val="465EFF"/>
          <w:spacing w:val="20"/>
        </w:rPr>
        <w:t>Negócios</w:t>
      </w:r>
      <w:r>
        <w:rPr>
          <w:b w:val="0"/>
          <w:color w:val="465EFF"/>
          <w:spacing w:val="47"/>
        </w:rPr>
        <w:t> </w:t>
      </w:r>
      <w:r>
        <w:rPr>
          <w:b w:val="0"/>
          <w:color w:val="465EFF"/>
          <w:spacing w:val="16"/>
        </w:rPr>
        <w:t>Sustentáveis</w:t>
      </w:r>
    </w:p>
    <w:p>
      <w:pPr>
        <w:pStyle w:val="BodyText"/>
        <w:spacing w:line="321" w:lineRule="auto" w:before="171"/>
        <w:ind w:left="426" w:right="38"/>
        <w:jc w:val="both"/>
      </w:pPr>
      <w:r>
        <w:rPr>
          <w:color w:val="1B1B22"/>
        </w:rPr>
        <w:t>No</w:t>
      </w:r>
      <w:r>
        <w:rPr>
          <w:color w:val="1B1B22"/>
          <w:spacing w:val="-9"/>
        </w:rPr>
        <w:t> </w:t>
      </w:r>
      <w:r>
        <w:rPr>
          <w:color w:val="1B1B22"/>
        </w:rPr>
        <w:t>2T25,</w:t>
      </w:r>
      <w:r>
        <w:rPr>
          <w:color w:val="1B1B22"/>
          <w:spacing w:val="-9"/>
        </w:rPr>
        <w:t> </w:t>
      </w:r>
      <w:r>
        <w:rPr>
          <w:color w:val="1B1B22"/>
        </w:rPr>
        <w:t>o</w:t>
      </w:r>
      <w:r>
        <w:rPr>
          <w:color w:val="1B1B22"/>
          <w:spacing w:val="-9"/>
        </w:rPr>
        <w:t> </w:t>
      </w:r>
      <w:r>
        <w:rPr>
          <w:color w:val="1B1B22"/>
        </w:rPr>
        <w:t>saldo</w:t>
      </w:r>
      <w:r>
        <w:rPr>
          <w:color w:val="1B1B22"/>
          <w:spacing w:val="-7"/>
        </w:rPr>
        <w:t> </w:t>
      </w:r>
      <w:r>
        <w:rPr>
          <w:color w:val="1B1B22"/>
        </w:rPr>
        <w:t>da</w:t>
      </w:r>
      <w:r>
        <w:rPr>
          <w:color w:val="1B1B22"/>
          <w:spacing w:val="-10"/>
        </w:rPr>
        <w:t> </w:t>
      </w:r>
      <w:r>
        <w:rPr>
          <w:color w:val="1B1B22"/>
        </w:rPr>
        <w:t>carteira</w:t>
      </w:r>
      <w:r>
        <w:rPr>
          <w:color w:val="1B1B22"/>
          <w:spacing w:val="-10"/>
        </w:rPr>
        <w:t> </w:t>
      </w:r>
      <w:r>
        <w:rPr>
          <w:color w:val="1B1B22"/>
        </w:rPr>
        <w:t>de</w:t>
      </w:r>
      <w:r>
        <w:rPr>
          <w:color w:val="1B1B22"/>
          <w:spacing w:val="-9"/>
        </w:rPr>
        <w:t> </w:t>
      </w:r>
      <w:r>
        <w:rPr>
          <w:color w:val="1B1B22"/>
        </w:rPr>
        <w:t>crédito</w:t>
      </w:r>
      <w:r>
        <w:rPr>
          <w:color w:val="1B1B22"/>
          <w:spacing w:val="-9"/>
        </w:rPr>
        <w:t> </w:t>
      </w:r>
      <w:r>
        <w:rPr>
          <w:color w:val="1B1B22"/>
        </w:rPr>
        <w:t>sustentável </w:t>
      </w:r>
      <w:r>
        <w:rPr>
          <w:color w:val="1B1B22"/>
          <w:spacing w:val="-2"/>
        </w:rPr>
        <w:t>atingiu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R$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396,5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bilhões,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com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crescimento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10,6% </w:t>
      </w:r>
      <w:r>
        <w:rPr>
          <w:color w:val="1B1B22"/>
        </w:rPr>
        <w:t>em</w:t>
      </w:r>
      <w:r>
        <w:rPr>
          <w:color w:val="1B1B22"/>
          <w:spacing w:val="-9"/>
        </w:rPr>
        <w:t> </w:t>
      </w:r>
      <w:r>
        <w:rPr>
          <w:color w:val="1B1B22"/>
        </w:rPr>
        <w:t>12</w:t>
      </w:r>
      <w:r>
        <w:rPr>
          <w:color w:val="1B1B22"/>
          <w:spacing w:val="-9"/>
        </w:rPr>
        <w:t> </w:t>
      </w:r>
      <w:r>
        <w:rPr>
          <w:color w:val="1B1B22"/>
        </w:rPr>
        <w:t>meses,</w:t>
      </w:r>
      <w:r>
        <w:rPr>
          <w:color w:val="1B1B22"/>
          <w:spacing w:val="-9"/>
        </w:rPr>
        <w:t> </w:t>
      </w:r>
      <w:r>
        <w:rPr>
          <w:color w:val="1B1B22"/>
        </w:rPr>
        <w:t>refletindo</w:t>
      </w:r>
      <w:r>
        <w:rPr>
          <w:color w:val="1B1B22"/>
          <w:spacing w:val="-9"/>
        </w:rPr>
        <w:t> </w:t>
      </w:r>
      <w:r>
        <w:rPr>
          <w:color w:val="1B1B22"/>
        </w:rPr>
        <w:t>nosso</w:t>
      </w:r>
      <w:r>
        <w:rPr>
          <w:color w:val="1B1B22"/>
          <w:spacing w:val="-9"/>
        </w:rPr>
        <w:t> </w:t>
      </w:r>
      <w:r>
        <w:rPr>
          <w:color w:val="1B1B22"/>
        </w:rPr>
        <w:t>compromisso</w:t>
      </w:r>
      <w:r>
        <w:rPr>
          <w:color w:val="1B1B22"/>
          <w:spacing w:val="-9"/>
        </w:rPr>
        <w:t> </w:t>
      </w:r>
      <w:r>
        <w:rPr>
          <w:color w:val="1B1B22"/>
        </w:rPr>
        <w:t>com</w:t>
      </w:r>
      <w:r>
        <w:rPr>
          <w:color w:val="1B1B22"/>
          <w:spacing w:val="-9"/>
        </w:rPr>
        <w:t> </w:t>
      </w:r>
      <w:r>
        <w:rPr>
          <w:color w:val="1B1B22"/>
        </w:rPr>
        <w:t>a transição</w:t>
      </w:r>
      <w:r>
        <w:rPr>
          <w:color w:val="1B1B22"/>
          <w:spacing w:val="-1"/>
        </w:rPr>
        <w:t> </w:t>
      </w:r>
      <w:r>
        <w:rPr>
          <w:color w:val="1B1B22"/>
        </w:rPr>
        <w:t>para</w:t>
      </w:r>
      <w:r>
        <w:rPr>
          <w:color w:val="1B1B22"/>
          <w:spacing w:val="-2"/>
        </w:rPr>
        <w:t> </w:t>
      </w:r>
      <w:r>
        <w:rPr>
          <w:color w:val="1B1B22"/>
        </w:rPr>
        <w:t>uma</w:t>
      </w:r>
      <w:r>
        <w:rPr>
          <w:color w:val="1B1B22"/>
          <w:spacing w:val="-2"/>
        </w:rPr>
        <w:t> </w:t>
      </w:r>
      <w:r>
        <w:rPr>
          <w:color w:val="1B1B22"/>
        </w:rPr>
        <w:t>economia mais sustentável. Os recursos foram destinados a setores com impacto </w:t>
      </w:r>
      <w:r>
        <w:rPr>
          <w:color w:val="1B1B22"/>
          <w:spacing w:val="-2"/>
        </w:rPr>
        <w:t>socioambiental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positivo,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como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energias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renováveis, </w:t>
      </w:r>
      <w:r>
        <w:rPr>
          <w:color w:val="1B1B22"/>
        </w:rPr>
        <w:t>agricultura sustentável, saúde e educação.</w:t>
      </w:r>
    </w:p>
    <w:p>
      <w:pPr>
        <w:pStyle w:val="BodyText"/>
        <w:spacing w:line="321" w:lineRule="auto" w:before="115"/>
        <w:ind w:left="426" w:right="39"/>
        <w:jc w:val="both"/>
      </w:pPr>
      <w:r>
        <w:rPr>
          <w:color w:val="1B1B22"/>
        </w:rPr>
        <w:t>A Carteira de Crédito Sustentável passa por avaliação independente, baseada em taxonomias ASG nacionais e internacionais. A metodologia é continuamente atualizada para incorporar boas práticas e incluir novos produtos com atributos </w:t>
      </w:r>
      <w:r>
        <w:rPr>
          <w:color w:val="1B1B22"/>
          <w:spacing w:val="-4"/>
        </w:rPr>
        <w:t>ASG.</w:t>
      </w:r>
    </w:p>
    <w:p>
      <w:pPr>
        <w:pStyle w:val="Heading2"/>
        <w:ind w:left="427"/>
        <w:rPr>
          <w:b w:val="0"/>
        </w:rPr>
      </w:pPr>
      <w:r>
        <w:rPr>
          <w:b w:val="0"/>
          <w:color w:val="465EFF"/>
          <w:spacing w:val="17"/>
        </w:rPr>
        <w:t>Mercado</w:t>
      </w:r>
      <w:r>
        <w:rPr>
          <w:b w:val="0"/>
          <w:color w:val="465EFF"/>
          <w:spacing w:val="48"/>
        </w:rPr>
        <w:t> </w:t>
      </w:r>
      <w:r>
        <w:rPr>
          <w:b w:val="0"/>
          <w:color w:val="465EFF"/>
          <w:spacing w:val="11"/>
        </w:rPr>
        <w:t>de</w:t>
      </w:r>
      <w:r>
        <w:rPr>
          <w:b w:val="0"/>
          <w:color w:val="465EFF"/>
          <w:spacing w:val="52"/>
        </w:rPr>
        <w:t> </w:t>
      </w:r>
      <w:r>
        <w:rPr>
          <w:b w:val="0"/>
          <w:color w:val="465EFF"/>
          <w:spacing w:val="17"/>
        </w:rPr>
        <w:t>Carbono</w:t>
      </w:r>
    </w:p>
    <w:p>
      <w:pPr>
        <w:pStyle w:val="BodyText"/>
        <w:spacing w:line="321" w:lineRule="auto" w:before="249"/>
        <w:ind w:left="426" w:right="38"/>
        <w:jc w:val="both"/>
      </w:pPr>
      <w:r>
        <w:rPr>
          <w:color w:val="1B1B22"/>
          <w:spacing w:val="-2"/>
        </w:rPr>
        <w:t>Reforçamos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a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nossa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atuação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mercado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voluntário </w:t>
      </w:r>
      <w:r>
        <w:rPr>
          <w:color w:val="1B1B22"/>
        </w:rPr>
        <w:t>de carbono, apoiando clientes na criação de projetos com alta adicionalidade ambiental, inventários de emissões de GEE, planos de descarbonização</w:t>
      </w:r>
      <w:r>
        <w:rPr>
          <w:color w:val="1B1B22"/>
          <w:spacing w:val="22"/>
        </w:rPr>
        <w:t> </w:t>
      </w:r>
      <w:r>
        <w:rPr>
          <w:color w:val="1B1B22"/>
        </w:rPr>
        <w:t>e</w:t>
      </w:r>
      <w:r>
        <w:rPr>
          <w:color w:val="1B1B22"/>
          <w:spacing w:val="20"/>
        </w:rPr>
        <w:t> </w:t>
      </w:r>
      <w:r>
        <w:rPr>
          <w:color w:val="1B1B22"/>
        </w:rPr>
        <w:t>oferta</w:t>
      </w:r>
      <w:r>
        <w:rPr>
          <w:color w:val="1B1B22"/>
          <w:spacing w:val="22"/>
        </w:rPr>
        <w:t> </w:t>
      </w:r>
      <w:r>
        <w:rPr>
          <w:color w:val="1B1B22"/>
        </w:rPr>
        <w:t>de</w:t>
      </w:r>
      <w:r>
        <w:rPr>
          <w:color w:val="1B1B22"/>
          <w:spacing w:val="20"/>
        </w:rPr>
        <w:t> </w:t>
      </w:r>
      <w:r>
        <w:rPr>
          <w:color w:val="1B1B22"/>
        </w:rPr>
        <w:t>créditos</w:t>
      </w:r>
      <w:r>
        <w:rPr>
          <w:color w:val="1B1B22"/>
          <w:spacing w:val="22"/>
        </w:rPr>
        <w:t> </w:t>
      </w:r>
      <w:r>
        <w:rPr>
          <w:color w:val="1B1B22"/>
        </w:rPr>
        <w:t>de</w:t>
      </w:r>
      <w:r>
        <w:rPr>
          <w:color w:val="1B1B22"/>
          <w:spacing w:val="20"/>
        </w:rPr>
        <w:t> </w:t>
      </w:r>
      <w:r>
        <w:rPr>
          <w:color w:val="1B1B22"/>
          <w:spacing w:val="-2"/>
        </w:rPr>
        <w:t>carbono</w:t>
      </w:r>
    </w:p>
    <w:p>
      <w:pPr>
        <w:pStyle w:val="BodyText"/>
        <w:spacing w:line="321" w:lineRule="auto" w:before="64"/>
        <w:ind w:left="426" w:right="141"/>
        <w:jc w:val="both"/>
      </w:pPr>
      <w:r>
        <w:rPr/>
        <w:br w:type="column"/>
      </w:r>
      <w:r>
        <w:rPr>
          <w:color w:val="1B1B22"/>
        </w:rPr>
        <w:t>para compensação de emissões não mitigadas. Também promove a intermediação entre compradores e vendedores de créditos e oferece linhas específicas para projetos de energia renovável e eficiência energética.</w:t>
      </w:r>
    </w:p>
    <w:p>
      <w:pPr>
        <w:pStyle w:val="BodyText"/>
        <w:spacing w:line="321" w:lineRule="auto" w:before="119"/>
        <w:ind w:left="426" w:right="141"/>
        <w:jc w:val="both"/>
      </w:pPr>
      <w:r>
        <w:rPr>
          <w:color w:val="1B1B22"/>
        </w:rPr>
        <w:t>Até junho de 2025, o Banco apoiou a preservação ou reflorestamento de mais de 850 mil hectares por meio de projetos de carbono e operações de crédito. Os projetos de conservação florestal (REDD+)</w:t>
      </w:r>
      <w:r>
        <w:rPr>
          <w:color w:val="1B1B22"/>
          <w:spacing w:val="-13"/>
        </w:rPr>
        <w:t> </w:t>
      </w:r>
      <w:r>
        <w:rPr>
          <w:color w:val="1B1B22"/>
        </w:rPr>
        <w:t>aliam</w:t>
      </w:r>
      <w:r>
        <w:rPr>
          <w:color w:val="1B1B22"/>
          <w:spacing w:val="-12"/>
        </w:rPr>
        <w:t> </w:t>
      </w:r>
      <w:r>
        <w:rPr>
          <w:color w:val="1B1B22"/>
        </w:rPr>
        <w:t>preservação</w:t>
      </w:r>
      <w:r>
        <w:rPr>
          <w:color w:val="1B1B22"/>
          <w:spacing w:val="-13"/>
        </w:rPr>
        <w:t> </w:t>
      </w:r>
      <w:r>
        <w:rPr>
          <w:color w:val="1B1B22"/>
        </w:rPr>
        <w:t>ambiental</w:t>
      </w:r>
      <w:r>
        <w:rPr>
          <w:color w:val="1B1B22"/>
          <w:spacing w:val="-12"/>
        </w:rPr>
        <w:t> </w:t>
      </w:r>
      <w:r>
        <w:rPr>
          <w:color w:val="1B1B22"/>
        </w:rPr>
        <w:t>à</w:t>
      </w:r>
      <w:r>
        <w:rPr>
          <w:color w:val="1B1B22"/>
          <w:spacing w:val="-12"/>
        </w:rPr>
        <w:t> </w:t>
      </w:r>
      <w:r>
        <w:rPr>
          <w:color w:val="1B1B22"/>
        </w:rPr>
        <w:t>geração</w:t>
      </w:r>
      <w:r>
        <w:rPr>
          <w:color w:val="1B1B22"/>
          <w:spacing w:val="-13"/>
        </w:rPr>
        <w:t> </w:t>
      </w:r>
      <w:r>
        <w:rPr>
          <w:color w:val="1B1B22"/>
        </w:rPr>
        <w:t>de </w:t>
      </w:r>
      <w:r>
        <w:rPr>
          <w:color w:val="1B1B22"/>
          <w:spacing w:val="-2"/>
        </w:rPr>
        <w:t>renda.</w:t>
      </w:r>
    </w:p>
    <w:p>
      <w:pPr>
        <w:pStyle w:val="BodyText"/>
        <w:spacing w:line="321" w:lineRule="auto" w:before="115"/>
        <w:ind w:left="426" w:right="141"/>
        <w:jc w:val="both"/>
      </w:pPr>
      <w:r>
        <w:rPr>
          <w:color w:val="1B1B22"/>
        </w:rPr>
        <w:t>Para</w:t>
      </w:r>
      <w:r>
        <w:rPr>
          <w:color w:val="1B1B22"/>
          <w:spacing w:val="-12"/>
        </w:rPr>
        <w:t> </w:t>
      </w:r>
      <w:r>
        <w:rPr>
          <w:color w:val="1B1B22"/>
        </w:rPr>
        <w:t>diversificar</w:t>
      </w:r>
      <w:r>
        <w:rPr>
          <w:color w:val="1B1B22"/>
          <w:spacing w:val="-11"/>
        </w:rPr>
        <w:t> </w:t>
      </w:r>
      <w:r>
        <w:rPr>
          <w:color w:val="1B1B22"/>
        </w:rPr>
        <w:t>a</w:t>
      </w:r>
      <w:r>
        <w:rPr>
          <w:color w:val="1B1B22"/>
          <w:spacing w:val="-13"/>
        </w:rPr>
        <w:t> </w:t>
      </w:r>
      <w:r>
        <w:rPr>
          <w:color w:val="1B1B22"/>
        </w:rPr>
        <w:t>geração</w:t>
      </w:r>
      <w:r>
        <w:rPr>
          <w:color w:val="1B1B22"/>
          <w:spacing w:val="-10"/>
        </w:rPr>
        <w:t> </w:t>
      </w:r>
      <w:r>
        <w:rPr>
          <w:color w:val="1B1B22"/>
        </w:rPr>
        <w:t>de</w:t>
      </w:r>
      <w:r>
        <w:rPr>
          <w:color w:val="1B1B22"/>
          <w:spacing w:val="-12"/>
        </w:rPr>
        <w:t> </w:t>
      </w:r>
      <w:r>
        <w:rPr>
          <w:color w:val="1B1B22"/>
        </w:rPr>
        <w:t>créditos,</w:t>
      </w:r>
      <w:r>
        <w:rPr>
          <w:color w:val="1B1B22"/>
          <w:spacing w:val="-12"/>
        </w:rPr>
        <w:t> </w:t>
      </w:r>
      <w:r>
        <w:rPr>
          <w:color w:val="1B1B22"/>
        </w:rPr>
        <w:t>o</w:t>
      </w:r>
      <w:r>
        <w:rPr>
          <w:color w:val="1B1B22"/>
          <w:spacing w:val="-12"/>
        </w:rPr>
        <w:t> </w:t>
      </w:r>
      <w:r>
        <w:rPr>
          <w:color w:val="1B1B22"/>
        </w:rPr>
        <w:t>BB</w:t>
      </w:r>
      <w:r>
        <w:rPr>
          <w:color w:val="1B1B22"/>
          <w:spacing w:val="-12"/>
        </w:rPr>
        <w:t> </w:t>
      </w:r>
      <w:r>
        <w:rPr>
          <w:color w:val="1B1B22"/>
        </w:rPr>
        <w:t>lançou, em</w:t>
      </w:r>
      <w:r>
        <w:rPr>
          <w:color w:val="1B1B22"/>
          <w:spacing w:val="-13"/>
        </w:rPr>
        <w:t> </w:t>
      </w:r>
      <w:r>
        <w:rPr>
          <w:color w:val="1B1B22"/>
        </w:rPr>
        <w:t>junho</w:t>
      </w:r>
      <w:r>
        <w:rPr>
          <w:color w:val="1B1B22"/>
          <w:spacing w:val="-12"/>
        </w:rPr>
        <w:t> </w:t>
      </w:r>
      <w:r>
        <w:rPr>
          <w:color w:val="1B1B22"/>
        </w:rPr>
        <w:t>de</w:t>
      </w:r>
      <w:r>
        <w:rPr>
          <w:color w:val="1B1B22"/>
          <w:spacing w:val="-13"/>
        </w:rPr>
        <w:t> </w:t>
      </w:r>
      <w:r>
        <w:rPr>
          <w:color w:val="1B1B22"/>
        </w:rPr>
        <w:t>2024,</w:t>
      </w:r>
      <w:r>
        <w:rPr>
          <w:color w:val="1B1B22"/>
          <w:spacing w:val="-12"/>
        </w:rPr>
        <w:t> </w:t>
      </w:r>
      <w:r>
        <w:rPr>
          <w:color w:val="1B1B22"/>
        </w:rPr>
        <w:t>o</w:t>
      </w:r>
      <w:r>
        <w:rPr>
          <w:color w:val="1B1B22"/>
          <w:spacing w:val="-12"/>
        </w:rPr>
        <w:t> </w:t>
      </w:r>
      <w:r>
        <w:rPr>
          <w:color w:val="1B1B22"/>
        </w:rPr>
        <w:t>Programa</w:t>
      </w:r>
      <w:r>
        <w:rPr>
          <w:color w:val="1B1B22"/>
          <w:spacing w:val="-13"/>
        </w:rPr>
        <w:t> </w:t>
      </w:r>
      <w:r>
        <w:rPr>
          <w:color w:val="1B1B22"/>
        </w:rPr>
        <w:t>de</w:t>
      </w:r>
      <w:r>
        <w:rPr>
          <w:color w:val="1B1B22"/>
          <w:spacing w:val="-12"/>
        </w:rPr>
        <w:t> </w:t>
      </w:r>
      <w:r>
        <w:rPr>
          <w:color w:val="1B1B22"/>
        </w:rPr>
        <w:t>Biogás,</w:t>
      </w:r>
      <w:r>
        <w:rPr>
          <w:color w:val="1B1B22"/>
          <w:spacing w:val="-12"/>
        </w:rPr>
        <w:t> </w:t>
      </w:r>
      <w:r>
        <w:rPr>
          <w:color w:val="1B1B22"/>
        </w:rPr>
        <w:t>voltado</w:t>
      </w:r>
      <w:r>
        <w:rPr>
          <w:color w:val="1B1B22"/>
          <w:spacing w:val="-13"/>
        </w:rPr>
        <w:t> </w:t>
      </w:r>
      <w:r>
        <w:rPr>
          <w:color w:val="1B1B22"/>
        </w:rPr>
        <w:t>à produção de biogás e biometano na agropecuária.</w:t>
      </w:r>
    </w:p>
    <w:p>
      <w:pPr>
        <w:pStyle w:val="BodyText"/>
        <w:spacing w:line="321" w:lineRule="auto" w:before="119"/>
        <w:ind w:left="426" w:right="141"/>
        <w:jc w:val="both"/>
      </w:pPr>
      <w:r>
        <w:rPr>
          <w:color w:val="1B1B22"/>
        </w:rPr>
        <w:t>Rumo à COP30, o BB também fortalece a descarbonização com a emissão de mais de R$ 729 milhões em CPRs lastreadas em Créditos de Descarbonização</w:t>
      </w:r>
      <w:r>
        <w:rPr>
          <w:color w:val="1B1B22"/>
          <w:spacing w:val="-12"/>
        </w:rPr>
        <w:t> </w:t>
      </w:r>
      <w:r>
        <w:rPr>
          <w:color w:val="1B1B22"/>
        </w:rPr>
        <w:t>(CBIOs),</w:t>
      </w:r>
      <w:r>
        <w:rPr>
          <w:color w:val="1B1B22"/>
          <w:spacing w:val="-10"/>
        </w:rPr>
        <w:t> </w:t>
      </w:r>
      <w:r>
        <w:rPr>
          <w:color w:val="1B1B22"/>
        </w:rPr>
        <w:t>incentivando</w:t>
      </w:r>
      <w:r>
        <w:rPr>
          <w:color w:val="1B1B22"/>
          <w:spacing w:val="-12"/>
        </w:rPr>
        <w:t> </w:t>
      </w:r>
      <w:r>
        <w:rPr>
          <w:color w:val="1B1B22"/>
        </w:rPr>
        <w:t>a</w:t>
      </w:r>
      <w:r>
        <w:rPr>
          <w:color w:val="1B1B22"/>
          <w:spacing w:val="-13"/>
        </w:rPr>
        <w:t> </w:t>
      </w:r>
      <w:r>
        <w:rPr>
          <w:color w:val="1B1B22"/>
        </w:rPr>
        <w:t>produção de biocombustíveis e a adesão ao programa RenovaBio, que contribui para a segurança energética</w:t>
      </w:r>
      <w:r>
        <w:rPr>
          <w:color w:val="1B1B22"/>
          <w:spacing w:val="-6"/>
        </w:rPr>
        <w:t> </w:t>
      </w:r>
      <w:r>
        <w:rPr>
          <w:color w:val="1B1B22"/>
        </w:rPr>
        <w:t>e</w:t>
      </w:r>
      <w:r>
        <w:rPr>
          <w:color w:val="1B1B22"/>
          <w:spacing w:val="-5"/>
        </w:rPr>
        <w:t> </w:t>
      </w:r>
      <w:r>
        <w:rPr>
          <w:color w:val="1B1B22"/>
        </w:rPr>
        <w:t>os</w:t>
      </w:r>
      <w:r>
        <w:rPr>
          <w:color w:val="1B1B22"/>
          <w:spacing w:val="-3"/>
        </w:rPr>
        <w:t> </w:t>
      </w:r>
      <w:r>
        <w:rPr>
          <w:color w:val="1B1B22"/>
        </w:rPr>
        <w:t>compromissos</w:t>
      </w:r>
      <w:r>
        <w:rPr>
          <w:color w:val="1B1B22"/>
          <w:spacing w:val="-3"/>
        </w:rPr>
        <w:t> </w:t>
      </w:r>
      <w:r>
        <w:rPr>
          <w:color w:val="1B1B22"/>
        </w:rPr>
        <w:t>climáticos</w:t>
      </w:r>
      <w:r>
        <w:rPr>
          <w:color w:val="1B1B22"/>
          <w:spacing w:val="-3"/>
        </w:rPr>
        <w:t> </w:t>
      </w:r>
      <w:r>
        <w:rPr>
          <w:color w:val="1B1B22"/>
        </w:rPr>
        <w:t>do</w:t>
      </w:r>
      <w:r>
        <w:rPr>
          <w:color w:val="1B1B22"/>
          <w:spacing w:val="-5"/>
        </w:rPr>
        <w:t> </w:t>
      </w:r>
      <w:r>
        <w:rPr>
          <w:color w:val="1B1B22"/>
        </w:rPr>
        <w:t>Brasil.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5" w:space="240"/>
            <w:col w:w="5322"/>
          </w:cols>
        </w:sectPr>
      </w:pPr>
    </w:p>
    <w:p>
      <w:pPr>
        <w:pStyle w:val="BodyText"/>
        <w:spacing w:before="425"/>
        <w:rPr>
          <w:sz w:val="44"/>
        </w:rPr>
      </w:pPr>
    </w:p>
    <w:p>
      <w:pPr>
        <w:pStyle w:val="Heading1"/>
      </w:pPr>
      <w:r>
        <w:rPr>
          <w:color w:val="465EFF"/>
          <w:spacing w:val="34"/>
        </w:rPr>
        <w:t>Diversidade,</w:t>
      </w:r>
      <w:r>
        <w:rPr>
          <w:color w:val="465EFF"/>
          <w:spacing w:val="-26"/>
        </w:rPr>
        <w:t> </w:t>
      </w:r>
      <w:r>
        <w:rPr>
          <w:color w:val="465EFF"/>
          <w:spacing w:val="34"/>
        </w:rPr>
        <w:t>Equidade</w:t>
      </w:r>
      <w:r>
        <w:rPr>
          <w:color w:val="465EFF"/>
          <w:spacing w:val="63"/>
        </w:rPr>
        <w:t> </w:t>
      </w:r>
      <w:r>
        <w:rPr>
          <w:color w:val="465EFF"/>
        </w:rPr>
        <w:t>e</w:t>
      </w:r>
      <w:r>
        <w:rPr>
          <w:color w:val="465EFF"/>
          <w:spacing w:val="63"/>
        </w:rPr>
        <w:t> </w:t>
      </w:r>
      <w:r>
        <w:rPr>
          <w:color w:val="465EFF"/>
          <w:spacing w:val="30"/>
        </w:rPr>
        <w:t>Inclusão</w:t>
      </w:r>
    </w:p>
    <w:p>
      <w:pPr>
        <w:pStyle w:val="BodyText"/>
        <w:spacing w:before="2"/>
        <w:rPr>
          <w:rFonts w:ascii="BancoDoBrasil Titulos"/>
        </w:rPr>
      </w:pPr>
    </w:p>
    <w:p>
      <w:pPr>
        <w:pStyle w:val="BodyText"/>
        <w:spacing w:after="0"/>
        <w:rPr>
          <w:rFonts w:ascii="BancoDoBrasil Titulos"/>
        </w:rPr>
        <w:sectPr>
          <w:pgSz w:w="11910" w:h="16850"/>
          <w:pgMar w:header="152" w:footer="572" w:top="900" w:bottom="780" w:left="425" w:right="708"/>
        </w:sectPr>
      </w:pPr>
    </w:p>
    <w:p>
      <w:pPr>
        <w:pStyle w:val="BodyText"/>
        <w:spacing w:line="321" w:lineRule="auto" w:before="78"/>
        <w:ind w:left="426" w:right="38"/>
        <w:jc w:val="both"/>
      </w:pPr>
      <w:r>
        <w:rPr>
          <w:color w:val="1B1B22"/>
        </w:rPr>
        <w:t>Continuamos engajados com a Diversidade. Atualmente, as mulheres representam 44% do Conselho Diretor (CD) e 50% do Conselho de Administração (CA). Além disso, dois membros se autodeclaram negros tanto no CD quanto no CA. Dois membros do CD e um do CA</w:t>
      </w:r>
      <w:r>
        <w:rPr>
          <w:color w:val="1B1B22"/>
          <w:spacing w:val="-1"/>
        </w:rPr>
        <w:t> </w:t>
      </w:r>
      <w:r>
        <w:rPr>
          <w:color w:val="1B1B22"/>
        </w:rPr>
        <w:t>se autodeclaram pertencentes</w:t>
      </w:r>
      <w:r>
        <w:rPr>
          <w:color w:val="1B1B22"/>
          <w:spacing w:val="-5"/>
        </w:rPr>
        <w:t> </w:t>
      </w:r>
      <w:r>
        <w:rPr>
          <w:color w:val="1B1B22"/>
        </w:rPr>
        <w:t>à</w:t>
      </w:r>
      <w:r>
        <w:rPr>
          <w:color w:val="1B1B22"/>
          <w:spacing w:val="-7"/>
        </w:rPr>
        <w:t> </w:t>
      </w:r>
      <w:r>
        <w:rPr>
          <w:color w:val="1B1B22"/>
        </w:rPr>
        <w:t>comunidade</w:t>
      </w:r>
      <w:r>
        <w:rPr>
          <w:color w:val="1B1B22"/>
          <w:spacing w:val="-6"/>
        </w:rPr>
        <w:t> </w:t>
      </w:r>
      <w:r>
        <w:rPr>
          <w:color w:val="1B1B22"/>
        </w:rPr>
        <w:t>LGBTQIAPN+.</w:t>
      </w:r>
      <w:r>
        <w:rPr>
          <w:color w:val="1B1B22"/>
          <w:spacing w:val="-6"/>
        </w:rPr>
        <w:t> </w:t>
      </w:r>
      <w:r>
        <w:rPr>
          <w:color w:val="1B1B22"/>
        </w:rPr>
        <w:t>Por</w:t>
      </w:r>
      <w:r>
        <w:rPr>
          <w:color w:val="1B1B22"/>
          <w:spacing w:val="-6"/>
        </w:rPr>
        <w:t> </w:t>
      </w:r>
      <w:r>
        <w:rPr>
          <w:color w:val="1B1B22"/>
        </w:rPr>
        <w:t>fim, o CA também inclui um membro autodeclarado como pessoa com deficiência (PCD).</w:t>
      </w:r>
    </w:p>
    <w:p>
      <w:pPr>
        <w:pStyle w:val="BodyText"/>
        <w:spacing w:line="319" w:lineRule="auto" w:before="115"/>
        <w:ind w:left="426" w:right="39"/>
        <w:jc w:val="both"/>
      </w:pPr>
      <w:r>
        <w:rPr>
          <w:color w:val="1B1B22"/>
        </w:rPr>
        <w:t>Possuímos um dos quadros de funcionários mais diversos</w:t>
      </w:r>
      <w:r>
        <w:rPr>
          <w:color w:val="1B1B22"/>
          <w:spacing w:val="-13"/>
        </w:rPr>
        <w:t> </w:t>
      </w:r>
      <w:r>
        <w:rPr>
          <w:color w:val="1B1B22"/>
        </w:rPr>
        <w:t>do</w:t>
      </w:r>
      <w:r>
        <w:rPr>
          <w:color w:val="1B1B22"/>
          <w:spacing w:val="-12"/>
        </w:rPr>
        <w:t> </w:t>
      </w:r>
      <w:r>
        <w:rPr>
          <w:color w:val="1B1B22"/>
        </w:rPr>
        <w:t>mercado,</w:t>
      </w:r>
      <w:r>
        <w:rPr>
          <w:color w:val="1B1B22"/>
          <w:spacing w:val="-13"/>
        </w:rPr>
        <w:t> </w:t>
      </w:r>
      <w:r>
        <w:rPr>
          <w:color w:val="1B1B22"/>
        </w:rPr>
        <w:t>chancelado</w:t>
      </w:r>
      <w:r>
        <w:rPr>
          <w:color w:val="1B1B22"/>
          <w:spacing w:val="-12"/>
        </w:rPr>
        <w:t> </w:t>
      </w:r>
      <w:r>
        <w:rPr>
          <w:color w:val="1B1B22"/>
        </w:rPr>
        <w:t>pela</w:t>
      </w:r>
      <w:r>
        <w:rPr>
          <w:color w:val="1B1B22"/>
          <w:spacing w:val="-12"/>
        </w:rPr>
        <w:t> </w:t>
      </w:r>
      <w:r>
        <w:rPr>
          <w:color w:val="1B1B22"/>
        </w:rPr>
        <w:t>B3,</w:t>
      </w:r>
      <w:r>
        <w:rPr>
          <w:color w:val="1B1B22"/>
          <w:spacing w:val="-13"/>
        </w:rPr>
        <w:t> </w:t>
      </w:r>
      <w:r>
        <w:rPr>
          <w:color w:val="1B1B22"/>
        </w:rPr>
        <w:t>por</w:t>
      </w:r>
      <w:r>
        <w:rPr>
          <w:color w:val="1B1B22"/>
          <w:spacing w:val="-12"/>
        </w:rPr>
        <w:t> </w:t>
      </w:r>
      <w:r>
        <w:rPr>
          <w:color w:val="1B1B22"/>
        </w:rPr>
        <w:t>meio do iDiversa.</w:t>
      </w:r>
    </w:p>
    <w:p>
      <w:pPr>
        <w:pStyle w:val="BodyText"/>
        <w:spacing w:line="321" w:lineRule="auto" w:before="124"/>
        <w:ind w:left="426" w:right="39"/>
        <w:jc w:val="both"/>
      </w:pPr>
      <w:r>
        <w:rPr>
          <w:color w:val="1B1B22"/>
        </w:rPr>
        <w:t>Em abril, realizamos diálogos com lideranças indígenas sobre a preservação dos territórios e da cultura, resultando em propostas de parcerias e ações</w:t>
      </w:r>
      <w:r>
        <w:rPr>
          <w:color w:val="1B1B22"/>
          <w:spacing w:val="-8"/>
        </w:rPr>
        <w:t> </w:t>
      </w:r>
      <w:r>
        <w:rPr>
          <w:color w:val="1B1B22"/>
        </w:rPr>
        <w:t>conjuntas.</w:t>
      </w:r>
      <w:r>
        <w:rPr>
          <w:color w:val="1B1B22"/>
          <w:spacing w:val="-9"/>
        </w:rPr>
        <w:t> </w:t>
      </w:r>
      <w:r>
        <w:rPr>
          <w:color w:val="1B1B22"/>
        </w:rPr>
        <w:t>Foram</w:t>
      </w:r>
      <w:r>
        <w:rPr>
          <w:color w:val="1B1B22"/>
          <w:spacing w:val="-10"/>
        </w:rPr>
        <w:t> </w:t>
      </w:r>
      <w:r>
        <w:rPr>
          <w:color w:val="1B1B22"/>
        </w:rPr>
        <w:t>discutidas</w:t>
      </w:r>
      <w:r>
        <w:rPr>
          <w:color w:val="1B1B22"/>
          <w:spacing w:val="-8"/>
        </w:rPr>
        <w:t> </w:t>
      </w:r>
      <w:r>
        <w:rPr>
          <w:color w:val="1B1B22"/>
        </w:rPr>
        <w:t>iniciativas</w:t>
      </w:r>
      <w:r>
        <w:rPr>
          <w:color w:val="1B1B22"/>
          <w:spacing w:val="-8"/>
        </w:rPr>
        <w:t> </w:t>
      </w:r>
      <w:r>
        <w:rPr>
          <w:color w:val="1B1B22"/>
        </w:rPr>
        <w:t>com</w:t>
      </w:r>
      <w:r>
        <w:rPr>
          <w:color w:val="1B1B22"/>
          <w:spacing w:val="-10"/>
        </w:rPr>
        <w:t> </w:t>
      </w:r>
      <w:r>
        <w:rPr>
          <w:color w:val="1B1B22"/>
        </w:rPr>
        <w:t>o povo Kayapó nas áreas de crédito de carbono, agricultura familiar, recuperação de áreas degradadas,</w:t>
      </w:r>
      <w:r>
        <w:rPr>
          <w:color w:val="1B1B22"/>
          <w:spacing w:val="-5"/>
        </w:rPr>
        <w:t> </w:t>
      </w:r>
      <w:r>
        <w:rPr>
          <w:color w:val="1B1B22"/>
        </w:rPr>
        <w:t>crédito,</w:t>
      </w:r>
      <w:r>
        <w:rPr>
          <w:color w:val="1B1B22"/>
          <w:spacing w:val="-5"/>
        </w:rPr>
        <w:t> </w:t>
      </w:r>
      <w:r>
        <w:rPr>
          <w:color w:val="1B1B22"/>
        </w:rPr>
        <w:t>tecnologias</w:t>
      </w:r>
      <w:r>
        <w:rPr>
          <w:color w:val="1B1B22"/>
          <w:spacing w:val="-4"/>
        </w:rPr>
        <w:t> </w:t>
      </w:r>
      <w:r>
        <w:rPr>
          <w:color w:val="1B1B22"/>
        </w:rPr>
        <w:t>sociais</w:t>
      </w:r>
      <w:r>
        <w:rPr>
          <w:color w:val="1B1B22"/>
          <w:spacing w:val="-4"/>
        </w:rPr>
        <w:t> </w:t>
      </w:r>
      <w:r>
        <w:rPr>
          <w:color w:val="1B1B22"/>
        </w:rPr>
        <w:t>e</w:t>
      </w:r>
      <w:r>
        <w:rPr>
          <w:color w:val="1B1B22"/>
          <w:spacing w:val="-6"/>
        </w:rPr>
        <w:t> </w:t>
      </w:r>
      <w:r>
        <w:rPr>
          <w:color w:val="1B1B22"/>
        </w:rPr>
        <w:t>projetos </w:t>
      </w:r>
      <w:r>
        <w:rPr>
          <w:color w:val="1B1B22"/>
          <w:spacing w:val="-2"/>
        </w:rPr>
        <w:t>sustentáveis.</w:t>
      </w:r>
    </w:p>
    <w:p>
      <w:pPr>
        <w:pStyle w:val="BodyText"/>
        <w:spacing w:line="321" w:lineRule="auto" w:before="115"/>
        <w:ind w:left="426" w:right="38"/>
        <w:jc w:val="both"/>
      </w:pPr>
      <w:r>
        <w:rPr>
          <w:color w:val="1B1B22"/>
        </w:rPr>
        <w:t>Em maio, anunciamos a parceria com o LinkedIn com</w:t>
      </w:r>
      <w:r>
        <w:rPr>
          <w:color w:val="1B1B22"/>
          <w:spacing w:val="-8"/>
        </w:rPr>
        <w:t> </w:t>
      </w:r>
      <w:r>
        <w:rPr>
          <w:color w:val="1B1B22"/>
        </w:rPr>
        <w:t>o</w:t>
      </w:r>
      <w:r>
        <w:rPr>
          <w:color w:val="1B1B22"/>
          <w:spacing w:val="-8"/>
        </w:rPr>
        <w:t> </w:t>
      </w:r>
      <w:r>
        <w:rPr>
          <w:color w:val="1B1B22"/>
        </w:rPr>
        <w:t>objetivo</w:t>
      </w:r>
      <w:r>
        <w:rPr>
          <w:color w:val="1B1B22"/>
          <w:spacing w:val="-8"/>
        </w:rPr>
        <w:t> </w:t>
      </w:r>
      <w:r>
        <w:rPr>
          <w:color w:val="1B1B22"/>
        </w:rPr>
        <w:t>de</w:t>
      </w:r>
      <w:r>
        <w:rPr>
          <w:color w:val="1B1B22"/>
          <w:spacing w:val="-8"/>
        </w:rPr>
        <w:t> </w:t>
      </w:r>
      <w:r>
        <w:rPr>
          <w:color w:val="1B1B22"/>
        </w:rPr>
        <w:t>fortalecer</w:t>
      </w:r>
      <w:r>
        <w:rPr>
          <w:color w:val="1B1B22"/>
          <w:spacing w:val="-8"/>
        </w:rPr>
        <w:t> </w:t>
      </w:r>
      <w:r>
        <w:rPr>
          <w:color w:val="1B1B22"/>
        </w:rPr>
        <w:t>o</w:t>
      </w:r>
      <w:r>
        <w:rPr>
          <w:color w:val="1B1B22"/>
          <w:spacing w:val="-8"/>
        </w:rPr>
        <w:t> </w:t>
      </w:r>
      <w:r>
        <w:rPr>
          <w:color w:val="1B1B22"/>
        </w:rPr>
        <w:t>programa</w:t>
      </w:r>
      <w:r>
        <w:rPr>
          <w:color w:val="1B1B22"/>
          <w:spacing w:val="-9"/>
        </w:rPr>
        <w:t> </w:t>
      </w:r>
      <w:r>
        <w:rPr>
          <w:color w:val="1B1B22"/>
        </w:rPr>
        <w:t>Mulheres no</w:t>
      </w:r>
      <w:r>
        <w:rPr>
          <w:color w:val="1B1B22"/>
          <w:spacing w:val="-13"/>
        </w:rPr>
        <w:t> </w:t>
      </w:r>
      <w:r>
        <w:rPr>
          <w:color w:val="1B1B22"/>
        </w:rPr>
        <w:t>Topo,</w:t>
      </w:r>
      <w:r>
        <w:rPr>
          <w:color w:val="1B1B22"/>
          <w:spacing w:val="-1"/>
        </w:rPr>
        <w:t> </w:t>
      </w:r>
      <w:r>
        <w:rPr>
          <w:color w:val="1B1B22"/>
        </w:rPr>
        <w:t>ampliando</w:t>
      </w:r>
      <w:r>
        <w:rPr>
          <w:color w:val="1B1B22"/>
          <w:spacing w:val="-1"/>
        </w:rPr>
        <w:t> </w:t>
      </w:r>
      <w:r>
        <w:rPr>
          <w:color w:val="1B1B22"/>
        </w:rPr>
        <w:t>o</w:t>
      </w:r>
      <w:r>
        <w:rPr>
          <w:color w:val="1B1B22"/>
          <w:spacing w:val="-1"/>
        </w:rPr>
        <w:t> </w:t>
      </w:r>
      <w:r>
        <w:rPr>
          <w:color w:val="1B1B22"/>
        </w:rPr>
        <w:t>alcance</w:t>
      </w:r>
      <w:r>
        <w:rPr>
          <w:color w:val="1B1B22"/>
          <w:spacing w:val="-1"/>
        </w:rPr>
        <w:t> </w:t>
      </w:r>
      <w:r>
        <w:rPr>
          <w:color w:val="1B1B22"/>
        </w:rPr>
        <w:t>e</w:t>
      </w:r>
      <w:r>
        <w:rPr>
          <w:color w:val="1B1B22"/>
          <w:spacing w:val="-1"/>
        </w:rPr>
        <w:t> </w:t>
      </w:r>
      <w:r>
        <w:rPr>
          <w:color w:val="1B1B22"/>
        </w:rPr>
        <w:t>promovendo</w:t>
      </w:r>
      <w:r>
        <w:rPr>
          <w:color w:val="1B1B22"/>
          <w:spacing w:val="-1"/>
        </w:rPr>
        <w:t> </w:t>
      </w:r>
      <w:r>
        <w:rPr>
          <w:color w:val="1B1B22"/>
        </w:rPr>
        <w:t>cada vez mais o empoderamento feminino.</w:t>
      </w:r>
      <w:r>
        <w:rPr>
          <w:color w:val="1B1B22"/>
          <w:spacing w:val="-2"/>
        </w:rPr>
        <w:t> </w:t>
      </w:r>
      <w:r>
        <w:rPr>
          <w:color w:val="1B1B22"/>
        </w:rPr>
        <w:t>A</w:t>
      </w:r>
      <w:r>
        <w:rPr>
          <w:color w:val="1B1B22"/>
          <w:spacing w:val="-1"/>
        </w:rPr>
        <w:t> </w:t>
      </w:r>
      <w:r>
        <w:rPr>
          <w:color w:val="1B1B22"/>
        </w:rPr>
        <w:t>Showcase Mulheres no Topo no LinkedIn foi desenvolvida </w:t>
      </w:r>
      <w:r>
        <w:rPr>
          <w:color w:val="1B1B22"/>
          <w:spacing w:val="-2"/>
        </w:rPr>
        <w:t>como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um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centro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conteúdos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exclusivos,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podcasts inspiradores,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posts</w:t>
      </w:r>
      <w:r>
        <w:rPr>
          <w:color w:val="1B1B22"/>
          <w:spacing w:val="-4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3"/>
        </w:rPr>
        <w:t> </w:t>
      </w:r>
      <w:r>
        <w:rPr>
          <w:color w:val="1B1B22"/>
          <w:spacing w:val="-2"/>
        </w:rPr>
        <w:t>mulheres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Top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Voice,</w:t>
      </w:r>
      <w:r>
        <w:rPr>
          <w:color w:val="1B1B22"/>
          <w:spacing w:val="-4"/>
        </w:rPr>
        <w:t> </w:t>
      </w:r>
      <w:r>
        <w:rPr>
          <w:color w:val="1B1B22"/>
          <w:spacing w:val="-2"/>
        </w:rPr>
        <w:t>dicas</w:t>
      </w:r>
      <w:r>
        <w:rPr>
          <w:color w:val="1B1B22"/>
          <w:spacing w:val="-4"/>
        </w:rPr>
        <w:t> </w:t>
      </w:r>
      <w:r>
        <w:rPr>
          <w:color w:val="1B1B22"/>
          <w:spacing w:val="-2"/>
        </w:rPr>
        <w:t>de </w:t>
      </w:r>
      <w:r>
        <w:rPr>
          <w:color w:val="1B1B22"/>
        </w:rPr>
        <w:t>carreira, trilha de treinamentos, artigos e dados sobre economia e mercado, histórias reais e </w:t>
      </w:r>
      <w:r>
        <w:rPr>
          <w:color w:val="1B1B22"/>
          <w:spacing w:val="-2"/>
        </w:rPr>
        <w:t>oportunidades.</w:t>
      </w:r>
    </w:p>
    <w:p>
      <w:pPr>
        <w:pStyle w:val="BodyText"/>
        <w:spacing w:line="321" w:lineRule="auto" w:before="114"/>
        <w:ind w:left="426" w:right="41"/>
        <w:jc w:val="both"/>
      </w:pPr>
      <w:r>
        <w:rPr>
          <w:color w:val="1B1B22"/>
        </w:rPr>
        <w:t>Em junho, a nossa presidenta Tarciana Medeiros participou</w:t>
      </w:r>
      <w:r>
        <w:rPr>
          <w:color w:val="1B1B22"/>
          <w:spacing w:val="-6"/>
        </w:rPr>
        <w:t> </w:t>
      </w:r>
      <w:r>
        <w:rPr>
          <w:color w:val="1B1B22"/>
        </w:rPr>
        <w:t>como</w:t>
      </w:r>
      <w:r>
        <w:rPr>
          <w:color w:val="1B1B22"/>
          <w:spacing w:val="-1"/>
        </w:rPr>
        <w:t> </w:t>
      </w:r>
      <w:r>
        <w:rPr>
          <w:color w:val="1B1B22"/>
        </w:rPr>
        <w:t>palestrante</w:t>
      </w:r>
      <w:r>
        <w:rPr>
          <w:color w:val="1B1B22"/>
          <w:spacing w:val="-4"/>
        </w:rPr>
        <w:t> </w:t>
      </w:r>
      <w:r>
        <w:rPr>
          <w:color w:val="1B1B22"/>
        </w:rPr>
        <w:t>do</w:t>
      </w:r>
      <w:r>
        <w:rPr>
          <w:color w:val="1B1B22"/>
          <w:spacing w:val="-13"/>
        </w:rPr>
        <w:t> </w:t>
      </w:r>
      <w:r>
        <w:rPr>
          <w:color w:val="1B1B22"/>
        </w:rPr>
        <w:t>Tempo</w:t>
      </w:r>
      <w:r>
        <w:rPr>
          <w:color w:val="1B1B22"/>
          <w:spacing w:val="-3"/>
        </w:rPr>
        <w:t> </w:t>
      </w:r>
      <w:r>
        <w:rPr>
          <w:color w:val="1B1B22"/>
        </w:rPr>
        <w:t>de</w:t>
      </w:r>
      <w:r>
        <w:rPr>
          <w:color w:val="1B1B22"/>
          <w:spacing w:val="-2"/>
        </w:rPr>
        <w:t> Mulher,</w:t>
      </w:r>
    </w:p>
    <w:p>
      <w:pPr>
        <w:pStyle w:val="BodyText"/>
        <w:spacing w:line="321" w:lineRule="auto" w:before="79"/>
        <w:ind w:left="426" w:right="142"/>
        <w:jc w:val="both"/>
      </w:pPr>
      <w:r>
        <w:rPr/>
        <w:br w:type="column"/>
      </w:r>
      <w:r>
        <w:rPr>
          <w:color w:val="1B1B22"/>
        </w:rPr>
        <w:t>primeira rede brasileira que apoia e conecta as principais executivas e lideranças C-Level e do empreendedorismo no país. Em sua 5ª edição, o evento busca promover um ambiente de troca e inspiração, onde mulheres possam compartilhar suas</w:t>
      </w:r>
      <w:r>
        <w:rPr>
          <w:color w:val="1B1B22"/>
          <w:spacing w:val="-13"/>
        </w:rPr>
        <w:t> </w:t>
      </w:r>
      <w:r>
        <w:rPr>
          <w:color w:val="1B1B22"/>
        </w:rPr>
        <w:t>trajetórias</w:t>
      </w:r>
      <w:r>
        <w:rPr>
          <w:color w:val="1B1B22"/>
          <w:spacing w:val="-12"/>
        </w:rPr>
        <w:t> </w:t>
      </w:r>
      <w:r>
        <w:rPr>
          <w:color w:val="1B1B22"/>
        </w:rPr>
        <w:t>profissionais,</w:t>
      </w:r>
      <w:r>
        <w:rPr>
          <w:color w:val="1B1B22"/>
          <w:spacing w:val="-13"/>
        </w:rPr>
        <w:t> </w:t>
      </w:r>
      <w:r>
        <w:rPr>
          <w:color w:val="1B1B22"/>
        </w:rPr>
        <w:t>estratégias</w:t>
      </w:r>
      <w:r>
        <w:rPr>
          <w:color w:val="1B1B22"/>
          <w:spacing w:val="-12"/>
        </w:rPr>
        <w:t> </w:t>
      </w:r>
      <w:r>
        <w:rPr>
          <w:color w:val="1B1B22"/>
        </w:rPr>
        <w:t>de</w:t>
      </w:r>
      <w:r>
        <w:rPr>
          <w:color w:val="1B1B22"/>
          <w:spacing w:val="-12"/>
        </w:rPr>
        <w:t> </w:t>
      </w:r>
      <w:r>
        <w:rPr>
          <w:color w:val="1B1B22"/>
        </w:rPr>
        <w:t>gestão e caminhos seguros para o crescimento dentro do mercado corporativo.</w:t>
      </w:r>
    </w:p>
    <w:p>
      <w:pPr>
        <w:pStyle w:val="BodyText"/>
        <w:spacing w:line="321" w:lineRule="auto" w:before="115"/>
        <w:ind w:left="426" w:right="141"/>
        <w:jc w:val="both"/>
      </w:pPr>
      <w:r>
        <w:rPr>
          <w:color w:val="1B1B22"/>
          <w:spacing w:val="-2"/>
        </w:rPr>
        <w:t>Também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em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junho,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apoiamos</w:t>
      </w:r>
      <w:r>
        <w:rPr>
          <w:color w:val="1B1B22"/>
          <w:spacing w:val="-5"/>
        </w:rPr>
        <w:t> </w:t>
      </w:r>
      <w:r>
        <w:rPr>
          <w:color w:val="1B1B22"/>
          <w:spacing w:val="-2"/>
        </w:rPr>
        <w:t>o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Inovahack</w:t>
      </w:r>
      <w:r>
        <w:rPr>
          <w:color w:val="1B1B22"/>
          <w:spacing w:val="-7"/>
        </w:rPr>
        <w:t> </w:t>
      </w:r>
      <w:r>
        <w:rPr>
          <w:color w:val="1B1B22"/>
          <w:spacing w:val="-2"/>
        </w:rPr>
        <w:t>MBM</w:t>
      </w:r>
      <w:r>
        <w:rPr>
          <w:color w:val="1B1B22"/>
          <w:spacing w:val="-6"/>
        </w:rPr>
        <w:t> </w:t>
      </w:r>
      <w:r>
        <w:rPr>
          <w:color w:val="1B1B22"/>
          <w:spacing w:val="-2"/>
        </w:rPr>
        <w:t>São </w:t>
      </w:r>
      <w:r>
        <w:rPr>
          <w:color w:val="1B1B22"/>
        </w:rPr>
        <w:t>Paulo, evento idealizado pelo Movimento Black Money, com foco em soluções tecnológicas de impacto social para comunidades periféricas. O evento promoveu o diálogo entre líderes e empreendedores,</w:t>
      </w:r>
      <w:r>
        <w:rPr>
          <w:color w:val="1B1B22"/>
          <w:spacing w:val="-6"/>
        </w:rPr>
        <w:t> </w:t>
      </w:r>
      <w:r>
        <w:rPr>
          <w:color w:val="1B1B22"/>
        </w:rPr>
        <w:t>com</w:t>
      </w:r>
      <w:r>
        <w:rPr>
          <w:color w:val="1B1B22"/>
          <w:spacing w:val="-7"/>
        </w:rPr>
        <w:t> </w:t>
      </w:r>
      <w:r>
        <w:rPr>
          <w:color w:val="1B1B22"/>
        </w:rPr>
        <w:t>o</w:t>
      </w:r>
      <w:r>
        <w:rPr>
          <w:color w:val="1B1B22"/>
          <w:spacing w:val="-6"/>
        </w:rPr>
        <w:t> </w:t>
      </w:r>
      <w:r>
        <w:rPr>
          <w:color w:val="1B1B22"/>
        </w:rPr>
        <w:t>tema</w:t>
      </w:r>
      <w:r>
        <w:rPr>
          <w:color w:val="1B1B22"/>
          <w:spacing w:val="-7"/>
        </w:rPr>
        <w:t> </w:t>
      </w:r>
      <w:r>
        <w:rPr>
          <w:color w:val="1B1B22"/>
        </w:rPr>
        <w:t>“Periferias</w:t>
      </w:r>
      <w:r>
        <w:rPr>
          <w:color w:val="1B1B22"/>
          <w:spacing w:val="-5"/>
        </w:rPr>
        <w:t> </w:t>
      </w:r>
      <w:r>
        <w:rPr>
          <w:color w:val="1B1B22"/>
        </w:rPr>
        <w:t>em</w:t>
      </w:r>
      <w:r>
        <w:rPr>
          <w:color w:val="1B1B22"/>
          <w:spacing w:val="-7"/>
        </w:rPr>
        <w:t> </w:t>
      </w:r>
      <w:r>
        <w:rPr>
          <w:color w:val="1B1B22"/>
        </w:rPr>
        <w:t>Foco: Inovação para Transformação”, visando o empoderamento econômico das comunidades </w:t>
      </w:r>
      <w:r>
        <w:rPr>
          <w:color w:val="1B1B22"/>
          <w:spacing w:val="-2"/>
        </w:rPr>
        <w:t>negras.</w:t>
      </w:r>
    </w:p>
    <w:p>
      <w:pPr>
        <w:pStyle w:val="BodyText"/>
        <w:tabs>
          <w:tab w:pos="2168" w:val="left" w:leader="none"/>
          <w:tab w:pos="2864" w:val="left" w:leader="none"/>
          <w:tab w:pos="3570" w:val="left" w:leader="none"/>
          <w:tab w:pos="3611" w:val="left" w:leader="none"/>
          <w:tab w:pos="4945" w:val="left" w:leader="none"/>
        </w:tabs>
        <w:spacing w:line="321" w:lineRule="auto" w:before="114"/>
        <w:ind w:left="426" w:right="141"/>
        <w:jc w:val="both"/>
      </w:pPr>
      <w:r>
        <w:rPr>
          <w:color w:val="1B1B22"/>
        </w:rPr>
        <w:t>No mesmo período, participamos de mais uma edição da Feira Cultural da Diversidade LGBT+, realizada no Memorial da América Latina, em São Paulo.</w:t>
      </w:r>
      <w:r>
        <w:rPr>
          <w:color w:val="1B1B22"/>
          <w:spacing w:val="-10"/>
        </w:rPr>
        <w:t> </w:t>
      </w:r>
      <w:r>
        <w:rPr>
          <w:color w:val="1B1B22"/>
        </w:rPr>
        <w:t>A</w:t>
      </w:r>
      <w:r>
        <w:rPr>
          <w:color w:val="1B1B22"/>
          <w:spacing w:val="-7"/>
        </w:rPr>
        <w:t> </w:t>
      </w:r>
      <w:r>
        <w:rPr>
          <w:color w:val="1B1B22"/>
        </w:rPr>
        <w:t>ação</w:t>
      </w:r>
      <w:r>
        <w:rPr>
          <w:color w:val="1B1B22"/>
          <w:spacing w:val="-6"/>
        </w:rPr>
        <w:t> </w:t>
      </w:r>
      <w:r>
        <w:rPr>
          <w:color w:val="1B1B22"/>
        </w:rPr>
        <w:t>reafirmou</w:t>
      </w:r>
      <w:r>
        <w:rPr>
          <w:color w:val="1B1B22"/>
          <w:spacing w:val="-7"/>
        </w:rPr>
        <w:t> </w:t>
      </w:r>
      <w:r>
        <w:rPr>
          <w:color w:val="1B1B22"/>
        </w:rPr>
        <w:t>nosso</w:t>
      </w:r>
      <w:r>
        <w:rPr>
          <w:color w:val="1B1B22"/>
          <w:spacing w:val="-6"/>
        </w:rPr>
        <w:t> </w:t>
      </w:r>
      <w:r>
        <w:rPr>
          <w:color w:val="1B1B22"/>
        </w:rPr>
        <w:t>compromisso</w:t>
      </w:r>
      <w:r>
        <w:rPr>
          <w:color w:val="1B1B22"/>
          <w:spacing w:val="-6"/>
        </w:rPr>
        <w:t> </w:t>
      </w:r>
      <w:r>
        <w:rPr>
          <w:color w:val="1B1B22"/>
        </w:rPr>
        <w:t>com</w:t>
      </w:r>
      <w:r>
        <w:rPr>
          <w:color w:val="1B1B22"/>
          <w:spacing w:val="-5"/>
        </w:rPr>
        <w:t> </w:t>
      </w:r>
      <w:r>
        <w:rPr>
          <w:color w:val="1B1B22"/>
        </w:rPr>
        <w:t>a </w:t>
      </w:r>
      <w:r>
        <w:rPr>
          <w:color w:val="1B1B22"/>
          <w:spacing w:val="-2"/>
        </w:rPr>
        <w:t>equidade, inclusão e desenvolvimento sustentável, promovendo</w:t>
      </w:r>
      <w:r>
        <w:rPr>
          <w:color w:val="1B1B22"/>
        </w:rPr>
        <w:tab/>
      </w:r>
      <w:r>
        <w:rPr>
          <w:color w:val="1B1B22"/>
          <w:spacing w:val="-2"/>
        </w:rPr>
        <w:t>iniciativas</w:t>
      </w:r>
      <w:r>
        <w:rPr>
          <w:color w:val="1B1B22"/>
        </w:rPr>
        <w:tab/>
        <w:tab/>
      </w:r>
      <w:r>
        <w:rPr>
          <w:color w:val="1B1B22"/>
          <w:spacing w:val="-2"/>
        </w:rPr>
        <w:t>voltadas</w:t>
      </w:r>
      <w:r>
        <w:rPr>
          <w:color w:val="1B1B22"/>
        </w:rPr>
        <w:tab/>
      </w:r>
      <w:r>
        <w:rPr>
          <w:color w:val="1B1B22"/>
          <w:spacing w:val="-6"/>
        </w:rPr>
        <w:t>ao </w:t>
      </w:r>
      <w:r>
        <w:rPr>
          <w:color w:val="1B1B22"/>
          <w:spacing w:val="-2"/>
        </w:rPr>
        <w:t>empreendedorismo</w:t>
      </w:r>
      <w:r>
        <w:rPr>
          <w:color w:val="1B1B22"/>
        </w:rPr>
        <w:tab/>
      </w:r>
      <w:r>
        <w:rPr>
          <w:color w:val="1B1B22"/>
          <w:spacing w:val="-10"/>
        </w:rPr>
        <w:t>e</w:t>
      </w:r>
      <w:r>
        <w:rPr>
          <w:color w:val="1B1B22"/>
        </w:rPr>
        <w:tab/>
      </w:r>
      <w:r>
        <w:rPr>
          <w:color w:val="1B1B22"/>
          <w:spacing w:val="-4"/>
        </w:rPr>
        <w:t>desenvolvimento </w:t>
      </w:r>
      <w:r>
        <w:rPr>
          <w:color w:val="1B1B22"/>
        </w:rPr>
        <w:t>profissional da comunidade LGBTQIAPN+.</w:t>
      </w:r>
    </w:p>
    <w:p>
      <w:pPr>
        <w:pStyle w:val="BodyText"/>
        <w:spacing w:line="321" w:lineRule="auto" w:before="115"/>
        <w:ind w:left="426" w:right="140"/>
        <w:jc w:val="both"/>
      </w:pPr>
      <w:r>
        <w:rPr>
          <w:color w:val="1B1B22"/>
        </w:rPr>
        <w:t>A Fundação BB e o Distrito Drag lançaram oficialmente a plataforma Empregando Orgulho (empregandoorgulho.com.br), uma iniciativa voltada para a empregabilidade, ao empreendedorismo e à inclusão econômica da população LGBTQIA+ no DF.</w:t>
      </w:r>
    </w:p>
    <w:p>
      <w:pPr>
        <w:pStyle w:val="BodyText"/>
        <w:spacing w:after="0" w:line="321" w:lineRule="auto"/>
        <w:jc w:val="both"/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6" w:space="240"/>
            <w:col w:w="5321"/>
          </w:cols>
        </w:sectPr>
      </w:pPr>
    </w:p>
    <w:p>
      <w:pPr>
        <w:pStyle w:val="Heading1"/>
        <w:spacing w:before="529"/>
      </w:pPr>
      <w:r>
        <w:rPr>
          <w:color w:val="465EFF"/>
          <w:spacing w:val="35"/>
        </w:rPr>
        <w:t>Principais</w:t>
      </w:r>
      <w:r>
        <w:rPr>
          <w:color w:val="465EFF"/>
          <w:spacing w:val="68"/>
        </w:rPr>
        <w:t> </w:t>
      </w:r>
      <w:r>
        <w:rPr>
          <w:color w:val="465EFF"/>
          <w:spacing w:val="31"/>
        </w:rPr>
        <w:t>Prêmios</w:t>
      </w:r>
      <w:r>
        <w:rPr>
          <w:color w:val="465EFF"/>
          <w:spacing w:val="65"/>
        </w:rPr>
        <w:t> </w:t>
      </w:r>
      <w:r>
        <w:rPr>
          <w:color w:val="465EFF"/>
        </w:rPr>
        <w:t>e</w:t>
      </w:r>
      <w:r>
        <w:rPr>
          <w:color w:val="465EFF"/>
          <w:spacing w:val="69"/>
        </w:rPr>
        <w:t> </w:t>
      </w:r>
      <w:r>
        <w:rPr>
          <w:color w:val="465EFF"/>
          <w:spacing w:val="32"/>
        </w:rPr>
        <w:t>Reconhecimentos</w:t>
      </w:r>
    </w:p>
    <w:p>
      <w:pPr>
        <w:pStyle w:val="BodyText"/>
        <w:spacing w:before="3"/>
        <w:rPr>
          <w:rFonts w:ascii="BancoDoBrasil Titulos"/>
        </w:rPr>
      </w:pPr>
    </w:p>
    <w:p>
      <w:pPr>
        <w:pStyle w:val="BodyText"/>
        <w:spacing w:after="0"/>
        <w:rPr>
          <w:rFonts w:ascii="BancoDoBrasil Titulos"/>
        </w:rPr>
        <w:sectPr>
          <w:pgSz w:w="11910" w:h="16850"/>
          <w:pgMar w:header="152" w:footer="572" w:top="900" w:bottom="780" w:left="425" w:right="708"/>
        </w:sectPr>
      </w:pPr>
    </w:p>
    <w:p>
      <w:pPr>
        <w:pStyle w:val="Heading2"/>
        <w:spacing w:before="71"/>
        <w:ind w:left="427"/>
        <w:rPr>
          <w:rFonts w:ascii="BancoDoBrasil Titulos" w:hAnsi="BancoDoBrasil Titulos"/>
        </w:rPr>
      </w:pPr>
      <w:r>
        <w:rPr>
          <w:rFonts w:ascii="BancoDoBrasil Titulos" w:hAnsi="BancoDoBrasil Titulos"/>
          <w:color w:val="465EFF"/>
          <w:spacing w:val="26"/>
        </w:rPr>
        <w:t>Març</w:t>
      </w:r>
      <w:r>
        <w:rPr>
          <w:rFonts w:ascii="BancoDoBrasil Titulos" w:hAnsi="BancoDoBrasil Titulos"/>
          <w:color w:val="465EFF"/>
          <w:spacing w:val="-34"/>
        </w:rPr>
        <w:t> </w:t>
      </w:r>
      <w:r>
        <w:rPr>
          <w:rFonts w:ascii="BancoDoBrasil Titulos" w:hAnsi="BancoDoBrasil Titulos"/>
          <w:color w:val="465EFF"/>
          <w:spacing w:val="-10"/>
        </w:rPr>
        <w:t>o</w:t>
      </w:r>
    </w:p>
    <w:p>
      <w:pPr>
        <w:pStyle w:val="BodyText"/>
        <w:spacing w:line="321" w:lineRule="auto" w:before="248"/>
        <w:ind w:left="426" w:right="38"/>
        <w:jc w:val="both"/>
      </w:pPr>
      <w:r>
        <w:rPr>
          <w:color w:val="1B1B22"/>
        </w:rPr>
        <w:t>Fomos duplamente premiados no </w:t>
      </w:r>
      <w:r>
        <w:rPr>
          <w:b/>
          <w:color w:val="1B1B22"/>
        </w:rPr>
        <w:t>Agile Trends 2025</w:t>
      </w:r>
      <w:r>
        <w:rPr>
          <w:color w:val="1B1B22"/>
        </w:rPr>
        <w:t>, um dos maiores eventos de agilidade e inovação do país. Os dois cases reconhecidos demonstram</w:t>
      </w:r>
      <w:r>
        <w:rPr>
          <w:color w:val="1B1B22"/>
          <w:spacing w:val="-13"/>
        </w:rPr>
        <w:t> </w:t>
      </w:r>
      <w:r>
        <w:rPr>
          <w:color w:val="1B1B22"/>
        </w:rPr>
        <w:t>avanços</w:t>
      </w:r>
      <w:r>
        <w:rPr>
          <w:color w:val="1B1B22"/>
          <w:spacing w:val="-12"/>
        </w:rPr>
        <w:t> </w:t>
      </w:r>
      <w:r>
        <w:rPr>
          <w:color w:val="1B1B22"/>
        </w:rPr>
        <w:t>significativos</w:t>
      </w:r>
      <w:r>
        <w:rPr>
          <w:color w:val="1B1B22"/>
          <w:spacing w:val="-13"/>
        </w:rPr>
        <w:t> </w:t>
      </w:r>
      <w:r>
        <w:rPr>
          <w:color w:val="1B1B22"/>
        </w:rPr>
        <w:t>em</w:t>
      </w:r>
      <w:r>
        <w:rPr>
          <w:color w:val="1B1B22"/>
          <w:spacing w:val="-12"/>
        </w:rPr>
        <w:t> </w:t>
      </w:r>
      <w:r>
        <w:rPr>
          <w:color w:val="1B1B22"/>
        </w:rPr>
        <w:t>automação, </w:t>
      </w:r>
      <w:r>
        <w:rPr>
          <w:color w:val="1B1B22"/>
          <w:spacing w:val="-2"/>
        </w:rPr>
        <w:t>cultura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ágil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e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transformação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digital: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Agiliza</w:t>
      </w:r>
      <w:r>
        <w:rPr>
          <w:color w:val="1B1B22"/>
          <w:spacing w:val="-9"/>
        </w:rPr>
        <w:t> </w:t>
      </w:r>
      <w:r>
        <w:rPr>
          <w:color w:val="1B1B22"/>
          <w:spacing w:val="-2"/>
        </w:rPr>
        <w:t>–</w:t>
      </w:r>
      <w:r>
        <w:rPr>
          <w:color w:val="1B1B22"/>
          <w:spacing w:val="-8"/>
        </w:rPr>
        <w:t> </w:t>
      </w:r>
      <w:r>
        <w:rPr>
          <w:color w:val="1B1B22"/>
          <w:spacing w:val="-2"/>
        </w:rPr>
        <w:t>Portal </w:t>
      </w:r>
      <w:r>
        <w:rPr>
          <w:color w:val="1B1B22"/>
        </w:rPr>
        <w:t>de automação e Self-Healing; Movimento Aceleração Digital - Criação e implementação de Framework ágil em um banco de 216 anos.</w:t>
      </w:r>
    </w:p>
    <w:p>
      <w:pPr>
        <w:pStyle w:val="BodyText"/>
        <w:spacing w:line="321" w:lineRule="auto" w:before="114"/>
        <w:ind w:left="426" w:right="38" w:hanging="1"/>
        <w:jc w:val="both"/>
      </w:pPr>
      <w:r>
        <w:rPr>
          <w:color w:val="1B1B22"/>
        </w:rPr>
        <w:t>Fomos</w:t>
      </w:r>
      <w:r>
        <w:rPr>
          <w:color w:val="1B1B22"/>
          <w:spacing w:val="-7"/>
        </w:rPr>
        <w:t> </w:t>
      </w:r>
      <w:r>
        <w:rPr>
          <w:color w:val="1B1B22"/>
        </w:rPr>
        <w:t>reconhecidos</w:t>
      </w:r>
      <w:r>
        <w:rPr>
          <w:color w:val="1B1B22"/>
          <w:spacing w:val="-8"/>
        </w:rPr>
        <w:t> </w:t>
      </w:r>
      <w:r>
        <w:rPr>
          <w:color w:val="1B1B22"/>
        </w:rPr>
        <w:t>em</w:t>
      </w:r>
      <w:r>
        <w:rPr>
          <w:color w:val="1B1B22"/>
          <w:spacing w:val="-8"/>
        </w:rPr>
        <w:t> </w:t>
      </w:r>
      <w:r>
        <w:rPr>
          <w:color w:val="1B1B22"/>
        </w:rPr>
        <w:t>três</w:t>
      </w:r>
      <w:r>
        <w:rPr>
          <w:color w:val="1B1B22"/>
          <w:spacing w:val="-8"/>
        </w:rPr>
        <w:t> </w:t>
      </w:r>
      <w:r>
        <w:rPr>
          <w:color w:val="1B1B22"/>
        </w:rPr>
        <w:t>categorias</w:t>
      </w:r>
      <w:r>
        <w:rPr>
          <w:color w:val="1B1B22"/>
          <w:spacing w:val="-8"/>
        </w:rPr>
        <w:t> </w:t>
      </w:r>
      <w:r>
        <w:rPr>
          <w:color w:val="1B1B22"/>
        </w:rPr>
        <w:t>no</w:t>
      </w:r>
      <w:r>
        <w:rPr>
          <w:color w:val="1B1B22"/>
          <w:spacing w:val="-6"/>
        </w:rPr>
        <w:t> </w:t>
      </w:r>
      <w:r>
        <w:rPr>
          <w:b/>
          <w:color w:val="1B1B22"/>
        </w:rPr>
        <w:t>Prêmio IA em Finanças 2025</w:t>
      </w:r>
      <w:r>
        <w:rPr>
          <w:color w:val="1B1B22"/>
        </w:rPr>
        <w:t>, promovido pela revista Global Finance, que destaca as instituições financeiras mais inovadoras no uso de inteligência artificial, as categorias:</w:t>
      </w:r>
    </w:p>
    <w:p>
      <w:pPr>
        <w:pStyle w:val="BodyText"/>
        <w:spacing w:before="10" w:after="1"/>
        <w:rPr>
          <w:sz w:val="10"/>
        </w:rPr>
      </w:pPr>
    </w:p>
    <w:tbl>
      <w:tblPr>
        <w:tblW w:w="0" w:type="auto"/>
        <w:jc w:val="left"/>
        <w:tblInd w:w="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610"/>
        <w:gridCol w:w="749"/>
        <w:gridCol w:w="380"/>
      </w:tblGrid>
      <w:tr>
        <w:trPr>
          <w:trHeight w:val="299" w:hRule="atLeast"/>
        </w:trPr>
        <w:tc>
          <w:tcPr>
            <w:tcW w:w="2750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59" w:val="left" w:leader="none"/>
                <w:tab w:pos="1651" w:val="left" w:leader="none"/>
              </w:tabs>
              <w:spacing w:line="247" w:lineRule="exact" w:before="0" w:after="0"/>
              <w:ind w:left="359" w:right="127" w:hanging="359"/>
              <w:jc w:val="right"/>
              <w:rPr>
                <w:sz w:val="20"/>
              </w:rPr>
            </w:pPr>
            <w:r>
              <w:rPr>
                <w:color w:val="1B1B22"/>
                <w:spacing w:val="-2"/>
                <w:sz w:val="20"/>
              </w:rPr>
              <w:t>CONSUMER</w:t>
            </w:r>
            <w:r>
              <w:rPr>
                <w:color w:val="1B1B22"/>
                <w:sz w:val="20"/>
              </w:rPr>
              <w:tab/>
            </w:r>
            <w:r>
              <w:rPr>
                <w:color w:val="1B1B22"/>
                <w:spacing w:val="-2"/>
                <w:sz w:val="20"/>
              </w:rPr>
              <w:t>BANKING:</w:t>
            </w:r>
          </w:p>
        </w:tc>
        <w:tc>
          <w:tcPr>
            <w:tcW w:w="610" w:type="dxa"/>
          </w:tcPr>
          <w:p>
            <w:pPr>
              <w:pStyle w:val="TableParagraph"/>
              <w:spacing w:line="247" w:lineRule="exact"/>
              <w:ind w:left="23" w:right="64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Best</w:t>
            </w:r>
          </w:p>
        </w:tc>
        <w:tc>
          <w:tcPr>
            <w:tcW w:w="749" w:type="dxa"/>
          </w:tcPr>
          <w:p>
            <w:pPr>
              <w:pStyle w:val="TableParagraph"/>
              <w:spacing w:line="247" w:lineRule="exact"/>
              <w:ind w:left="8" w:right="31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Banks</w:t>
            </w:r>
          </w:p>
        </w:tc>
        <w:tc>
          <w:tcPr>
            <w:tcW w:w="380" w:type="dxa"/>
          </w:tcPr>
          <w:p>
            <w:pPr>
              <w:pStyle w:val="TableParagraph"/>
              <w:spacing w:line="247" w:lineRule="exact"/>
              <w:ind w:left="46" w:right="5"/>
              <w:jc w:val="center"/>
              <w:rPr>
                <w:sz w:val="20"/>
              </w:rPr>
            </w:pPr>
            <w:r>
              <w:rPr>
                <w:color w:val="1B1B22"/>
                <w:spacing w:val="-5"/>
                <w:sz w:val="20"/>
              </w:rPr>
              <w:t>By</w:t>
            </w:r>
          </w:p>
        </w:tc>
      </w:tr>
      <w:tr>
        <w:trPr>
          <w:trHeight w:val="336" w:hRule="atLeast"/>
        </w:trPr>
        <w:tc>
          <w:tcPr>
            <w:tcW w:w="2750" w:type="dxa"/>
          </w:tcPr>
          <w:p>
            <w:pPr>
              <w:pStyle w:val="TableParagraph"/>
              <w:spacing w:before="33"/>
              <w:ind w:left="410"/>
              <w:rPr>
                <w:sz w:val="20"/>
              </w:rPr>
            </w:pPr>
            <w:r>
              <w:rPr>
                <w:color w:val="1B1B22"/>
                <w:sz w:val="20"/>
              </w:rPr>
              <w:t>Country</w:t>
            </w:r>
            <w:r>
              <w:rPr>
                <w:color w:val="1B1B22"/>
                <w:spacing w:val="-10"/>
                <w:sz w:val="20"/>
              </w:rPr>
              <w:t> </w:t>
            </w:r>
            <w:r>
              <w:rPr>
                <w:color w:val="1B1B22"/>
                <w:sz w:val="20"/>
              </w:rPr>
              <w:t>–</w:t>
            </w:r>
            <w:r>
              <w:rPr>
                <w:color w:val="1B1B22"/>
                <w:spacing w:val="-10"/>
                <w:sz w:val="20"/>
              </w:rPr>
              <w:t> </w:t>
            </w:r>
            <w:r>
              <w:rPr>
                <w:color w:val="1B1B22"/>
                <w:spacing w:val="-2"/>
                <w:sz w:val="20"/>
              </w:rPr>
              <w:t>Brazil;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2750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359" w:val="left" w:leader="none"/>
              </w:tabs>
              <w:spacing w:line="240" w:lineRule="auto" w:before="49" w:after="0"/>
              <w:ind w:left="359" w:right="78" w:hanging="359"/>
              <w:jc w:val="right"/>
              <w:rPr>
                <w:sz w:val="20"/>
              </w:rPr>
            </w:pPr>
            <w:r>
              <w:rPr>
                <w:color w:val="1B1B22"/>
                <w:sz w:val="20"/>
              </w:rPr>
              <w:t>CORPORATE</w:t>
            </w:r>
            <w:r>
              <w:rPr>
                <w:color w:val="1B1B22"/>
                <w:spacing w:val="69"/>
                <w:w w:val="150"/>
                <w:sz w:val="20"/>
              </w:rPr>
              <w:t> </w:t>
            </w:r>
            <w:r>
              <w:rPr>
                <w:color w:val="1B1B22"/>
                <w:spacing w:val="-2"/>
                <w:sz w:val="20"/>
              </w:rPr>
              <w:t>BANKING:</w:t>
            </w:r>
          </w:p>
        </w:tc>
        <w:tc>
          <w:tcPr>
            <w:tcW w:w="610" w:type="dxa"/>
          </w:tcPr>
          <w:p>
            <w:pPr>
              <w:pStyle w:val="TableParagraph"/>
              <w:spacing w:before="49"/>
              <w:ind w:left="64" w:right="41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Best</w:t>
            </w:r>
          </w:p>
        </w:tc>
        <w:tc>
          <w:tcPr>
            <w:tcW w:w="749" w:type="dxa"/>
          </w:tcPr>
          <w:p>
            <w:pPr>
              <w:pStyle w:val="TableParagraph"/>
              <w:spacing w:before="49"/>
              <w:ind w:left="31" w:right="23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Banks</w:t>
            </w:r>
          </w:p>
        </w:tc>
        <w:tc>
          <w:tcPr>
            <w:tcW w:w="380" w:type="dxa"/>
          </w:tcPr>
          <w:p>
            <w:pPr>
              <w:pStyle w:val="TableParagraph"/>
              <w:spacing w:before="49"/>
              <w:ind w:left="46"/>
              <w:jc w:val="center"/>
              <w:rPr>
                <w:sz w:val="20"/>
              </w:rPr>
            </w:pPr>
            <w:r>
              <w:rPr>
                <w:color w:val="1B1B22"/>
                <w:spacing w:val="-5"/>
                <w:sz w:val="20"/>
              </w:rPr>
              <w:t>By</w:t>
            </w:r>
          </w:p>
        </w:tc>
      </w:tr>
      <w:tr>
        <w:trPr>
          <w:trHeight w:val="336" w:hRule="atLeast"/>
        </w:trPr>
        <w:tc>
          <w:tcPr>
            <w:tcW w:w="2750" w:type="dxa"/>
          </w:tcPr>
          <w:p>
            <w:pPr>
              <w:pStyle w:val="TableParagraph"/>
              <w:spacing w:before="33"/>
              <w:ind w:left="410"/>
              <w:rPr>
                <w:sz w:val="20"/>
              </w:rPr>
            </w:pPr>
            <w:r>
              <w:rPr>
                <w:color w:val="1B1B22"/>
                <w:sz w:val="20"/>
              </w:rPr>
              <w:t>Country</w:t>
            </w:r>
            <w:r>
              <w:rPr>
                <w:color w:val="1B1B22"/>
                <w:spacing w:val="-10"/>
                <w:sz w:val="20"/>
              </w:rPr>
              <w:t> </w:t>
            </w:r>
            <w:r>
              <w:rPr>
                <w:color w:val="1B1B22"/>
                <w:sz w:val="20"/>
              </w:rPr>
              <w:t>–</w:t>
            </w:r>
            <w:r>
              <w:rPr>
                <w:color w:val="1B1B22"/>
                <w:spacing w:val="-10"/>
                <w:sz w:val="20"/>
              </w:rPr>
              <w:t> </w:t>
            </w:r>
            <w:r>
              <w:rPr>
                <w:color w:val="1B1B22"/>
                <w:spacing w:val="-2"/>
                <w:sz w:val="20"/>
              </w:rPr>
              <w:t>Brazil;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275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59" w:val="left" w:leader="none"/>
              </w:tabs>
              <w:spacing w:line="240" w:lineRule="auto" w:before="49" w:after="0"/>
              <w:ind w:left="359" w:right="78" w:hanging="359"/>
              <w:jc w:val="right"/>
              <w:rPr>
                <w:sz w:val="20"/>
              </w:rPr>
            </w:pPr>
            <w:r>
              <w:rPr>
                <w:color w:val="1B1B22"/>
                <w:sz w:val="20"/>
              </w:rPr>
              <w:t>CORPORATE</w:t>
            </w:r>
            <w:r>
              <w:rPr>
                <w:color w:val="1B1B22"/>
                <w:spacing w:val="69"/>
                <w:w w:val="150"/>
                <w:sz w:val="20"/>
              </w:rPr>
              <w:t> </w:t>
            </w:r>
            <w:r>
              <w:rPr>
                <w:color w:val="1B1B22"/>
                <w:spacing w:val="-2"/>
                <w:sz w:val="20"/>
              </w:rPr>
              <w:t>BANKING:</w:t>
            </w:r>
          </w:p>
        </w:tc>
        <w:tc>
          <w:tcPr>
            <w:tcW w:w="610" w:type="dxa"/>
          </w:tcPr>
          <w:p>
            <w:pPr>
              <w:pStyle w:val="TableParagraph"/>
              <w:spacing w:before="49"/>
              <w:ind w:left="64" w:right="41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Best</w:t>
            </w:r>
          </w:p>
        </w:tc>
        <w:tc>
          <w:tcPr>
            <w:tcW w:w="749" w:type="dxa"/>
          </w:tcPr>
          <w:p>
            <w:pPr>
              <w:pStyle w:val="TableParagraph"/>
              <w:spacing w:before="49"/>
              <w:ind w:left="30" w:right="23"/>
              <w:jc w:val="center"/>
              <w:rPr>
                <w:sz w:val="20"/>
              </w:rPr>
            </w:pPr>
            <w:r>
              <w:rPr>
                <w:color w:val="1B1B22"/>
                <w:spacing w:val="-4"/>
                <w:sz w:val="20"/>
              </w:rPr>
              <w:t>Banks</w:t>
            </w:r>
          </w:p>
        </w:tc>
        <w:tc>
          <w:tcPr>
            <w:tcW w:w="380" w:type="dxa"/>
          </w:tcPr>
          <w:p>
            <w:pPr>
              <w:pStyle w:val="TableParagraph"/>
              <w:spacing w:before="49"/>
              <w:ind w:left="46"/>
              <w:jc w:val="center"/>
              <w:rPr>
                <w:sz w:val="20"/>
              </w:rPr>
            </w:pPr>
            <w:r>
              <w:rPr>
                <w:color w:val="1B1B22"/>
                <w:spacing w:val="-5"/>
                <w:sz w:val="20"/>
              </w:rPr>
              <w:t>By</w:t>
            </w:r>
          </w:p>
        </w:tc>
      </w:tr>
      <w:tr>
        <w:trPr>
          <w:trHeight w:val="280" w:hRule="atLeast"/>
        </w:trPr>
        <w:tc>
          <w:tcPr>
            <w:tcW w:w="2750" w:type="dxa"/>
          </w:tcPr>
          <w:p>
            <w:pPr>
              <w:pStyle w:val="TableParagraph"/>
              <w:spacing w:line="226" w:lineRule="exact" w:before="33"/>
              <w:ind w:right="132"/>
              <w:jc w:val="right"/>
              <w:rPr>
                <w:sz w:val="20"/>
              </w:rPr>
            </w:pPr>
            <w:r>
              <w:rPr>
                <w:color w:val="1B1B22"/>
                <w:sz w:val="20"/>
              </w:rPr>
              <w:t>Region</w:t>
            </w:r>
            <w:r>
              <w:rPr>
                <w:color w:val="1B1B22"/>
                <w:spacing w:val="-9"/>
                <w:sz w:val="20"/>
              </w:rPr>
              <w:t> </w:t>
            </w:r>
            <w:r>
              <w:rPr>
                <w:color w:val="1B1B22"/>
                <w:sz w:val="20"/>
              </w:rPr>
              <w:t>–</w:t>
            </w:r>
            <w:r>
              <w:rPr>
                <w:color w:val="1B1B22"/>
                <w:spacing w:val="-8"/>
                <w:sz w:val="20"/>
              </w:rPr>
              <w:t> </w:t>
            </w:r>
            <w:r>
              <w:rPr>
                <w:color w:val="1B1B22"/>
                <w:sz w:val="20"/>
              </w:rPr>
              <w:t>Latin</w:t>
            </w:r>
            <w:r>
              <w:rPr>
                <w:color w:val="1B1B22"/>
                <w:spacing w:val="-11"/>
                <w:sz w:val="20"/>
              </w:rPr>
              <w:t> </w:t>
            </w:r>
            <w:r>
              <w:rPr>
                <w:color w:val="1B1B22"/>
                <w:spacing w:val="-2"/>
                <w:sz w:val="20"/>
              </w:rPr>
              <w:t>America.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321" w:lineRule="auto" w:before="218"/>
        <w:ind w:left="426" w:right="39" w:firstLine="0"/>
        <w:jc w:val="both"/>
        <w:rPr>
          <w:sz w:val="20"/>
        </w:rPr>
      </w:pPr>
      <w:r>
        <w:rPr>
          <w:color w:val="1B1B22"/>
          <w:sz w:val="20"/>
        </w:rPr>
        <w:t>Fomos reconhecidos na categoria </w:t>
      </w:r>
      <w:r>
        <w:rPr>
          <w:b/>
          <w:color w:val="1B1B22"/>
          <w:sz w:val="20"/>
        </w:rPr>
        <w:t>Inovação do prêmio 100+ Inovadoras no Uso de TI 2025</w:t>
      </w:r>
      <w:r>
        <w:rPr>
          <w:color w:val="1B1B22"/>
          <w:sz w:val="20"/>
        </w:rPr>
        <w:t>, promovido pelo IT Forum, com o case Pix por </w:t>
      </w:r>
      <w:r>
        <w:rPr>
          <w:color w:val="1B1B22"/>
          <w:spacing w:val="-2"/>
          <w:sz w:val="20"/>
        </w:rPr>
        <w:t>Aproximação</w:t>
      </w:r>
    </w:p>
    <w:p>
      <w:pPr>
        <w:pStyle w:val="BodyText"/>
        <w:spacing w:line="321" w:lineRule="auto" w:before="119"/>
        <w:ind w:left="426" w:right="38"/>
        <w:jc w:val="both"/>
      </w:pPr>
      <w:r>
        <w:rPr>
          <w:color w:val="1B1B22"/>
        </w:rPr>
        <w:t>Fomos um</w:t>
      </w:r>
      <w:r>
        <w:rPr>
          <w:color w:val="1B1B22"/>
          <w:spacing w:val="-1"/>
        </w:rPr>
        <w:t> </w:t>
      </w:r>
      <w:r>
        <w:rPr>
          <w:color w:val="1B1B22"/>
        </w:rPr>
        <w:t>dos vencedores do</w:t>
      </w:r>
      <w:r>
        <w:rPr>
          <w:color w:val="1B1B22"/>
          <w:spacing w:val="-1"/>
        </w:rPr>
        <w:t> </w:t>
      </w:r>
      <w:r>
        <w:rPr>
          <w:b/>
          <w:color w:val="1B1B22"/>
        </w:rPr>
        <w:t>Celent Model</w:t>
      </w:r>
      <w:r>
        <w:rPr>
          <w:b/>
          <w:color w:val="1B1B22"/>
          <w:spacing w:val="-1"/>
        </w:rPr>
        <w:t> </w:t>
      </w:r>
      <w:r>
        <w:rPr>
          <w:b/>
          <w:color w:val="1B1B22"/>
        </w:rPr>
        <w:t>Bank Award</w:t>
      </w:r>
      <w:r>
        <w:rPr>
          <w:b/>
          <w:color w:val="1B1B22"/>
          <w:spacing w:val="-7"/>
        </w:rPr>
        <w:t> </w:t>
      </w:r>
      <w:r>
        <w:rPr>
          <w:b/>
          <w:color w:val="1B1B22"/>
        </w:rPr>
        <w:t>2025</w:t>
      </w:r>
      <w:r>
        <w:rPr>
          <w:color w:val="1B1B22"/>
        </w:rPr>
        <w:t>,</w:t>
      </w:r>
      <w:r>
        <w:rPr>
          <w:color w:val="1B1B22"/>
          <w:spacing w:val="-8"/>
        </w:rPr>
        <w:t> </w:t>
      </w:r>
      <w:r>
        <w:rPr>
          <w:color w:val="1B1B22"/>
        </w:rPr>
        <w:t>recebendo</w:t>
      </w:r>
      <w:r>
        <w:rPr>
          <w:color w:val="1B1B22"/>
          <w:spacing w:val="-6"/>
        </w:rPr>
        <w:t> </w:t>
      </w:r>
      <w:r>
        <w:rPr>
          <w:color w:val="1B1B22"/>
        </w:rPr>
        <w:t>destaque</w:t>
      </w:r>
      <w:r>
        <w:rPr>
          <w:color w:val="1B1B22"/>
          <w:spacing w:val="-8"/>
        </w:rPr>
        <w:t> </w:t>
      </w:r>
      <w:r>
        <w:rPr>
          <w:color w:val="1B1B22"/>
        </w:rPr>
        <w:t>na</w:t>
      </w:r>
      <w:r>
        <w:rPr>
          <w:color w:val="1B1B22"/>
          <w:spacing w:val="-9"/>
        </w:rPr>
        <w:t> </w:t>
      </w:r>
      <w:r>
        <w:rPr>
          <w:color w:val="1B1B22"/>
        </w:rPr>
        <w:t>categoria</w:t>
      </w:r>
      <w:r>
        <w:rPr>
          <w:color w:val="1B1B22"/>
          <w:spacing w:val="-9"/>
        </w:rPr>
        <w:t> </w:t>
      </w:r>
      <w:r>
        <w:rPr>
          <w:color w:val="1B1B22"/>
        </w:rPr>
        <w:t>"AI Innovation for Small Business" pelo uso de Inteligência Artificial Generativa para oferecer insights personalizados de conta a micro e pequenas empresas, por meio da ARI – Área de Recomendações</w:t>
      </w:r>
      <w:r>
        <w:rPr>
          <w:color w:val="1B1B22"/>
          <w:spacing w:val="-12"/>
        </w:rPr>
        <w:t> </w:t>
      </w:r>
      <w:r>
        <w:rPr>
          <w:color w:val="1B1B22"/>
        </w:rPr>
        <w:t>Inteligentes.</w:t>
      </w:r>
      <w:r>
        <w:rPr>
          <w:color w:val="1B1B22"/>
          <w:spacing w:val="-12"/>
        </w:rPr>
        <w:t> </w:t>
      </w:r>
      <w:r>
        <w:rPr>
          <w:color w:val="1B1B22"/>
        </w:rPr>
        <w:t>A</w:t>
      </w:r>
      <w:r>
        <w:rPr>
          <w:color w:val="1B1B22"/>
          <w:spacing w:val="-12"/>
        </w:rPr>
        <w:t> </w:t>
      </w:r>
      <w:r>
        <w:rPr>
          <w:color w:val="1B1B22"/>
        </w:rPr>
        <w:t>premiaçao</w:t>
      </w:r>
      <w:r>
        <w:rPr>
          <w:color w:val="1B1B22"/>
          <w:spacing w:val="-10"/>
        </w:rPr>
        <w:t> </w:t>
      </w:r>
      <w:r>
        <w:rPr>
          <w:color w:val="1B1B22"/>
        </w:rPr>
        <w:t>se</w:t>
      </w:r>
      <w:r>
        <w:rPr>
          <w:color w:val="1B1B22"/>
          <w:spacing w:val="-11"/>
        </w:rPr>
        <w:t> </w:t>
      </w:r>
      <w:r>
        <w:rPr>
          <w:color w:val="1B1B22"/>
        </w:rPr>
        <w:t>soma a outras duas: Global Finance – The Innovators (América Latina) e AI in Finance Awards nas categorias Enhanced Customer Experience e Personalized Financial Advice.</w:t>
      </w:r>
    </w:p>
    <w:p>
      <w:pPr>
        <w:spacing w:line="321" w:lineRule="auto" w:before="80"/>
        <w:ind w:left="426" w:right="141" w:firstLine="0"/>
        <w:jc w:val="both"/>
        <w:rPr>
          <w:sz w:val="20"/>
        </w:rPr>
      </w:pPr>
      <w:r>
        <w:rPr/>
        <w:br w:type="column"/>
      </w:r>
      <w:r>
        <w:rPr>
          <w:color w:val="1B1B22"/>
          <w:sz w:val="20"/>
        </w:rPr>
        <w:t>O BB Private foi reconhecido como </w:t>
      </w:r>
      <w:r>
        <w:rPr>
          <w:b/>
          <w:color w:val="1B1B22"/>
          <w:sz w:val="20"/>
        </w:rPr>
        <w:t>o melhor private bank do País para sustentabilidade</w:t>
      </w:r>
      <w:r>
        <w:rPr>
          <w:color w:val="1B1B22"/>
          <w:sz w:val="20"/>
        </w:rPr>
        <w:t>, na premiação </w:t>
      </w:r>
      <w:r>
        <w:rPr>
          <w:b/>
          <w:color w:val="1B1B22"/>
          <w:sz w:val="20"/>
        </w:rPr>
        <w:t>Euromoney Private Banking Awards 2025</w:t>
      </w:r>
      <w:r>
        <w:rPr>
          <w:color w:val="1B1B22"/>
          <w:sz w:val="20"/>
        </w:rPr>
        <w:t>, organizado pelo conceituado veículo especializado Euromoney. Trata-se de mais um reconhecimento inédito para o BB Private, materializando</w:t>
      </w:r>
      <w:r>
        <w:rPr>
          <w:color w:val="1B1B22"/>
          <w:spacing w:val="-8"/>
          <w:sz w:val="20"/>
        </w:rPr>
        <w:t> </w:t>
      </w:r>
      <w:r>
        <w:rPr>
          <w:color w:val="1B1B22"/>
          <w:sz w:val="20"/>
        </w:rPr>
        <w:t>nosso</w:t>
      </w:r>
      <w:r>
        <w:rPr>
          <w:color w:val="1B1B22"/>
          <w:spacing w:val="-8"/>
          <w:sz w:val="20"/>
        </w:rPr>
        <w:t> </w:t>
      </w:r>
      <w:r>
        <w:rPr>
          <w:color w:val="1B1B22"/>
          <w:sz w:val="20"/>
        </w:rPr>
        <w:t>compromisso</w:t>
      </w:r>
      <w:r>
        <w:rPr>
          <w:color w:val="1B1B22"/>
          <w:spacing w:val="-8"/>
          <w:sz w:val="20"/>
        </w:rPr>
        <w:t> </w:t>
      </w:r>
      <w:r>
        <w:rPr>
          <w:color w:val="1B1B22"/>
          <w:sz w:val="20"/>
        </w:rPr>
        <w:t>com</w:t>
      </w:r>
      <w:r>
        <w:rPr>
          <w:color w:val="1B1B22"/>
          <w:spacing w:val="-9"/>
          <w:sz w:val="20"/>
        </w:rPr>
        <w:t> </w:t>
      </w:r>
      <w:r>
        <w:rPr>
          <w:color w:val="1B1B22"/>
          <w:sz w:val="20"/>
        </w:rPr>
        <w:t>ações</w:t>
      </w:r>
      <w:r>
        <w:rPr>
          <w:color w:val="1B1B22"/>
          <w:spacing w:val="-7"/>
          <w:sz w:val="20"/>
        </w:rPr>
        <w:t> </w:t>
      </w:r>
      <w:r>
        <w:rPr>
          <w:color w:val="1B1B22"/>
          <w:sz w:val="20"/>
        </w:rPr>
        <w:t>que </w:t>
      </w:r>
      <w:r>
        <w:rPr>
          <w:color w:val="1B1B22"/>
          <w:spacing w:val="-2"/>
          <w:sz w:val="20"/>
        </w:rPr>
        <w:t>fortaleçam a</w:t>
      </w:r>
      <w:r>
        <w:rPr>
          <w:color w:val="1B1B22"/>
          <w:spacing w:val="-3"/>
          <w:sz w:val="20"/>
        </w:rPr>
        <w:t> </w:t>
      </w:r>
      <w:r>
        <w:rPr>
          <w:color w:val="1B1B22"/>
          <w:spacing w:val="-2"/>
          <w:sz w:val="20"/>
        </w:rPr>
        <w:t>sustentabilidade em nossos</w:t>
      </w:r>
      <w:r>
        <w:rPr>
          <w:color w:val="1B1B22"/>
          <w:sz w:val="20"/>
        </w:rPr>
        <w:t> </w:t>
      </w:r>
      <w:r>
        <w:rPr>
          <w:color w:val="1B1B22"/>
          <w:spacing w:val="-2"/>
          <w:sz w:val="20"/>
        </w:rPr>
        <w:t>negócios.</w:t>
      </w:r>
    </w:p>
    <w:p>
      <w:pPr>
        <w:pStyle w:val="Heading2"/>
        <w:spacing w:before="106"/>
        <w:jc w:val="left"/>
        <w:rPr>
          <w:rFonts w:ascii="BancoDoBrasil Titulos"/>
        </w:rPr>
      </w:pPr>
      <w:r>
        <w:rPr>
          <w:rFonts w:ascii="BancoDoBrasil Titulos"/>
          <w:color w:val="465EFF"/>
        </w:rPr>
        <w:t>A</w:t>
      </w:r>
      <w:r>
        <w:rPr>
          <w:rFonts w:ascii="BancoDoBrasil Titulos"/>
          <w:color w:val="465EFF"/>
          <w:spacing w:val="-28"/>
        </w:rPr>
        <w:t> </w:t>
      </w:r>
      <w:r>
        <w:rPr>
          <w:rFonts w:ascii="BancoDoBrasil Titulos"/>
          <w:color w:val="465EFF"/>
          <w:spacing w:val="19"/>
        </w:rPr>
        <w:t>br</w:t>
      </w:r>
      <w:r>
        <w:rPr>
          <w:rFonts w:ascii="BancoDoBrasil Titulos"/>
          <w:color w:val="465EFF"/>
          <w:spacing w:val="-28"/>
        </w:rPr>
        <w:t> </w:t>
      </w:r>
      <w:r>
        <w:rPr>
          <w:rFonts w:ascii="BancoDoBrasil Titulos"/>
          <w:color w:val="465EFF"/>
        </w:rPr>
        <w:t>i</w:t>
      </w:r>
      <w:r>
        <w:rPr>
          <w:rFonts w:ascii="BancoDoBrasil Titulos"/>
          <w:color w:val="465EFF"/>
          <w:spacing w:val="-28"/>
        </w:rPr>
        <w:t> </w:t>
      </w:r>
      <w:r>
        <w:rPr>
          <w:rFonts w:ascii="BancoDoBrasil Titulos"/>
          <w:color w:val="465EFF"/>
          <w:spacing w:val="-10"/>
        </w:rPr>
        <w:t>l</w:t>
      </w:r>
    </w:p>
    <w:p>
      <w:pPr>
        <w:pStyle w:val="BodyText"/>
        <w:spacing w:line="321" w:lineRule="auto" w:before="247"/>
        <w:ind w:left="426" w:right="141"/>
        <w:jc w:val="both"/>
      </w:pPr>
      <w:r>
        <w:rPr>
          <w:color w:val="1B1B22"/>
        </w:rPr>
        <w:t>Recebemos o prêmio de </w:t>
      </w:r>
      <w:r>
        <w:rPr>
          <w:b/>
          <w:color w:val="1B1B22"/>
        </w:rPr>
        <w:t>Melhor Instituição Pública</w:t>
      </w:r>
      <w:r>
        <w:rPr>
          <w:b/>
          <w:color w:val="1B1B22"/>
          <w:spacing w:val="-8"/>
        </w:rPr>
        <w:t> </w:t>
      </w:r>
      <w:r>
        <w:rPr>
          <w:color w:val="1B1B22"/>
        </w:rPr>
        <w:t>do</w:t>
      </w:r>
      <w:r>
        <w:rPr>
          <w:color w:val="1B1B22"/>
          <w:spacing w:val="-8"/>
        </w:rPr>
        <w:t> </w:t>
      </w:r>
      <w:r>
        <w:rPr>
          <w:color w:val="1B1B22"/>
        </w:rPr>
        <w:t>ano,</w:t>
      </w:r>
      <w:r>
        <w:rPr>
          <w:color w:val="1B1B22"/>
          <w:spacing w:val="-7"/>
        </w:rPr>
        <w:t> </w:t>
      </w:r>
      <w:r>
        <w:rPr>
          <w:color w:val="1B1B22"/>
        </w:rPr>
        <w:t>durante</w:t>
      </w:r>
      <w:r>
        <w:rPr>
          <w:color w:val="1B1B22"/>
          <w:spacing w:val="-8"/>
        </w:rPr>
        <w:t> </w:t>
      </w:r>
      <w:r>
        <w:rPr>
          <w:color w:val="1B1B22"/>
        </w:rPr>
        <w:t>o</w:t>
      </w:r>
      <w:r>
        <w:rPr>
          <w:color w:val="1B1B22"/>
          <w:spacing w:val="-6"/>
        </w:rPr>
        <w:t> </w:t>
      </w:r>
      <w:r>
        <w:rPr>
          <w:color w:val="1B1B22"/>
        </w:rPr>
        <w:t>II</w:t>
      </w:r>
      <w:r>
        <w:rPr>
          <w:color w:val="1B1B22"/>
          <w:spacing w:val="-8"/>
        </w:rPr>
        <w:t> </w:t>
      </w:r>
      <w:r>
        <w:rPr>
          <w:color w:val="1B1B22"/>
        </w:rPr>
        <w:t>Fórum</w:t>
      </w:r>
      <w:r>
        <w:rPr>
          <w:color w:val="1B1B22"/>
          <w:spacing w:val="-8"/>
        </w:rPr>
        <w:t> </w:t>
      </w:r>
      <w:r>
        <w:rPr>
          <w:color w:val="1B1B22"/>
        </w:rPr>
        <w:t>de</w:t>
      </w:r>
      <w:r>
        <w:rPr>
          <w:color w:val="1B1B22"/>
          <w:spacing w:val="-8"/>
        </w:rPr>
        <w:t> </w:t>
      </w:r>
      <w:r>
        <w:rPr>
          <w:color w:val="1B1B22"/>
        </w:rPr>
        <w:t>PPPs</w:t>
      </w:r>
      <w:r>
        <w:rPr>
          <w:color w:val="1B1B22"/>
          <w:spacing w:val="-6"/>
        </w:rPr>
        <w:t> </w:t>
      </w:r>
      <w:r>
        <w:rPr>
          <w:color w:val="1B1B22"/>
        </w:rPr>
        <w:t>Sociais, pelo Centro de pesquisa PSP Hub – Infrastructure and Urbanism Studies e Hiria Nurnbergmesse Business.</w:t>
      </w:r>
      <w:r>
        <w:rPr>
          <w:color w:val="1B1B22"/>
          <w:spacing w:val="-13"/>
        </w:rPr>
        <w:t> </w:t>
      </w:r>
      <w:r>
        <w:rPr>
          <w:color w:val="1B1B22"/>
        </w:rPr>
        <w:t>A</w:t>
      </w:r>
      <w:r>
        <w:rPr>
          <w:color w:val="1B1B22"/>
          <w:spacing w:val="-12"/>
        </w:rPr>
        <w:t> </w:t>
      </w:r>
      <w:r>
        <w:rPr>
          <w:color w:val="1B1B22"/>
        </w:rPr>
        <w:t>premiação</w:t>
      </w:r>
      <w:r>
        <w:rPr>
          <w:color w:val="1B1B22"/>
          <w:spacing w:val="-13"/>
        </w:rPr>
        <w:t> </w:t>
      </w:r>
      <w:r>
        <w:rPr>
          <w:color w:val="1B1B22"/>
        </w:rPr>
        <w:t>consagra</w:t>
      </w:r>
      <w:r>
        <w:rPr>
          <w:color w:val="1B1B22"/>
          <w:spacing w:val="-12"/>
        </w:rPr>
        <w:t> </w:t>
      </w:r>
      <w:r>
        <w:rPr>
          <w:color w:val="1B1B22"/>
        </w:rPr>
        <w:t>o</w:t>
      </w:r>
      <w:r>
        <w:rPr>
          <w:color w:val="1B1B22"/>
          <w:spacing w:val="-12"/>
        </w:rPr>
        <w:t> </w:t>
      </w:r>
      <w:r>
        <w:rPr>
          <w:color w:val="1B1B22"/>
        </w:rPr>
        <w:t>protagonismo</w:t>
      </w:r>
      <w:r>
        <w:rPr>
          <w:color w:val="1B1B22"/>
          <w:spacing w:val="-13"/>
        </w:rPr>
        <w:t> </w:t>
      </w:r>
      <w:r>
        <w:rPr>
          <w:color w:val="1B1B22"/>
        </w:rPr>
        <w:t>do BB no fortalecimento do ecossistema de Parcerias Público-Privadas (PPPs) e concessões.</w:t>
      </w:r>
    </w:p>
    <w:p>
      <w:pPr>
        <w:pStyle w:val="Heading2"/>
        <w:jc w:val="left"/>
        <w:rPr>
          <w:rFonts w:ascii="BancoDoBrasil Titulos"/>
        </w:rPr>
      </w:pPr>
      <w:r>
        <w:rPr>
          <w:rFonts w:ascii="BancoDoBrasil Titulos"/>
          <w:color w:val="465EFF"/>
          <w:spacing w:val="26"/>
        </w:rPr>
        <w:t>Mai</w:t>
      </w:r>
      <w:r>
        <w:rPr>
          <w:rFonts w:ascii="BancoDoBrasil Titulos"/>
          <w:color w:val="465EFF"/>
          <w:spacing w:val="-29"/>
        </w:rPr>
        <w:t> </w:t>
      </w:r>
      <w:r>
        <w:rPr>
          <w:rFonts w:ascii="BancoDoBrasil Titulos"/>
          <w:color w:val="465EFF"/>
          <w:spacing w:val="-10"/>
        </w:rPr>
        <w:t>o</w:t>
      </w:r>
    </w:p>
    <w:p>
      <w:pPr>
        <w:pStyle w:val="BodyText"/>
        <w:spacing w:line="321" w:lineRule="auto" w:before="249"/>
        <w:ind w:left="427" w:right="141" w:hanging="1"/>
        <w:jc w:val="both"/>
      </w:pPr>
      <w:r>
        <w:rPr>
          <w:color w:val="1B1B22"/>
        </w:rPr>
        <w:t>No </w:t>
      </w:r>
      <w:r>
        <w:rPr>
          <w:b/>
          <w:color w:val="1B1B22"/>
        </w:rPr>
        <w:t>Prêmio Reconhecimento BNDES 2025</w:t>
      </w:r>
      <w:r>
        <w:rPr>
          <w:color w:val="1B1B22"/>
        </w:rPr>
        <w:t>, fomos reconhecidos nas categorias "Finame 60 anos" e "Destaque Empresarial" pelo desempenho no desembolso de linhas de crédito com recursos do banco de desenvolvimento. O evento reuniu os principais agentes financeiros do país.</w:t>
      </w:r>
    </w:p>
    <w:p>
      <w:pPr>
        <w:pStyle w:val="BodyText"/>
        <w:spacing w:line="321" w:lineRule="auto" w:before="116"/>
        <w:ind w:left="427" w:right="140"/>
        <w:jc w:val="both"/>
      </w:pPr>
      <w:r>
        <w:rPr>
          <w:color w:val="1B1B22"/>
        </w:rPr>
        <w:t>Pelo segundo ano consecutivo, tivemos reconhecimento pela atuação da diretora jurídica Lucinéia Possar, vencedora do</w:t>
      </w:r>
      <w:r>
        <w:rPr>
          <w:color w:val="1B1B22"/>
          <w:spacing w:val="-2"/>
        </w:rPr>
        <w:t> </w:t>
      </w:r>
      <w:r>
        <w:rPr>
          <w:color w:val="1B1B22"/>
        </w:rPr>
        <w:t>The Latin American Lawyer Women Awards, na categoria In House Counsel of the</w:t>
      </w:r>
      <w:r>
        <w:rPr>
          <w:color w:val="1B1B22"/>
          <w:spacing w:val="-8"/>
        </w:rPr>
        <w:t> </w:t>
      </w:r>
      <w:r>
        <w:rPr>
          <w:color w:val="1B1B22"/>
        </w:rPr>
        <w:t>Year Banking &amp; Finance (Advogada Interna do Ano em Bancos &amp; Finanças).</w:t>
      </w:r>
    </w:p>
    <w:p>
      <w:pPr>
        <w:pStyle w:val="Heading2"/>
        <w:jc w:val="left"/>
        <w:rPr>
          <w:rFonts w:ascii="BancoDoBrasil Titulos"/>
        </w:rPr>
      </w:pPr>
      <w:r>
        <w:rPr>
          <w:rFonts w:ascii="BancoDoBrasil Titulos"/>
          <w:color w:val="465EFF"/>
        </w:rPr>
        <w:t>J</w:t>
      </w:r>
      <w:r>
        <w:rPr>
          <w:rFonts w:ascii="BancoDoBrasil Titulos"/>
          <w:color w:val="465EFF"/>
          <w:spacing w:val="-28"/>
        </w:rPr>
        <w:t> </w:t>
      </w:r>
      <w:r>
        <w:rPr>
          <w:rFonts w:ascii="BancoDoBrasil Titulos"/>
          <w:color w:val="465EFF"/>
        </w:rPr>
        <w:t>u</w:t>
      </w:r>
      <w:r>
        <w:rPr>
          <w:rFonts w:ascii="BancoDoBrasil Titulos"/>
          <w:color w:val="465EFF"/>
          <w:spacing w:val="-29"/>
        </w:rPr>
        <w:t> </w:t>
      </w:r>
      <w:r>
        <w:rPr>
          <w:rFonts w:ascii="BancoDoBrasil Titulos"/>
          <w:color w:val="465EFF"/>
          <w:spacing w:val="19"/>
        </w:rPr>
        <w:t>nh</w:t>
      </w:r>
      <w:r>
        <w:rPr>
          <w:rFonts w:ascii="BancoDoBrasil Titulos"/>
          <w:color w:val="465EFF"/>
          <w:spacing w:val="-30"/>
        </w:rPr>
        <w:t> </w:t>
      </w:r>
      <w:r>
        <w:rPr>
          <w:rFonts w:ascii="BancoDoBrasil Titulos"/>
          <w:color w:val="465EFF"/>
          <w:spacing w:val="-10"/>
        </w:rPr>
        <w:t>o</w:t>
      </w:r>
    </w:p>
    <w:p>
      <w:pPr>
        <w:spacing w:line="321" w:lineRule="auto" w:before="249"/>
        <w:ind w:left="426" w:right="141" w:firstLine="0"/>
        <w:jc w:val="both"/>
        <w:rPr>
          <w:sz w:val="20"/>
        </w:rPr>
      </w:pPr>
      <w:r>
        <w:rPr>
          <w:color w:val="1B1B22"/>
          <w:sz w:val="20"/>
        </w:rPr>
        <w:t>Recebemos a 11ª conquista no </w:t>
      </w:r>
      <w:r>
        <w:rPr>
          <w:b/>
          <w:color w:val="1B1B22"/>
          <w:sz w:val="20"/>
        </w:rPr>
        <w:t>Prêmio Broadcast Analistas</w:t>
      </w:r>
      <w:r>
        <w:rPr>
          <w:color w:val="1B1B22"/>
          <w:sz w:val="20"/>
        </w:rPr>
        <w:t>,</w:t>
      </w:r>
      <w:r>
        <w:rPr>
          <w:color w:val="1B1B22"/>
          <w:spacing w:val="-13"/>
          <w:sz w:val="20"/>
        </w:rPr>
        <w:t> </w:t>
      </w:r>
      <w:r>
        <w:rPr>
          <w:color w:val="1B1B22"/>
          <w:sz w:val="20"/>
        </w:rPr>
        <w:t>reafirmando</w:t>
      </w:r>
      <w:r>
        <w:rPr>
          <w:color w:val="1B1B22"/>
          <w:spacing w:val="-12"/>
          <w:sz w:val="20"/>
        </w:rPr>
        <w:t> </w:t>
      </w:r>
      <w:r>
        <w:rPr>
          <w:color w:val="1B1B22"/>
          <w:sz w:val="20"/>
        </w:rPr>
        <w:t>sua</w:t>
      </w:r>
      <w:r>
        <w:rPr>
          <w:color w:val="1B1B22"/>
          <w:spacing w:val="-13"/>
          <w:sz w:val="20"/>
        </w:rPr>
        <w:t> </w:t>
      </w:r>
      <w:r>
        <w:rPr>
          <w:color w:val="1B1B22"/>
          <w:sz w:val="20"/>
        </w:rPr>
        <w:t>posição</w:t>
      </w:r>
      <w:r>
        <w:rPr>
          <w:color w:val="1B1B22"/>
          <w:spacing w:val="-12"/>
          <w:sz w:val="20"/>
        </w:rPr>
        <w:t> </w:t>
      </w:r>
      <w:r>
        <w:rPr>
          <w:color w:val="1B1B22"/>
          <w:sz w:val="20"/>
        </w:rPr>
        <w:t>de</w:t>
      </w:r>
      <w:r>
        <w:rPr>
          <w:color w:val="1B1B22"/>
          <w:spacing w:val="-12"/>
          <w:sz w:val="20"/>
        </w:rPr>
        <w:t> </w:t>
      </w:r>
      <w:r>
        <w:rPr>
          <w:color w:val="1B1B22"/>
          <w:sz w:val="20"/>
        </w:rPr>
        <w:t>destaque</w:t>
      </w:r>
      <w:r>
        <w:rPr>
          <w:color w:val="1B1B22"/>
          <w:spacing w:val="-13"/>
          <w:sz w:val="20"/>
        </w:rPr>
        <w:t> </w:t>
      </w:r>
      <w:r>
        <w:rPr>
          <w:color w:val="1B1B22"/>
          <w:sz w:val="20"/>
        </w:rPr>
        <w:t>no mercado financeiro.</w:t>
      </w:r>
    </w:p>
    <w:p>
      <w:pPr>
        <w:spacing w:after="0" w:line="321" w:lineRule="auto"/>
        <w:jc w:val="both"/>
        <w:rPr>
          <w:sz w:val="20"/>
        </w:rPr>
        <w:sectPr>
          <w:type w:val="continuous"/>
          <w:pgSz w:w="11910" w:h="16850"/>
          <w:pgMar w:header="152" w:footer="572" w:top="1920" w:bottom="280" w:left="425" w:right="708"/>
          <w:cols w:num="2" w:equalWidth="0">
            <w:col w:w="5216" w:space="240"/>
            <w:col w:w="53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after="0"/>
        <w:sectPr>
          <w:pgSz w:w="11910" w:h="16850"/>
          <w:pgMar w:header="152" w:footer="572" w:top="900" w:bottom="780" w:left="425" w:right="708"/>
        </w:sectPr>
      </w:pPr>
    </w:p>
    <w:p>
      <w:pPr>
        <w:pStyle w:val="Heading1"/>
        <w:spacing w:before="52"/>
      </w:pPr>
      <w:r>
        <w:rPr>
          <w:color w:val="465EFF"/>
          <w:spacing w:val="35"/>
        </w:rPr>
        <w:t>Auditoria</w:t>
      </w:r>
    </w:p>
    <w:p>
      <w:pPr>
        <w:spacing w:before="189"/>
        <w:ind w:left="427" w:right="0" w:firstLine="0"/>
        <w:jc w:val="left"/>
        <w:rPr>
          <w:rFonts w:ascii="BancoDoBrasil Titulos"/>
          <w:sz w:val="44"/>
        </w:rPr>
      </w:pPr>
      <w:r>
        <w:rPr>
          <w:rFonts w:ascii="BancoDoBrasil Titulos"/>
          <w:color w:val="465EFF"/>
          <w:spacing w:val="33"/>
          <w:sz w:val="44"/>
        </w:rPr>
        <w:t>Independente</w:t>
      </w:r>
    </w:p>
    <w:p>
      <w:pPr>
        <w:pStyle w:val="BodyText"/>
        <w:spacing w:line="321" w:lineRule="auto" w:before="337"/>
        <w:ind w:left="426" w:right="38"/>
        <w:jc w:val="both"/>
      </w:pPr>
      <w:r>
        <w:rPr>
          <w:color w:val="1B1B22"/>
        </w:rPr>
        <w:t>O BB segue rigorosamente todas as legislações e regulamentações aplicáveis à auditoria independente, assegurando transparência e conformidade nos processos. A KPMG Auditores Independentes Ltda. é a empresa contratada para prestação</w:t>
      </w:r>
      <w:r>
        <w:rPr>
          <w:color w:val="1B1B22"/>
          <w:spacing w:val="-13"/>
        </w:rPr>
        <w:t> </w:t>
      </w:r>
      <w:r>
        <w:rPr>
          <w:color w:val="1B1B22"/>
        </w:rPr>
        <w:t>de</w:t>
      </w:r>
      <w:r>
        <w:rPr>
          <w:color w:val="1B1B22"/>
          <w:spacing w:val="-12"/>
        </w:rPr>
        <w:t> </w:t>
      </w:r>
      <w:r>
        <w:rPr>
          <w:color w:val="1B1B22"/>
        </w:rPr>
        <w:t>serviços</w:t>
      </w:r>
      <w:r>
        <w:rPr>
          <w:color w:val="1B1B22"/>
          <w:spacing w:val="-13"/>
        </w:rPr>
        <w:t> </w:t>
      </w:r>
      <w:r>
        <w:rPr>
          <w:color w:val="1B1B22"/>
        </w:rPr>
        <w:t>de</w:t>
      </w:r>
      <w:r>
        <w:rPr>
          <w:color w:val="1B1B22"/>
          <w:spacing w:val="-12"/>
        </w:rPr>
        <w:t> </w:t>
      </w:r>
      <w:r>
        <w:rPr>
          <w:color w:val="1B1B22"/>
        </w:rPr>
        <w:t>auditoria</w:t>
      </w:r>
      <w:r>
        <w:rPr>
          <w:color w:val="1B1B22"/>
          <w:spacing w:val="-12"/>
        </w:rPr>
        <w:t> </w:t>
      </w:r>
      <w:r>
        <w:rPr>
          <w:color w:val="1B1B22"/>
        </w:rPr>
        <w:t>externa</w:t>
      </w:r>
      <w:r>
        <w:rPr>
          <w:color w:val="1B1B22"/>
          <w:spacing w:val="-13"/>
        </w:rPr>
        <w:t> </w:t>
      </w:r>
      <w:r>
        <w:rPr>
          <w:color w:val="1B1B22"/>
        </w:rPr>
        <w:t>sobre</w:t>
      </w:r>
      <w:r>
        <w:rPr>
          <w:color w:val="1B1B22"/>
          <w:spacing w:val="-11"/>
        </w:rPr>
        <w:t> </w:t>
      </w:r>
      <w:r>
        <w:rPr>
          <w:color w:val="1B1B22"/>
        </w:rPr>
        <w:t>as demonstrações financeiras.</w:t>
      </w:r>
    </w:p>
    <w:p>
      <w:pPr>
        <w:pStyle w:val="BodyText"/>
        <w:spacing w:line="321" w:lineRule="auto" w:before="115"/>
        <w:ind w:left="426" w:right="40"/>
        <w:jc w:val="both"/>
      </w:pPr>
      <w:r>
        <w:rPr>
          <w:color w:val="1B1B22"/>
        </w:rPr>
        <w:t>Com relação aos serviços de não auditoria prestados por ela no âmbito do BB, não representam conflito de interesse tampouco, comprometem</w:t>
      </w:r>
      <w:r>
        <w:rPr>
          <w:color w:val="1B1B22"/>
          <w:spacing w:val="-12"/>
        </w:rPr>
        <w:t> </w:t>
      </w:r>
      <w:r>
        <w:rPr>
          <w:color w:val="1B1B22"/>
        </w:rPr>
        <w:t>sua</w:t>
      </w:r>
      <w:r>
        <w:rPr>
          <w:color w:val="1B1B22"/>
          <w:spacing w:val="-12"/>
        </w:rPr>
        <w:t> </w:t>
      </w:r>
      <w:r>
        <w:rPr>
          <w:color w:val="1B1B22"/>
        </w:rPr>
        <w:t>independência</w:t>
      </w:r>
      <w:r>
        <w:rPr>
          <w:color w:val="1B1B22"/>
          <w:spacing w:val="-12"/>
        </w:rPr>
        <w:t> </w:t>
      </w:r>
      <w:r>
        <w:rPr>
          <w:color w:val="1B1B22"/>
        </w:rPr>
        <w:t>na</w:t>
      </w:r>
      <w:r>
        <w:rPr>
          <w:color w:val="1B1B22"/>
          <w:spacing w:val="-12"/>
        </w:rPr>
        <w:t> </w:t>
      </w:r>
      <w:r>
        <w:rPr>
          <w:color w:val="1B1B22"/>
        </w:rPr>
        <w:t>execução</w:t>
      </w:r>
      <w:r>
        <w:rPr>
          <w:color w:val="1B1B22"/>
          <w:spacing w:val="-12"/>
        </w:rPr>
        <w:t> </w:t>
      </w:r>
      <w:r>
        <w:rPr>
          <w:color w:val="1B1B22"/>
        </w:rPr>
        <w:t>dos trabalhos.</w:t>
      </w:r>
      <w:r>
        <w:rPr>
          <w:color w:val="1B1B22"/>
          <w:spacing w:val="-9"/>
        </w:rPr>
        <w:t> </w:t>
      </w:r>
      <w:r>
        <w:rPr>
          <w:color w:val="1B1B22"/>
        </w:rPr>
        <w:t>As</w:t>
      </w:r>
      <w:r>
        <w:rPr>
          <w:color w:val="1B1B22"/>
          <w:spacing w:val="-6"/>
        </w:rPr>
        <w:t> </w:t>
      </w:r>
      <w:r>
        <w:rPr>
          <w:color w:val="1B1B22"/>
        </w:rPr>
        <w:t>informações</w:t>
      </w:r>
      <w:r>
        <w:rPr>
          <w:color w:val="1B1B22"/>
          <w:spacing w:val="-6"/>
        </w:rPr>
        <w:t> </w:t>
      </w:r>
      <w:r>
        <w:rPr>
          <w:color w:val="1B1B22"/>
        </w:rPr>
        <w:t>sobre</w:t>
      </w:r>
      <w:r>
        <w:rPr>
          <w:color w:val="1B1B22"/>
          <w:spacing w:val="-8"/>
        </w:rPr>
        <w:t> </w:t>
      </w:r>
      <w:r>
        <w:rPr>
          <w:color w:val="1B1B22"/>
        </w:rPr>
        <w:t>os</w:t>
      </w:r>
      <w:r>
        <w:rPr>
          <w:color w:val="1B1B22"/>
          <w:spacing w:val="-6"/>
        </w:rPr>
        <w:t> </w:t>
      </w:r>
      <w:r>
        <w:rPr>
          <w:color w:val="1B1B22"/>
        </w:rPr>
        <w:t>honorários</w:t>
      </w:r>
      <w:r>
        <w:rPr>
          <w:color w:val="1B1B22"/>
          <w:spacing w:val="-6"/>
        </w:rPr>
        <w:t> </w:t>
      </w:r>
      <w:r>
        <w:rPr>
          <w:color w:val="1B1B22"/>
        </w:rPr>
        <w:t>dos serviços de não auditoria são divulgadas anualmente em nosso Formulário de Referência, em</w:t>
      </w:r>
      <w:r>
        <w:rPr>
          <w:color w:val="1B1B22"/>
          <w:spacing w:val="-13"/>
        </w:rPr>
        <w:t> </w:t>
      </w:r>
      <w:r>
        <w:rPr>
          <w:color w:val="1B1B22"/>
        </w:rPr>
        <w:t>conformidade</w:t>
      </w:r>
      <w:r>
        <w:rPr>
          <w:color w:val="1B1B22"/>
          <w:spacing w:val="-12"/>
        </w:rPr>
        <w:t> </w:t>
      </w:r>
      <w:r>
        <w:rPr>
          <w:color w:val="1B1B22"/>
        </w:rPr>
        <w:t>com</w:t>
      </w:r>
      <w:r>
        <w:rPr>
          <w:color w:val="1B1B22"/>
          <w:spacing w:val="-13"/>
        </w:rPr>
        <w:t> </w:t>
      </w:r>
      <w:r>
        <w:rPr>
          <w:color w:val="1B1B22"/>
        </w:rPr>
        <w:t>a</w:t>
      </w:r>
      <w:r>
        <w:rPr>
          <w:color w:val="1B1B22"/>
          <w:spacing w:val="-12"/>
        </w:rPr>
        <w:t> </w:t>
      </w:r>
      <w:r>
        <w:rPr>
          <w:color w:val="1B1B22"/>
        </w:rPr>
        <w:t>Resolução</w:t>
      </w:r>
      <w:r>
        <w:rPr>
          <w:color w:val="1B1B22"/>
          <w:spacing w:val="-12"/>
        </w:rPr>
        <w:t> </w:t>
      </w:r>
      <w:r>
        <w:rPr>
          <w:color w:val="1B1B22"/>
        </w:rPr>
        <w:t>CVM</w:t>
      </w:r>
      <w:r>
        <w:rPr>
          <w:color w:val="1B1B22"/>
          <w:spacing w:val="-13"/>
        </w:rPr>
        <w:t> </w:t>
      </w:r>
      <w:r>
        <w:rPr>
          <w:color w:val="1B1B22"/>
        </w:rPr>
        <w:t>162/2022.</w:t>
      </w:r>
    </w:p>
    <w:p>
      <w:pPr>
        <w:pStyle w:val="Heading1"/>
        <w:spacing w:line="321" w:lineRule="auto" w:before="89"/>
      </w:pPr>
      <w:r>
        <w:rPr>
          <w:color w:val="465EFF"/>
          <w:spacing w:val="32"/>
        </w:rPr>
        <w:t>Esclarecimentos Adicionais</w:t>
      </w:r>
    </w:p>
    <w:p>
      <w:pPr>
        <w:pStyle w:val="BodyText"/>
        <w:tabs>
          <w:tab w:pos="2157" w:val="left" w:leader="none"/>
          <w:tab w:pos="3018" w:val="left" w:leader="none"/>
          <w:tab w:pos="4086" w:val="left" w:leader="none"/>
        </w:tabs>
        <w:spacing w:line="321" w:lineRule="auto" w:before="142"/>
        <w:ind w:left="427" w:right="39"/>
        <w:jc w:val="both"/>
      </w:pPr>
      <w:r>
        <w:rPr>
          <w:color w:val="1B1B22"/>
        </w:rPr>
        <w:t>Possuímos R$ 1,1 bilhão (consolidado) de créditos tributários não ativados, apresentados na nota explicativa 22 - Tributos (subitem “f”). Em cumprimento ao artigo 243 da Lei 6.404/1976, informamos que os investimentos da companhia em sociedades coligadas e controladas estão </w:t>
      </w:r>
      <w:r>
        <w:rPr>
          <w:color w:val="1B1B22"/>
          <w:spacing w:val="-2"/>
        </w:rPr>
        <w:t>relacionados</w:t>
      </w:r>
      <w:r>
        <w:rPr>
          <w:color w:val="1B1B22"/>
        </w:rPr>
        <w:tab/>
      </w:r>
      <w:r>
        <w:rPr>
          <w:color w:val="1B1B22"/>
          <w:spacing w:val="-4"/>
        </w:rPr>
        <w:t>nas</w:t>
      </w:r>
      <w:r>
        <w:rPr>
          <w:color w:val="1B1B22"/>
        </w:rPr>
        <w:tab/>
      </w:r>
      <w:r>
        <w:rPr>
          <w:color w:val="1B1B22"/>
          <w:spacing w:val="-2"/>
        </w:rPr>
        <w:t>notas</w:t>
      </w:r>
      <w:r>
        <w:rPr>
          <w:color w:val="1B1B22"/>
        </w:rPr>
        <w:tab/>
      </w:r>
      <w:r>
        <w:rPr>
          <w:color w:val="1B1B22"/>
          <w:spacing w:val="-2"/>
        </w:rPr>
        <w:t>explicativas </w:t>
      </w:r>
      <w:r>
        <w:rPr>
          <w:color w:val="1B1B22"/>
        </w:rPr>
        <w:t>2 – Apresentação das Demonstrações Contábeis e 14 – Investimentos.</w:t>
      </w:r>
    </w:p>
    <w:p>
      <w:pPr>
        <w:pStyle w:val="BodyText"/>
        <w:spacing w:line="321" w:lineRule="auto" w:before="79"/>
        <w:ind w:left="427" w:right="140"/>
        <w:jc w:val="both"/>
      </w:pPr>
      <w:r>
        <w:rPr/>
        <w:br w:type="column"/>
      </w:r>
      <w:r>
        <w:rPr>
          <w:color w:val="1B1B22"/>
        </w:rPr>
        <w:t>Publicamos anualmente os investimentos realizados em políticas públicas em nossa Carta Anual de Políticas Públicas e Governança Corporativa, disponível no site </w:t>
      </w:r>
      <w:hyperlink r:id="rId10">
        <w:r>
          <w:rPr>
            <w:color w:val="0562C1"/>
            <w:u w:val="single" w:color="0562C1"/>
          </w:rPr>
          <w:t>ri.bb.com.br</w:t>
        </w:r>
        <w:r>
          <w:rPr>
            <w:color w:val="1B1B22"/>
            <w:u w:val="none"/>
          </w:rPr>
          <w:t>.</w:t>
        </w:r>
      </w:hyperlink>
    </w:p>
    <w:p>
      <w:pPr>
        <w:pStyle w:val="BodyText"/>
        <w:spacing w:line="321" w:lineRule="auto" w:before="118"/>
        <w:ind w:left="427" w:right="141"/>
        <w:jc w:val="both"/>
      </w:pPr>
      <w:r>
        <w:rPr>
          <w:color w:val="1B1B22"/>
        </w:rPr>
        <w:t>O</w:t>
      </w:r>
      <w:r>
        <w:rPr>
          <w:color w:val="1B1B22"/>
          <w:spacing w:val="-6"/>
        </w:rPr>
        <w:t> </w:t>
      </w:r>
      <w:r>
        <w:rPr>
          <w:color w:val="1B1B22"/>
        </w:rPr>
        <w:t>Banco</w:t>
      </w:r>
      <w:r>
        <w:rPr>
          <w:color w:val="1B1B22"/>
          <w:spacing w:val="-6"/>
        </w:rPr>
        <w:t> </w:t>
      </w:r>
      <w:r>
        <w:rPr>
          <w:color w:val="1B1B22"/>
        </w:rPr>
        <w:t>do</w:t>
      </w:r>
      <w:r>
        <w:rPr>
          <w:color w:val="1B1B22"/>
          <w:spacing w:val="-6"/>
        </w:rPr>
        <w:t> </w:t>
      </w:r>
      <w:r>
        <w:rPr>
          <w:color w:val="1B1B22"/>
        </w:rPr>
        <w:t>Brasil,</w:t>
      </w:r>
      <w:r>
        <w:rPr>
          <w:color w:val="1B1B22"/>
          <w:spacing w:val="-6"/>
        </w:rPr>
        <w:t> </w:t>
      </w:r>
      <w:r>
        <w:rPr>
          <w:color w:val="1B1B22"/>
        </w:rPr>
        <w:t>seus</w:t>
      </w:r>
      <w:r>
        <w:rPr>
          <w:color w:val="1B1B22"/>
          <w:spacing w:val="-5"/>
        </w:rPr>
        <w:t> </w:t>
      </w:r>
      <w:r>
        <w:rPr>
          <w:color w:val="1B1B22"/>
        </w:rPr>
        <w:t>acionistas,</w:t>
      </w:r>
      <w:r>
        <w:rPr>
          <w:color w:val="1B1B22"/>
          <w:spacing w:val="-4"/>
        </w:rPr>
        <w:t> </w:t>
      </w:r>
      <w:r>
        <w:rPr>
          <w:color w:val="1B1B22"/>
        </w:rPr>
        <w:t>administradores e</w:t>
      </w:r>
      <w:r>
        <w:rPr>
          <w:color w:val="1B1B22"/>
          <w:spacing w:val="-13"/>
        </w:rPr>
        <w:t> </w:t>
      </w:r>
      <w:r>
        <w:rPr>
          <w:color w:val="1B1B22"/>
        </w:rPr>
        <w:t>os</w:t>
      </w:r>
      <w:r>
        <w:rPr>
          <w:color w:val="1B1B22"/>
          <w:spacing w:val="-12"/>
        </w:rPr>
        <w:t> </w:t>
      </w:r>
      <w:r>
        <w:rPr>
          <w:color w:val="1B1B22"/>
        </w:rPr>
        <w:t>membros</w:t>
      </w:r>
      <w:r>
        <w:rPr>
          <w:color w:val="1B1B22"/>
          <w:spacing w:val="-13"/>
        </w:rPr>
        <w:t> </w:t>
      </w:r>
      <w:r>
        <w:rPr>
          <w:color w:val="1B1B22"/>
        </w:rPr>
        <w:t>do</w:t>
      </w:r>
      <w:r>
        <w:rPr>
          <w:color w:val="1B1B22"/>
          <w:spacing w:val="-12"/>
        </w:rPr>
        <w:t> </w:t>
      </w:r>
      <w:r>
        <w:rPr>
          <w:color w:val="1B1B22"/>
        </w:rPr>
        <w:t>Conselho</w:t>
      </w:r>
      <w:r>
        <w:rPr>
          <w:color w:val="1B1B22"/>
          <w:spacing w:val="-12"/>
        </w:rPr>
        <w:t> </w:t>
      </w:r>
      <w:r>
        <w:rPr>
          <w:color w:val="1B1B22"/>
        </w:rPr>
        <w:t>Fiscal</w:t>
      </w:r>
      <w:r>
        <w:rPr>
          <w:color w:val="1B1B22"/>
          <w:spacing w:val="-13"/>
        </w:rPr>
        <w:t> </w:t>
      </w:r>
      <w:r>
        <w:rPr>
          <w:color w:val="1B1B22"/>
        </w:rPr>
        <w:t>se</w:t>
      </w:r>
      <w:r>
        <w:rPr>
          <w:color w:val="1B1B22"/>
          <w:spacing w:val="-12"/>
        </w:rPr>
        <w:t> </w:t>
      </w:r>
      <w:r>
        <w:rPr>
          <w:color w:val="1B1B22"/>
        </w:rPr>
        <w:t>comprometem a</w:t>
      </w:r>
      <w:r>
        <w:rPr>
          <w:color w:val="1B1B22"/>
          <w:spacing w:val="-7"/>
        </w:rPr>
        <w:t> </w:t>
      </w:r>
      <w:r>
        <w:rPr>
          <w:color w:val="1B1B22"/>
        </w:rPr>
        <w:t>resolver</w:t>
      </w:r>
      <w:r>
        <w:rPr>
          <w:color w:val="1B1B22"/>
          <w:spacing w:val="-6"/>
        </w:rPr>
        <w:t> </w:t>
      </w:r>
      <w:r>
        <w:rPr>
          <w:color w:val="1B1B22"/>
        </w:rPr>
        <w:t>toda</w:t>
      </w:r>
      <w:r>
        <w:rPr>
          <w:color w:val="1B1B22"/>
          <w:spacing w:val="-7"/>
        </w:rPr>
        <w:t> </w:t>
      </w:r>
      <w:r>
        <w:rPr>
          <w:color w:val="1B1B22"/>
        </w:rPr>
        <w:t>e</w:t>
      </w:r>
      <w:r>
        <w:rPr>
          <w:color w:val="1B1B22"/>
          <w:spacing w:val="-6"/>
        </w:rPr>
        <w:t> </w:t>
      </w:r>
      <w:r>
        <w:rPr>
          <w:color w:val="1B1B22"/>
        </w:rPr>
        <w:t>qualquer</w:t>
      </w:r>
      <w:r>
        <w:rPr>
          <w:color w:val="1B1B22"/>
          <w:spacing w:val="-6"/>
        </w:rPr>
        <w:t> </w:t>
      </w:r>
      <w:r>
        <w:rPr>
          <w:color w:val="1B1B22"/>
        </w:rPr>
        <w:t>disputa</w:t>
      </w:r>
      <w:r>
        <w:rPr>
          <w:color w:val="1B1B22"/>
          <w:spacing w:val="-7"/>
        </w:rPr>
        <w:t> </w:t>
      </w:r>
      <w:r>
        <w:rPr>
          <w:color w:val="1B1B22"/>
        </w:rPr>
        <w:t>ou</w:t>
      </w:r>
      <w:r>
        <w:rPr>
          <w:color w:val="1B1B22"/>
          <w:spacing w:val="-6"/>
        </w:rPr>
        <w:t> </w:t>
      </w:r>
      <w:r>
        <w:rPr>
          <w:color w:val="1B1B22"/>
        </w:rPr>
        <w:t>controvérsia relacionada</w:t>
      </w:r>
      <w:r>
        <w:rPr>
          <w:color w:val="1B1B22"/>
          <w:spacing w:val="-13"/>
        </w:rPr>
        <w:t> </w:t>
      </w:r>
      <w:r>
        <w:rPr>
          <w:color w:val="1B1B22"/>
        </w:rPr>
        <w:t>ao</w:t>
      </w:r>
      <w:r>
        <w:rPr>
          <w:color w:val="1B1B22"/>
          <w:spacing w:val="-12"/>
        </w:rPr>
        <w:t> </w:t>
      </w:r>
      <w:r>
        <w:rPr>
          <w:color w:val="1B1B22"/>
        </w:rPr>
        <w:t>Regulamento</w:t>
      </w:r>
      <w:r>
        <w:rPr>
          <w:color w:val="1B1B22"/>
          <w:spacing w:val="-12"/>
        </w:rPr>
        <w:t> </w:t>
      </w:r>
      <w:r>
        <w:rPr>
          <w:color w:val="1B1B22"/>
        </w:rPr>
        <w:t>do</w:t>
      </w:r>
      <w:r>
        <w:rPr>
          <w:color w:val="1B1B22"/>
          <w:spacing w:val="-12"/>
        </w:rPr>
        <w:t> </w:t>
      </w:r>
      <w:r>
        <w:rPr>
          <w:color w:val="1B1B22"/>
        </w:rPr>
        <w:t>Novo</w:t>
      </w:r>
      <w:r>
        <w:rPr>
          <w:color w:val="1B1B22"/>
          <w:spacing w:val="-12"/>
        </w:rPr>
        <w:t> </w:t>
      </w:r>
      <w:r>
        <w:rPr>
          <w:color w:val="1B1B22"/>
        </w:rPr>
        <w:t>Mercado</w:t>
      </w:r>
      <w:r>
        <w:rPr>
          <w:color w:val="1B1B22"/>
          <w:spacing w:val="-12"/>
        </w:rPr>
        <w:t> </w:t>
      </w:r>
      <w:r>
        <w:rPr>
          <w:color w:val="1B1B22"/>
        </w:rPr>
        <w:t>por meio da Câmara de Arbitragem da B3, conforme cláusula compromissória constante do Estatuto Social do Banco do Brasil.</w:t>
      </w:r>
    </w:p>
    <w:p>
      <w:pPr>
        <w:pStyle w:val="BodyText"/>
        <w:spacing w:line="321" w:lineRule="auto" w:before="115"/>
        <w:ind w:left="427" w:right="139"/>
        <w:jc w:val="both"/>
      </w:pPr>
      <w:r>
        <w:rPr>
          <w:color w:val="1B1B22"/>
        </w:rPr>
        <w:t>Esse</w:t>
      </w:r>
      <w:r>
        <w:rPr>
          <w:color w:val="1B1B22"/>
          <w:spacing w:val="-13"/>
        </w:rPr>
        <w:t> </w:t>
      </w:r>
      <w:r>
        <w:rPr>
          <w:color w:val="1B1B22"/>
        </w:rPr>
        <w:t>Relatório</w:t>
      </w:r>
      <w:r>
        <w:rPr>
          <w:color w:val="1B1B22"/>
          <w:spacing w:val="-12"/>
        </w:rPr>
        <w:t> </w:t>
      </w:r>
      <w:r>
        <w:rPr>
          <w:color w:val="1B1B22"/>
        </w:rPr>
        <w:t>da</w:t>
      </w:r>
      <w:r>
        <w:rPr>
          <w:color w:val="1B1B22"/>
          <w:spacing w:val="-13"/>
        </w:rPr>
        <w:t> </w:t>
      </w:r>
      <w:r>
        <w:rPr>
          <w:color w:val="1B1B22"/>
        </w:rPr>
        <w:t>Administração</w:t>
      </w:r>
      <w:r>
        <w:rPr>
          <w:color w:val="1B1B22"/>
          <w:spacing w:val="-12"/>
        </w:rPr>
        <w:t> </w:t>
      </w:r>
      <w:r>
        <w:rPr>
          <w:color w:val="1B1B22"/>
        </w:rPr>
        <w:t>foi</w:t>
      </w:r>
      <w:r>
        <w:rPr>
          <w:color w:val="1B1B22"/>
          <w:spacing w:val="-12"/>
        </w:rPr>
        <w:t> </w:t>
      </w:r>
      <w:r>
        <w:rPr>
          <w:color w:val="1B1B22"/>
        </w:rPr>
        <w:t>preparado</w:t>
      </w:r>
      <w:r>
        <w:rPr>
          <w:color w:val="1B1B22"/>
          <w:spacing w:val="-13"/>
        </w:rPr>
        <w:t> </w:t>
      </w:r>
      <w:r>
        <w:rPr>
          <w:color w:val="1B1B22"/>
        </w:rPr>
        <w:t>com base nas Demonstrações Contábeis Individuais e Consolidadas elaboradas no Padrão Contábil das Instituições</w:t>
      </w:r>
      <w:r>
        <w:rPr>
          <w:color w:val="1B1B22"/>
          <w:spacing w:val="-13"/>
        </w:rPr>
        <w:t> </w:t>
      </w:r>
      <w:r>
        <w:rPr>
          <w:color w:val="1B1B22"/>
        </w:rPr>
        <w:t>Reguladas</w:t>
      </w:r>
      <w:r>
        <w:rPr>
          <w:color w:val="1B1B22"/>
          <w:spacing w:val="-12"/>
        </w:rPr>
        <w:t> </w:t>
      </w:r>
      <w:r>
        <w:rPr>
          <w:color w:val="1B1B22"/>
        </w:rPr>
        <w:t>pelo</w:t>
      </w:r>
      <w:r>
        <w:rPr>
          <w:color w:val="1B1B22"/>
          <w:spacing w:val="-13"/>
        </w:rPr>
        <w:t> </w:t>
      </w:r>
      <w:r>
        <w:rPr>
          <w:color w:val="1B1B22"/>
        </w:rPr>
        <w:t>Banco</w:t>
      </w:r>
      <w:r>
        <w:rPr>
          <w:color w:val="1B1B22"/>
          <w:spacing w:val="-12"/>
        </w:rPr>
        <w:t> </w:t>
      </w:r>
      <w:r>
        <w:rPr>
          <w:color w:val="1B1B22"/>
        </w:rPr>
        <w:t>Central</w:t>
      </w:r>
      <w:r>
        <w:rPr>
          <w:color w:val="1B1B22"/>
          <w:spacing w:val="-12"/>
        </w:rPr>
        <w:t> </w:t>
      </w:r>
      <w:r>
        <w:rPr>
          <w:color w:val="1B1B22"/>
        </w:rPr>
        <w:t>do</w:t>
      </w:r>
      <w:r>
        <w:rPr>
          <w:color w:val="1B1B22"/>
          <w:spacing w:val="-13"/>
        </w:rPr>
        <w:t> </w:t>
      </w:r>
      <w:r>
        <w:rPr>
          <w:color w:val="1B1B22"/>
        </w:rPr>
        <w:t>Brasil (Cosif). Para mais informações, o Formulário de Referência, o relatório de</w:t>
      </w:r>
      <w:r>
        <w:rPr>
          <w:color w:val="1B1B22"/>
          <w:spacing w:val="-1"/>
        </w:rPr>
        <w:t> </w:t>
      </w:r>
      <w:r>
        <w:rPr>
          <w:color w:val="1B1B22"/>
        </w:rPr>
        <w:t>Análise do Desempenho e</w:t>
      </w:r>
      <w:r>
        <w:rPr>
          <w:color w:val="1B1B22"/>
          <w:spacing w:val="-10"/>
        </w:rPr>
        <w:t> </w:t>
      </w:r>
      <w:r>
        <w:rPr>
          <w:color w:val="1B1B22"/>
        </w:rPr>
        <w:t>a</w:t>
      </w:r>
      <w:r>
        <w:rPr>
          <w:color w:val="1B1B22"/>
          <w:spacing w:val="-13"/>
        </w:rPr>
        <w:t> </w:t>
      </w:r>
      <w:r>
        <w:rPr>
          <w:color w:val="1B1B22"/>
        </w:rPr>
        <w:t>Apresentação</w:t>
      </w:r>
      <w:r>
        <w:rPr>
          <w:color w:val="1B1B22"/>
          <w:spacing w:val="-8"/>
        </w:rPr>
        <w:t> </w:t>
      </w:r>
      <w:r>
        <w:rPr>
          <w:color w:val="1B1B22"/>
        </w:rPr>
        <w:t>Institucional</w:t>
      </w:r>
      <w:r>
        <w:rPr>
          <w:color w:val="1B1B22"/>
          <w:spacing w:val="-10"/>
        </w:rPr>
        <w:t> </w:t>
      </w:r>
      <w:r>
        <w:rPr>
          <w:color w:val="1B1B22"/>
        </w:rPr>
        <w:t>estão</w:t>
      </w:r>
      <w:r>
        <w:rPr>
          <w:color w:val="1B1B22"/>
          <w:spacing w:val="-9"/>
        </w:rPr>
        <w:t> </w:t>
      </w:r>
      <w:r>
        <w:rPr>
          <w:color w:val="1B1B22"/>
        </w:rPr>
        <w:t>disponíveis</w:t>
      </w:r>
      <w:r>
        <w:rPr>
          <w:color w:val="1B1B22"/>
          <w:spacing w:val="-8"/>
        </w:rPr>
        <w:t> </w:t>
      </w:r>
      <w:r>
        <w:rPr>
          <w:color w:val="1B1B22"/>
        </w:rPr>
        <w:t>no site ri.bb.com.br.</w:t>
      </w:r>
    </w:p>
    <w:p>
      <w:pPr>
        <w:pStyle w:val="Heading2"/>
        <w:spacing w:before="106"/>
        <w:ind w:left="427"/>
        <w:rPr>
          <w:rFonts w:ascii="BancoDoBrasil Titulos"/>
        </w:rPr>
      </w:pPr>
      <w:r>
        <w:rPr>
          <w:rFonts w:ascii="BancoDoBrasil Titulos"/>
          <w:color w:val="465EFF"/>
          <w:spacing w:val="26"/>
        </w:rPr>
        <w:t>Agra</w:t>
      </w:r>
      <w:r>
        <w:rPr>
          <w:rFonts w:ascii="BancoDoBrasil Titulos"/>
          <w:color w:val="465EFF"/>
          <w:spacing w:val="-31"/>
        </w:rPr>
        <w:t> </w:t>
      </w:r>
      <w:r>
        <w:rPr>
          <w:rFonts w:ascii="BancoDoBrasil Titulos"/>
          <w:color w:val="465EFF"/>
          <w:spacing w:val="18"/>
        </w:rPr>
        <w:t>de</w:t>
      </w:r>
      <w:r>
        <w:rPr>
          <w:rFonts w:ascii="BancoDoBrasil Titulos"/>
          <w:color w:val="465EFF"/>
          <w:spacing w:val="-30"/>
        </w:rPr>
        <w:t> </w:t>
      </w:r>
      <w:r>
        <w:rPr>
          <w:rFonts w:ascii="BancoDoBrasil Titulos"/>
          <w:color w:val="465EFF"/>
        </w:rPr>
        <w:t>c</w:t>
      </w:r>
      <w:r>
        <w:rPr>
          <w:rFonts w:ascii="BancoDoBrasil Titulos"/>
          <w:color w:val="465EFF"/>
          <w:spacing w:val="-29"/>
        </w:rPr>
        <w:t> </w:t>
      </w:r>
      <w:r>
        <w:rPr>
          <w:rFonts w:ascii="BancoDoBrasil Titulos"/>
          <w:color w:val="465EFF"/>
        </w:rPr>
        <w:t>i</w:t>
      </w:r>
      <w:r>
        <w:rPr>
          <w:rFonts w:ascii="BancoDoBrasil Titulos"/>
          <w:color w:val="465EFF"/>
          <w:spacing w:val="-30"/>
        </w:rPr>
        <w:t> </w:t>
      </w:r>
      <w:r>
        <w:rPr>
          <w:rFonts w:ascii="BancoDoBrasil Titulos"/>
          <w:color w:val="465EFF"/>
        </w:rPr>
        <w:t>m</w:t>
      </w:r>
      <w:r>
        <w:rPr>
          <w:rFonts w:ascii="BancoDoBrasil Titulos"/>
          <w:color w:val="465EFF"/>
          <w:spacing w:val="-28"/>
        </w:rPr>
        <w:t> </w:t>
      </w:r>
      <w:r>
        <w:rPr>
          <w:rFonts w:ascii="BancoDoBrasil Titulos"/>
          <w:color w:val="465EFF"/>
        </w:rPr>
        <w:t>e</w:t>
      </w:r>
      <w:r>
        <w:rPr>
          <w:rFonts w:ascii="BancoDoBrasil Titulos"/>
          <w:color w:val="465EFF"/>
          <w:spacing w:val="-30"/>
        </w:rPr>
        <w:t> </w:t>
      </w:r>
      <w:r>
        <w:rPr>
          <w:rFonts w:ascii="BancoDoBrasil Titulos"/>
          <w:color w:val="465EFF"/>
        </w:rPr>
        <w:t>n</w:t>
      </w:r>
      <w:r>
        <w:rPr>
          <w:rFonts w:ascii="BancoDoBrasil Titulos"/>
          <w:color w:val="465EFF"/>
          <w:spacing w:val="-33"/>
        </w:rPr>
        <w:t> </w:t>
      </w:r>
      <w:r>
        <w:rPr>
          <w:rFonts w:ascii="BancoDoBrasil Titulos"/>
          <w:color w:val="465EFF"/>
          <w:spacing w:val="15"/>
        </w:rPr>
        <w:t>to</w:t>
      </w:r>
      <w:r>
        <w:rPr>
          <w:rFonts w:ascii="BancoDoBrasil Titulos"/>
          <w:color w:val="465EFF"/>
          <w:spacing w:val="-31"/>
        </w:rPr>
        <w:t> </w:t>
      </w:r>
      <w:r>
        <w:rPr>
          <w:rFonts w:ascii="BancoDoBrasil Titulos"/>
          <w:color w:val="465EFF"/>
          <w:spacing w:val="-10"/>
        </w:rPr>
        <w:t>s</w:t>
      </w:r>
    </w:p>
    <w:p>
      <w:pPr>
        <w:pStyle w:val="BodyText"/>
        <w:spacing w:line="321" w:lineRule="auto" w:before="250"/>
        <w:ind w:left="427" w:right="139"/>
        <w:jc w:val="both"/>
      </w:pPr>
      <w:r>
        <w:rPr>
          <w:color w:val="1B1B22"/>
        </w:rPr>
        <w:t>Agradecemos profundamente a todos os nossos colaboradores que demonstram todos os dias comprometimento, dedicação e capacidade de inovar. Seu empenho em se adaptar, criar e aprimorar soluções e manter o foco no </w:t>
      </w:r>
      <w:r>
        <w:rPr>
          <w:color w:val="1B1B22"/>
          <w:spacing w:val="-2"/>
        </w:rPr>
        <w:t>relacionamento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de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excelência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com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nossos</w:t>
      </w:r>
      <w:r>
        <w:rPr>
          <w:color w:val="1B1B22"/>
          <w:spacing w:val="-10"/>
        </w:rPr>
        <w:t> </w:t>
      </w:r>
      <w:r>
        <w:rPr>
          <w:color w:val="1B1B22"/>
          <w:spacing w:val="-2"/>
        </w:rPr>
        <w:t>clientes</w:t>
      </w:r>
      <w:r>
        <w:rPr>
          <w:color w:val="1B1B22"/>
          <w:spacing w:val="-11"/>
        </w:rPr>
        <w:t> </w:t>
      </w:r>
      <w:r>
        <w:rPr>
          <w:color w:val="1B1B22"/>
          <w:spacing w:val="-2"/>
        </w:rPr>
        <w:t>é </w:t>
      </w:r>
      <w:r>
        <w:rPr>
          <w:color w:val="1B1B22"/>
        </w:rPr>
        <w:t>essencial para o atingimento do nosso propósito. Estendemos também nosso agradecimento aos clientes</w:t>
      </w:r>
      <w:r>
        <w:rPr>
          <w:color w:val="1B1B22"/>
          <w:spacing w:val="-8"/>
        </w:rPr>
        <w:t> </w:t>
      </w:r>
      <w:r>
        <w:rPr>
          <w:color w:val="1B1B22"/>
        </w:rPr>
        <w:t>e</w:t>
      </w:r>
      <w:r>
        <w:rPr>
          <w:color w:val="1B1B22"/>
          <w:spacing w:val="-10"/>
        </w:rPr>
        <w:t> </w:t>
      </w:r>
      <w:r>
        <w:rPr>
          <w:color w:val="1B1B22"/>
        </w:rPr>
        <w:t>acionistas,</w:t>
      </w:r>
      <w:r>
        <w:rPr>
          <w:color w:val="1B1B22"/>
          <w:spacing w:val="-9"/>
        </w:rPr>
        <w:t> </w:t>
      </w:r>
      <w:r>
        <w:rPr>
          <w:color w:val="1B1B22"/>
        </w:rPr>
        <w:t>cuja</w:t>
      </w:r>
      <w:r>
        <w:rPr>
          <w:color w:val="1B1B22"/>
          <w:spacing w:val="-8"/>
        </w:rPr>
        <w:t> </w:t>
      </w:r>
      <w:r>
        <w:rPr>
          <w:color w:val="1B1B22"/>
        </w:rPr>
        <w:t>confiança</w:t>
      </w:r>
      <w:r>
        <w:rPr>
          <w:color w:val="1B1B22"/>
          <w:spacing w:val="-8"/>
        </w:rPr>
        <w:t> </w:t>
      </w:r>
      <w:r>
        <w:rPr>
          <w:color w:val="1B1B22"/>
        </w:rPr>
        <w:t>é</w:t>
      </w:r>
      <w:r>
        <w:rPr>
          <w:color w:val="1B1B22"/>
          <w:spacing w:val="-10"/>
        </w:rPr>
        <w:t> </w:t>
      </w:r>
      <w:r>
        <w:rPr>
          <w:color w:val="1B1B22"/>
        </w:rPr>
        <w:t>fundamental. Reforçamos nosso</w:t>
      </w:r>
      <w:r>
        <w:rPr>
          <w:color w:val="1B1B22"/>
          <w:spacing w:val="-1"/>
        </w:rPr>
        <w:t> </w:t>
      </w:r>
      <w:r>
        <w:rPr>
          <w:color w:val="1B1B22"/>
        </w:rPr>
        <w:t>compromisso</w:t>
      </w:r>
      <w:r>
        <w:rPr>
          <w:color w:val="1B1B22"/>
          <w:spacing w:val="-1"/>
        </w:rPr>
        <w:t> </w:t>
      </w:r>
      <w:r>
        <w:rPr>
          <w:color w:val="1B1B22"/>
        </w:rPr>
        <w:t>com</w:t>
      </w:r>
      <w:r>
        <w:rPr>
          <w:color w:val="1B1B22"/>
          <w:spacing w:val="-2"/>
        </w:rPr>
        <w:t> </w:t>
      </w:r>
      <w:r>
        <w:rPr>
          <w:color w:val="1B1B22"/>
        </w:rPr>
        <w:t>a</w:t>
      </w:r>
      <w:r>
        <w:rPr>
          <w:color w:val="1B1B22"/>
          <w:spacing w:val="-2"/>
        </w:rPr>
        <w:t> </w:t>
      </w:r>
      <w:r>
        <w:rPr>
          <w:color w:val="1B1B22"/>
        </w:rPr>
        <w:t>geração</w:t>
      </w:r>
      <w:r>
        <w:rPr>
          <w:color w:val="1B1B22"/>
          <w:spacing w:val="-1"/>
        </w:rPr>
        <w:t> </w:t>
      </w:r>
      <w:r>
        <w:rPr>
          <w:color w:val="1B1B22"/>
        </w:rPr>
        <w:t>de valor de forma sustentável, equilibrando resultados consistentes com responsabilidade social, ambiental e ética</w:t>
      </w:r>
      <w:r>
        <w:rPr>
          <w:color w:val="1B1B22"/>
          <w:spacing w:val="-1"/>
        </w:rPr>
        <w:t> </w:t>
      </w:r>
      <w:r>
        <w:rPr>
          <w:color w:val="1B1B22"/>
        </w:rPr>
        <w:t>em todas as nossas ações.</w:t>
      </w:r>
    </w:p>
    <w:sectPr>
      <w:type w:val="continuous"/>
      <w:pgSz w:w="11910" w:h="16850"/>
      <w:pgMar w:header="152" w:footer="572" w:top="1920" w:bottom="280" w:left="425" w:right="708"/>
      <w:cols w:num="2" w:equalWidth="0">
        <w:col w:w="5217" w:space="238"/>
        <w:col w:w="53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ancoDoBrasil Textos">
    <w:altName w:val="BancoDoBrasil Textos"/>
    <w:charset w:val="0"/>
    <w:family w:val="auto"/>
    <w:pitch w:val="variable"/>
  </w:font>
  <w:font w:name="BancoDoBrasil Textos Light">
    <w:altName w:val="BancoDoBrasil Textos Light"/>
    <w:charset w:val="0"/>
    <w:family w:val="auto"/>
    <w:pitch w:val="variable"/>
  </w:font>
  <w:font w:name="BancoDoBrasil Textos Medium">
    <w:altName w:val="BancoDoBrasil Textos Medium"/>
    <w:charset w:val="0"/>
    <w:family w:val="auto"/>
    <w:pitch w:val="variable"/>
  </w:font>
  <w:font w:name="BancoDoBrasil Titulos">
    <w:altName w:val="BancoDoBrasil Titulos"/>
    <w:charset w:val="0"/>
    <w:family w:val="auto"/>
    <w:pitch w:val="variable"/>
  </w:font>
  <w:font w:name="BancoDoBrasil Titulos Light">
    <w:altName w:val="BancoDoBrasil Titulos Light"/>
    <w:charset w:val="0"/>
    <w:family w:val="auto"/>
    <w:pitch w:val="variable"/>
  </w:font>
  <w:font w:name="BancoDoBrasil Titulos Medium">
    <w:altName w:val="BancoDoBrasil Titulos Medium"/>
    <w:charset w:val="0"/>
    <w:family w:val="auto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3040">
              <wp:simplePos x="0" y="0"/>
              <wp:positionH relativeFrom="page">
                <wp:posOffset>4572</wp:posOffset>
              </wp:positionH>
              <wp:positionV relativeFrom="page">
                <wp:posOffset>10152900</wp:posOffset>
              </wp:positionV>
              <wp:extent cx="7556500" cy="53975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7556500" cy="539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539750">
                            <a:moveTo>
                              <a:pt x="7555979" y="0"/>
                            </a:moveTo>
                            <a:lnTo>
                              <a:pt x="7025640" y="0"/>
                            </a:lnTo>
                            <a:lnTo>
                              <a:pt x="6486144" y="0"/>
                            </a:lnTo>
                            <a:lnTo>
                              <a:pt x="541020" y="0"/>
                            </a:lnTo>
                            <a:lnTo>
                              <a:pt x="0" y="0"/>
                            </a:lnTo>
                            <a:lnTo>
                              <a:pt x="0" y="539483"/>
                            </a:lnTo>
                            <a:lnTo>
                              <a:pt x="541020" y="539483"/>
                            </a:lnTo>
                            <a:lnTo>
                              <a:pt x="6486144" y="539483"/>
                            </a:lnTo>
                            <a:lnTo>
                              <a:pt x="7025640" y="539483"/>
                            </a:lnTo>
                            <a:lnTo>
                              <a:pt x="7555979" y="539483"/>
                            </a:lnTo>
                            <a:lnTo>
                              <a:pt x="7555979" y="0"/>
                            </a:lnTo>
                            <a:close/>
                          </a:path>
                        </a:pathLst>
                      </a:custGeom>
                      <a:solidFill>
                        <a:srgbClr val="FBFB2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.36pt;margin-top:799.440979pt;width:595pt;height:42.5pt;mso-position-horizontal-relative:page;mso-position-vertical-relative:page;z-index:-15933440" id="docshape13" coordorigin="7,15989" coordsize="11900,850" path="m11906,15989l11071,15989,10222,15989,859,15989,7,15989,7,16838,859,16838,10222,16838,11071,16838,11906,16838,11906,15989xe" filled="true" fillcolor="#fbfb2f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3552">
              <wp:simplePos x="0" y="0"/>
              <wp:positionH relativeFrom="page">
                <wp:posOffset>531368</wp:posOffset>
              </wp:positionH>
              <wp:positionV relativeFrom="page">
                <wp:posOffset>10325826</wp:posOffset>
              </wp:positionV>
              <wp:extent cx="3372485" cy="16827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33724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2" w:lineRule="exact"/>
                            <w:ind w:left="20"/>
                            <w:rPr>
                              <w:rFonts w:ascii="BancoDoBrasil Titulos Light" w:hAnsi="BancoDoBrasil Titulos Light"/>
                              <w:b w:val="0"/>
                            </w:rPr>
                          </w:pP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15"/>
                            </w:rPr>
                            <w:t>Banco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37"/>
                            </w:rPr>
                            <w:t> 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10"/>
                            </w:rPr>
                            <w:t>do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41"/>
                            </w:rPr>
                            <w:t> 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15"/>
                            </w:rPr>
                            <w:t>Brasil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38"/>
                            </w:rPr>
                            <w:t> 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</w:rPr>
                            <w:t>S.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-27"/>
                            </w:rPr>
                            <w:t> 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9"/>
                            </w:rPr>
                            <w:t>A.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42"/>
                            </w:rPr>
                            <w:t> 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</w:rPr>
                            <w:t>|</w:t>
                          </w:r>
                          <w:r>
                            <w:rPr>
                              <w:rFonts w:ascii="BancoDoBrasil Titulos Medium" w:hAnsi="BancoDoBrasil Titulos Medium"/>
                              <w:b w:val="0"/>
                              <w:color w:val="465EFF"/>
                              <w:spacing w:val="38"/>
                            </w:rPr>
                            <w:t> </w:t>
                          </w:r>
                          <w:r>
                            <w:rPr>
                              <w:rFonts w:ascii="BancoDoBrasil Titulos Light" w:hAnsi="BancoDoBrasil Titulos Light"/>
                              <w:b w:val="0"/>
                              <w:color w:val="465EFF"/>
                              <w:spacing w:val="16"/>
                            </w:rPr>
                            <w:t>Relações</w:t>
                          </w:r>
                          <w:r>
                            <w:rPr>
                              <w:rFonts w:ascii="BancoDoBrasil Titulos Light" w:hAnsi="BancoDoBrasil Titulos Light"/>
                              <w:b w:val="0"/>
                              <w:color w:val="465EFF"/>
                              <w:spacing w:val="40"/>
                            </w:rPr>
                            <w:t> </w:t>
                          </w:r>
                          <w:r>
                            <w:rPr>
                              <w:rFonts w:ascii="BancoDoBrasil Titulos Light" w:hAnsi="BancoDoBrasil Titulos Light"/>
                              <w:b w:val="0"/>
                              <w:color w:val="465EFF"/>
                              <w:spacing w:val="11"/>
                            </w:rPr>
                            <w:t>com</w:t>
                          </w:r>
                          <w:r>
                            <w:rPr>
                              <w:rFonts w:ascii="BancoDoBrasil Titulos Light" w:hAnsi="BancoDoBrasil Titulos Light"/>
                              <w:b w:val="0"/>
                              <w:color w:val="465EFF"/>
                              <w:spacing w:val="42"/>
                            </w:rPr>
                            <w:t> </w:t>
                          </w:r>
                          <w:r>
                            <w:rPr>
                              <w:rFonts w:ascii="BancoDoBrasil Titulos Light" w:hAnsi="BancoDoBrasil Titulos Light"/>
                              <w:b w:val="0"/>
                              <w:color w:val="465EFF"/>
                              <w:spacing w:val="14"/>
                            </w:rPr>
                            <w:t>Investidores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84pt;margin-top:813.05719pt;width:265.55pt;height:13.25pt;mso-position-horizontal-relative:page;mso-position-vertical-relative:page;z-index:-15932928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line="252" w:lineRule="exact"/>
                      <w:ind w:left="20"/>
                      <w:rPr>
                        <w:rFonts w:ascii="BancoDoBrasil Titulos Light" w:hAnsi="BancoDoBrasil Titulos Light"/>
                        <w:b w:val="0"/>
                      </w:rPr>
                    </w:pP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15"/>
                      </w:rPr>
                      <w:t>Banco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37"/>
                      </w:rPr>
                      <w:t> 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10"/>
                      </w:rPr>
                      <w:t>do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41"/>
                      </w:rPr>
                      <w:t> 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15"/>
                      </w:rPr>
                      <w:t>Brasil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38"/>
                      </w:rPr>
                      <w:t> 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</w:rPr>
                      <w:t>S.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-27"/>
                      </w:rPr>
                      <w:t> 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9"/>
                      </w:rPr>
                      <w:t>A.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42"/>
                      </w:rPr>
                      <w:t> 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</w:rPr>
                      <w:t>|</w:t>
                    </w:r>
                    <w:r>
                      <w:rPr>
                        <w:rFonts w:ascii="BancoDoBrasil Titulos Medium" w:hAnsi="BancoDoBrasil Titulos Medium"/>
                        <w:b w:val="0"/>
                        <w:color w:val="465EFF"/>
                        <w:spacing w:val="38"/>
                      </w:rPr>
                      <w:t> </w:t>
                    </w:r>
                    <w:r>
                      <w:rPr>
                        <w:rFonts w:ascii="BancoDoBrasil Titulos Light" w:hAnsi="BancoDoBrasil Titulos Light"/>
                        <w:b w:val="0"/>
                        <w:color w:val="465EFF"/>
                        <w:spacing w:val="16"/>
                      </w:rPr>
                      <w:t>Relações</w:t>
                    </w:r>
                    <w:r>
                      <w:rPr>
                        <w:rFonts w:ascii="BancoDoBrasil Titulos Light" w:hAnsi="BancoDoBrasil Titulos Light"/>
                        <w:b w:val="0"/>
                        <w:color w:val="465EFF"/>
                        <w:spacing w:val="40"/>
                      </w:rPr>
                      <w:t> </w:t>
                    </w:r>
                    <w:r>
                      <w:rPr>
                        <w:rFonts w:ascii="BancoDoBrasil Titulos Light" w:hAnsi="BancoDoBrasil Titulos Light"/>
                        <w:b w:val="0"/>
                        <w:color w:val="465EFF"/>
                        <w:spacing w:val="11"/>
                      </w:rPr>
                      <w:t>com</w:t>
                    </w:r>
                    <w:r>
                      <w:rPr>
                        <w:rFonts w:ascii="BancoDoBrasil Titulos Light" w:hAnsi="BancoDoBrasil Titulos Light"/>
                        <w:b w:val="0"/>
                        <w:color w:val="465EFF"/>
                        <w:spacing w:val="42"/>
                      </w:rPr>
                      <w:t> </w:t>
                    </w:r>
                    <w:r>
                      <w:rPr>
                        <w:rFonts w:ascii="BancoDoBrasil Titulos Light" w:hAnsi="BancoDoBrasil Titulos Light"/>
                        <w:b w:val="0"/>
                        <w:color w:val="465EFF"/>
                        <w:spacing w:val="14"/>
                      </w:rPr>
                      <w:t>Investidores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4064">
              <wp:simplePos x="0" y="0"/>
              <wp:positionH relativeFrom="page">
                <wp:posOffset>6843776</wp:posOffset>
              </wp:positionH>
              <wp:positionV relativeFrom="page">
                <wp:posOffset>10325826</wp:posOffset>
              </wp:positionV>
              <wp:extent cx="235585" cy="1816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558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2" w:lineRule="exact"/>
                            <w:ind w:left="20"/>
                            <w:rPr>
                              <w:rFonts w:ascii="BancoDoBrasil Titulos Medium"/>
                              <w:b w:val="0"/>
                            </w:rPr>
                          </w:pP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rFonts w:ascii="BancoDoBrasil Titulos Medium"/>
                              <w:b w:val="0"/>
                              <w:color w:val="465EFF"/>
                              <w:spacing w:val="-5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880005pt;margin-top:813.05719pt;width:18.55pt;height:14.3pt;mso-position-horizontal-relative:page;mso-position-vertical-relative:page;z-index:-15932416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line="252" w:lineRule="exact"/>
                      <w:ind w:left="20"/>
                      <w:rPr>
                        <w:rFonts w:ascii="BancoDoBrasil Titulos Medium"/>
                        <w:b w:val="0"/>
                      </w:rPr>
                    </w:pP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fldChar w:fldCharType="begin"/>
                    </w: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instrText> PAGE </w:instrText>
                    </w: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fldChar w:fldCharType="separate"/>
                    </w: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t>10</w:t>
                    </w: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fldChar w:fldCharType="end"/>
                    </w:r>
                    <w:r>
                      <w:rPr>
                        <w:rFonts w:ascii="BancoDoBrasil Titulos Medium"/>
                        <w:b w:val="0"/>
                        <w:color w:val="465EFF"/>
                        <w:spacing w:val="-5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1504">
              <wp:simplePos x="0" y="0"/>
              <wp:positionH relativeFrom="page">
                <wp:posOffset>6659384</wp:posOffset>
              </wp:positionH>
              <wp:positionV relativeFrom="page">
                <wp:posOffset>96671</wp:posOffset>
              </wp:positionV>
              <wp:extent cx="353695" cy="34671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353695" cy="346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3695" h="346710">
                            <a:moveTo>
                              <a:pt x="71628" y="300278"/>
                            </a:moveTo>
                            <a:lnTo>
                              <a:pt x="35052" y="275628"/>
                            </a:lnTo>
                            <a:lnTo>
                              <a:pt x="0" y="297815"/>
                            </a:lnTo>
                            <a:lnTo>
                              <a:pt x="0" y="346506"/>
                            </a:lnTo>
                            <a:lnTo>
                              <a:pt x="71628" y="300278"/>
                            </a:lnTo>
                            <a:close/>
                          </a:path>
                          <a:path w="353695" h="346710">
                            <a:moveTo>
                              <a:pt x="350837" y="230276"/>
                            </a:moveTo>
                            <a:lnTo>
                              <a:pt x="278193" y="181483"/>
                            </a:lnTo>
                            <a:lnTo>
                              <a:pt x="192214" y="239649"/>
                            </a:lnTo>
                            <a:lnTo>
                              <a:pt x="228282" y="263994"/>
                            </a:lnTo>
                            <a:lnTo>
                              <a:pt x="180835" y="296824"/>
                            </a:lnTo>
                            <a:lnTo>
                              <a:pt x="76568" y="226834"/>
                            </a:lnTo>
                            <a:lnTo>
                              <a:pt x="245579" y="117398"/>
                            </a:lnTo>
                            <a:lnTo>
                              <a:pt x="208013" y="92748"/>
                            </a:lnTo>
                            <a:lnTo>
                              <a:pt x="0" y="230276"/>
                            </a:lnTo>
                            <a:lnTo>
                              <a:pt x="176707" y="346506"/>
                            </a:lnTo>
                            <a:lnTo>
                              <a:pt x="350837" y="230276"/>
                            </a:lnTo>
                            <a:close/>
                          </a:path>
                          <a:path w="353695" h="346710">
                            <a:moveTo>
                              <a:pt x="350837" y="115430"/>
                            </a:moveTo>
                            <a:lnTo>
                              <a:pt x="176707" y="0"/>
                            </a:lnTo>
                            <a:lnTo>
                              <a:pt x="0" y="113461"/>
                            </a:lnTo>
                            <a:lnTo>
                              <a:pt x="74091" y="162750"/>
                            </a:lnTo>
                            <a:lnTo>
                              <a:pt x="159092" y="106057"/>
                            </a:lnTo>
                            <a:lnTo>
                              <a:pt x="123507" y="80429"/>
                            </a:lnTo>
                            <a:lnTo>
                              <a:pt x="171945" y="48387"/>
                            </a:lnTo>
                            <a:lnTo>
                              <a:pt x="274243" y="116903"/>
                            </a:lnTo>
                            <a:lnTo>
                              <a:pt x="108191" y="228803"/>
                            </a:lnTo>
                            <a:lnTo>
                              <a:pt x="143281" y="252463"/>
                            </a:lnTo>
                            <a:lnTo>
                              <a:pt x="350837" y="115430"/>
                            </a:lnTo>
                            <a:close/>
                          </a:path>
                          <a:path w="353695" h="346710">
                            <a:moveTo>
                              <a:pt x="353390" y="0"/>
                            </a:moveTo>
                            <a:lnTo>
                              <a:pt x="282155" y="45440"/>
                            </a:lnTo>
                            <a:lnTo>
                              <a:pt x="320205" y="72047"/>
                            </a:lnTo>
                            <a:lnTo>
                              <a:pt x="353390" y="50368"/>
                            </a:lnTo>
                            <a:lnTo>
                              <a:pt x="353390" y="0"/>
                            </a:lnTo>
                            <a:close/>
                          </a:path>
                        </a:pathLst>
                      </a:custGeom>
                      <a:solidFill>
                        <a:srgbClr val="465E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361023pt;margin-top:7.611938pt;width:27.85pt;height:27.3pt;mso-position-horizontal-relative:page;mso-position-vertical-relative:page;z-index:-15934976" id="docshape10" coordorigin="10487,152" coordsize="557,546" path="m10600,625l10542,586,10487,621,10487,698,10600,625xm11040,515l10925,438,10790,530,10847,568,10772,620,10608,509,10874,337,10815,298,10487,515,10766,698,11040,515xm11040,334l10766,152,10487,331,10604,409,10738,319,10682,279,10758,228,10919,336,10658,513,10713,550,11040,334xm11044,152l10932,224,10991,266,11044,232,11044,152xe" filled="true" fillcolor="#465eff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2016">
              <wp:simplePos x="0" y="0"/>
              <wp:positionH relativeFrom="page">
                <wp:posOffset>0</wp:posOffset>
              </wp:positionH>
              <wp:positionV relativeFrom="page">
                <wp:posOffset>539495</wp:posOffset>
              </wp:positionV>
              <wp:extent cx="7560945" cy="38100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756094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38100">
                            <a:moveTo>
                              <a:pt x="7560577" y="0"/>
                            </a:moveTo>
                            <a:lnTo>
                              <a:pt x="7560577" y="0"/>
                            </a:ln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7560577" y="38100"/>
                            </a:lnTo>
                            <a:lnTo>
                              <a:pt x="7560577" y="0"/>
                            </a:lnTo>
                            <a:close/>
                          </a:path>
                        </a:pathLst>
                      </a:custGeom>
                      <a:solidFill>
                        <a:srgbClr val="FCF42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42.479939pt;width:595.321028pt;height:3.0pt;mso-position-horizontal-relative:page;mso-position-vertical-relative:page;z-index:-15934464" id="docshape11" filled="true" fillcolor="#fcf429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2528">
              <wp:simplePos x="0" y="0"/>
              <wp:positionH relativeFrom="page">
                <wp:posOffset>525272</wp:posOffset>
              </wp:positionH>
              <wp:positionV relativeFrom="page">
                <wp:posOffset>186654</wp:posOffset>
              </wp:positionV>
              <wp:extent cx="2444115" cy="16827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44411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2" w:lineRule="exact"/>
                            <w:ind w:left="20"/>
                            <w:rPr>
                              <w:rFonts w:ascii="BancoDoBrasil Textos Medium" w:hAnsi="BancoDoBrasil Textos Medium"/>
                              <w:b w:val="0"/>
                            </w:rPr>
                          </w:pP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15"/>
                            </w:rPr>
                            <w:t>Relatório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34"/>
                            </w:rPr>
                            <w:t> 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11"/>
                            </w:rPr>
                            <w:t>da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33"/>
                            </w:rPr>
                            <w:t> 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17"/>
                            </w:rPr>
                            <w:t>Administração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33"/>
                            </w:rPr>
                            <w:t> </w:t>
                          </w:r>
                          <w:r>
                            <w:rPr>
                              <w:rFonts w:ascii="BancoDoBrasil Textos Light" w:hAnsi="BancoDoBrasil Textos Light"/>
                              <w:b w:val="0"/>
                              <w:color w:val="465EFF"/>
                            </w:rPr>
                            <w:t>|</w:t>
                          </w:r>
                          <w:r>
                            <w:rPr>
                              <w:rFonts w:ascii="BancoDoBrasil Textos Light" w:hAnsi="BancoDoBrasil Textos Light"/>
                              <w:b w:val="0"/>
                              <w:color w:val="465EFF"/>
                              <w:spacing w:val="40"/>
                            </w:rPr>
                            <w:t> </w:t>
                          </w:r>
                          <w:r>
                            <w:rPr>
                              <w:rFonts w:ascii="BancoDoBrasil Textos Medium" w:hAnsi="BancoDoBrasil Textos Medium"/>
                              <w:b w:val="0"/>
                              <w:color w:val="465EFF"/>
                              <w:spacing w:val="11"/>
                            </w:rPr>
                            <w:t>1S25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1.360001pt;margin-top:14.697178pt;width:192.45pt;height:13.25pt;mso-position-horizontal-relative:page;mso-position-vertical-relative:page;z-index:-15933952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line="252" w:lineRule="exact"/>
                      <w:ind w:left="20"/>
                      <w:rPr>
                        <w:rFonts w:ascii="BancoDoBrasil Textos Medium" w:hAnsi="BancoDoBrasil Textos Medium"/>
                        <w:b w:val="0"/>
                      </w:rPr>
                    </w:pP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15"/>
                      </w:rPr>
                      <w:t>Relatório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34"/>
                      </w:rPr>
                      <w:t> 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11"/>
                      </w:rPr>
                      <w:t>da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33"/>
                      </w:rPr>
                      <w:t> 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17"/>
                      </w:rPr>
                      <w:t>Administração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33"/>
                      </w:rPr>
                      <w:t> </w:t>
                    </w:r>
                    <w:r>
                      <w:rPr>
                        <w:rFonts w:ascii="BancoDoBrasil Textos Light" w:hAnsi="BancoDoBrasil Textos Light"/>
                        <w:b w:val="0"/>
                        <w:color w:val="465EFF"/>
                      </w:rPr>
                      <w:t>|</w:t>
                    </w:r>
                    <w:r>
                      <w:rPr>
                        <w:rFonts w:ascii="BancoDoBrasil Textos Light" w:hAnsi="BancoDoBrasil Textos Light"/>
                        <w:b w:val="0"/>
                        <w:color w:val="465EFF"/>
                        <w:spacing w:val="40"/>
                      </w:rPr>
                      <w:t> </w:t>
                    </w:r>
                    <w:r>
                      <w:rPr>
                        <w:rFonts w:ascii="BancoDoBrasil Textos Medium" w:hAnsi="BancoDoBrasil Textos Medium"/>
                        <w:b w:val="0"/>
                        <w:color w:val="465EFF"/>
                        <w:spacing w:val="11"/>
                      </w:rPr>
                      <w:t>1S25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409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B1B22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0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7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80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B1B22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5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84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10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B1B22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5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84" w:hanging="36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ancoDoBrasil Textos" w:hAnsi="BancoDoBrasil Textos" w:eastAsia="BancoDoBrasil Textos" w:cs="BancoDoBrasil Texto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BancoDoBrasil Textos" w:hAnsi="BancoDoBrasil Textos" w:eastAsia="BancoDoBrasil Textos" w:cs="BancoDoBrasil Textos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27"/>
      <w:outlineLvl w:val="1"/>
    </w:pPr>
    <w:rPr>
      <w:rFonts w:ascii="BancoDoBrasil Titulos" w:hAnsi="BancoDoBrasil Titulos" w:eastAsia="BancoDoBrasil Titulos" w:cs="BancoDoBrasil Titulos"/>
      <w:sz w:val="44"/>
      <w:szCs w:val="4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left="426"/>
      <w:jc w:val="both"/>
      <w:outlineLvl w:val="2"/>
    </w:pPr>
    <w:rPr>
      <w:rFonts w:ascii="BancoDoBrasil Textos Medium" w:hAnsi="BancoDoBrasil Textos Medium" w:eastAsia="BancoDoBrasil Textos Medium" w:cs="BancoDoBrasil Textos Medium"/>
      <w:sz w:val="28"/>
      <w:szCs w:val="28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487" w:lineRule="exact"/>
      <w:ind w:left="1567"/>
    </w:pPr>
    <w:rPr>
      <w:rFonts w:ascii="BancoDoBrasil Titulos" w:hAnsi="BancoDoBrasil Titulos" w:eastAsia="BancoDoBrasil Titulos" w:cs="BancoDoBrasil Titulos"/>
      <w:b/>
      <w:bCs/>
      <w:sz w:val="120"/>
      <w:szCs w:val="1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ancoDoBrasil Textos" w:hAnsi="BancoDoBrasil Textos" w:eastAsia="BancoDoBrasil Textos" w:cs="BancoDoBrasil Texto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https://ri.bb.com.br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Fernando de Almeida</dc:creator>
  <dcterms:created xsi:type="dcterms:W3CDTF">2025-08-14T16:57:00Z</dcterms:created>
  <dcterms:modified xsi:type="dcterms:W3CDTF">2025-08-14T16:57:00Z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Creator">
    <vt:lpwstr>Adobe Acrobat (64-bit) 25.1.20577</vt:lpwstr>
  </property>
  <property fmtid="{D5CDD505-2E9C-101B-9397-08002B2CF9AE}" pid="4" name="LastSaved">
    <vt:filetime>2025-08-14T00:00:00Z</vt:filetime>
  </property>
  <property fmtid="{D5CDD505-2E9C-101B-9397-08002B2CF9AE}" pid="5" name="MSIP_Label_40881dc9-f7f2-41de-a334-ceff3dc15b31_ContentBits">
    <vt:lpwstr>1</vt:lpwstr>
  </property>
  <property fmtid="{D5CDD505-2E9C-101B-9397-08002B2CF9AE}" pid="6" name="MSIP_Label_40881dc9-f7f2-41de-a334-ceff3dc15b31_Enabled">
    <vt:lpwstr>true</vt:lpwstr>
  </property>
  <property fmtid="{D5CDD505-2E9C-101B-9397-08002B2CF9AE}" pid="7" name="MSIP_Label_40881dc9-f7f2-41de-a334-ceff3dc15b31_Method">
    <vt:lpwstr>Standard</vt:lpwstr>
  </property>
  <property fmtid="{D5CDD505-2E9C-101B-9397-08002B2CF9AE}" pid="8" name="MSIP_Label_40881dc9-f7f2-41de-a334-ceff3dc15b31_SiteId">
    <vt:lpwstr>ea0c2907-38d2-4181-8750-b0b190b60443</vt:lpwstr>
  </property>
  <property fmtid="{D5CDD505-2E9C-101B-9397-08002B2CF9AE}" pid="9" name="Producer">
    <vt:lpwstr>Adobe Acrobat (64-bit) 25.1.20577</vt:lpwstr>
  </property>
</Properties>
</file>