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jc w:val="left"/>
        <w:rPr>
          <w:rFonts w:ascii="Times New Roman"/>
          <w:sz w:val="48"/>
        </w:rPr>
      </w:pPr>
      <w:r>
        <w:rPr>
          <w:rFonts w:ascii="Times New Roman"/>
          <w:sz w:val="48"/>
        </w:rPr>
        <mc:AlternateContent>
          <mc:Choice Requires="wps">
            <w:drawing>
              <wp:anchor distT="0" distB="0" distL="0" distR="0" allowOverlap="1" layoutInCell="1" locked="0" behindDoc="1" simplePos="0" relativeHeight="487362048">
                <wp:simplePos x="0" y="0"/>
                <wp:positionH relativeFrom="page">
                  <wp:posOffset>0</wp:posOffset>
                </wp:positionH>
                <wp:positionV relativeFrom="page">
                  <wp:posOffset>0</wp:posOffset>
                </wp:positionV>
                <wp:extent cx="7562215" cy="1069403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562215" cy="10694035"/>
                        </a:xfrm>
                        <a:custGeom>
                          <a:avLst/>
                          <a:gdLst/>
                          <a:ahLst/>
                          <a:cxnLst/>
                          <a:rect l="l" t="t" r="r" b="b"/>
                          <a:pathLst>
                            <a:path w="7562215" h="10694035">
                              <a:moveTo>
                                <a:pt x="7562215" y="0"/>
                              </a:moveTo>
                              <a:lnTo>
                                <a:pt x="0" y="0"/>
                              </a:lnTo>
                              <a:lnTo>
                                <a:pt x="0" y="10694035"/>
                              </a:lnTo>
                              <a:lnTo>
                                <a:pt x="7562215" y="10694035"/>
                              </a:lnTo>
                              <a:lnTo>
                                <a:pt x="7562215" y="0"/>
                              </a:lnTo>
                              <a:close/>
                            </a:path>
                          </a:pathLst>
                        </a:custGeom>
                        <a:solidFill>
                          <a:srgbClr val="465EFF"/>
                        </a:solidFill>
                      </wps:spPr>
                      <wps:bodyPr wrap="square" lIns="0" tIns="0" rIns="0" bIns="0" rtlCol="0">
                        <a:prstTxWarp prst="textNoShape">
                          <a:avLst/>
                        </a:prstTxWarp>
                        <a:noAutofit/>
                      </wps:bodyPr>
                    </wps:wsp>
                  </a:graphicData>
                </a:graphic>
              </wp:anchor>
            </w:drawing>
          </mc:Choice>
          <mc:Fallback>
            <w:pict>
              <v:rect style="position:absolute;margin-left:0pt;margin-top:-.000017pt;width:595.450pt;height:842.05pt;mso-position-horizontal-relative:page;mso-position-vertical-relative:page;z-index:-15954432" id="docshape1" filled="true" fillcolor="#465eff" stroked="false">
                <v:fill type="solid"/>
                <w10:wrap type="none"/>
              </v:rect>
            </w:pict>
          </mc:Fallback>
        </mc:AlternateContent>
      </w:r>
      <w:r>
        <w:rPr>
          <w:rFonts w:ascii="Times New Roman"/>
          <w:sz w:val="48"/>
        </w:rPr>
        <mc:AlternateContent>
          <mc:Choice Requires="wps">
            <w:drawing>
              <wp:anchor distT="0" distB="0" distL="0" distR="0" allowOverlap="1" layoutInCell="1" locked="0" behindDoc="1" simplePos="0" relativeHeight="487362560">
                <wp:simplePos x="0" y="0"/>
                <wp:positionH relativeFrom="page">
                  <wp:posOffset>0</wp:posOffset>
                </wp:positionH>
                <wp:positionV relativeFrom="page">
                  <wp:posOffset>-3395</wp:posOffset>
                </wp:positionV>
                <wp:extent cx="7564120" cy="1069467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564120" cy="10694670"/>
                          <a:chExt cx="7564120" cy="10694670"/>
                        </a:xfrm>
                      </wpg:grpSpPr>
                      <pic:pic>
                        <pic:nvPicPr>
                          <pic:cNvPr id="3" name="Image 3"/>
                          <pic:cNvPicPr/>
                        </pic:nvPicPr>
                        <pic:blipFill>
                          <a:blip r:embed="rId5" cstate="print"/>
                          <a:stretch>
                            <a:fillRect/>
                          </a:stretch>
                        </pic:blipFill>
                        <pic:spPr>
                          <a:xfrm>
                            <a:off x="450163" y="2774296"/>
                            <a:ext cx="7110400" cy="7920204"/>
                          </a:xfrm>
                          <a:prstGeom prst="rect">
                            <a:avLst/>
                          </a:prstGeom>
                        </pic:spPr>
                      </pic:pic>
                      <wps:wsp>
                        <wps:cNvPr id="4" name="Graphic 4"/>
                        <wps:cNvSpPr/>
                        <wps:spPr>
                          <a:xfrm>
                            <a:off x="2081171" y="3395"/>
                            <a:ext cx="5479415" cy="3724275"/>
                          </a:xfrm>
                          <a:custGeom>
                            <a:avLst/>
                            <a:gdLst/>
                            <a:ahLst/>
                            <a:cxnLst/>
                            <a:rect l="l" t="t" r="r" b="b"/>
                            <a:pathLst>
                              <a:path w="5479415" h="3724275">
                                <a:moveTo>
                                  <a:pt x="5479392" y="3724237"/>
                                </a:moveTo>
                                <a:lnTo>
                                  <a:pt x="3997302" y="2744596"/>
                                </a:lnTo>
                                <a:lnTo>
                                  <a:pt x="3928595" y="2699257"/>
                                </a:lnTo>
                                <a:lnTo>
                                  <a:pt x="3913924" y="2688407"/>
                                </a:lnTo>
                                <a:lnTo>
                                  <a:pt x="3880081" y="2646044"/>
                                </a:lnTo>
                                <a:lnTo>
                                  <a:pt x="3863888" y="2579623"/>
                                </a:lnTo>
                                <a:lnTo>
                                  <a:pt x="3867937" y="2545675"/>
                                </a:lnTo>
                                <a:lnTo>
                                  <a:pt x="3889536" y="2497637"/>
                                </a:lnTo>
                                <a:lnTo>
                                  <a:pt x="3928595" y="2459989"/>
                                </a:lnTo>
                                <a:lnTo>
                                  <a:pt x="5479392" y="1442693"/>
                                </a:lnTo>
                              </a:path>
                              <a:path w="5479415" h="3724275">
                                <a:moveTo>
                                  <a:pt x="5479392" y="1098884"/>
                                </a:moveTo>
                                <a:lnTo>
                                  <a:pt x="3694534" y="2316860"/>
                                </a:lnTo>
                                <a:lnTo>
                                  <a:pt x="3656053" y="2335291"/>
                                </a:lnTo>
                                <a:lnTo>
                                  <a:pt x="3613762" y="2341625"/>
                                </a:lnTo>
                                <a:lnTo>
                                  <a:pt x="3592978" y="2340115"/>
                                </a:lnTo>
                                <a:lnTo>
                                  <a:pt x="3572741" y="2335640"/>
                                </a:lnTo>
                                <a:lnTo>
                                  <a:pt x="3553362" y="2328284"/>
                                </a:lnTo>
                                <a:lnTo>
                                  <a:pt x="3535149" y="2318130"/>
                                </a:lnTo>
                                <a:lnTo>
                                  <a:pt x="0" y="0"/>
                                </a:lnTo>
                              </a:path>
                            </a:pathLst>
                          </a:custGeom>
                          <a:ln w="6790">
                            <a:solidFill>
                              <a:srgbClr val="FFFFFF"/>
                            </a:solidFill>
                            <a:prstDash val="solid"/>
                          </a:ln>
                        </wps:spPr>
                        <wps:bodyPr wrap="square" lIns="0" tIns="0" rIns="0" bIns="0" rtlCol="0">
                          <a:prstTxWarp prst="textNoShape">
                            <a:avLst/>
                          </a:prstTxWarp>
                          <a:noAutofit/>
                        </wps:bodyPr>
                      </wps:wsp>
                      <wps:wsp>
                        <wps:cNvPr id="5" name="Graphic 5"/>
                        <wps:cNvSpPr/>
                        <wps:spPr>
                          <a:xfrm>
                            <a:off x="0" y="1204306"/>
                            <a:ext cx="5425440" cy="9488805"/>
                          </a:xfrm>
                          <a:custGeom>
                            <a:avLst/>
                            <a:gdLst/>
                            <a:ahLst/>
                            <a:cxnLst/>
                            <a:rect l="l" t="t" r="r" b="b"/>
                            <a:pathLst>
                              <a:path w="5425440" h="9488805">
                                <a:moveTo>
                                  <a:pt x="1537335" y="1055624"/>
                                </a:moveTo>
                                <a:lnTo>
                                  <a:pt x="1415923" y="973201"/>
                                </a:lnTo>
                                <a:lnTo>
                                  <a:pt x="1297559" y="1055624"/>
                                </a:lnTo>
                                <a:lnTo>
                                  <a:pt x="1297559" y="1226820"/>
                                </a:lnTo>
                                <a:lnTo>
                                  <a:pt x="1537335" y="1055624"/>
                                </a:lnTo>
                                <a:close/>
                              </a:path>
                              <a:path w="5425440" h="9488805">
                                <a:moveTo>
                                  <a:pt x="2474849" y="814705"/>
                                </a:moveTo>
                                <a:lnTo>
                                  <a:pt x="2235073" y="646684"/>
                                </a:lnTo>
                                <a:lnTo>
                                  <a:pt x="1936115" y="849503"/>
                                </a:lnTo>
                                <a:lnTo>
                                  <a:pt x="2063750" y="932053"/>
                                </a:lnTo>
                                <a:lnTo>
                                  <a:pt x="1898650" y="1049274"/>
                                </a:lnTo>
                                <a:lnTo>
                                  <a:pt x="1549908" y="808355"/>
                                </a:lnTo>
                                <a:lnTo>
                                  <a:pt x="2113661" y="412115"/>
                                </a:lnTo>
                                <a:lnTo>
                                  <a:pt x="2001520" y="332867"/>
                                </a:lnTo>
                                <a:lnTo>
                                  <a:pt x="1297559" y="814705"/>
                                </a:lnTo>
                                <a:lnTo>
                                  <a:pt x="1886204" y="1220470"/>
                                </a:lnTo>
                                <a:lnTo>
                                  <a:pt x="2134552" y="1049274"/>
                                </a:lnTo>
                                <a:lnTo>
                                  <a:pt x="2474849" y="814705"/>
                                </a:lnTo>
                                <a:close/>
                              </a:path>
                              <a:path w="5425440" h="9488805">
                                <a:moveTo>
                                  <a:pt x="2474976" y="405765"/>
                                </a:moveTo>
                                <a:lnTo>
                                  <a:pt x="2134679" y="171196"/>
                                </a:lnTo>
                                <a:lnTo>
                                  <a:pt x="1886331" y="0"/>
                                </a:lnTo>
                                <a:lnTo>
                                  <a:pt x="1297559" y="405765"/>
                                </a:lnTo>
                                <a:lnTo>
                                  <a:pt x="1543558" y="573786"/>
                                </a:lnTo>
                                <a:lnTo>
                                  <a:pt x="1836420" y="374015"/>
                                </a:lnTo>
                                <a:lnTo>
                                  <a:pt x="1708658" y="288544"/>
                                </a:lnTo>
                                <a:lnTo>
                                  <a:pt x="1873758" y="171196"/>
                                </a:lnTo>
                                <a:lnTo>
                                  <a:pt x="2222627" y="412115"/>
                                </a:lnTo>
                                <a:lnTo>
                                  <a:pt x="1658874" y="808355"/>
                                </a:lnTo>
                                <a:lnTo>
                                  <a:pt x="1777238" y="887603"/>
                                </a:lnTo>
                                <a:lnTo>
                                  <a:pt x="2474976" y="405765"/>
                                </a:lnTo>
                                <a:close/>
                              </a:path>
                              <a:path w="5425440" h="9488805">
                                <a:moveTo>
                                  <a:pt x="2481199" y="6350"/>
                                </a:moveTo>
                                <a:lnTo>
                                  <a:pt x="2241296" y="171196"/>
                                </a:lnTo>
                                <a:lnTo>
                                  <a:pt x="2359660" y="256794"/>
                                </a:lnTo>
                                <a:lnTo>
                                  <a:pt x="2481199" y="171196"/>
                                </a:lnTo>
                                <a:lnTo>
                                  <a:pt x="2481199" y="6350"/>
                                </a:lnTo>
                                <a:close/>
                              </a:path>
                              <a:path w="5425440" h="9488805">
                                <a:moveTo>
                                  <a:pt x="5425122" y="8757031"/>
                                </a:moveTo>
                                <a:lnTo>
                                  <a:pt x="5408930" y="8690635"/>
                                </a:lnTo>
                                <a:lnTo>
                                  <a:pt x="5375021" y="8648243"/>
                                </a:lnTo>
                                <a:lnTo>
                                  <a:pt x="268655" y="5298186"/>
                                </a:lnTo>
                                <a:lnTo>
                                  <a:pt x="230009" y="5280418"/>
                                </a:lnTo>
                                <a:lnTo>
                                  <a:pt x="188734" y="5274729"/>
                                </a:lnTo>
                                <a:lnTo>
                                  <a:pt x="147548" y="5281079"/>
                                </a:lnTo>
                                <a:lnTo>
                                  <a:pt x="109194" y="5299456"/>
                                </a:lnTo>
                                <a:lnTo>
                                  <a:pt x="0" y="5373967"/>
                                </a:lnTo>
                                <a:lnTo>
                                  <a:pt x="0" y="9488564"/>
                                </a:lnTo>
                                <a:lnTo>
                                  <a:pt x="4434332" y="9488576"/>
                                </a:lnTo>
                                <a:lnTo>
                                  <a:pt x="5360416" y="8876652"/>
                                </a:lnTo>
                                <a:lnTo>
                                  <a:pt x="5399456" y="8839009"/>
                                </a:lnTo>
                                <a:lnTo>
                                  <a:pt x="5421071" y="8790965"/>
                                </a:lnTo>
                                <a:lnTo>
                                  <a:pt x="5425122" y="8757031"/>
                                </a:lnTo>
                                <a:close/>
                              </a:path>
                            </a:pathLst>
                          </a:custGeom>
                          <a:solidFill>
                            <a:srgbClr val="FBFB2F"/>
                          </a:solidFill>
                        </wps:spPr>
                        <wps:bodyPr wrap="square" lIns="0" tIns="0" rIns="0" bIns="0" rtlCol="0">
                          <a:prstTxWarp prst="textNoShape">
                            <a:avLst/>
                          </a:prstTxWarp>
                          <a:noAutofit/>
                        </wps:bodyPr>
                      </wps:wsp>
                    </wpg:wgp>
                  </a:graphicData>
                </a:graphic>
              </wp:anchor>
            </w:drawing>
          </mc:Choice>
          <mc:Fallback>
            <w:pict>
              <v:group style="position:absolute;margin-left:.0pt;margin-top:-.267325pt;width:595.6pt;height:842.1pt;mso-position-horizontal-relative:page;mso-position-vertical-relative:page;z-index:-15953920" id="docshapegroup2" coordorigin="0,-5" coordsize="11912,16842">
                <v:shape style="position:absolute;left:708;top:4363;width:11198;height:12473" type="#_x0000_t75" id="docshape3" stroked="false">
                  <v:imagedata r:id="rId5" o:title=""/>
                </v:shape>
                <v:shape style="position:absolute;left:3277;top:0;width:8629;height:5865" id="docshape4" coordorigin="3277,0" coordsize="8629,5865" path="m11906,5865l9572,4322,9464,4251,9441,4234,9421,4214,9403,4192,9388,4167,9369,4116,9362,4062,9369,4009,9388,3958,9403,3933,9421,3911,9441,3891,9464,3874,11906,2272m11906,1731l9096,3649,9066,3665,9035,3678,9002,3685,8968,3688,8936,3685,8904,3678,8873,3667,8845,3651,3277,0e" filled="false" stroked="true" strokeweight=".534650pt" strokecolor="#ffffff">
                  <v:path arrowok="t"/>
                  <v:stroke dashstyle="solid"/>
                </v:shape>
                <v:shape style="position:absolute;left:0;top:1891;width:8544;height:14943" id="docshape5" coordorigin="0,1891" coordsize="8544,14943" path="m2421,3554l2230,3424,2043,3554,2043,3823,2421,3554xm3897,3174l3520,2910,3049,3229,3250,3359,2990,3544,2441,3164,3329,2540,3152,2415,2043,3174,2970,3813,3362,3544,3897,3174xm3898,2530l3362,2161,2971,1891,2043,2530,2431,2795,2892,2480,2691,2346,2951,2161,3500,2540,2612,3164,2799,3289,3898,2530xm3907,1901l3530,2161,3716,2296,3907,2161,3907,1901xm8544,15682l8537,15628,8518,15577,8503,15553,8485,15530,8465,15510,8442,15493,423,10235,362,10207,297,10198,232,10208,172,10237,0,10354,0,16834,6983,16834,8442,15870,8465,15853,8485,15833,8503,15811,8518,15786,8537,15735,8544,15682xe" filled="true" fillcolor="#fbfb2f" stroked="false">
                  <v:path arrowok="t"/>
                  <v:fill type="solid"/>
                </v:shape>
                <w10:wrap type="none"/>
              </v:group>
            </w:pict>
          </mc:Fallback>
        </mc:AlternateContent>
      </w:r>
    </w:p>
    <w:p>
      <w:pPr>
        <w:pStyle w:val="BodyText"/>
        <w:jc w:val="left"/>
        <w:rPr>
          <w:rFonts w:ascii="Times New Roman"/>
          <w:sz w:val="48"/>
        </w:rPr>
      </w:pPr>
    </w:p>
    <w:p>
      <w:pPr>
        <w:pStyle w:val="BodyText"/>
        <w:spacing w:before="460"/>
        <w:jc w:val="left"/>
        <w:rPr>
          <w:rFonts w:ascii="Times New Roman"/>
          <w:sz w:val="48"/>
        </w:rPr>
      </w:pPr>
    </w:p>
    <w:p>
      <w:pPr>
        <w:spacing w:before="0"/>
        <w:ind w:left="1750" w:right="0" w:firstLine="0"/>
        <w:jc w:val="left"/>
        <w:rPr>
          <w:rFonts w:ascii="BancoDoBrasil Titulos"/>
          <w:b/>
          <w:sz w:val="48"/>
        </w:rPr>
      </w:pPr>
      <w:bookmarkStart w:name="Capa_Relad_EN" w:id="1"/>
      <w:bookmarkEnd w:id="1"/>
      <w:r>
        <w:rPr/>
      </w:r>
      <w:r>
        <w:rPr>
          <w:rFonts w:ascii="BancoDoBrasil Titulos"/>
          <w:b/>
          <w:color w:val="FFF8F8"/>
          <w:spacing w:val="-2"/>
          <w:sz w:val="48"/>
        </w:rPr>
        <w:t>Management</w:t>
      </w:r>
    </w:p>
    <w:p>
      <w:pPr>
        <w:spacing w:line="264" w:lineRule="exact" w:before="21"/>
        <w:ind w:left="1750" w:right="0" w:firstLine="0"/>
        <w:jc w:val="left"/>
        <w:rPr>
          <w:rFonts w:ascii="BancoDoBrasil Titulos"/>
          <w:b/>
          <w:sz w:val="26"/>
        </w:rPr>
      </w:pPr>
      <w:r>
        <w:rPr>
          <w:rFonts w:ascii="BancoDoBrasil Titulos"/>
          <w:b/>
          <w:color w:val="FFF8F8"/>
          <w:spacing w:val="-2"/>
          <w:sz w:val="26"/>
        </w:rPr>
        <w:t>Report</w:t>
      </w:r>
    </w:p>
    <w:p>
      <w:pPr>
        <w:pStyle w:val="Title"/>
      </w:pPr>
      <w:r>
        <w:rPr>
          <w:color w:val="FFFFFF"/>
          <w:spacing w:val="-4"/>
        </w:rPr>
        <w:t>1Q25</w:t>
      </w:r>
    </w:p>
    <w:p>
      <w:pPr>
        <w:pStyle w:val="Title"/>
        <w:spacing w:after="0"/>
        <w:sectPr>
          <w:type w:val="continuous"/>
          <w:pgSz w:w="11910" w:h="16840"/>
          <w:pgMar w:top="1920" w:bottom="280" w:left="283" w:right="283"/>
        </w:sectPr>
      </w:pPr>
    </w:p>
    <w:p>
      <w:pPr>
        <w:spacing w:before="56"/>
        <w:ind w:left="561" w:right="0" w:firstLine="0"/>
        <w:jc w:val="left"/>
        <w:rPr>
          <w:rFonts w:ascii="BancoDoBrasil Titulos Medium"/>
          <w:b w:val="0"/>
          <w:sz w:val="32"/>
        </w:rPr>
      </w:pPr>
      <w:r>
        <w:rPr>
          <w:rFonts w:ascii="BancoDoBrasil Titulos Medium"/>
          <w:b w:val="0"/>
          <w:sz w:val="32"/>
        </w:rPr>
        <mc:AlternateContent>
          <mc:Choice Requires="wps">
            <w:drawing>
              <wp:anchor distT="0" distB="0" distL="0" distR="0" allowOverlap="1" layoutInCell="1" locked="0" behindDoc="0" simplePos="0" relativeHeight="15730176">
                <wp:simplePos x="0" y="0"/>
                <wp:positionH relativeFrom="page">
                  <wp:posOffset>6657479</wp:posOffset>
                </wp:positionH>
                <wp:positionV relativeFrom="paragraph">
                  <wp:posOffset>-1943</wp:posOffset>
                </wp:positionV>
                <wp:extent cx="353695" cy="34671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353695" cy="346710"/>
                        </a:xfrm>
                        <a:custGeom>
                          <a:avLst/>
                          <a:gdLst/>
                          <a:ahLst/>
                          <a:cxnLst/>
                          <a:rect l="l" t="t" r="r" b="b"/>
                          <a:pathLst>
                            <a:path w="353695" h="346710">
                              <a:moveTo>
                                <a:pt x="71628" y="300278"/>
                              </a:moveTo>
                              <a:lnTo>
                                <a:pt x="35052" y="275628"/>
                              </a:lnTo>
                              <a:lnTo>
                                <a:pt x="0" y="297815"/>
                              </a:lnTo>
                              <a:lnTo>
                                <a:pt x="0" y="346506"/>
                              </a:lnTo>
                              <a:lnTo>
                                <a:pt x="71628" y="300278"/>
                              </a:lnTo>
                              <a:close/>
                            </a:path>
                            <a:path w="353695" h="346710">
                              <a:moveTo>
                                <a:pt x="350837" y="230276"/>
                              </a:moveTo>
                              <a:lnTo>
                                <a:pt x="278193" y="181470"/>
                              </a:lnTo>
                              <a:lnTo>
                                <a:pt x="192214" y="239649"/>
                              </a:lnTo>
                              <a:lnTo>
                                <a:pt x="228282" y="263994"/>
                              </a:lnTo>
                              <a:lnTo>
                                <a:pt x="180835" y="296824"/>
                              </a:lnTo>
                              <a:lnTo>
                                <a:pt x="76568" y="226834"/>
                              </a:lnTo>
                              <a:lnTo>
                                <a:pt x="245579" y="117398"/>
                              </a:lnTo>
                              <a:lnTo>
                                <a:pt x="208013" y="92748"/>
                              </a:lnTo>
                              <a:lnTo>
                                <a:pt x="0" y="230276"/>
                              </a:lnTo>
                              <a:lnTo>
                                <a:pt x="176707" y="346506"/>
                              </a:lnTo>
                              <a:lnTo>
                                <a:pt x="350837" y="230276"/>
                              </a:lnTo>
                              <a:close/>
                            </a:path>
                            <a:path w="353695" h="346710">
                              <a:moveTo>
                                <a:pt x="350837" y="115430"/>
                              </a:moveTo>
                              <a:lnTo>
                                <a:pt x="176707" y="0"/>
                              </a:lnTo>
                              <a:lnTo>
                                <a:pt x="0" y="113449"/>
                              </a:lnTo>
                              <a:lnTo>
                                <a:pt x="74091" y="162750"/>
                              </a:lnTo>
                              <a:lnTo>
                                <a:pt x="159092" y="106057"/>
                              </a:lnTo>
                              <a:lnTo>
                                <a:pt x="123507" y="80429"/>
                              </a:lnTo>
                              <a:lnTo>
                                <a:pt x="171945" y="48387"/>
                              </a:lnTo>
                              <a:lnTo>
                                <a:pt x="274243" y="116903"/>
                              </a:lnTo>
                              <a:lnTo>
                                <a:pt x="108191" y="228803"/>
                              </a:lnTo>
                              <a:lnTo>
                                <a:pt x="143281" y="252463"/>
                              </a:lnTo>
                              <a:lnTo>
                                <a:pt x="350837" y="115430"/>
                              </a:lnTo>
                              <a:close/>
                            </a:path>
                            <a:path w="353695" h="346710">
                              <a:moveTo>
                                <a:pt x="353390" y="0"/>
                              </a:moveTo>
                              <a:lnTo>
                                <a:pt x="282143" y="45427"/>
                              </a:lnTo>
                              <a:lnTo>
                                <a:pt x="320205" y="72047"/>
                              </a:lnTo>
                              <a:lnTo>
                                <a:pt x="353390" y="50368"/>
                              </a:lnTo>
                              <a:lnTo>
                                <a:pt x="35339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524.210999pt;margin-top:-.153038pt;width:27.85pt;height:27.3pt;mso-position-horizontal-relative:page;mso-position-vertical-relative:paragraph;z-index:15730176" id="docshape6" coordorigin="10484,-3" coordsize="557,546" path="m10597,470l10539,431,10484,466,10484,543,10597,470xm11037,360l10922,283,10787,374,10844,413,10769,464,10605,354,10871,182,10812,143,10484,360,10762,543,11037,360xm11037,179l10762,-3,10484,176,10601,253,10735,164,10679,124,10755,73,10916,181,10655,357,10710,395,11037,179xm11041,-3l10929,68,10988,110,11041,76,11041,-3xe" filled="true" fillcolor="#ffffff" stroked="false">
                <v:path arrowok="t"/>
                <v:fill type="solid"/>
                <w10:wrap type="none"/>
              </v:shape>
            </w:pict>
          </mc:Fallback>
        </mc:AlternateContent>
      </w:r>
      <w:bookmarkStart w:name="RELAD_1T25_Cosif_EN" w:id="2"/>
      <w:bookmarkEnd w:id="2"/>
      <w:r>
        <w:rPr/>
      </w:r>
      <w:r>
        <w:rPr>
          <w:rFonts w:ascii="BancoDoBrasil Titulos Medium"/>
          <w:b w:val="0"/>
          <w:color w:val="FFFFFF"/>
          <w:spacing w:val="16"/>
          <w:sz w:val="32"/>
        </w:rPr>
        <w:t>Management</w:t>
      </w:r>
      <w:r>
        <w:rPr>
          <w:rFonts w:ascii="BancoDoBrasil Titulos Medium"/>
          <w:b w:val="0"/>
          <w:color w:val="FFFFFF"/>
          <w:spacing w:val="33"/>
          <w:sz w:val="32"/>
        </w:rPr>
        <w:t> </w:t>
      </w:r>
      <w:r>
        <w:rPr>
          <w:rFonts w:ascii="BancoDoBrasil Titulos Medium"/>
          <w:b w:val="0"/>
          <w:color w:val="FFFFFF"/>
          <w:spacing w:val="14"/>
          <w:sz w:val="32"/>
        </w:rPr>
        <w:t>Report</w:t>
      </w:r>
      <w:r>
        <w:rPr>
          <w:rFonts w:ascii="BancoDoBrasil Titulos Medium"/>
          <w:b w:val="0"/>
          <w:color w:val="FFFFFF"/>
          <w:spacing w:val="36"/>
          <w:sz w:val="32"/>
        </w:rPr>
        <w:t> </w:t>
      </w:r>
      <w:r>
        <w:rPr>
          <w:rFonts w:ascii="BancoDoBrasil Textos Light"/>
          <w:b w:val="0"/>
          <w:color w:val="FFFFFF"/>
          <w:sz w:val="32"/>
        </w:rPr>
        <w:t>|</w:t>
      </w:r>
      <w:r>
        <w:rPr>
          <w:rFonts w:ascii="BancoDoBrasil Textos Light"/>
          <w:b w:val="0"/>
          <w:color w:val="FFFFFF"/>
          <w:spacing w:val="35"/>
          <w:sz w:val="32"/>
        </w:rPr>
        <w:t> </w:t>
      </w:r>
      <w:r>
        <w:rPr>
          <w:rFonts w:ascii="BancoDoBrasil Titulos Medium"/>
          <w:b w:val="0"/>
          <w:color w:val="FFFFFF"/>
          <w:spacing w:val="10"/>
          <w:sz w:val="32"/>
        </w:rPr>
        <w:t>1Q25</w:t>
      </w:r>
    </w:p>
    <w:p>
      <w:pPr>
        <w:pStyle w:val="BodyText"/>
        <w:jc w:val="left"/>
        <w:rPr>
          <w:rFonts w:ascii="BancoDoBrasil Titulos Medium"/>
          <w:b w:val="0"/>
        </w:rPr>
      </w:pPr>
    </w:p>
    <w:p>
      <w:pPr>
        <w:pStyle w:val="BodyText"/>
        <w:jc w:val="left"/>
        <w:rPr>
          <w:rFonts w:ascii="BancoDoBrasil Titulos Medium"/>
          <w:b w:val="0"/>
        </w:rPr>
      </w:pPr>
    </w:p>
    <w:p>
      <w:pPr>
        <w:pStyle w:val="BodyText"/>
        <w:jc w:val="left"/>
        <w:rPr>
          <w:rFonts w:ascii="BancoDoBrasil Titulos Medium"/>
          <w:b w:val="0"/>
        </w:rPr>
      </w:pPr>
    </w:p>
    <w:p>
      <w:pPr>
        <w:pStyle w:val="BodyText"/>
        <w:spacing w:before="81"/>
        <w:jc w:val="left"/>
        <w:rPr>
          <w:rFonts w:ascii="BancoDoBrasil Titulos Medium"/>
          <w:b w:val="0"/>
        </w:rPr>
      </w:pPr>
    </w:p>
    <w:p>
      <w:pPr>
        <w:pStyle w:val="BodyText"/>
        <w:spacing w:after="0"/>
        <w:jc w:val="left"/>
        <w:rPr>
          <w:rFonts w:ascii="BancoDoBrasil Titulos Medium"/>
          <w:b w:val="0"/>
        </w:rPr>
        <w:sectPr>
          <w:pgSz w:w="11910" w:h="16850"/>
          <w:pgMar w:top="640" w:bottom="280" w:left="283" w:right="283"/>
        </w:sectPr>
      </w:pPr>
    </w:p>
    <w:p>
      <w:pPr>
        <w:spacing w:before="71"/>
        <w:ind w:left="569" w:right="0" w:firstLine="0"/>
        <w:jc w:val="both"/>
        <w:rPr>
          <w:rFonts w:ascii="BancoDoBrasil Textos Medium"/>
          <w:b w:val="0"/>
          <w:sz w:val="28"/>
        </w:rPr>
      </w:pPr>
      <w:r>
        <w:rPr>
          <w:rFonts w:ascii="BancoDoBrasil Textos Medium"/>
          <w:b w:val="0"/>
          <w:sz w:val="28"/>
        </w:rPr>
        <mc:AlternateContent>
          <mc:Choice Requires="wps">
            <w:drawing>
              <wp:anchor distT="0" distB="0" distL="0" distR="0" allowOverlap="1" layoutInCell="1" locked="0" behindDoc="1" simplePos="0" relativeHeight="487363072">
                <wp:simplePos x="0" y="0"/>
                <wp:positionH relativeFrom="page">
                  <wp:posOffset>0</wp:posOffset>
                </wp:positionH>
                <wp:positionV relativeFrom="page">
                  <wp:posOffset>0</wp:posOffset>
                </wp:positionV>
                <wp:extent cx="7560945" cy="10691495"/>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7560945" cy="10691495"/>
                        </a:xfrm>
                        <a:custGeom>
                          <a:avLst/>
                          <a:gdLst/>
                          <a:ahLst/>
                          <a:cxnLst/>
                          <a:rect l="l" t="t" r="r" b="b"/>
                          <a:pathLst>
                            <a:path w="7560945" h="10691495">
                              <a:moveTo>
                                <a:pt x="7560564" y="0"/>
                              </a:moveTo>
                              <a:lnTo>
                                <a:pt x="0" y="0"/>
                              </a:lnTo>
                              <a:lnTo>
                                <a:pt x="0" y="10691495"/>
                              </a:lnTo>
                              <a:lnTo>
                                <a:pt x="7560564" y="10691495"/>
                              </a:lnTo>
                              <a:lnTo>
                                <a:pt x="7560564" y="0"/>
                              </a:lnTo>
                              <a:close/>
                            </a:path>
                          </a:pathLst>
                        </a:custGeom>
                        <a:solidFill>
                          <a:srgbClr val="465EFF"/>
                        </a:solidFill>
                      </wps:spPr>
                      <wps:bodyPr wrap="square" lIns="0" tIns="0" rIns="0" bIns="0" rtlCol="0">
                        <a:prstTxWarp prst="textNoShape">
                          <a:avLst/>
                        </a:prstTxWarp>
                        <a:noAutofit/>
                      </wps:bodyPr>
                    </wps:wsp>
                  </a:graphicData>
                </a:graphic>
              </wp:anchor>
            </w:drawing>
          </mc:Choice>
          <mc:Fallback>
            <w:pict>
              <v:rect style="position:absolute;margin-left:0pt;margin-top:-.000022pt;width:595.320pt;height:841.85pt;mso-position-horizontal-relative:page;mso-position-vertical-relative:page;z-index:-15953408" id="docshape7" filled="true" fillcolor="#465eff" stroked="false">
                <v:fill type="solid"/>
                <w10:wrap type="none"/>
              </v:rect>
            </w:pict>
          </mc:Fallback>
        </mc:AlternateContent>
      </w:r>
      <w:r>
        <w:rPr>
          <w:rFonts w:ascii="BancoDoBrasil Textos Medium"/>
          <w:b w:val="0"/>
          <w:color w:val="FBFB2F"/>
          <w:spacing w:val="17"/>
          <w:sz w:val="28"/>
        </w:rPr>
        <w:t>Dear</w:t>
      </w:r>
      <w:r>
        <w:rPr>
          <w:rFonts w:ascii="BancoDoBrasil Textos Medium"/>
          <w:b w:val="0"/>
          <w:color w:val="FBFB2F"/>
          <w:spacing w:val="47"/>
          <w:sz w:val="28"/>
        </w:rPr>
        <w:t> </w:t>
      </w:r>
      <w:r>
        <w:rPr>
          <w:rFonts w:ascii="BancoDoBrasil Textos Medium"/>
          <w:b w:val="0"/>
          <w:color w:val="FBFB2F"/>
          <w:spacing w:val="12"/>
          <w:sz w:val="28"/>
        </w:rPr>
        <w:t>reader,</w:t>
      </w:r>
    </w:p>
    <w:p>
      <w:pPr>
        <w:pStyle w:val="BodyText"/>
        <w:spacing w:line="321" w:lineRule="auto" w:before="171"/>
        <w:ind w:left="569" w:right="40"/>
      </w:pPr>
      <w:r>
        <w:rPr>
          <w:color w:val="FFFFFF"/>
        </w:rPr>
        <w:t>In 1Q25, we recorded net income of R$6.8 billion with R$16.8 billion in value added to society, considering taxes, salaries, dividends and other </w:t>
      </w:r>
      <w:r>
        <w:rPr>
          <w:color w:val="FFFFFF"/>
          <w:spacing w:val="-2"/>
        </w:rPr>
        <w:t>components.</w:t>
      </w:r>
    </w:p>
    <w:p>
      <w:pPr>
        <w:pStyle w:val="BodyText"/>
        <w:spacing w:line="321" w:lineRule="auto" w:before="116"/>
        <w:ind w:left="569" w:right="40"/>
      </w:pPr>
      <w:r>
        <w:rPr>
          <w:color w:val="FFFFFF"/>
          <w:spacing w:val="-2"/>
        </w:rPr>
        <w:t>We</w:t>
      </w:r>
      <w:r>
        <w:rPr>
          <w:color w:val="FFFFFF"/>
          <w:spacing w:val="-11"/>
        </w:rPr>
        <w:t> </w:t>
      </w:r>
      <w:r>
        <w:rPr>
          <w:color w:val="FFFFFF"/>
          <w:spacing w:val="-2"/>
        </w:rPr>
        <w:t>highlight</w:t>
      </w:r>
      <w:r>
        <w:rPr>
          <w:color w:val="FFFFFF"/>
          <w:spacing w:val="-9"/>
        </w:rPr>
        <w:t> </w:t>
      </w:r>
      <w:r>
        <w:rPr>
          <w:color w:val="FFFFFF"/>
          <w:spacing w:val="-2"/>
        </w:rPr>
        <w:t>that</w:t>
      </w:r>
      <w:r>
        <w:rPr>
          <w:color w:val="FFFFFF"/>
          <w:spacing w:val="-10"/>
        </w:rPr>
        <w:t> </w:t>
      </w:r>
      <w:r>
        <w:rPr>
          <w:color w:val="FFFFFF"/>
          <w:spacing w:val="-2"/>
        </w:rPr>
        <w:t>this</w:t>
      </w:r>
      <w:r>
        <w:rPr>
          <w:color w:val="FFFFFF"/>
          <w:spacing w:val="-10"/>
        </w:rPr>
        <w:t> </w:t>
      </w:r>
      <w:r>
        <w:rPr>
          <w:color w:val="FFFFFF"/>
          <w:spacing w:val="-2"/>
        </w:rPr>
        <w:t>was</w:t>
      </w:r>
      <w:r>
        <w:rPr>
          <w:color w:val="FFFFFF"/>
          <w:spacing w:val="-10"/>
        </w:rPr>
        <w:t> </w:t>
      </w:r>
      <w:r>
        <w:rPr>
          <w:color w:val="FFFFFF"/>
          <w:spacing w:val="-2"/>
        </w:rPr>
        <w:t>the</w:t>
      </w:r>
      <w:r>
        <w:rPr>
          <w:color w:val="FFFFFF"/>
          <w:spacing w:val="-11"/>
        </w:rPr>
        <w:t> </w:t>
      </w:r>
      <w:r>
        <w:rPr>
          <w:color w:val="FFFFFF"/>
          <w:spacing w:val="-2"/>
        </w:rPr>
        <w:t>first</w:t>
      </w:r>
      <w:r>
        <w:rPr>
          <w:color w:val="FFFFFF"/>
          <w:spacing w:val="-9"/>
        </w:rPr>
        <w:t> </w:t>
      </w:r>
      <w:r>
        <w:rPr>
          <w:color w:val="FFFFFF"/>
          <w:spacing w:val="-2"/>
        </w:rPr>
        <w:t>result</w:t>
      </w:r>
      <w:r>
        <w:rPr>
          <w:color w:val="FFFFFF"/>
          <w:spacing w:val="-10"/>
        </w:rPr>
        <w:t> </w:t>
      </w:r>
      <w:r>
        <w:rPr>
          <w:color w:val="FFFFFF"/>
          <w:spacing w:val="-2"/>
        </w:rPr>
        <w:t>to</w:t>
      </w:r>
      <w:r>
        <w:rPr>
          <w:color w:val="FFFFFF"/>
          <w:spacing w:val="-11"/>
        </w:rPr>
        <w:t> </w:t>
      </w:r>
      <w:r>
        <w:rPr>
          <w:color w:val="FFFFFF"/>
          <w:spacing w:val="-2"/>
        </w:rPr>
        <w:t>include </w:t>
      </w:r>
      <w:r>
        <w:rPr>
          <w:color w:val="FFFFFF"/>
        </w:rPr>
        <w:t>the changes brought about by CMN Resolution </w:t>
      </w:r>
      <w:r>
        <w:rPr>
          <w:color w:val="FFFFFF"/>
          <w:spacing w:val="-2"/>
        </w:rPr>
        <w:t>4,966/2021,</w:t>
      </w:r>
      <w:r>
        <w:rPr>
          <w:color w:val="FFFFFF"/>
          <w:spacing w:val="-11"/>
        </w:rPr>
        <w:t> </w:t>
      </w:r>
      <w:r>
        <w:rPr>
          <w:color w:val="FFFFFF"/>
          <w:spacing w:val="-2"/>
        </w:rPr>
        <w:t>which</w:t>
      </w:r>
      <w:r>
        <w:rPr>
          <w:color w:val="FFFFFF"/>
          <w:spacing w:val="-10"/>
        </w:rPr>
        <w:t> </w:t>
      </w:r>
      <w:r>
        <w:rPr>
          <w:color w:val="FFFFFF"/>
          <w:spacing w:val="-2"/>
        </w:rPr>
        <w:t>introduced</w:t>
      </w:r>
      <w:r>
        <w:rPr>
          <w:color w:val="FFFFFF"/>
          <w:spacing w:val="-11"/>
        </w:rPr>
        <w:t> </w:t>
      </w:r>
      <w:r>
        <w:rPr>
          <w:color w:val="FFFFFF"/>
          <w:spacing w:val="-2"/>
        </w:rPr>
        <w:t>structural</w:t>
      </w:r>
      <w:r>
        <w:rPr>
          <w:color w:val="FFFFFF"/>
          <w:spacing w:val="-10"/>
        </w:rPr>
        <w:t> </w:t>
      </w:r>
      <w:r>
        <w:rPr>
          <w:color w:val="FFFFFF"/>
          <w:spacing w:val="-2"/>
        </w:rPr>
        <w:t>changes</w:t>
      </w:r>
      <w:r>
        <w:rPr>
          <w:color w:val="FFFFFF"/>
          <w:spacing w:val="-10"/>
        </w:rPr>
        <w:t> </w:t>
      </w:r>
      <w:r>
        <w:rPr>
          <w:color w:val="FFFFFF"/>
          <w:spacing w:val="-2"/>
        </w:rPr>
        <w:t>in </w:t>
      </w:r>
      <w:r>
        <w:rPr>
          <w:color w:val="FFFFFF"/>
        </w:rPr>
        <w:t>the accounting of financial assets and the measurement of expected losses. The new approach, aligned with international standards, improves transparency in risk management, directly affecting the establishment of provisions and the classification of financial instruments.</w:t>
      </w:r>
    </w:p>
    <w:p>
      <w:pPr>
        <w:pStyle w:val="BodyText"/>
        <w:spacing w:line="321" w:lineRule="auto" w:before="114"/>
        <w:ind w:left="569" w:right="38"/>
      </w:pPr>
      <w:r>
        <w:rPr>
          <w:color w:val="FFFFFF"/>
        </w:rPr>
        <w:t>When we talk about the main business, which is credit,</w:t>
      </w:r>
      <w:r>
        <w:rPr>
          <w:color w:val="FFFFFF"/>
          <w:spacing w:val="-7"/>
        </w:rPr>
        <w:t> </w:t>
      </w:r>
      <w:r>
        <w:rPr>
          <w:color w:val="FFFFFF"/>
        </w:rPr>
        <w:t>the</w:t>
      </w:r>
      <w:r>
        <w:rPr>
          <w:color w:val="FFFFFF"/>
          <w:spacing w:val="-7"/>
        </w:rPr>
        <w:t> </w:t>
      </w:r>
      <w:r>
        <w:rPr>
          <w:color w:val="FFFFFF"/>
        </w:rPr>
        <w:t>credit</w:t>
      </w:r>
      <w:r>
        <w:rPr>
          <w:color w:val="FFFFFF"/>
          <w:spacing w:val="-6"/>
        </w:rPr>
        <w:t> </w:t>
      </w:r>
      <w:r>
        <w:rPr>
          <w:color w:val="FFFFFF"/>
        </w:rPr>
        <w:t>portfolio</w:t>
      </w:r>
      <w:r>
        <w:rPr>
          <w:color w:val="FFFFFF"/>
          <w:spacing w:val="-7"/>
        </w:rPr>
        <w:t> </w:t>
      </w:r>
      <w:r>
        <w:rPr>
          <w:color w:val="FFFFFF"/>
        </w:rPr>
        <w:t>exceeded</w:t>
      </w:r>
      <w:r>
        <w:rPr>
          <w:color w:val="FFFFFF"/>
          <w:spacing w:val="-7"/>
        </w:rPr>
        <w:t> </w:t>
      </w:r>
      <w:r>
        <w:rPr>
          <w:color w:val="FFFFFF"/>
        </w:rPr>
        <w:t>R$1.2</w:t>
      </w:r>
      <w:r>
        <w:rPr>
          <w:color w:val="FFFFFF"/>
          <w:spacing w:val="-7"/>
        </w:rPr>
        <w:t> </w:t>
      </w:r>
      <w:r>
        <w:rPr>
          <w:color w:val="FFFFFF"/>
        </w:rPr>
        <w:t>trillion, growing</w:t>
      </w:r>
      <w:r>
        <w:rPr>
          <w:color w:val="FFFFFF"/>
          <w:spacing w:val="-7"/>
        </w:rPr>
        <w:t> </w:t>
      </w:r>
      <w:r>
        <w:rPr>
          <w:color w:val="FFFFFF"/>
        </w:rPr>
        <w:t>in</w:t>
      </w:r>
      <w:r>
        <w:rPr>
          <w:color w:val="FFFFFF"/>
          <w:spacing w:val="-9"/>
        </w:rPr>
        <w:t> </w:t>
      </w:r>
      <w:r>
        <w:rPr>
          <w:color w:val="FFFFFF"/>
        </w:rPr>
        <w:t>all</w:t>
      </w:r>
      <w:r>
        <w:rPr>
          <w:color w:val="FFFFFF"/>
          <w:spacing w:val="-8"/>
        </w:rPr>
        <w:t> </w:t>
      </w:r>
      <w:r>
        <w:rPr>
          <w:color w:val="FFFFFF"/>
        </w:rPr>
        <w:t>segments</w:t>
      </w:r>
      <w:r>
        <w:rPr>
          <w:color w:val="FFFFFF"/>
          <w:spacing w:val="-6"/>
        </w:rPr>
        <w:t> </w:t>
      </w:r>
      <w:r>
        <w:rPr>
          <w:color w:val="FFFFFF"/>
        </w:rPr>
        <w:t>in</w:t>
      </w:r>
      <w:r>
        <w:rPr>
          <w:color w:val="FFFFFF"/>
          <w:spacing w:val="-9"/>
        </w:rPr>
        <w:t> </w:t>
      </w:r>
      <w:r>
        <w:rPr>
          <w:color w:val="FFFFFF"/>
        </w:rPr>
        <w:t>which</w:t>
      </w:r>
      <w:r>
        <w:rPr>
          <w:color w:val="FFFFFF"/>
          <w:spacing w:val="-6"/>
        </w:rPr>
        <w:t> </w:t>
      </w:r>
      <w:r>
        <w:rPr>
          <w:color w:val="FFFFFF"/>
        </w:rPr>
        <w:t>we</w:t>
      </w:r>
      <w:r>
        <w:rPr>
          <w:color w:val="FFFFFF"/>
          <w:spacing w:val="-7"/>
        </w:rPr>
        <w:t> </w:t>
      </w:r>
      <w:r>
        <w:rPr>
          <w:color w:val="FFFFFF"/>
        </w:rPr>
        <w:t>operate</w:t>
      </w:r>
      <w:r>
        <w:rPr>
          <w:color w:val="FFFFFF"/>
          <w:spacing w:val="-7"/>
        </w:rPr>
        <w:t> </w:t>
      </w:r>
      <w:r>
        <w:rPr>
          <w:color w:val="FFFFFF"/>
        </w:rPr>
        <w:t>in</w:t>
      </w:r>
      <w:r>
        <w:rPr>
          <w:color w:val="FFFFFF"/>
          <w:spacing w:val="-6"/>
        </w:rPr>
        <w:t> </w:t>
      </w:r>
      <w:r>
        <w:rPr>
          <w:color w:val="FFFFFF"/>
        </w:rPr>
        <w:t>the annual comparison.</w:t>
      </w:r>
    </w:p>
    <w:p>
      <w:pPr>
        <w:pStyle w:val="BodyText"/>
        <w:spacing w:line="321" w:lineRule="auto" w:before="117"/>
        <w:ind w:left="569" w:right="38"/>
      </w:pPr>
      <w:r>
        <w:rPr>
          <w:color w:val="FFFFFF"/>
        </w:rPr>
        <w:t>In the individual portfolio, the highlight was the payroll loan operations, which reached R$335.7 billion. The new private payroll loan launched recently exceed R$3.0 billion. In this product, we will</w:t>
      </w:r>
      <w:r>
        <w:rPr>
          <w:color w:val="FFFFFF"/>
          <w:spacing w:val="-11"/>
        </w:rPr>
        <w:t> </w:t>
      </w:r>
      <w:r>
        <w:rPr>
          <w:color w:val="FFFFFF"/>
        </w:rPr>
        <w:t>take</w:t>
      </w:r>
      <w:r>
        <w:rPr>
          <w:color w:val="FFFFFF"/>
          <w:spacing w:val="-9"/>
        </w:rPr>
        <w:t> </w:t>
      </w:r>
      <w:r>
        <w:rPr>
          <w:color w:val="FFFFFF"/>
        </w:rPr>
        <w:t>a</w:t>
      </w:r>
      <w:r>
        <w:rPr>
          <w:color w:val="FFFFFF"/>
          <w:spacing w:val="-12"/>
        </w:rPr>
        <w:t> </w:t>
      </w:r>
      <w:r>
        <w:rPr>
          <w:color w:val="FFFFFF"/>
        </w:rPr>
        <w:t>leading</w:t>
      </w:r>
      <w:r>
        <w:rPr>
          <w:color w:val="FFFFFF"/>
          <w:spacing w:val="-10"/>
        </w:rPr>
        <w:t> </w:t>
      </w:r>
      <w:r>
        <w:rPr>
          <w:color w:val="FFFFFF"/>
        </w:rPr>
        <w:t>role</w:t>
      </w:r>
      <w:r>
        <w:rPr>
          <w:color w:val="FFFFFF"/>
          <w:spacing w:val="-11"/>
        </w:rPr>
        <w:t> </w:t>
      </w:r>
      <w:r>
        <w:rPr>
          <w:color w:val="FFFFFF"/>
        </w:rPr>
        <w:t>and</w:t>
      </w:r>
      <w:r>
        <w:rPr>
          <w:color w:val="FFFFFF"/>
          <w:spacing w:val="-11"/>
        </w:rPr>
        <w:t> </w:t>
      </w:r>
      <w:r>
        <w:rPr>
          <w:color w:val="FFFFFF"/>
        </w:rPr>
        <w:t>will</w:t>
      </w:r>
      <w:r>
        <w:rPr>
          <w:color w:val="FFFFFF"/>
          <w:spacing w:val="-11"/>
        </w:rPr>
        <w:t> </w:t>
      </w:r>
      <w:r>
        <w:rPr>
          <w:color w:val="FFFFFF"/>
        </w:rPr>
        <w:t>apply</w:t>
      </w:r>
      <w:r>
        <w:rPr>
          <w:color w:val="FFFFFF"/>
          <w:spacing w:val="-10"/>
        </w:rPr>
        <w:t> </w:t>
      </w:r>
      <w:r>
        <w:rPr>
          <w:color w:val="FFFFFF"/>
        </w:rPr>
        <w:t>our</w:t>
      </w:r>
      <w:r>
        <w:rPr>
          <w:color w:val="FFFFFF"/>
          <w:spacing w:val="-11"/>
        </w:rPr>
        <w:t> </w:t>
      </w:r>
      <w:r>
        <w:rPr>
          <w:color w:val="FFFFFF"/>
        </w:rPr>
        <w:t>historical expertise to make our business more sustainable.</w:t>
      </w:r>
    </w:p>
    <w:p>
      <w:pPr>
        <w:pStyle w:val="BodyText"/>
        <w:spacing w:line="321" w:lineRule="auto" w:before="118"/>
        <w:ind w:left="569" w:right="40"/>
      </w:pPr>
      <w:r>
        <w:rPr>
          <w:color w:val="FFFFFF"/>
        </w:rPr>
        <w:t>In the corporate portfolio, both MSMEs and large companies and the government segment showed growth compared to the same period of the previous year, demonstrating our commitment to these markets.</w:t>
      </w:r>
    </w:p>
    <w:p>
      <w:pPr>
        <w:pStyle w:val="BodyText"/>
        <w:spacing w:line="321" w:lineRule="auto" w:before="115"/>
        <w:ind w:left="569" w:right="40"/>
      </w:pPr>
      <w:r>
        <w:rPr>
          <w:color w:val="FFFFFF"/>
        </w:rPr>
        <w:t>In agribusiness, we highlight the positive performance of the expanded credit portfolio, which</w:t>
      </w:r>
      <w:r>
        <w:rPr>
          <w:color w:val="FFFFFF"/>
          <w:spacing w:val="-4"/>
        </w:rPr>
        <w:t> </w:t>
      </w:r>
      <w:r>
        <w:rPr>
          <w:color w:val="FFFFFF"/>
        </w:rPr>
        <w:t>grew</w:t>
      </w:r>
      <w:r>
        <w:rPr>
          <w:color w:val="FFFFFF"/>
          <w:spacing w:val="-4"/>
        </w:rPr>
        <w:t> </w:t>
      </w:r>
      <w:r>
        <w:rPr>
          <w:color w:val="FFFFFF"/>
        </w:rPr>
        <w:t>by</w:t>
      </w:r>
      <w:r>
        <w:rPr>
          <w:color w:val="FFFFFF"/>
          <w:spacing w:val="-4"/>
        </w:rPr>
        <w:t> </w:t>
      </w:r>
      <w:r>
        <w:rPr>
          <w:color w:val="FFFFFF"/>
        </w:rPr>
        <w:t>9.0%</w:t>
      </w:r>
      <w:r>
        <w:rPr>
          <w:color w:val="FFFFFF"/>
          <w:spacing w:val="-5"/>
        </w:rPr>
        <w:t> </w:t>
      </w:r>
      <w:r>
        <w:rPr>
          <w:color w:val="FFFFFF"/>
        </w:rPr>
        <w:t>compared</w:t>
      </w:r>
      <w:r>
        <w:rPr>
          <w:color w:val="FFFFFF"/>
          <w:spacing w:val="-4"/>
        </w:rPr>
        <w:t> </w:t>
      </w:r>
      <w:r>
        <w:rPr>
          <w:color w:val="FFFFFF"/>
        </w:rPr>
        <w:t>to</w:t>
      </w:r>
      <w:r>
        <w:rPr>
          <w:color w:val="FFFFFF"/>
          <w:spacing w:val="-4"/>
        </w:rPr>
        <w:t> </w:t>
      </w:r>
      <w:r>
        <w:rPr>
          <w:color w:val="FFFFFF"/>
        </w:rPr>
        <w:t>the</w:t>
      </w:r>
      <w:r>
        <w:rPr>
          <w:color w:val="FFFFFF"/>
          <w:spacing w:val="-7"/>
        </w:rPr>
        <w:t> </w:t>
      </w:r>
      <w:r>
        <w:rPr>
          <w:color w:val="FFFFFF"/>
        </w:rPr>
        <w:t>same</w:t>
      </w:r>
      <w:r>
        <w:rPr>
          <w:color w:val="FFFFFF"/>
          <w:spacing w:val="-4"/>
        </w:rPr>
        <w:t> </w:t>
      </w:r>
      <w:r>
        <w:rPr>
          <w:color w:val="FFFFFF"/>
        </w:rPr>
        <w:t>period of the previous year.</w:t>
      </w:r>
    </w:p>
    <w:p>
      <w:pPr>
        <w:spacing w:line="240" w:lineRule="auto" w:before="0"/>
        <w:rPr>
          <w:sz w:val="20"/>
        </w:rPr>
      </w:pPr>
      <w:r>
        <w:rPr/>
        <w:br w:type="column"/>
      </w:r>
      <w:r>
        <w:rPr>
          <w:sz w:val="20"/>
        </w:rPr>
      </w:r>
    </w:p>
    <w:p>
      <w:pPr>
        <w:pStyle w:val="BodyText"/>
        <w:spacing w:before="89"/>
        <w:jc w:val="left"/>
      </w:pPr>
    </w:p>
    <w:p>
      <w:pPr>
        <w:pStyle w:val="BodyText"/>
        <w:spacing w:line="321" w:lineRule="auto" w:before="1"/>
        <w:ind w:left="568" w:right="566"/>
      </w:pPr>
      <w:r>
        <w:rPr>
          <w:color w:val="FFFFFF"/>
        </w:rPr>
        <w:t>In</w:t>
      </w:r>
      <w:r>
        <w:rPr>
          <w:color w:val="FFFFFF"/>
          <w:spacing w:val="-3"/>
        </w:rPr>
        <w:t> </w:t>
      </w:r>
      <w:r>
        <w:rPr>
          <w:color w:val="FFFFFF"/>
        </w:rPr>
        <w:t>the</w:t>
      </w:r>
      <w:r>
        <w:rPr>
          <w:color w:val="FFFFFF"/>
          <w:spacing w:val="-3"/>
        </w:rPr>
        <w:t> </w:t>
      </w:r>
      <w:r>
        <w:rPr>
          <w:color w:val="FFFFFF"/>
        </w:rPr>
        <w:t>nine</w:t>
      </w:r>
      <w:r>
        <w:rPr>
          <w:color w:val="FFFFFF"/>
          <w:spacing w:val="-3"/>
        </w:rPr>
        <w:t> </w:t>
      </w:r>
      <w:r>
        <w:rPr>
          <w:color w:val="FFFFFF"/>
        </w:rPr>
        <w:t>months</w:t>
      </w:r>
      <w:r>
        <w:rPr>
          <w:color w:val="FFFFFF"/>
          <w:spacing w:val="-3"/>
        </w:rPr>
        <w:t> </w:t>
      </w:r>
      <w:r>
        <w:rPr>
          <w:color w:val="FFFFFF"/>
        </w:rPr>
        <w:t>of</w:t>
      </w:r>
      <w:r>
        <w:rPr>
          <w:color w:val="FFFFFF"/>
          <w:spacing w:val="-4"/>
        </w:rPr>
        <w:t> </w:t>
      </w:r>
      <w:r>
        <w:rPr>
          <w:color w:val="FFFFFF"/>
        </w:rPr>
        <w:t>the</w:t>
      </w:r>
      <w:r>
        <w:rPr>
          <w:color w:val="FFFFFF"/>
          <w:spacing w:val="-5"/>
        </w:rPr>
        <w:t> </w:t>
      </w:r>
      <w:r>
        <w:rPr>
          <w:color w:val="FFFFFF"/>
        </w:rPr>
        <w:t>2024/2025</w:t>
      </w:r>
      <w:r>
        <w:rPr>
          <w:color w:val="FFFFFF"/>
          <w:spacing w:val="-1"/>
        </w:rPr>
        <w:t> </w:t>
      </w:r>
      <w:r>
        <w:rPr>
          <w:color w:val="FFFFFF"/>
        </w:rPr>
        <w:t>Harvest</w:t>
      </w:r>
      <w:r>
        <w:rPr>
          <w:color w:val="FFFFFF"/>
          <w:spacing w:val="-3"/>
        </w:rPr>
        <w:t> </w:t>
      </w:r>
      <w:r>
        <w:rPr>
          <w:color w:val="FFFFFF"/>
        </w:rPr>
        <w:t>Plan (July to March/24), R$152.5 billion in credit was disbursed to agribusiness, in addition to R$22.2 billion allocated to the sector's value chain.</w:t>
      </w:r>
      <w:r>
        <w:rPr>
          <w:color w:val="FFFFFF"/>
          <w:spacing w:val="-2"/>
        </w:rPr>
        <w:t> </w:t>
      </w:r>
      <w:r>
        <w:rPr>
          <w:color w:val="FFFFFF"/>
        </w:rPr>
        <w:t>Thus, overall, the total amount disbursed in credit and the</w:t>
      </w:r>
      <w:r>
        <w:rPr>
          <w:color w:val="FFFFFF"/>
          <w:spacing w:val="-2"/>
        </w:rPr>
        <w:t> </w:t>
      </w:r>
      <w:r>
        <w:rPr>
          <w:color w:val="FFFFFF"/>
        </w:rPr>
        <w:t>value</w:t>
      </w:r>
      <w:r>
        <w:rPr>
          <w:color w:val="FFFFFF"/>
          <w:spacing w:val="-2"/>
        </w:rPr>
        <w:t> </w:t>
      </w:r>
      <w:r>
        <w:rPr>
          <w:color w:val="FFFFFF"/>
        </w:rPr>
        <w:t>chain</w:t>
      </w:r>
      <w:r>
        <w:rPr>
          <w:color w:val="FFFFFF"/>
          <w:spacing w:val="-1"/>
        </w:rPr>
        <w:t> </w:t>
      </w:r>
      <w:r>
        <w:rPr>
          <w:color w:val="FFFFFF"/>
        </w:rPr>
        <w:t>reached</w:t>
      </w:r>
      <w:r>
        <w:rPr>
          <w:color w:val="FFFFFF"/>
          <w:spacing w:val="-2"/>
        </w:rPr>
        <w:t> </w:t>
      </w:r>
      <w:r>
        <w:rPr>
          <w:color w:val="FFFFFF"/>
        </w:rPr>
        <w:t>R$174.5</w:t>
      </w:r>
      <w:r>
        <w:rPr>
          <w:color w:val="FFFFFF"/>
          <w:spacing w:val="-2"/>
        </w:rPr>
        <w:t> </w:t>
      </w:r>
      <w:r>
        <w:rPr>
          <w:color w:val="FFFFFF"/>
        </w:rPr>
        <w:t>billion,</w:t>
      </w:r>
      <w:r>
        <w:rPr>
          <w:color w:val="FFFFFF"/>
          <w:spacing w:val="-2"/>
        </w:rPr>
        <w:t> </w:t>
      </w:r>
      <w:r>
        <w:rPr>
          <w:color w:val="FFFFFF"/>
        </w:rPr>
        <w:t>compared to</w:t>
      </w:r>
      <w:r>
        <w:rPr>
          <w:color w:val="FFFFFF"/>
          <w:spacing w:val="-2"/>
        </w:rPr>
        <w:t> </w:t>
      </w:r>
      <w:r>
        <w:rPr>
          <w:color w:val="FFFFFF"/>
        </w:rPr>
        <w:t>the</w:t>
      </w:r>
      <w:r>
        <w:rPr>
          <w:color w:val="FFFFFF"/>
          <w:spacing w:val="-4"/>
        </w:rPr>
        <w:t> </w:t>
      </w:r>
      <w:r>
        <w:rPr>
          <w:color w:val="FFFFFF"/>
        </w:rPr>
        <w:t>R$179.4</w:t>
      </w:r>
      <w:r>
        <w:rPr>
          <w:color w:val="FFFFFF"/>
          <w:spacing w:val="-2"/>
        </w:rPr>
        <w:t> </w:t>
      </w:r>
      <w:r>
        <w:rPr>
          <w:color w:val="FFFFFF"/>
        </w:rPr>
        <w:t>billion</w:t>
      </w:r>
      <w:r>
        <w:rPr>
          <w:color w:val="FFFFFF"/>
          <w:spacing w:val="-2"/>
        </w:rPr>
        <w:t> </w:t>
      </w:r>
      <w:r>
        <w:rPr>
          <w:color w:val="FFFFFF"/>
        </w:rPr>
        <w:t>recorded</w:t>
      </w:r>
      <w:r>
        <w:rPr>
          <w:color w:val="FFFFFF"/>
          <w:spacing w:val="-2"/>
        </w:rPr>
        <w:t> </w:t>
      </w:r>
      <w:r>
        <w:rPr>
          <w:color w:val="FFFFFF"/>
        </w:rPr>
        <w:t>in</w:t>
      </w:r>
      <w:r>
        <w:rPr>
          <w:color w:val="FFFFFF"/>
          <w:spacing w:val="-2"/>
        </w:rPr>
        <w:t> </w:t>
      </w:r>
      <w:r>
        <w:rPr>
          <w:color w:val="FFFFFF"/>
        </w:rPr>
        <w:t>the</w:t>
      </w:r>
      <w:r>
        <w:rPr>
          <w:color w:val="FFFFFF"/>
          <w:spacing w:val="-4"/>
        </w:rPr>
        <w:t> </w:t>
      </w:r>
      <w:r>
        <w:rPr>
          <w:color w:val="FFFFFF"/>
        </w:rPr>
        <w:t>same</w:t>
      </w:r>
      <w:r>
        <w:rPr>
          <w:color w:val="FFFFFF"/>
          <w:spacing w:val="-2"/>
        </w:rPr>
        <w:t> </w:t>
      </w:r>
      <w:r>
        <w:rPr>
          <w:color w:val="FFFFFF"/>
        </w:rPr>
        <w:t>period of the previous harvest.</w:t>
      </w:r>
    </w:p>
    <w:p>
      <w:pPr>
        <w:pStyle w:val="BodyText"/>
        <w:spacing w:line="321" w:lineRule="auto" w:before="114"/>
        <w:ind w:left="569" w:right="565"/>
      </w:pPr>
      <w:r>
        <w:rPr>
          <w:color w:val="FFFFFF"/>
        </w:rPr>
        <w:t>More than 488 thousand operations were contracted, covering more than five thousand municipalities throughout the country. Of the resources</w:t>
      </w:r>
      <w:r>
        <w:rPr>
          <w:color w:val="FFFFFF"/>
          <w:spacing w:val="-6"/>
        </w:rPr>
        <w:t> </w:t>
      </w:r>
      <w:r>
        <w:rPr>
          <w:color w:val="FFFFFF"/>
        </w:rPr>
        <w:t>released,</w:t>
      </w:r>
      <w:r>
        <w:rPr>
          <w:color w:val="FFFFFF"/>
          <w:spacing w:val="-7"/>
        </w:rPr>
        <w:t> </w:t>
      </w:r>
      <w:r>
        <w:rPr>
          <w:color w:val="FFFFFF"/>
        </w:rPr>
        <w:t>64.4%</w:t>
      </w:r>
      <w:r>
        <w:rPr>
          <w:color w:val="FFFFFF"/>
          <w:spacing w:val="-7"/>
        </w:rPr>
        <w:t> </w:t>
      </w:r>
      <w:r>
        <w:rPr>
          <w:color w:val="FFFFFF"/>
        </w:rPr>
        <w:t>were</w:t>
      </w:r>
      <w:r>
        <w:rPr>
          <w:color w:val="FFFFFF"/>
          <w:spacing w:val="-7"/>
        </w:rPr>
        <w:t> </w:t>
      </w:r>
      <w:r>
        <w:rPr>
          <w:color w:val="FFFFFF"/>
        </w:rPr>
        <w:t>directed</w:t>
      </w:r>
      <w:r>
        <w:rPr>
          <w:color w:val="FFFFFF"/>
          <w:spacing w:val="-7"/>
        </w:rPr>
        <w:t> </w:t>
      </w:r>
      <w:r>
        <w:rPr>
          <w:color w:val="FFFFFF"/>
        </w:rPr>
        <w:t>to</w:t>
      </w:r>
      <w:r>
        <w:rPr>
          <w:color w:val="FFFFFF"/>
          <w:spacing w:val="-7"/>
        </w:rPr>
        <w:t> </w:t>
      </w:r>
      <w:r>
        <w:rPr>
          <w:color w:val="FFFFFF"/>
        </w:rPr>
        <w:t>family farming (Pronaf) and medium-sized producers </w:t>
      </w:r>
      <w:r>
        <w:rPr>
          <w:color w:val="FFFFFF"/>
          <w:spacing w:val="-2"/>
        </w:rPr>
        <w:t>(Pronamp).</w:t>
      </w:r>
    </w:p>
    <w:p>
      <w:pPr>
        <w:pStyle w:val="BodyText"/>
        <w:spacing w:line="321" w:lineRule="auto" w:before="116"/>
        <w:ind w:left="569" w:right="563"/>
      </w:pPr>
      <w:r>
        <w:rPr>
          <w:color w:val="FFFFFF"/>
        </w:rPr>
        <w:t>For the 11th consecutive quarter, we maintained our best position in the Central Bank Complaints </w:t>
      </w:r>
      <w:r>
        <w:rPr>
          <w:color w:val="FFFFFF"/>
          <w:spacing w:val="-2"/>
        </w:rPr>
        <w:t>Ranking</w:t>
      </w:r>
      <w:r>
        <w:rPr>
          <w:color w:val="FFFFFF"/>
          <w:spacing w:val="-7"/>
        </w:rPr>
        <w:t> </w:t>
      </w:r>
      <w:r>
        <w:rPr>
          <w:color w:val="FFFFFF"/>
          <w:spacing w:val="-2"/>
        </w:rPr>
        <w:t>among</w:t>
      </w:r>
      <w:r>
        <w:rPr>
          <w:color w:val="FFFFFF"/>
          <w:spacing w:val="-7"/>
        </w:rPr>
        <w:t> </w:t>
      </w:r>
      <w:r>
        <w:rPr>
          <w:color w:val="FFFFFF"/>
          <w:spacing w:val="-2"/>
        </w:rPr>
        <w:t>the</w:t>
      </w:r>
      <w:r>
        <w:rPr>
          <w:color w:val="FFFFFF"/>
          <w:spacing w:val="-8"/>
        </w:rPr>
        <w:t> </w:t>
      </w:r>
      <w:r>
        <w:rPr>
          <w:color w:val="FFFFFF"/>
          <w:spacing w:val="-2"/>
        </w:rPr>
        <w:t>five</w:t>
      </w:r>
      <w:r>
        <w:rPr>
          <w:color w:val="FFFFFF"/>
          <w:spacing w:val="-5"/>
        </w:rPr>
        <w:t> </w:t>
      </w:r>
      <w:r>
        <w:rPr>
          <w:color w:val="FFFFFF"/>
          <w:spacing w:val="-2"/>
        </w:rPr>
        <w:t>main</w:t>
      </w:r>
      <w:r>
        <w:rPr>
          <w:color w:val="FFFFFF"/>
          <w:spacing w:val="-7"/>
        </w:rPr>
        <w:t> </w:t>
      </w:r>
      <w:r>
        <w:rPr>
          <w:color w:val="FFFFFF"/>
          <w:spacing w:val="-2"/>
        </w:rPr>
        <w:t>banks</w:t>
      </w:r>
      <w:r>
        <w:rPr>
          <w:color w:val="FFFFFF"/>
          <w:spacing w:val="-6"/>
        </w:rPr>
        <w:t> </w:t>
      </w:r>
      <w:r>
        <w:rPr>
          <w:color w:val="FFFFFF"/>
          <w:spacing w:val="-2"/>
        </w:rPr>
        <w:t>with</w:t>
      </w:r>
      <w:r>
        <w:rPr>
          <w:color w:val="FFFFFF"/>
          <w:spacing w:val="-7"/>
        </w:rPr>
        <w:t> </w:t>
      </w:r>
      <w:r>
        <w:rPr>
          <w:color w:val="FFFFFF"/>
          <w:spacing w:val="-2"/>
        </w:rPr>
        <w:t>digital</w:t>
      </w:r>
      <w:r>
        <w:rPr>
          <w:color w:val="FFFFFF"/>
          <w:spacing w:val="-6"/>
        </w:rPr>
        <w:t> </w:t>
      </w:r>
      <w:r>
        <w:rPr>
          <w:color w:val="FFFFFF"/>
          <w:spacing w:val="-2"/>
        </w:rPr>
        <w:t>and </w:t>
      </w:r>
      <w:r>
        <w:rPr>
          <w:color w:val="FFFFFF"/>
        </w:rPr>
        <w:t>physical</w:t>
      </w:r>
      <w:r>
        <w:rPr>
          <w:color w:val="FFFFFF"/>
          <w:spacing w:val="-11"/>
        </w:rPr>
        <w:t> </w:t>
      </w:r>
      <w:r>
        <w:rPr>
          <w:color w:val="FFFFFF"/>
        </w:rPr>
        <w:t>operations,</w:t>
      </w:r>
      <w:r>
        <w:rPr>
          <w:color w:val="FFFFFF"/>
          <w:spacing w:val="-10"/>
        </w:rPr>
        <w:t> </w:t>
      </w:r>
      <w:r>
        <w:rPr>
          <w:color w:val="FFFFFF"/>
        </w:rPr>
        <w:t>remaining</w:t>
      </w:r>
      <w:r>
        <w:rPr>
          <w:color w:val="FFFFFF"/>
          <w:spacing w:val="-10"/>
        </w:rPr>
        <w:t> </w:t>
      </w:r>
      <w:r>
        <w:rPr>
          <w:color w:val="FFFFFF"/>
        </w:rPr>
        <w:t>in</w:t>
      </w:r>
      <w:r>
        <w:rPr>
          <w:color w:val="FFFFFF"/>
          <w:spacing w:val="-11"/>
        </w:rPr>
        <w:t> </w:t>
      </w:r>
      <w:r>
        <w:rPr>
          <w:color w:val="FFFFFF"/>
        </w:rPr>
        <w:t>14th</w:t>
      </w:r>
      <w:r>
        <w:rPr>
          <w:color w:val="FFFFFF"/>
          <w:spacing w:val="-11"/>
        </w:rPr>
        <w:t> </w:t>
      </w:r>
      <w:r>
        <w:rPr>
          <w:color w:val="FFFFFF"/>
        </w:rPr>
        <w:t>place</w:t>
      </w:r>
      <w:r>
        <w:rPr>
          <w:color w:val="FFFFFF"/>
          <w:spacing w:val="-11"/>
        </w:rPr>
        <w:t> </w:t>
      </w:r>
      <w:r>
        <w:rPr>
          <w:color w:val="FFFFFF"/>
        </w:rPr>
        <w:t>on</w:t>
      </w:r>
      <w:r>
        <w:rPr>
          <w:color w:val="FFFFFF"/>
          <w:spacing w:val="-10"/>
        </w:rPr>
        <w:t> </w:t>
      </w:r>
      <w:r>
        <w:rPr>
          <w:color w:val="FFFFFF"/>
        </w:rPr>
        <w:t>the list of 15 institutions with the largest customer </w:t>
      </w:r>
      <w:r>
        <w:rPr>
          <w:color w:val="FFFFFF"/>
          <w:spacing w:val="-2"/>
        </w:rPr>
        <w:t>bases.</w:t>
      </w:r>
    </w:p>
    <w:p>
      <w:pPr>
        <w:pStyle w:val="BodyText"/>
        <w:spacing w:line="321" w:lineRule="auto" w:before="115"/>
        <w:ind w:left="569" w:right="562"/>
      </w:pPr>
      <w:r>
        <w:rPr>
          <w:color w:val="FFFFFF"/>
        </w:rPr>
        <w:t>Recognized for the 6th time as the most sustainable bank on the planet by the ranking of the 100 Most Sustainable Corporations in the World 2025 – Global 100, by Corporate Knights.</w:t>
      </w:r>
    </w:p>
    <w:p>
      <w:pPr>
        <w:pStyle w:val="BodyText"/>
        <w:spacing w:line="319" w:lineRule="auto" w:before="119"/>
        <w:ind w:left="569" w:right="566"/>
      </w:pPr>
      <w:r>
        <w:rPr>
          <w:color w:val="FFFFFF"/>
        </w:rPr>
        <w:t>We</w:t>
      </w:r>
      <w:r>
        <w:rPr>
          <w:color w:val="FFFFFF"/>
          <w:spacing w:val="-13"/>
        </w:rPr>
        <w:t> </w:t>
      </w:r>
      <w:r>
        <w:rPr>
          <w:color w:val="FFFFFF"/>
        </w:rPr>
        <w:t>remain</w:t>
      </w:r>
      <w:r>
        <w:rPr>
          <w:color w:val="FFFFFF"/>
          <w:spacing w:val="-12"/>
        </w:rPr>
        <w:t> </w:t>
      </w:r>
      <w:r>
        <w:rPr>
          <w:color w:val="FFFFFF"/>
        </w:rPr>
        <w:t>committed</w:t>
      </w:r>
      <w:r>
        <w:rPr>
          <w:color w:val="FFFFFF"/>
          <w:spacing w:val="-13"/>
        </w:rPr>
        <w:t> </w:t>
      </w:r>
      <w:r>
        <w:rPr>
          <w:color w:val="FFFFFF"/>
        </w:rPr>
        <w:t>to</w:t>
      </w:r>
      <w:r>
        <w:rPr>
          <w:color w:val="FFFFFF"/>
          <w:spacing w:val="-12"/>
        </w:rPr>
        <w:t> </w:t>
      </w:r>
      <w:r>
        <w:rPr>
          <w:color w:val="FFFFFF"/>
        </w:rPr>
        <w:t>building</w:t>
      </w:r>
      <w:r>
        <w:rPr>
          <w:color w:val="FFFFFF"/>
          <w:spacing w:val="-12"/>
        </w:rPr>
        <w:t> </w:t>
      </w:r>
      <w:r>
        <w:rPr>
          <w:color w:val="FFFFFF"/>
        </w:rPr>
        <w:t>a</w:t>
      </w:r>
      <w:r>
        <w:rPr>
          <w:color w:val="FFFFFF"/>
          <w:spacing w:val="-13"/>
        </w:rPr>
        <w:t> </w:t>
      </w:r>
      <w:r>
        <w:rPr>
          <w:color w:val="FFFFFF"/>
        </w:rPr>
        <w:t>Banco</w:t>
      </w:r>
      <w:r>
        <w:rPr>
          <w:color w:val="FFFFFF"/>
          <w:spacing w:val="-12"/>
        </w:rPr>
        <w:t> </w:t>
      </w:r>
      <w:r>
        <w:rPr>
          <w:color w:val="FFFFFF"/>
        </w:rPr>
        <w:t>do</w:t>
      </w:r>
      <w:r>
        <w:rPr>
          <w:color w:val="FFFFFF"/>
          <w:spacing w:val="-12"/>
        </w:rPr>
        <w:t> </w:t>
      </w:r>
      <w:r>
        <w:rPr>
          <w:color w:val="FFFFFF"/>
        </w:rPr>
        <w:t>Brasil that delights customers, offering a close </w:t>
      </w:r>
      <w:r>
        <w:rPr>
          <w:color w:val="FFFFFF"/>
          <w:spacing w:val="-2"/>
        </w:rPr>
        <w:t>relationship</w:t>
      </w:r>
      <w:r>
        <w:rPr>
          <w:color w:val="FFFFFF"/>
          <w:spacing w:val="-6"/>
        </w:rPr>
        <w:t> </w:t>
      </w:r>
      <w:r>
        <w:rPr>
          <w:color w:val="FFFFFF"/>
          <w:spacing w:val="-2"/>
        </w:rPr>
        <w:t>and</w:t>
      </w:r>
      <w:r>
        <w:rPr>
          <w:color w:val="FFFFFF"/>
          <w:spacing w:val="-6"/>
        </w:rPr>
        <w:t> </w:t>
      </w:r>
      <w:r>
        <w:rPr>
          <w:color w:val="FFFFFF"/>
          <w:spacing w:val="-2"/>
        </w:rPr>
        <w:t>an</w:t>
      </w:r>
      <w:r>
        <w:rPr>
          <w:color w:val="FFFFFF"/>
          <w:spacing w:val="-5"/>
        </w:rPr>
        <w:t> </w:t>
      </w:r>
      <w:r>
        <w:rPr>
          <w:color w:val="FFFFFF"/>
          <w:spacing w:val="-2"/>
        </w:rPr>
        <w:t>integrated</w:t>
      </w:r>
      <w:r>
        <w:rPr>
          <w:color w:val="FFFFFF"/>
          <w:spacing w:val="-6"/>
        </w:rPr>
        <w:t> </w:t>
      </w:r>
      <w:r>
        <w:rPr>
          <w:color w:val="FFFFFF"/>
          <w:spacing w:val="-2"/>
        </w:rPr>
        <w:t>phygital</w:t>
      </w:r>
      <w:r>
        <w:rPr>
          <w:color w:val="FFFFFF"/>
          <w:spacing w:val="-5"/>
        </w:rPr>
        <w:t> </w:t>
      </w:r>
      <w:r>
        <w:rPr>
          <w:color w:val="FFFFFF"/>
          <w:spacing w:val="-2"/>
        </w:rPr>
        <w:t>experience.</w:t>
      </w:r>
    </w:p>
    <w:p>
      <w:pPr>
        <w:pStyle w:val="BodyText"/>
        <w:spacing w:line="321" w:lineRule="auto" w:before="124"/>
        <w:ind w:left="569" w:right="567"/>
      </w:pPr>
      <w:r>
        <w:rPr>
          <w:color w:val="FFFFFF"/>
        </w:rPr>
        <w:t>We invite you to learn more about our results on the following pages.</w:t>
      </w:r>
    </w:p>
    <w:p>
      <w:pPr>
        <w:pStyle w:val="BodyText"/>
        <w:spacing w:before="119"/>
        <w:ind w:left="569"/>
      </w:pPr>
      <w:r>
        <w:rPr>
          <w:color w:val="FFFFFF"/>
        </w:rPr>
        <w:t>Good</w:t>
      </w:r>
      <w:r>
        <w:rPr>
          <w:color w:val="FFFFFF"/>
          <w:spacing w:val="-7"/>
        </w:rPr>
        <w:t> </w:t>
      </w:r>
      <w:r>
        <w:rPr>
          <w:color w:val="FFFFFF"/>
          <w:spacing w:val="-2"/>
        </w:rPr>
        <w:t>reading!</w:t>
      </w:r>
    </w:p>
    <w:p>
      <w:pPr>
        <w:pStyle w:val="BodyText"/>
        <w:spacing w:after="0"/>
        <w:sectPr>
          <w:type w:val="continuous"/>
          <w:pgSz w:w="11910" w:h="16850"/>
          <w:pgMar w:top="1920" w:bottom="280" w:left="283" w:right="283"/>
          <w:cols w:num="2" w:equalWidth="0">
            <w:col w:w="5360" w:space="95"/>
            <w:col w:w="5889"/>
          </w:cols>
        </w:sectPr>
      </w:pPr>
    </w:p>
    <w:p>
      <w:pPr>
        <w:pStyle w:val="Heading1"/>
        <w:spacing w:before="184"/>
        <w:jc w:val="both"/>
      </w:pPr>
      <w:r>
        <w:rPr>
          <w:color w:val="465EFF"/>
          <w:spacing w:val="33"/>
        </w:rPr>
        <w:t>Consolidated</w:t>
      </w:r>
      <w:r>
        <w:rPr>
          <w:color w:val="465EFF"/>
          <w:spacing w:val="59"/>
        </w:rPr>
        <w:t> </w:t>
      </w:r>
      <w:r>
        <w:rPr>
          <w:color w:val="465EFF"/>
          <w:spacing w:val="26"/>
        </w:rPr>
        <w:t>Results</w:t>
      </w:r>
    </w:p>
    <w:p>
      <w:pPr>
        <w:pStyle w:val="BodyText"/>
        <w:spacing w:line="321" w:lineRule="auto" w:before="334"/>
        <w:ind w:left="569" w:right="564"/>
      </w:pPr>
      <w:r>
        <w:rPr>
          <w:color w:val="1B1B22"/>
        </w:rPr>
        <w:t>In January/25, CVM Resolution</w:t>
      </w:r>
      <w:r>
        <w:rPr>
          <w:color w:val="1B1B22"/>
          <w:spacing w:val="40"/>
        </w:rPr>
        <w:t> </w:t>
      </w:r>
      <w:r>
        <w:rPr>
          <w:color w:val="1B1B22"/>
        </w:rPr>
        <w:t>4,966/2021 came into effect, which provides, among other topics, on the accounting concepts and criteria applicable to financial instruments, and whose initial adoption impact is detailed in Explanatory Note 2.</w:t>
      </w:r>
    </w:p>
    <w:p>
      <w:pPr>
        <w:pStyle w:val="BodyText"/>
        <w:spacing w:line="321" w:lineRule="auto" w:before="117"/>
        <w:ind w:left="569" w:right="563"/>
      </w:pPr>
      <w:r>
        <w:rPr>
          <w:color w:val="1B1B22"/>
        </w:rPr>
        <w:t>CMN Resolution 4,966 was applied prospectively, therefore, for the income items presented in the 1Q25 Financial Statements there will be no comparative table with previous periods.</w:t>
      </w:r>
    </w:p>
    <w:p>
      <w:pPr>
        <w:pStyle w:val="BodyText"/>
        <w:spacing w:line="321" w:lineRule="auto" w:before="119"/>
        <w:ind w:left="569" w:right="566"/>
      </w:pPr>
      <w:r>
        <w:rPr>
          <w:color w:val="1B1B22"/>
        </w:rPr>
        <w:t>Total</w:t>
      </w:r>
      <w:r>
        <w:rPr>
          <w:color w:val="1B1B22"/>
          <w:spacing w:val="-12"/>
        </w:rPr>
        <w:t> </w:t>
      </w:r>
      <w:r>
        <w:rPr>
          <w:color w:val="1B1B22"/>
        </w:rPr>
        <w:t>assets</w:t>
      </w:r>
      <w:r>
        <w:rPr>
          <w:color w:val="1B1B22"/>
          <w:spacing w:val="-7"/>
        </w:rPr>
        <w:t> </w:t>
      </w:r>
      <w:r>
        <w:rPr>
          <w:color w:val="1B1B22"/>
        </w:rPr>
        <w:t>reached</w:t>
      </w:r>
      <w:r>
        <w:rPr>
          <w:color w:val="1B1B22"/>
          <w:spacing w:val="-9"/>
        </w:rPr>
        <w:t> </w:t>
      </w:r>
      <w:r>
        <w:rPr>
          <w:color w:val="1B1B22"/>
        </w:rPr>
        <w:t>R$2.4</w:t>
      </w:r>
      <w:r>
        <w:rPr>
          <w:color w:val="1B1B22"/>
          <w:spacing w:val="-9"/>
        </w:rPr>
        <w:t> </w:t>
      </w:r>
      <w:r>
        <w:rPr>
          <w:color w:val="1B1B22"/>
        </w:rPr>
        <w:t>trillion,</w:t>
      </w:r>
      <w:r>
        <w:rPr>
          <w:color w:val="1B1B22"/>
          <w:spacing w:val="-9"/>
        </w:rPr>
        <w:t> </w:t>
      </w:r>
      <w:r>
        <w:rPr>
          <w:color w:val="1B1B22"/>
        </w:rPr>
        <w:t>while</w:t>
      </w:r>
      <w:r>
        <w:rPr>
          <w:color w:val="1B1B22"/>
          <w:spacing w:val="-9"/>
        </w:rPr>
        <w:t> </w:t>
      </w:r>
      <w:r>
        <w:rPr>
          <w:color w:val="1B1B22"/>
        </w:rPr>
        <w:t>customer</w:t>
      </w:r>
      <w:r>
        <w:rPr>
          <w:color w:val="1B1B22"/>
          <w:spacing w:val="-7"/>
        </w:rPr>
        <w:t> </w:t>
      </w:r>
      <w:r>
        <w:rPr>
          <w:color w:val="1B1B22"/>
        </w:rPr>
        <w:t>funds</w:t>
      </w:r>
      <w:r>
        <w:rPr>
          <w:color w:val="1B1B22"/>
          <w:spacing w:val="-8"/>
        </w:rPr>
        <w:t> </w:t>
      </w:r>
      <w:r>
        <w:rPr>
          <w:color w:val="1B1B22"/>
        </w:rPr>
        <w:t>totaled</w:t>
      </w:r>
      <w:r>
        <w:rPr>
          <w:color w:val="1B1B22"/>
          <w:spacing w:val="-9"/>
        </w:rPr>
        <w:t> </w:t>
      </w:r>
      <w:r>
        <w:rPr>
          <w:color w:val="1B1B22"/>
        </w:rPr>
        <w:t>R$865.0</w:t>
      </w:r>
      <w:r>
        <w:rPr>
          <w:color w:val="1B1B22"/>
          <w:spacing w:val="-8"/>
        </w:rPr>
        <w:t> </w:t>
      </w:r>
      <w:r>
        <w:rPr>
          <w:color w:val="1B1B22"/>
        </w:rPr>
        <w:t>billion.</w:t>
      </w:r>
      <w:r>
        <w:rPr>
          <w:color w:val="1B1B22"/>
          <w:spacing w:val="-13"/>
        </w:rPr>
        <w:t> </w:t>
      </w:r>
      <w:r>
        <w:rPr>
          <w:color w:val="1B1B22"/>
        </w:rPr>
        <w:t>The</w:t>
      </w:r>
      <w:r>
        <w:rPr>
          <w:color w:val="1B1B22"/>
          <w:spacing w:val="-8"/>
        </w:rPr>
        <w:t> </w:t>
      </w:r>
      <w:r>
        <w:rPr>
          <w:color w:val="1B1B22"/>
        </w:rPr>
        <w:t>Basel</w:t>
      </w:r>
      <w:r>
        <w:rPr>
          <w:color w:val="1B1B22"/>
          <w:spacing w:val="-9"/>
        </w:rPr>
        <w:t> </w:t>
      </w:r>
      <w:r>
        <w:rPr>
          <w:color w:val="1B1B22"/>
        </w:rPr>
        <w:t>Ratio</w:t>
      </w:r>
      <w:r>
        <w:rPr>
          <w:color w:val="1B1B22"/>
          <w:spacing w:val="-9"/>
        </w:rPr>
        <w:t> </w:t>
      </w:r>
      <w:r>
        <w:rPr>
          <w:color w:val="1B1B22"/>
        </w:rPr>
        <w:t>was</w:t>
      </w:r>
      <w:r>
        <w:rPr>
          <w:color w:val="1B1B22"/>
          <w:spacing w:val="-8"/>
        </w:rPr>
        <w:t> </w:t>
      </w:r>
      <w:r>
        <w:rPr>
          <w:color w:val="1B1B22"/>
        </w:rPr>
        <w:t>14.14% and the Core Capital Ratio was 10.97%.</w:t>
      </w:r>
    </w:p>
    <w:p>
      <w:pPr>
        <w:pStyle w:val="BodyText"/>
        <w:spacing w:line="321" w:lineRule="auto" w:before="119"/>
        <w:ind w:left="569" w:right="564" w:hanging="1"/>
      </w:pPr>
      <w:r>
        <w:rPr>
          <w:color w:val="1B1B22"/>
        </w:rPr>
        <w:t>For more details on the income and equity items for the period, please see the Explanatory Notes to the Financial Statements and the Performance Analysis Report.</w:t>
      </w:r>
    </w:p>
    <w:p>
      <w:pPr>
        <w:pStyle w:val="BodyText"/>
        <w:spacing w:before="170"/>
        <w:jc w:val="left"/>
      </w:pPr>
      <w:r>
        <w:rPr/>
        <mc:AlternateContent>
          <mc:Choice Requires="wps">
            <w:drawing>
              <wp:anchor distT="0" distB="0" distL="0" distR="0" allowOverlap="1" layoutInCell="1" locked="0" behindDoc="1" simplePos="0" relativeHeight="487589888">
                <wp:simplePos x="0" y="0"/>
                <wp:positionH relativeFrom="page">
                  <wp:posOffset>201932</wp:posOffset>
                </wp:positionH>
                <wp:positionV relativeFrom="paragraph">
                  <wp:posOffset>309493</wp:posOffset>
                </wp:positionV>
                <wp:extent cx="3444875" cy="1453515"/>
                <wp:effectExtent l="0" t="0" r="0" b="0"/>
                <wp:wrapTopAndBottom/>
                <wp:docPr id="14" name="Group 14"/>
                <wp:cNvGraphicFramePr>
                  <a:graphicFrameLocks/>
                </wp:cNvGraphicFramePr>
                <a:graphic>
                  <a:graphicData uri="http://schemas.microsoft.com/office/word/2010/wordprocessingGroup">
                    <wpg:wgp>
                      <wpg:cNvPr id="14" name="Group 14"/>
                      <wpg:cNvGrpSpPr/>
                      <wpg:grpSpPr>
                        <a:xfrm>
                          <a:off x="0" y="0"/>
                          <a:ext cx="3444875" cy="1453515"/>
                          <a:chExt cx="3444875" cy="1453515"/>
                        </a:xfrm>
                      </wpg:grpSpPr>
                      <wps:wsp>
                        <wps:cNvPr id="15" name="Graphic 15"/>
                        <wps:cNvSpPr/>
                        <wps:spPr>
                          <a:xfrm>
                            <a:off x="0" y="0"/>
                            <a:ext cx="3444875" cy="1453515"/>
                          </a:xfrm>
                          <a:custGeom>
                            <a:avLst/>
                            <a:gdLst/>
                            <a:ahLst/>
                            <a:cxnLst/>
                            <a:rect l="l" t="t" r="r" b="b"/>
                            <a:pathLst>
                              <a:path w="3444875" h="1453515">
                                <a:moveTo>
                                  <a:pt x="3377730" y="0"/>
                                </a:moveTo>
                                <a:lnTo>
                                  <a:pt x="67144" y="0"/>
                                </a:lnTo>
                                <a:lnTo>
                                  <a:pt x="41008" y="5276"/>
                                </a:lnTo>
                                <a:lnTo>
                                  <a:pt x="19665" y="19665"/>
                                </a:lnTo>
                                <a:lnTo>
                                  <a:pt x="5276" y="41008"/>
                                </a:lnTo>
                                <a:lnTo>
                                  <a:pt x="0" y="67144"/>
                                </a:lnTo>
                                <a:lnTo>
                                  <a:pt x="0" y="1385989"/>
                                </a:lnTo>
                                <a:lnTo>
                                  <a:pt x="5276" y="1412125"/>
                                </a:lnTo>
                                <a:lnTo>
                                  <a:pt x="19665" y="1433468"/>
                                </a:lnTo>
                                <a:lnTo>
                                  <a:pt x="41008" y="1447857"/>
                                </a:lnTo>
                                <a:lnTo>
                                  <a:pt x="67144" y="1453134"/>
                                </a:lnTo>
                                <a:lnTo>
                                  <a:pt x="3377730" y="1453134"/>
                                </a:lnTo>
                                <a:lnTo>
                                  <a:pt x="3403866" y="1447857"/>
                                </a:lnTo>
                                <a:lnTo>
                                  <a:pt x="3425209" y="1433468"/>
                                </a:lnTo>
                                <a:lnTo>
                                  <a:pt x="3439598" y="1412125"/>
                                </a:lnTo>
                                <a:lnTo>
                                  <a:pt x="3444875" y="1385989"/>
                                </a:lnTo>
                                <a:lnTo>
                                  <a:pt x="3444875" y="67144"/>
                                </a:lnTo>
                                <a:lnTo>
                                  <a:pt x="3439598" y="41008"/>
                                </a:lnTo>
                                <a:lnTo>
                                  <a:pt x="3425209" y="19665"/>
                                </a:lnTo>
                                <a:lnTo>
                                  <a:pt x="3403866" y="5276"/>
                                </a:lnTo>
                                <a:lnTo>
                                  <a:pt x="3377730" y="0"/>
                                </a:lnTo>
                                <a:close/>
                              </a:path>
                            </a:pathLst>
                          </a:custGeom>
                          <a:solidFill>
                            <a:srgbClr val="FAAEA9"/>
                          </a:solidFill>
                        </wps:spPr>
                        <wps:bodyPr wrap="square" lIns="0" tIns="0" rIns="0" bIns="0" rtlCol="0">
                          <a:prstTxWarp prst="textNoShape">
                            <a:avLst/>
                          </a:prstTxWarp>
                          <a:noAutofit/>
                        </wps:bodyPr>
                      </wps:wsp>
                      <wps:wsp>
                        <wps:cNvPr id="16" name="Textbox 16"/>
                        <wps:cNvSpPr txBox="1"/>
                        <wps:spPr>
                          <a:xfrm>
                            <a:off x="0" y="0"/>
                            <a:ext cx="3444875" cy="1453515"/>
                          </a:xfrm>
                          <a:prstGeom prst="rect">
                            <a:avLst/>
                          </a:prstGeom>
                        </wps:spPr>
                        <wps:txbx>
                          <w:txbxContent>
                            <w:p>
                              <w:pPr>
                                <w:spacing w:line="240" w:lineRule="auto" w:before="267"/>
                                <w:rPr>
                                  <w:sz w:val="32"/>
                                </w:rPr>
                              </w:pPr>
                            </w:p>
                            <w:p>
                              <w:pPr>
                                <w:spacing w:line="285" w:lineRule="auto" w:before="0"/>
                                <w:ind w:left="1616" w:right="1426" w:firstLine="347"/>
                                <w:jc w:val="left"/>
                                <w:rPr>
                                  <w:rFonts w:ascii="BancoDoBrasil Titulos"/>
                                  <w:b/>
                                  <w:sz w:val="32"/>
                                </w:rPr>
                              </w:pPr>
                              <w:r>
                                <w:rPr>
                                  <w:rFonts w:ascii="BancoDoBrasil Titulos"/>
                                  <w:color w:val="FBFB2F"/>
                                  <w:sz w:val="32"/>
                                </w:rPr>
                                <w:t>Net income of</w:t>
                              </w:r>
                              <w:r>
                                <w:rPr>
                                  <w:rFonts w:ascii="BancoDoBrasil Titulos"/>
                                  <w:color w:val="FBFB2F"/>
                                  <w:spacing w:val="-20"/>
                                  <w:sz w:val="32"/>
                                </w:rPr>
                                <w:t> </w:t>
                              </w:r>
                              <w:r>
                                <w:rPr>
                                  <w:rFonts w:ascii="BancoDoBrasil Titulos"/>
                                  <w:b/>
                                  <w:color w:val="FBFB2F"/>
                                  <w:sz w:val="32"/>
                                </w:rPr>
                                <w:t>R$6.8</w:t>
                              </w:r>
                              <w:r>
                                <w:rPr>
                                  <w:rFonts w:ascii="BancoDoBrasil Titulos"/>
                                  <w:b/>
                                  <w:color w:val="FBFB2F"/>
                                  <w:spacing w:val="-20"/>
                                  <w:sz w:val="32"/>
                                </w:rPr>
                                <w:t> </w:t>
                              </w:r>
                              <w:r>
                                <w:rPr>
                                  <w:rFonts w:ascii="BancoDoBrasil Titulos"/>
                                  <w:b/>
                                  <w:color w:val="FBFB2F"/>
                                  <w:sz w:val="32"/>
                                </w:rPr>
                                <w:t>billion</w:t>
                              </w:r>
                            </w:p>
                          </w:txbxContent>
                        </wps:txbx>
                        <wps:bodyPr wrap="square" lIns="0" tIns="0" rIns="0" bIns="0" rtlCol="0">
                          <a:noAutofit/>
                        </wps:bodyPr>
                      </wps:wsp>
                    </wpg:wgp>
                  </a:graphicData>
                </a:graphic>
              </wp:anchor>
            </w:drawing>
          </mc:Choice>
          <mc:Fallback>
            <w:pict>
              <v:group style="position:absolute;margin-left:15.9002pt;margin-top:24.36960pt;width:271.25pt;height:114.45pt;mso-position-horizontal-relative:page;mso-position-vertical-relative:paragraph;z-index:-15726592;mso-wrap-distance-left:0;mso-wrap-distance-right:0" id="docshapegroup14" coordorigin="318,487" coordsize="5425,2289">
                <v:shape style="position:absolute;left:318;top:487;width:5425;height:2289" id="docshape15" coordorigin="318,487" coordsize="5425,2289" path="m5637,487l424,487,383,496,349,518,326,552,318,593,318,2670,326,2711,349,2745,383,2767,424,2776,5637,2776,5678,2767,5712,2745,5735,2711,5743,2670,5743,593,5735,552,5712,518,5678,496,5637,487xe" filled="true" fillcolor="#faaea9" stroked="false">
                  <v:path arrowok="t"/>
                  <v:fill type="solid"/>
                </v:shape>
                <v:shape style="position:absolute;left:318;top:487;width:5425;height:2289" type="#_x0000_t202" id="docshape16" filled="false" stroked="false">
                  <v:textbox inset="0,0,0,0">
                    <w:txbxContent>
                      <w:p>
                        <w:pPr>
                          <w:spacing w:line="240" w:lineRule="auto" w:before="267"/>
                          <w:rPr>
                            <w:sz w:val="32"/>
                          </w:rPr>
                        </w:pPr>
                      </w:p>
                      <w:p>
                        <w:pPr>
                          <w:spacing w:line="285" w:lineRule="auto" w:before="0"/>
                          <w:ind w:left="1616" w:right="1426" w:firstLine="347"/>
                          <w:jc w:val="left"/>
                          <w:rPr>
                            <w:rFonts w:ascii="BancoDoBrasil Titulos"/>
                            <w:b/>
                            <w:sz w:val="32"/>
                          </w:rPr>
                        </w:pPr>
                        <w:r>
                          <w:rPr>
                            <w:rFonts w:ascii="BancoDoBrasil Titulos"/>
                            <w:color w:val="FBFB2F"/>
                            <w:sz w:val="32"/>
                          </w:rPr>
                          <w:t>Net income of</w:t>
                        </w:r>
                        <w:r>
                          <w:rPr>
                            <w:rFonts w:ascii="BancoDoBrasil Titulos"/>
                            <w:color w:val="FBFB2F"/>
                            <w:spacing w:val="-20"/>
                            <w:sz w:val="32"/>
                          </w:rPr>
                          <w:t> </w:t>
                        </w:r>
                        <w:r>
                          <w:rPr>
                            <w:rFonts w:ascii="BancoDoBrasil Titulos"/>
                            <w:b/>
                            <w:color w:val="FBFB2F"/>
                            <w:sz w:val="32"/>
                          </w:rPr>
                          <w:t>R$6.8</w:t>
                        </w:r>
                        <w:r>
                          <w:rPr>
                            <w:rFonts w:ascii="BancoDoBrasil Titulos"/>
                            <w:b/>
                            <w:color w:val="FBFB2F"/>
                            <w:spacing w:val="-20"/>
                            <w:sz w:val="32"/>
                          </w:rPr>
                          <w:t> </w:t>
                        </w:r>
                        <w:r>
                          <w:rPr>
                            <w:rFonts w:ascii="BancoDoBrasil Titulos"/>
                            <w:b/>
                            <w:color w:val="FBFB2F"/>
                            <w:sz w:val="32"/>
                          </w:rPr>
                          <w:t>billion</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0400">
                <wp:simplePos x="0" y="0"/>
                <wp:positionH relativeFrom="page">
                  <wp:posOffset>3848100</wp:posOffset>
                </wp:positionH>
                <wp:positionV relativeFrom="paragraph">
                  <wp:posOffset>285366</wp:posOffset>
                </wp:positionV>
                <wp:extent cx="3444875" cy="1452880"/>
                <wp:effectExtent l="0" t="0" r="0" b="0"/>
                <wp:wrapTopAndBottom/>
                <wp:docPr id="17" name="Group 17"/>
                <wp:cNvGraphicFramePr>
                  <a:graphicFrameLocks/>
                </wp:cNvGraphicFramePr>
                <a:graphic>
                  <a:graphicData uri="http://schemas.microsoft.com/office/word/2010/wordprocessingGroup">
                    <wpg:wgp>
                      <wpg:cNvPr id="17" name="Group 17"/>
                      <wpg:cNvGrpSpPr/>
                      <wpg:grpSpPr>
                        <a:xfrm>
                          <a:off x="0" y="0"/>
                          <a:ext cx="3444875" cy="1452880"/>
                          <a:chExt cx="3444875" cy="1452880"/>
                        </a:xfrm>
                      </wpg:grpSpPr>
                      <wps:wsp>
                        <wps:cNvPr id="18" name="Graphic 18"/>
                        <wps:cNvSpPr/>
                        <wps:spPr>
                          <a:xfrm>
                            <a:off x="0" y="0"/>
                            <a:ext cx="3444875" cy="1452880"/>
                          </a:xfrm>
                          <a:custGeom>
                            <a:avLst/>
                            <a:gdLst/>
                            <a:ahLst/>
                            <a:cxnLst/>
                            <a:rect l="l" t="t" r="r" b="b"/>
                            <a:pathLst>
                              <a:path w="3444875" h="1452880">
                                <a:moveTo>
                                  <a:pt x="3377742" y="0"/>
                                </a:moveTo>
                                <a:lnTo>
                                  <a:pt x="67132" y="0"/>
                                </a:lnTo>
                                <a:lnTo>
                                  <a:pt x="41003" y="5274"/>
                                </a:lnTo>
                                <a:lnTo>
                                  <a:pt x="19664" y="19659"/>
                                </a:lnTo>
                                <a:lnTo>
                                  <a:pt x="5276" y="40997"/>
                                </a:lnTo>
                                <a:lnTo>
                                  <a:pt x="0" y="67132"/>
                                </a:lnTo>
                                <a:lnTo>
                                  <a:pt x="0" y="1385735"/>
                                </a:lnTo>
                                <a:lnTo>
                                  <a:pt x="5276" y="1411869"/>
                                </a:lnTo>
                                <a:lnTo>
                                  <a:pt x="19664" y="1433207"/>
                                </a:lnTo>
                                <a:lnTo>
                                  <a:pt x="41003" y="1447592"/>
                                </a:lnTo>
                                <a:lnTo>
                                  <a:pt x="67132" y="1452867"/>
                                </a:lnTo>
                                <a:lnTo>
                                  <a:pt x="3377742" y="1452867"/>
                                </a:lnTo>
                                <a:lnTo>
                                  <a:pt x="3403871" y="1447592"/>
                                </a:lnTo>
                                <a:lnTo>
                                  <a:pt x="3425210" y="1433207"/>
                                </a:lnTo>
                                <a:lnTo>
                                  <a:pt x="3439598" y="1411869"/>
                                </a:lnTo>
                                <a:lnTo>
                                  <a:pt x="3444875" y="1385735"/>
                                </a:lnTo>
                                <a:lnTo>
                                  <a:pt x="3444875" y="67132"/>
                                </a:lnTo>
                                <a:lnTo>
                                  <a:pt x="3439598" y="40997"/>
                                </a:lnTo>
                                <a:lnTo>
                                  <a:pt x="3425210" y="19659"/>
                                </a:lnTo>
                                <a:lnTo>
                                  <a:pt x="3403871" y="5274"/>
                                </a:lnTo>
                                <a:lnTo>
                                  <a:pt x="3377742" y="0"/>
                                </a:lnTo>
                                <a:close/>
                              </a:path>
                            </a:pathLst>
                          </a:custGeom>
                          <a:solidFill>
                            <a:srgbClr val="53DCFB"/>
                          </a:solidFill>
                        </wps:spPr>
                        <wps:bodyPr wrap="square" lIns="0" tIns="0" rIns="0" bIns="0" rtlCol="0">
                          <a:prstTxWarp prst="textNoShape">
                            <a:avLst/>
                          </a:prstTxWarp>
                          <a:noAutofit/>
                        </wps:bodyPr>
                      </wps:wsp>
                      <wps:wsp>
                        <wps:cNvPr id="19" name="Textbox 19"/>
                        <wps:cNvSpPr txBox="1"/>
                        <wps:spPr>
                          <a:xfrm>
                            <a:off x="0" y="0"/>
                            <a:ext cx="3444875" cy="1452880"/>
                          </a:xfrm>
                          <a:prstGeom prst="rect">
                            <a:avLst/>
                          </a:prstGeom>
                        </wps:spPr>
                        <wps:txbx>
                          <w:txbxContent>
                            <w:p>
                              <w:pPr>
                                <w:spacing w:line="240" w:lineRule="auto" w:before="221"/>
                                <w:rPr>
                                  <w:sz w:val="32"/>
                                </w:rPr>
                              </w:pPr>
                            </w:p>
                            <w:p>
                              <w:pPr>
                                <w:spacing w:before="0"/>
                                <w:ind w:left="1552" w:right="0" w:firstLine="0"/>
                                <w:jc w:val="left"/>
                                <w:rPr>
                                  <w:rFonts w:ascii="BancoDoBrasil Titulos"/>
                                  <w:sz w:val="32"/>
                                </w:rPr>
                              </w:pPr>
                              <w:r>
                                <w:rPr>
                                  <w:rFonts w:ascii="BancoDoBrasil Titulos"/>
                                  <w:color w:val="FBFB2F"/>
                                  <w:spacing w:val="-2"/>
                                  <w:sz w:val="32"/>
                                </w:rPr>
                                <w:t>Credit</w:t>
                              </w:r>
                              <w:r>
                                <w:rPr>
                                  <w:rFonts w:ascii="BancoDoBrasil Titulos"/>
                                  <w:color w:val="FBFB2F"/>
                                  <w:spacing w:val="-13"/>
                                  <w:sz w:val="32"/>
                                </w:rPr>
                                <w:t> </w:t>
                              </w:r>
                              <w:r>
                                <w:rPr>
                                  <w:rFonts w:ascii="BancoDoBrasil Titulos"/>
                                  <w:color w:val="FBFB2F"/>
                                  <w:spacing w:val="-2"/>
                                  <w:sz w:val="32"/>
                                </w:rPr>
                                <w:t>Portfolio</w:t>
                              </w:r>
                            </w:p>
                            <w:p>
                              <w:pPr>
                                <w:spacing w:before="80"/>
                                <w:ind w:left="1698" w:right="0" w:firstLine="0"/>
                                <w:jc w:val="left"/>
                                <w:rPr>
                                  <w:rFonts w:ascii="BancoDoBrasil Titulos"/>
                                  <w:b/>
                                  <w:sz w:val="32"/>
                                </w:rPr>
                              </w:pPr>
                              <w:r>
                                <w:rPr>
                                  <w:rFonts w:ascii="BancoDoBrasil Titulos"/>
                                  <w:b/>
                                  <w:color w:val="FBFB2F"/>
                                  <w:spacing w:val="-4"/>
                                  <w:sz w:val="32"/>
                                </w:rPr>
                                <w:t>R$1.2</w:t>
                              </w:r>
                              <w:r>
                                <w:rPr>
                                  <w:rFonts w:ascii="BancoDoBrasil Titulos"/>
                                  <w:b/>
                                  <w:color w:val="FBFB2F"/>
                                  <w:spacing w:val="-12"/>
                                  <w:sz w:val="32"/>
                                </w:rPr>
                                <w:t> </w:t>
                              </w:r>
                              <w:r>
                                <w:rPr>
                                  <w:rFonts w:ascii="BancoDoBrasil Titulos"/>
                                  <w:b/>
                                  <w:color w:val="FBFB2F"/>
                                  <w:spacing w:val="-2"/>
                                  <w:sz w:val="32"/>
                                </w:rPr>
                                <w:t>trillion</w:t>
                              </w:r>
                            </w:p>
                          </w:txbxContent>
                        </wps:txbx>
                        <wps:bodyPr wrap="square" lIns="0" tIns="0" rIns="0" bIns="0" rtlCol="0">
                          <a:noAutofit/>
                        </wps:bodyPr>
                      </wps:wsp>
                    </wpg:wgp>
                  </a:graphicData>
                </a:graphic>
              </wp:anchor>
            </w:drawing>
          </mc:Choice>
          <mc:Fallback>
            <w:pict>
              <v:group style="position:absolute;margin-left:303pt;margin-top:22.469801pt;width:271.25pt;height:114.4pt;mso-position-horizontal-relative:page;mso-position-vertical-relative:paragraph;z-index:-15726080;mso-wrap-distance-left:0;mso-wrap-distance-right:0" id="docshapegroup17" coordorigin="6060,449" coordsize="5425,2288">
                <v:shape style="position:absolute;left:6060;top:449;width:5425;height:2288" id="docshape18" coordorigin="6060,449" coordsize="5425,2288" path="m11379,449l6166,449,6125,458,6091,480,6068,514,6060,555,6060,2632,6068,2673,6091,2706,6125,2729,6166,2737,11379,2737,11420,2729,11454,2706,11477,2673,11485,2632,11485,555,11477,514,11454,480,11420,458,11379,449xe" filled="true" fillcolor="#53dcfb" stroked="false">
                  <v:path arrowok="t"/>
                  <v:fill type="solid"/>
                </v:shape>
                <v:shape style="position:absolute;left:6060;top:449;width:5425;height:2288" type="#_x0000_t202" id="docshape19" filled="false" stroked="false">
                  <v:textbox inset="0,0,0,0">
                    <w:txbxContent>
                      <w:p>
                        <w:pPr>
                          <w:spacing w:line="240" w:lineRule="auto" w:before="221"/>
                          <w:rPr>
                            <w:sz w:val="32"/>
                          </w:rPr>
                        </w:pPr>
                      </w:p>
                      <w:p>
                        <w:pPr>
                          <w:spacing w:before="0"/>
                          <w:ind w:left="1552" w:right="0" w:firstLine="0"/>
                          <w:jc w:val="left"/>
                          <w:rPr>
                            <w:rFonts w:ascii="BancoDoBrasil Titulos"/>
                            <w:sz w:val="32"/>
                          </w:rPr>
                        </w:pPr>
                        <w:r>
                          <w:rPr>
                            <w:rFonts w:ascii="BancoDoBrasil Titulos"/>
                            <w:color w:val="FBFB2F"/>
                            <w:spacing w:val="-2"/>
                            <w:sz w:val="32"/>
                          </w:rPr>
                          <w:t>Credit</w:t>
                        </w:r>
                        <w:r>
                          <w:rPr>
                            <w:rFonts w:ascii="BancoDoBrasil Titulos"/>
                            <w:color w:val="FBFB2F"/>
                            <w:spacing w:val="-13"/>
                            <w:sz w:val="32"/>
                          </w:rPr>
                          <w:t> </w:t>
                        </w:r>
                        <w:r>
                          <w:rPr>
                            <w:rFonts w:ascii="BancoDoBrasil Titulos"/>
                            <w:color w:val="FBFB2F"/>
                            <w:spacing w:val="-2"/>
                            <w:sz w:val="32"/>
                          </w:rPr>
                          <w:t>Portfolio</w:t>
                        </w:r>
                      </w:p>
                      <w:p>
                        <w:pPr>
                          <w:spacing w:before="80"/>
                          <w:ind w:left="1698" w:right="0" w:firstLine="0"/>
                          <w:jc w:val="left"/>
                          <w:rPr>
                            <w:rFonts w:ascii="BancoDoBrasil Titulos"/>
                            <w:b/>
                            <w:sz w:val="32"/>
                          </w:rPr>
                        </w:pPr>
                        <w:r>
                          <w:rPr>
                            <w:rFonts w:ascii="BancoDoBrasil Titulos"/>
                            <w:b/>
                            <w:color w:val="FBFB2F"/>
                            <w:spacing w:val="-4"/>
                            <w:sz w:val="32"/>
                          </w:rPr>
                          <w:t>R$1.2</w:t>
                        </w:r>
                        <w:r>
                          <w:rPr>
                            <w:rFonts w:ascii="BancoDoBrasil Titulos"/>
                            <w:b/>
                            <w:color w:val="FBFB2F"/>
                            <w:spacing w:val="-12"/>
                            <w:sz w:val="32"/>
                          </w:rPr>
                          <w:t> </w:t>
                        </w:r>
                        <w:r>
                          <w:rPr>
                            <w:rFonts w:ascii="BancoDoBrasil Titulos"/>
                            <w:b/>
                            <w:color w:val="FBFB2F"/>
                            <w:spacing w:val="-2"/>
                            <w:sz w:val="32"/>
                          </w:rPr>
                          <w:t>trillion</w:t>
                        </w:r>
                      </w:p>
                    </w:txbxContent>
                  </v:textbox>
                  <w10:wrap type="none"/>
                </v:shape>
                <w10:wrap type="topAndBottom"/>
              </v:group>
            </w:pict>
          </mc:Fallback>
        </mc:AlternateContent>
      </w:r>
    </w:p>
    <w:p>
      <w:pPr>
        <w:pStyle w:val="BodyText"/>
        <w:spacing w:before="89"/>
        <w:jc w:val="left"/>
      </w:pPr>
    </w:p>
    <w:tbl>
      <w:tblPr>
        <w:tblW w:w="0" w:type="auto"/>
        <w:jc w:val="left"/>
        <w:tblInd w:w="1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22"/>
        <w:gridCol w:w="1657"/>
        <w:gridCol w:w="1612"/>
      </w:tblGrid>
      <w:tr>
        <w:trPr>
          <w:trHeight w:val="342" w:hRule="atLeast"/>
        </w:trPr>
        <w:tc>
          <w:tcPr>
            <w:tcW w:w="4122" w:type="dxa"/>
          </w:tcPr>
          <w:p>
            <w:pPr>
              <w:pStyle w:val="TableParagraph"/>
              <w:spacing w:before="0"/>
              <w:ind w:left="0"/>
              <w:jc w:val="left"/>
              <w:rPr>
                <w:rFonts w:ascii="Times New Roman"/>
                <w:sz w:val="20"/>
              </w:rPr>
            </w:pPr>
          </w:p>
        </w:tc>
        <w:tc>
          <w:tcPr>
            <w:tcW w:w="1657" w:type="dxa"/>
          </w:tcPr>
          <w:p>
            <w:pPr>
              <w:pStyle w:val="TableParagraph"/>
              <w:spacing w:line="210" w:lineRule="exact" w:before="0"/>
              <w:ind w:left="44" w:right="6"/>
              <w:rPr>
                <w:rFonts w:ascii="BancoDoBrasil Textos Medium"/>
                <w:b w:val="0"/>
                <w:sz w:val="18"/>
              </w:rPr>
            </w:pPr>
            <w:r>
              <w:rPr>
                <w:rFonts w:ascii="BancoDoBrasil Textos Medium"/>
                <w:b w:val="0"/>
                <w:color w:val="3333BC"/>
                <w:sz w:val="18"/>
              </w:rPr>
              <w:t>Banco</w:t>
            </w:r>
            <w:r>
              <w:rPr>
                <w:rFonts w:ascii="BancoDoBrasil Textos Medium"/>
                <w:b w:val="0"/>
                <w:color w:val="3333BC"/>
                <w:spacing w:val="-5"/>
                <w:sz w:val="18"/>
              </w:rPr>
              <w:t> </w:t>
            </w:r>
            <w:r>
              <w:rPr>
                <w:rFonts w:ascii="BancoDoBrasil Textos Medium"/>
                <w:b w:val="0"/>
                <w:color w:val="3333BC"/>
                <w:sz w:val="18"/>
              </w:rPr>
              <w:t>do</w:t>
            </w:r>
            <w:r>
              <w:rPr>
                <w:rFonts w:ascii="BancoDoBrasil Textos Medium"/>
                <w:b w:val="0"/>
                <w:color w:val="3333BC"/>
                <w:spacing w:val="-4"/>
                <w:sz w:val="18"/>
              </w:rPr>
              <w:t> </w:t>
            </w:r>
            <w:r>
              <w:rPr>
                <w:rFonts w:ascii="BancoDoBrasil Textos Medium"/>
                <w:b w:val="0"/>
                <w:color w:val="3333BC"/>
                <w:spacing w:val="-2"/>
                <w:sz w:val="18"/>
              </w:rPr>
              <w:t>Brasil</w:t>
            </w:r>
          </w:p>
        </w:tc>
        <w:tc>
          <w:tcPr>
            <w:tcW w:w="1612" w:type="dxa"/>
          </w:tcPr>
          <w:p>
            <w:pPr>
              <w:pStyle w:val="TableParagraph"/>
              <w:spacing w:line="210" w:lineRule="exact" w:before="0"/>
              <w:ind w:left="112"/>
              <w:rPr>
                <w:rFonts w:ascii="BancoDoBrasil Textos Medium"/>
                <w:b w:val="0"/>
                <w:sz w:val="18"/>
              </w:rPr>
            </w:pPr>
            <w:r>
              <w:rPr>
                <w:rFonts w:ascii="BancoDoBrasil Textos Medium"/>
                <w:b w:val="0"/>
                <w:color w:val="3333BC"/>
                <w:sz w:val="18"/>
              </w:rPr>
              <w:t>BB</w:t>
            </w:r>
            <w:r>
              <w:rPr>
                <w:rFonts w:ascii="BancoDoBrasil Textos Medium"/>
                <w:b w:val="0"/>
                <w:color w:val="3333BC"/>
                <w:spacing w:val="-2"/>
                <w:sz w:val="18"/>
              </w:rPr>
              <w:t> Consolidated</w:t>
            </w:r>
          </w:p>
        </w:tc>
      </w:tr>
      <w:tr>
        <w:trPr>
          <w:trHeight w:val="499" w:hRule="atLeast"/>
        </w:trPr>
        <w:tc>
          <w:tcPr>
            <w:tcW w:w="4122" w:type="dxa"/>
          </w:tcPr>
          <w:p>
            <w:pPr>
              <w:pStyle w:val="TableParagraph"/>
              <w:spacing w:before="137"/>
              <w:jc w:val="left"/>
              <w:rPr>
                <w:rFonts w:ascii="BancoDoBrasil Titulos ExtraBold"/>
                <w:b/>
                <w:sz w:val="18"/>
              </w:rPr>
            </w:pPr>
            <w:r>
              <w:rPr>
                <w:rFonts w:ascii="BancoDoBrasil Titulos ExtraBold"/>
                <w:b/>
                <w:color w:val="465EFF"/>
                <w:sz w:val="18"/>
              </w:rPr>
              <w:t>Earnings</w:t>
            </w:r>
            <w:r>
              <w:rPr>
                <w:rFonts w:ascii="BancoDoBrasil Titulos ExtraBold"/>
                <w:b/>
                <w:color w:val="465EFF"/>
                <w:spacing w:val="-7"/>
                <w:sz w:val="18"/>
              </w:rPr>
              <w:t> </w:t>
            </w:r>
            <w:r>
              <w:rPr>
                <w:rFonts w:ascii="BancoDoBrasil Titulos ExtraBold"/>
                <w:b/>
                <w:color w:val="465EFF"/>
                <w:sz w:val="18"/>
              </w:rPr>
              <w:t>(R$</w:t>
            </w:r>
            <w:r>
              <w:rPr>
                <w:rFonts w:ascii="BancoDoBrasil Titulos ExtraBold"/>
                <w:b/>
                <w:color w:val="465EFF"/>
                <w:spacing w:val="-2"/>
                <w:sz w:val="18"/>
              </w:rPr>
              <w:t> million)</w:t>
            </w:r>
          </w:p>
        </w:tc>
        <w:tc>
          <w:tcPr>
            <w:tcW w:w="1657" w:type="dxa"/>
          </w:tcPr>
          <w:p>
            <w:pPr>
              <w:pStyle w:val="TableParagraph"/>
              <w:spacing w:before="120"/>
              <w:ind w:left="44" w:right="9"/>
              <w:rPr>
                <w:rFonts w:ascii="BancoDoBrasil Textos Medium"/>
                <w:b w:val="0"/>
                <w:sz w:val="18"/>
              </w:rPr>
            </w:pPr>
            <w:r>
              <w:rPr>
                <w:rFonts w:ascii="BancoDoBrasil Textos Medium"/>
                <w:b w:val="0"/>
                <w:color w:val="465EFF"/>
                <w:spacing w:val="-4"/>
                <w:sz w:val="18"/>
              </w:rPr>
              <w:t>1Q25</w:t>
            </w:r>
          </w:p>
        </w:tc>
        <w:tc>
          <w:tcPr>
            <w:tcW w:w="1612" w:type="dxa"/>
          </w:tcPr>
          <w:p>
            <w:pPr>
              <w:pStyle w:val="TableParagraph"/>
              <w:spacing w:before="120"/>
              <w:ind w:left="53"/>
              <w:rPr>
                <w:rFonts w:ascii="BancoDoBrasil Titulos Light"/>
                <w:b w:val="0"/>
                <w:sz w:val="18"/>
              </w:rPr>
            </w:pPr>
            <w:r>
              <w:rPr>
                <w:rFonts w:ascii="BancoDoBrasil Titulos Light"/>
                <w:b w:val="0"/>
                <w:color w:val="735CC5"/>
                <w:spacing w:val="-4"/>
                <w:sz w:val="18"/>
              </w:rPr>
              <w:t>1Q25</w:t>
            </w:r>
          </w:p>
        </w:tc>
      </w:tr>
      <w:tr>
        <w:trPr>
          <w:trHeight w:val="490" w:hRule="atLeast"/>
        </w:trPr>
        <w:tc>
          <w:tcPr>
            <w:tcW w:w="4122" w:type="dxa"/>
          </w:tcPr>
          <w:p>
            <w:pPr>
              <w:pStyle w:val="TableParagraph"/>
              <w:spacing w:before="120"/>
              <w:jc w:val="left"/>
              <w:rPr>
                <w:b w:val="0"/>
                <w:sz w:val="18"/>
              </w:rPr>
            </w:pPr>
            <w:r>
              <w:rPr>
                <w:b w:val="0"/>
                <w:color w:val="3333BC"/>
                <w:sz w:val="18"/>
              </w:rPr>
              <w:t>Net</w:t>
            </w:r>
            <w:r>
              <w:rPr>
                <w:b w:val="0"/>
                <w:color w:val="3333BC"/>
                <w:spacing w:val="-3"/>
                <w:sz w:val="18"/>
              </w:rPr>
              <w:t> </w:t>
            </w:r>
            <w:r>
              <w:rPr>
                <w:b w:val="0"/>
                <w:color w:val="3333BC"/>
                <w:spacing w:val="-2"/>
                <w:sz w:val="18"/>
              </w:rPr>
              <w:t>Income</w:t>
            </w:r>
          </w:p>
        </w:tc>
        <w:tc>
          <w:tcPr>
            <w:tcW w:w="1657" w:type="dxa"/>
          </w:tcPr>
          <w:p>
            <w:pPr>
              <w:pStyle w:val="TableParagraph"/>
              <w:spacing w:before="120"/>
              <w:ind w:left="44" w:right="4"/>
              <w:rPr>
                <w:b w:val="0"/>
                <w:sz w:val="18"/>
              </w:rPr>
            </w:pPr>
            <w:r>
              <w:rPr>
                <w:b w:val="0"/>
                <w:color w:val="3333BC"/>
                <w:spacing w:val="-2"/>
                <w:sz w:val="18"/>
              </w:rPr>
              <w:t>6,799</w:t>
            </w:r>
          </w:p>
        </w:tc>
        <w:tc>
          <w:tcPr>
            <w:tcW w:w="1612" w:type="dxa"/>
          </w:tcPr>
          <w:p>
            <w:pPr>
              <w:pStyle w:val="TableParagraph"/>
              <w:spacing w:before="120"/>
              <w:rPr>
                <w:b w:val="0"/>
                <w:sz w:val="18"/>
              </w:rPr>
            </w:pPr>
            <w:r>
              <w:rPr>
                <w:b w:val="0"/>
                <w:color w:val="3333BC"/>
                <w:spacing w:val="-2"/>
                <w:sz w:val="18"/>
              </w:rPr>
              <w:t>6,772</w:t>
            </w:r>
          </w:p>
        </w:tc>
      </w:tr>
      <w:tr>
        <w:trPr>
          <w:trHeight w:val="500" w:hRule="atLeast"/>
        </w:trPr>
        <w:tc>
          <w:tcPr>
            <w:tcW w:w="4122" w:type="dxa"/>
          </w:tcPr>
          <w:p>
            <w:pPr>
              <w:pStyle w:val="TableParagraph"/>
              <w:jc w:val="left"/>
              <w:rPr>
                <w:b w:val="0"/>
                <w:sz w:val="18"/>
              </w:rPr>
            </w:pPr>
            <w:r>
              <w:rPr>
                <w:b w:val="0"/>
                <w:color w:val="3333BC"/>
                <w:sz w:val="18"/>
              </w:rPr>
              <w:t>Income</w:t>
            </w:r>
            <w:r>
              <w:rPr>
                <w:b w:val="0"/>
                <w:color w:val="3333BC"/>
                <w:spacing w:val="-7"/>
                <w:sz w:val="18"/>
              </w:rPr>
              <w:t> </w:t>
            </w:r>
            <w:r>
              <w:rPr>
                <w:b w:val="0"/>
                <w:color w:val="3333BC"/>
                <w:sz w:val="18"/>
              </w:rPr>
              <w:t>from</w:t>
            </w:r>
            <w:r>
              <w:rPr>
                <w:b w:val="0"/>
                <w:color w:val="3333BC"/>
                <w:spacing w:val="-6"/>
                <w:sz w:val="18"/>
              </w:rPr>
              <w:t> </w:t>
            </w:r>
            <w:r>
              <w:rPr>
                <w:b w:val="0"/>
                <w:color w:val="3333BC"/>
                <w:sz w:val="18"/>
              </w:rPr>
              <w:t>Financial</w:t>
            </w:r>
            <w:r>
              <w:rPr>
                <w:b w:val="0"/>
                <w:color w:val="3333BC"/>
                <w:spacing w:val="-5"/>
                <w:sz w:val="18"/>
              </w:rPr>
              <w:t> </w:t>
            </w:r>
            <w:r>
              <w:rPr>
                <w:b w:val="0"/>
                <w:color w:val="3333BC"/>
                <w:spacing w:val="-2"/>
                <w:sz w:val="18"/>
              </w:rPr>
              <w:t>Intermediation</w:t>
            </w:r>
          </w:p>
        </w:tc>
        <w:tc>
          <w:tcPr>
            <w:tcW w:w="1657" w:type="dxa"/>
          </w:tcPr>
          <w:p>
            <w:pPr>
              <w:pStyle w:val="TableParagraph"/>
              <w:ind w:left="44"/>
              <w:rPr>
                <w:b w:val="0"/>
                <w:sz w:val="18"/>
              </w:rPr>
            </w:pPr>
            <w:r>
              <w:rPr>
                <w:b w:val="0"/>
                <w:color w:val="3333BC"/>
                <w:spacing w:val="-2"/>
                <w:sz w:val="18"/>
              </w:rPr>
              <w:t>11,335</w:t>
            </w:r>
          </w:p>
        </w:tc>
        <w:tc>
          <w:tcPr>
            <w:tcW w:w="1612" w:type="dxa"/>
          </w:tcPr>
          <w:p>
            <w:pPr>
              <w:pStyle w:val="TableParagraph"/>
              <w:ind w:left="55"/>
              <w:rPr>
                <w:b w:val="0"/>
                <w:sz w:val="18"/>
              </w:rPr>
            </w:pPr>
            <w:r>
              <w:rPr>
                <w:b w:val="0"/>
                <w:color w:val="3333BC"/>
                <w:spacing w:val="-2"/>
                <w:sz w:val="18"/>
              </w:rPr>
              <w:t>13,118</w:t>
            </w:r>
          </w:p>
        </w:tc>
      </w:tr>
      <w:tr>
        <w:trPr>
          <w:trHeight w:val="500" w:hRule="atLeast"/>
        </w:trPr>
        <w:tc>
          <w:tcPr>
            <w:tcW w:w="4122" w:type="dxa"/>
          </w:tcPr>
          <w:p>
            <w:pPr>
              <w:pStyle w:val="TableParagraph"/>
              <w:spacing w:before="130"/>
              <w:jc w:val="left"/>
              <w:rPr>
                <w:b w:val="0"/>
                <w:sz w:val="18"/>
              </w:rPr>
            </w:pPr>
            <w:r>
              <w:rPr>
                <w:b w:val="0"/>
                <w:color w:val="3333BC"/>
                <w:sz w:val="18"/>
              </w:rPr>
              <w:t>Provision</w:t>
            </w:r>
            <w:r>
              <w:rPr>
                <w:b w:val="0"/>
                <w:color w:val="3333BC"/>
                <w:spacing w:val="-10"/>
                <w:sz w:val="18"/>
              </w:rPr>
              <w:t> </w:t>
            </w:r>
            <w:r>
              <w:rPr>
                <w:b w:val="0"/>
                <w:color w:val="3333BC"/>
                <w:sz w:val="18"/>
              </w:rPr>
              <w:t>for</w:t>
            </w:r>
            <w:r>
              <w:rPr>
                <w:b w:val="0"/>
                <w:color w:val="3333BC"/>
                <w:spacing w:val="-10"/>
                <w:sz w:val="18"/>
              </w:rPr>
              <w:t> </w:t>
            </w:r>
            <w:r>
              <w:rPr>
                <w:b w:val="0"/>
                <w:color w:val="3333BC"/>
                <w:sz w:val="18"/>
              </w:rPr>
              <w:t>losses</w:t>
            </w:r>
            <w:r>
              <w:rPr>
                <w:b w:val="0"/>
                <w:color w:val="3333BC"/>
                <w:spacing w:val="-10"/>
                <w:sz w:val="18"/>
              </w:rPr>
              <w:t> </w:t>
            </w:r>
            <w:r>
              <w:rPr>
                <w:b w:val="0"/>
                <w:color w:val="3333BC"/>
                <w:sz w:val="18"/>
              </w:rPr>
              <w:t>associated</w:t>
            </w:r>
            <w:r>
              <w:rPr>
                <w:b w:val="0"/>
                <w:color w:val="3333BC"/>
                <w:spacing w:val="-10"/>
                <w:sz w:val="18"/>
              </w:rPr>
              <w:t> </w:t>
            </w:r>
            <w:r>
              <w:rPr>
                <w:b w:val="0"/>
                <w:color w:val="3333BC"/>
                <w:sz w:val="18"/>
              </w:rPr>
              <w:t>with</w:t>
            </w:r>
            <w:r>
              <w:rPr>
                <w:b w:val="0"/>
                <w:color w:val="3333BC"/>
                <w:spacing w:val="-11"/>
                <w:sz w:val="18"/>
              </w:rPr>
              <w:t> </w:t>
            </w:r>
            <w:r>
              <w:rPr>
                <w:b w:val="0"/>
                <w:color w:val="3333BC"/>
                <w:sz w:val="18"/>
              </w:rPr>
              <w:t>credit</w:t>
            </w:r>
            <w:r>
              <w:rPr>
                <w:b w:val="0"/>
                <w:color w:val="3333BC"/>
                <w:spacing w:val="-10"/>
                <w:sz w:val="18"/>
              </w:rPr>
              <w:t> </w:t>
            </w:r>
            <w:r>
              <w:rPr>
                <w:b w:val="0"/>
                <w:color w:val="3333BC"/>
                <w:spacing w:val="-4"/>
                <w:sz w:val="18"/>
              </w:rPr>
              <w:t>risk</w:t>
            </w:r>
          </w:p>
        </w:tc>
        <w:tc>
          <w:tcPr>
            <w:tcW w:w="1657" w:type="dxa"/>
          </w:tcPr>
          <w:p>
            <w:pPr>
              <w:pStyle w:val="TableParagraph"/>
              <w:spacing w:before="130"/>
              <w:ind w:left="44" w:right="4"/>
              <w:rPr>
                <w:b w:val="0"/>
                <w:sz w:val="18"/>
              </w:rPr>
            </w:pPr>
            <w:r>
              <w:rPr>
                <w:b w:val="0"/>
                <w:color w:val="3333BC"/>
                <w:spacing w:val="-2"/>
                <w:sz w:val="18"/>
              </w:rPr>
              <w:t>(11,276)</w:t>
            </w:r>
          </w:p>
        </w:tc>
        <w:tc>
          <w:tcPr>
            <w:tcW w:w="1612" w:type="dxa"/>
          </w:tcPr>
          <w:p>
            <w:pPr>
              <w:pStyle w:val="TableParagraph"/>
              <w:spacing w:before="130"/>
              <w:ind w:left="54"/>
              <w:rPr>
                <w:b w:val="0"/>
                <w:sz w:val="18"/>
              </w:rPr>
            </w:pPr>
            <w:r>
              <w:rPr>
                <w:b w:val="0"/>
                <w:color w:val="3333BC"/>
                <w:spacing w:val="-2"/>
                <w:sz w:val="18"/>
              </w:rPr>
              <w:t>(11,487)</w:t>
            </w:r>
          </w:p>
        </w:tc>
      </w:tr>
      <w:tr>
        <w:trPr>
          <w:trHeight w:val="499" w:hRule="atLeast"/>
        </w:trPr>
        <w:tc>
          <w:tcPr>
            <w:tcW w:w="4122" w:type="dxa"/>
          </w:tcPr>
          <w:p>
            <w:pPr>
              <w:pStyle w:val="TableParagraph"/>
              <w:jc w:val="left"/>
              <w:rPr>
                <w:b w:val="0"/>
                <w:sz w:val="18"/>
              </w:rPr>
            </w:pPr>
            <w:r>
              <w:rPr>
                <w:b w:val="0"/>
                <w:color w:val="3333BC"/>
                <w:sz w:val="18"/>
              </w:rPr>
              <w:t>Fee</w:t>
            </w:r>
            <w:r>
              <w:rPr>
                <w:b w:val="0"/>
                <w:color w:val="3333BC"/>
                <w:spacing w:val="-6"/>
                <w:sz w:val="18"/>
              </w:rPr>
              <w:t> </w:t>
            </w:r>
            <w:r>
              <w:rPr>
                <w:b w:val="0"/>
                <w:color w:val="3333BC"/>
                <w:spacing w:val="-2"/>
                <w:sz w:val="18"/>
              </w:rPr>
              <w:t>Income</w:t>
            </w:r>
          </w:p>
        </w:tc>
        <w:tc>
          <w:tcPr>
            <w:tcW w:w="1657" w:type="dxa"/>
          </w:tcPr>
          <w:p>
            <w:pPr>
              <w:pStyle w:val="TableParagraph"/>
              <w:ind w:left="44" w:right="6"/>
              <w:rPr>
                <w:b w:val="0"/>
                <w:sz w:val="18"/>
              </w:rPr>
            </w:pPr>
            <w:r>
              <w:rPr>
                <w:b w:val="0"/>
                <w:color w:val="3333BC"/>
                <w:spacing w:val="-2"/>
                <w:sz w:val="18"/>
              </w:rPr>
              <w:t>4,658</w:t>
            </w:r>
          </w:p>
        </w:tc>
        <w:tc>
          <w:tcPr>
            <w:tcW w:w="1612" w:type="dxa"/>
          </w:tcPr>
          <w:p>
            <w:pPr>
              <w:pStyle w:val="TableParagraph"/>
              <w:ind w:left="49"/>
              <w:rPr>
                <w:b w:val="0"/>
                <w:sz w:val="18"/>
              </w:rPr>
            </w:pPr>
            <w:r>
              <w:rPr>
                <w:b w:val="0"/>
                <w:color w:val="3333BC"/>
                <w:spacing w:val="-4"/>
                <w:sz w:val="18"/>
              </w:rPr>
              <w:t>8,361</w:t>
            </w:r>
          </w:p>
        </w:tc>
      </w:tr>
      <w:tr>
        <w:trPr>
          <w:trHeight w:val="690" w:hRule="atLeast"/>
        </w:trPr>
        <w:tc>
          <w:tcPr>
            <w:tcW w:w="4122" w:type="dxa"/>
          </w:tcPr>
          <w:p>
            <w:pPr>
              <w:pStyle w:val="TableParagraph"/>
              <w:jc w:val="left"/>
              <w:rPr>
                <w:b w:val="0"/>
                <w:sz w:val="18"/>
              </w:rPr>
            </w:pPr>
            <w:r>
              <w:rPr>
                <w:b w:val="0"/>
                <w:color w:val="3333BC"/>
                <w:spacing w:val="-2"/>
                <w:sz w:val="18"/>
              </w:rPr>
              <w:t>Administrative</w:t>
            </w:r>
            <w:r>
              <w:rPr>
                <w:b w:val="0"/>
                <w:color w:val="3333BC"/>
                <w:spacing w:val="4"/>
                <w:sz w:val="18"/>
              </w:rPr>
              <w:t> </w:t>
            </w:r>
            <w:r>
              <w:rPr>
                <w:b w:val="0"/>
                <w:color w:val="3333BC"/>
                <w:spacing w:val="-2"/>
                <w:sz w:val="18"/>
              </w:rPr>
              <w:t>and</w:t>
            </w:r>
            <w:r>
              <w:rPr>
                <w:b w:val="0"/>
                <w:color w:val="3333BC"/>
                <w:spacing w:val="6"/>
                <w:sz w:val="18"/>
              </w:rPr>
              <w:t> </w:t>
            </w:r>
            <w:r>
              <w:rPr>
                <w:b w:val="0"/>
                <w:color w:val="3333BC"/>
                <w:spacing w:val="-2"/>
                <w:sz w:val="18"/>
              </w:rPr>
              <w:t>Personnel</w:t>
            </w:r>
            <w:r>
              <w:rPr>
                <w:b w:val="0"/>
                <w:color w:val="3333BC"/>
                <w:spacing w:val="5"/>
                <w:sz w:val="18"/>
              </w:rPr>
              <w:t> </w:t>
            </w:r>
            <w:r>
              <w:rPr>
                <w:b w:val="0"/>
                <w:color w:val="3333BC"/>
                <w:spacing w:val="-2"/>
                <w:sz w:val="18"/>
              </w:rPr>
              <w:t>Expenses</w:t>
            </w:r>
          </w:p>
        </w:tc>
        <w:tc>
          <w:tcPr>
            <w:tcW w:w="1657" w:type="dxa"/>
          </w:tcPr>
          <w:p>
            <w:pPr>
              <w:pStyle w:val="TableParagraph"/>
              <w:ind w:left="44" w:right="4"/>
              <w:rPr>
                <w:b w:val="0"/>
                <w:sz w:val="18"/>
              </w:rPr>
            </w:pPr>
            <w:r>
              <w:rPr>
                <w:b w:val="0"/>
                <w:color w:val="3333BC"/>
                <w:spacing w:val="-2"/>
                <w:sz w:val="18"/>
              </w:rPr>
              <w:t>(9,457)</w:t>
            </w:r>
          </w:p>
        </w:tc>
        <w:tc>
          <w:tcPr>
            <w:tcW w:w="1612" w:type="dxa"/>
          </w:tcPr>
          <w:p>
            <w:pPr>
              <w:pStyle w:val="TableParagraph"/>
              <w:ind w:left="52"/>
              <w:rPr>
                <w:b w:val="0"/>
                <w:sz w:val="18"/>
              </w:rPr>
            </w:pPr>
            <w:r>
              <w:rPr>
                <w:b w:val="0"/>
                <w:color w:val="3333BC"/>
                <w:spacing w:val="-2"/>
                <w:sz w:val="18"/>
              </w:rPr>
              <w:t>(9,954)</w:t>
            </w:r>
          </w:p>
        </w:tc>
      </w:tr>
      <w:tr>
        <w:trPr>
          <w:trHeight w:val="750" w:hRule="atLeast"/>
        </w:trPr>
        <w:tc>
          <w:tcPr>
            <w:tcW w:w="4122" w:type="dxa"/>
          </w:tcPr>
          <w:p>
            <w:pPr>
              <w:pStyle w:val="TableParagraph"/>
              <w:spacing w:before="90"/>
              <w:ind w:left="0"/>
              <w:jc w:val="left"/>
              <w:rPr>
                <w:rFonts w:ascii="BancoDoBrasil Textos"/>
                <w:sz w:val="18"/>
              </w:rPr>
            </w:pPr>
          </w:p>
          <w:p>
            <w:pPr>
              <w:pStyle w:val="TableParagraph"/>
              <w:spacing w:before="0"/>
              <w:jc w:val="left"/>
              <w:rPr>
                <w:rFonts w:ascii="BancoDoBrasil Titulos ExtraBold"/>
                <w:b/>
                <w:sz w:val="18"/>
              </w:rPr>
            </w:pPr>
            <w:r>
              <w:rPr>
                <w:rFonts w:ascii="BancoDoBrasil Titulos ExtraBold"/>
                <w:b/>
                <w:color w:val="465EFF"/>
                <w:sz w:val="18"/>
              </w:rPr>
              <w:t>Equity</w:t>
            </w:r>
            <w:r>
              <w:rPr>
                <w:rFonts w:ascii="BancoDoBrasil Titulos ExtraBold"/>
                <w:b/>
                <w:color w:val="465EFF"/>
                <w:spacing w:val="-2"/>
                <w:sz w:val="18"/>
              </w:rPr>
              <w:t> </w:t>
            </w:r>
            <w:r>
              <w:rPr>
                <w:rFonts w:ascii="BancoDoBrasil Titulos ExtraBold"/>
                <w:b/>
                <w:color w:val="465EFF"/>
                <w:sz w:val="18"/>
              </w:rPr>
              <w:t>(R$</w:t>
            </w:r>
            <w:r>
              <w:rPr>
                <w:rFonts w:ascii="BancoDoBrasil Titulos ExtraBold"/>
                <w:b/>
                <w:color w:val="465EFF"/>
                <w:spacing w:val="-2"/>
                <w:sz w:val="18"/>
              </w:rPr>
              <w:t> million)</w:t>
            </w:r>
          </w:p>
        </w:tc>
        <w:tc>
          <w:tcPr>
            <w:tcW w:w="1657" w:type="dxa"/>
          </w:tcPr>
          <w:p>
            <w:pPr>
              <w:pStyle w:val="TableParagraph"/>
              <w:spacing w:before="0"/>
              <w:ind w:left="0"/>
              <w:jc w:val="left"/>
              <w:rPr>
                <w:rFonts w:ascii="Times New Roman"/>
                <w:sz w:val="20"/>
              </w:rPr>
            </w:pPr>
          </w:p>
        </w:tc>
        <w:tc>
          <w:tcPr>
            <w:tcW w:w="1612" w:type="dxa"/>
          </w:tcPr>
          <w:p>
            <w:pPr>
              <w:pStyle w:val="TableParagraph"/>
              <w:spacing w:before="0"/>
              <w:ind w:left="0"/>
              <w:jc w:val="left"/>
              <w:rPr>
                <w:rFonts w:ascii="Times New Roman"/>
                <w:sz w:val="20"/>
              </w:rPr>
            </w:pPr>
          </w:p>
        </w:tc>
      </w:tr>
      <w:tr>
        <w:trPr>
          <w:trHeight w:val="560" w:hRule="atLeast"/>
        </w:trPr>
        <w:tc>
          <w:tcPr>
            <w:tcW w:w="4122" w:type="dxa"/>
          </w:tcPr>
          <w:p>
            <w:pPr>
              <w:pStyle w:val="TableParagraph"/>
              <w:spacing w:before="189"/>
              <w:jc w:val="left"/>
              <w:rPr>
                <w:b w:val="0"/>
                <w:sz w:val="18"/>
              </w:rPr>
            </w:pPr>
            <w:r>
              <w:rPr>
                <w:b w:val="0"/>
                <w:color w:val="3333BC"/>
                <w:spacing w:val="-2"/>
                <w:sz w:val="18"/>
              </w:rPr>
              <w:t>Assets</w:t>
            </w:r>
          </w:p>
        </w:tc>
        <w:tc>
          <w:tcPr>
            <w:tcW w:w="1657" w:type="dxa"/>
          </w:tcPr>
          <w:p>
            <w:pPr>
              <w:pStyle w:val="TableParagraph"/>
              <w:spacing w:before="189"/>
              <w:ind w:left="44" w:right="2"/>
              <w:rPr>
                <w:b w:val="0"/>
                <w:sz w:val="18"/>
              </w:rPr>
            </w:pPr>
            <w:r>
              <w:rPr>
                <w:b w:val="0"/>
                <w:color w:val="3333BC"/>
                <w:spacing w:val="-2"/>
                <w:sz w:val="18"/>
              </w:rPr>
              <w:t>2,379,656</w:t>
            </w:r>
          </w:p>
        </w:tc>
        <w:tc>
          <w:tcPr>
            <w:tcW w:w="1612" w:type="dxa"/>
          </w:tcPr>
          <w:p>
            <w:pPr>
              <w:pStyle w:val="TableParagraph"/>
              <w:spacing w:before="189"/>
              <w:ind w:left="52"/>
              <w:rPr>
                <w:b w:val="0"/>
                <w:sz w:val="18"/>
              </w:rPr>
            </w:pPr>
            <w:r>
              <w:rPr>
                <w:b w:val="0"/>
                <w:color w:val="3333BC"/>
                <w:spacing w:val="-2"/>
                <w:sz w:val="18"/>
              </w:rPr>
              <w:t>2,420,992</w:t>
            </w:r>
          </w:p>
        </w:tc>
      </w:tr>
      <w:tr>
        <w:trPr>
          <w:trHeight w:val="500" w:hRule="atLeast"/>
        </w:trPr>
        <w:tc>
          <w:tcPr>
            <w:tcW w:w="4122" w:type="dxa"/>
          </w:tcPr>
          <w:p>
            <w:pPr>
              <w:pStyle w:val="TableParagraph"/>
              <w:spacing w:before="130"/>
              <w:jc w:val="left"/>
              <w:rPr>
                <w:b w:val="0"/>
                <w:sz w:val="18"/>
              </w:rPr>
            </w:pPr>
            <w:r>
              <w:rPr>
                <w:b w:val="0"/>
                <w:color w:val="3333BC"/>
                <w:sz w:val="18"/>
              </w:rPr>
              <w:t>Classified</w:t>
            </w:r>
            <w:r>
              <w:rPr>
                <w:b w:val="0"/>
                <w:color w:val="3333BC"/>
                <w:spacing w:val="-7"/>
                <w:sz w:val="18"/>
              </w:rPr>
              <w:t> </w:t>
            </w:r>
            <w:r>
              <w:rPr>
                <w:b w:val="0"/>
                <w:color w:val="3333BC"/>
                <w:sz w:val="18"/>
              </w:rPr>
              <w:t>Loan</w:t>
            </w:r>
            <w:r>
              <w:rPr>
                <w:b w:val="0"/>
                <w:color w:val="3333BC"/>
                <w:spacing w:val="-5"/>
                <w:sz w:val="18"/>
              </w:rPr>
              <w:t> </w:t>
            </w:r>
            <w:r>
              <w:rPr>
                <w:b w:val="0"/>
                <w:color w:val="3333BC"/>
                <w:spacing w:val="-2"/>
                <w:sz w:val="18"/>
              </w:rPr>
              <w:t>Portfolio</w:t>
            </w:r>
          </w:p>
        </w:tc>
        <w:tc>
          <w:tcPr>
            <w:tcW w:w="1657" w:type="dxa"/>
          </w:tcPr>
          <w:p>
            <w:pPr>
              <w:pStyle w:val="TableParagraph"/>
              <w:spacing w:before="130"/>
              <w:ind w:left="44" w:right="2"/>
              <w:rPr>
                <w:b w:val="0"/>
                <w:sz w:val="18"/>
              </w:rPr>
            </w:pPr>
            <w:r>
              <w:rPr>
                <w:b w:val="0"/>
                <w:color w:val="3333BC"/>
                <w:spacing w:val="-2"/>
                <w:sz w:val="18"/>
              </w:rPr>
              <w:t>1,201,599</w:t>
            </w:r>
          </w:p>
        </w:tc>
        <w:tc>
          <w:tcPr>
            <w:tcW w:w="1612" w:type="dxa"/>
          </w:tcPr>
          <w:p>
            <w:pPr>
              <w:pStyle w:val="TableParagraph"/>
              <w:spacing w:before="130"/>
              <w:ind w:left="53"/>
              <w:rPr>
                <w:b w:val="0"/>
                <w:sz w:val="18"/>
              </w:rPr>
            </w:pPr>
            <w:r>
              <w:rPr>
                <w:b w:val="0"/>
                <w:color w:val="3333BC"/>
                <w:spacing w:val="-2"/>
                <w:sz w:val="18"/>
              </w:rPr>
              <w:t>1,223,818</w:t>
            </w:r>
          </w:p>
        </w:tc>
      </w:tr>
      <w:tr>
        <w:trPr>
          <w:trHeight w:val="499" w:hRule="atLeast"/>
        </w:trPr>
        <w:tc>
          <w:tcPr>
            <w:tcW w:w="4122" w:type="dxa"/>
          </w:tcPr>
          <w:p>
            <w:pPr>
              <w:pStyle w:val="TableParagraph"/>
              <w:jc w:val="left"/>
              <w:rPr>
                <w:b w:val="0"/>
                <w:sz w:val="18"/>
              </w:rPr>
            </w:pPr>
            <w:r>
              <w:rPr>
                <w:b w:val="0"/>
                <w:color w:val="3333BC"/>
                <w:spacing w:val="-2"/>
                <w:sz w:val="18"/>
              </w:rPr>
              <w:t>Resources from</w:t>
            </w:r>
            <w:r>
              <w:rPr>
                <w:b w:val="0"/>
                <w:color w:val="3333BC"/>
                <w:spacing w:val="-1"/>
                <w:sz w:val="18"/>
              </w:rPr>
              <w:t> </w:t>
            </w:r>
            <w:r>
              <w:rPr>
                <w:b w:val="0"/>
                <w:color w:val="3333BC"/>
                <w:spacing w:val="-2"/>
                <w:sz w:val="18"/>
              </w:rPr>
              <w:t>Customers</w:t>
            </w:r>
          </w:p>
        </w:tc>
        <w:tc>
          <w:tcPr>
            <w:tcW w:w="1657" w:type="dxa"/>
          </w:tcPr>
          <w:p>
            <w:pPr>
              <w:pStyle w:val="TableParagraph"/>
              <w:ind w:left="44" w:right="5"/>
              <w:rPr>
                <w:b w:val="0"/>
                <w:sz w:val="18"/>
              </w:rPr>
            </w:pPr>
            <w:r>
              <w:rPr>
                <w:b w:val="0"/>
                <w:color w:val="3333BC"/>
                <w:spacing w:val="-2"/>
                <w:sz w:val="18"/>
              </w:rPr>
              <w:t>825,992</w:t>
            </w:r>
          </w:p>
        </w:tc>
        <w:tc>
          <w:tcPr>
            <w:tcW w:w="1612" w:type="dxa"/>
          </w:tcPr>
          <w:p>
            <w:pPr>
              <w:pStyle w:val="TableParagraph"/>
              <w:ind w:left="52"/>
              <w:rPr>
                <w:b w:val="0"/>
                <w:sz w:val="18"/>
              </w:rPr>
            </w:pPr>
            <w:r>
              <w:rPr>
                <w:b w:val="0"/>
                <w:color w:val="3333BC"/>
                <w:spacing w:val="-2"/>
                <w:sz w:val="18"/>
              </w:rPr>
              <w:t>864,972</w:t>
            </w:r>
          </w:p>
        </w:tc>
      </w:tr>
      <w:tr>
        <w:trPr>
          <w:trHeight w:val="350" w:hRule="atLeast"/>
        </w:trPr>
        <w:tc>
          <w:tcPr>
            <w:tcW w:w="4122" w:type="dxa"/>
          </w:tcPr>
          <w:p>
            <w:pPr>
              <w:pStyle w:val="TableParagraph"/>
              <w:spacing w:line="202" w:lineRule="exact"/>
              <w:jc w:val="left"/>
              <w:rPr>
                <w:b w:val="0"/>
                <w:sz w:val="18"/>
              </w:rPr>
            </w:pPr>
            <w:r>
              <w:rPr>
                <w:b w:val="0"/>
                <w:color w:val="3333BC"/>
                <w:spacing w:val="-2"/>
                <w:sz w:val="18"/>
              </w:rPr>
              <w:t>Shareholders</w:t>
            </w:r>
            <w:r>
              <w:rPr>
                <w:b w:val="0"/>
                <w:color w:val="3333BC"/>
                <w:spacing w:val="3"/>
                <w:sz w:val="18"/>
              </w:rPr>
              <w:t> </w:t>
            </w:r>
            <w:r>
              <w:rPr>
                <w:b w:val="0"/>
                <w:color w:val="3333BC"/>
                <w:spacing w:val="-2"/>
                <w:sz w:val="18"/>
              </w:rPr>
              <w:t>Equity</w:t>
            </w:r>
          </w:p>
        </w:tc>
        <w:tc>
          <w:tcPr>
            <w:tcW w:w="1657" w:type="dxa"/>
          </w:tcPr>
          <w:p>
            <w:pPr>
              <w:pStyle w:val="TableParagraph"/>
              <w:spacing w:line="202" w:lineRule="exact"/>
              <w:ind w:left="44" w:right="9"/>
              <w:rPr>
                <w:b w:val="0"/>
                <w:sz w:val="18"/>
              </w:rPr>
            </w:pPr>
            <w:r>
              <w:rPr>
                <w:b w:val="0"/>
                <w:color w:val="3333BC"/>
                <w:spacing w:val="-2"/>
                <w:sz w:val="18"/>
              </w:rPr>
              <w:t>174,643</w:t>
            </w:r>
          </w:p>
        </w:tc>
        <w:tc>
          <w:tcPr>
            <w:tcW w:w="1612" w:type="dxa"/>
          </w:tcPr>
          <w:p>
            <w:pPr>
              <w:pStyle w:val="TableParagraph"/>
              <w:spacing w:line="202" w:lineRule="exact"/>
              <w:ind w:left="48"/>
              <w:rPr>
                <w:b w:val="0"/>
                <w:sz w:val="18"/>
              </w:rPr>
            </w:pPr>
            <w:r>
              <w:rPr>
                <w:b w:val="0"/>
                <w:color w:val="3333BC"/>
                <w:spacing w:val="-2"/>
                <w:sz w:val="18"/>
              </w:rPr>
              <w:t>184,189</w:t>
            </w:r>
          </w:p>
        </w:tc>
      </w:tr>
    </w:tbl>
    <w:p>
      <w:pPr>
        <w:pStyle w:val="TableParagraph"/>
        <w:spacing w:after="0" w:line="202" w:lineRule="exact"/>
        <w:rPr>
          <w:b w:val="0"/>
          <w:sz w:val="18"/>
        </w:rPr>
        <w:sectPr>
          <w:headerReference w:type="default" r:id="rId6"/>
          <w:footerReference w:type="default" r:id="rId7"/>
          <w:pgSz w:w="11910" w:h="16850"/>
          <w:pgMar w:header="152" w:footer="572" w:top="900" w:bottom="760" w:left="283" w:right="283"/>
          <w:pgNumType w:start="2"/>
        </w:sectPr>
      </w:pPr>
    </w:p>
    <w:p>
      <w:pPr>
        <w:pStyle w:val="BodyText"/>
        <w:jc w:val="left"/>
        <w:rPr>
          <w:sz w:val="44"/>
        </w:rPr>
      </w:pPr>
    </w:p>
    <w:p>
      <w:pPr>
        <w:pStyle w:val="BodyText"/>
        <w:spacing w:before="64"/>
        <w:jc w:val="left"/>
        <w:rPr>
          <w:sz w:val="44"/>
        </w:rPr>
      </w:pPr>
    </w:p>
    <w:p>
      <w:pPr>
        <w:pStyle w:val="Heading1"/>
        <w:jc w:val="both"/>
      </w:pPr>
      <w:r>
        <w:rPr>
          <w:color w:val="465EFF"/>
          <w:spacing w:val="31"/>
        </w:rPr>
        <w:t>Shareholders</w:t>
      </w:r>
    </w:p>
    <w:p>
      <w:pPr>
        <w:pStyle w:val="BodyText"/>
        <w:spacing w:line="321" w:lineRule="auto" w:before="165"/>
        <w:ind w:left="568" w:right="562"/>
      </w:pPr>
      <w:r>
        <w:rPr>
          <w:color w:val="1B1B22"/>
        </w:rPr>
        <w:t>We have a base of 1.5 million shareholders, 99.0% of whom are local individuals. At the end of March, our shareholding</w:t>
      </w:r>
      <w:r>
        <w:rPr>
          <w:color w:val="1B1B22"/>
          <w:spacing w:val="-1"/>
        </w:rPr>
        <w:t> </w:t>
      </w:r>
      <w:r>
        <w:rPr>
          <w:color w:val="1B1B22"/>
        </w:rPr>
        <w:t>structure</w:t>
      </w:r>
      <w:r>
        <w:rPr>
          <w:color w:val="1B1B22"/>
          <w:spacing w:val="-2"/>
        </w:rPr>
        <w:t> </w:t>
      </w:r>
      <w:r>
        <w:rPr>
          <w:color w:val="1B1B22"/>
        </w:rPr>
        <w:t>was</w:t>
      </w:r>
      <w:r>
        <w:rPr>
          <w:color w:val="1B1B22"/>
          <w:spacing w:val="-1"/>
        </w:rPr>
        <w:t> </w:t>
      </w:r>
      <w:r>
        <w:rPr>
          <w:color w:val="1B1B22"/>
        </w:rPr>
        <w:t>distributed as</w:t>
      </w:r>
      <w:r>
        <w:rPr>
          <w:color w:val="1B1B22"/>
          <w:spacing w:val="-1"/>
        </w:rPr>
        <w:t> </w:t>
      </w:r>
      <w:r>
        <w:rPr>
          <w:color w:val="1B1B22"/>
        </w:rPr>
        <w:t>follows:</w:t>
      </w:r>
      <w:r>
        <w:rPr>
          <w:color w:val="1B1B22"/>
          <w:spacing w:val="-2"/>
        </w:rPr>
        <w:t> </w:t>
      </w:r>
      <w:r>
        <w:rPr>
          <w:color w:val="1B1B22"/>
        </w:rPr>
        <w:t>50%</w:t>
      </w:r>
      <w:r>
        <w:rPr>
          <w:color w:val="1B1B22"/>
          <w:spacing w:val="-3"/>
        </w:rPr>
        <w:t> </w:t>
      </w:r>
      <w:r>
        <w:rPr>
          <w:color w:val="1B1B22"/>
        </w:rPr>
        <w:t>of</w:t>
      </w:r>
      <w:r>
        <w:rPr>
          <w:color w:val="1B1B22"/>
          <w:spacing w:val="-3"/>
        </w:rPr>
        <w:t> </w:t>
      </w:r>
      <w:r>
        <w:rPr>
          <w:color w:val="1B1B22"/>
        </w:rPr>
        <w:t>shares</w:t>
      </w:r>
      <w:r>
        <w:rPr>
          <w:color w:val="1B1B22"/>
          <w:spacing w:val="-1"/>
        </w:rPr>
        <w:t> </w:t>
      </w:r>
      <w:r>
        <w:rPr>
          <w:color w:val="1B1B22"/>
        </w:rPr>
        <w:t>held</w:t>
      </w:r>
      <w:r>
        <w:rPr>
          <w:color w:val="1B1B22"/>
          <w:spacing w:val="-2"/>
        </w:rPr>
        <w:t> </w:t>
      </w:r>
      <w:r>
        <w:rPr>
          <w:color w:val="1B1B22"/>
        </w:rPr>
        <w:t>by</w:t>
      </w:r>
      <w:r>
        <w:rPr>
          <w:color w:val="1B1B22"/>
          <w:spacing w:val="-2"/>
        </w:rPr>
        <w:t> </w:t>
      </w:r>
      <w:r>
        <w:rPr>
          <w:color w:val="1B1B22"/>
        </w:rPr>
        <w:t>the</w:t>
      </w:r>
      <w:r>
        <w:rPr>
          <w:color w:val="1B1B22"/>
          <w:spacing w:val="-2"/>
        </w:rPr>
        <w:t> </w:t>
      </w:r>
      <w:r>
        <w:rPr>
          <w:color w:val="1B1B22"/>
        </w:rPr>
        <w:t>Federal</w:t>
      </w:r>
      <w:r>
        <w:rPr>
          <w:color w:val="1B1B22"/>
          <w:spacing w:val="-2"/>
        </w:rPr>
        <w:t> </w:t>
      </w:r>
      <w:r>
        <w:rPr>
          <w:color w:val="1B1B22"/>
        </w:rPr>
        <w:t>Government,</w:t>
      </w:r>
      <w:r>
        <w:rPr>
          <w:color w:val="1B1B22"/>
          <w:spacing w:val="-2"/>
        </w:rPr>
        <w:t> </w:t>
      </w:r>
      <w:r>
        <w:rPr>
          <w:color w:val="1B1B22"/>
        </w:rPr>
        <w:t>49.6%</w:t>
      </w:r>
      <w:r>
        <w:rPr>
          <w:color w:val="1B1B22"/>
          <w:spacing w:val="-3"/>
        </w:rPr>
        <w:t> </w:t>
      </w:r>
      <w:r>
        <w:rPr>
          <w:color w:val="1B1B22"/>
        </w:rPr>
        <w:t>in </w:t>
      </w:r>
      <w:r>
        <w:rPr>
          <w:color w:val="1B1B22"/>
          <w:spacing w:val="-2"/>
        </w:rPr>
        <w:t>free</w:t>
      </w:r>
      <w:r>
        <w:rPr>
          <w:color w:val="1B1B22"/>
          <w:spacing w:val="-11"/>
        </w:rPr>
        <w:t> </w:t>
      </w:r>
      <w:r>
        <w:rPr>
          <w:color w:val="1B1B22"/>
          <w:spacing w:val="-2"/>
        </w:rPr>
        <w:t>float</w:t>
      </w:r>
      <w:r>
        <w:rPr>
          <w:color w:val="1B1B22"/>
          <w:spacing w:val="-9"/>
        </w:rPr>
        <w:t> </w:t>
      </w:r>
      <w:r>
        <w:rPr>
          <w:color w:val="1B1B22"/>
          <w:spacing w:val="-2"/>
        </w:rPr>
        <w:t>and</w:t>
      </w:r>
      <w:r>
        <w:rPr>
          <w:color w:val="1B1B22"/>
          <w:spacing w:val="-11"/>
        </w:rPr>
        <w:t> </w:t>
      </w:r>
      <w:r>
        <w:rPr>
          <w:color w:val="1B1B22"/>
          <w:spacing w:val="-2"/>
        </w:rPr>
        <w:t>0.4%</w:t>
      </w:r>
      <w:r>
        <w:rPr>
          <w:color w:val="1B1B22"/>
          <w:spacing w:val="-10"/>
        </w:rPr>
        <w:t> </w:t>
      </w:r>
      <w:r>
        <w:rPr>
          <w:color w:val="1B1B22"/>
          <w:spacing w:val="-2"/>
        </w:rPr>
        <w:t>in</w:t>
      </w:r>
      <w:r>
        <w:rPr>
          <w:color w:val="1B1B22"/>
          <w:spacing w:val="-9"/>
        </w:rPr>
        <w:t> </w:t>
      </w:r>
      <w:r>
        <w:rPr>
          <w:color w:val="1B1B22"/>
          <w:spacing w:val="-2"/>
        </w:rPr>
        <w:t>treasury.</w:t>
      </w:r>
      <w:r>
        <w:rPr>
          <w:color w:val="1B1B22"/>
          <w:spacing w:val="-11"/>
        </w:rPr>
        <w:t> </w:t>
      </w:r>
      <w:r>
        <w:rPr>
          <w:color w:val="1B1B22"/>
          <w:spacing w:val="-2"/>
        </w:rPr>
        <w:t>Local</w:t>
      </w:r>
      <w:r>
        <w:rPr>
          <w:color w:val="1B1B22"/>
          <w:spacing w:val="-10"/>
        </w:rPr>
        <w:t> </w:t>
      </w:r>
      <w:r>
        <w:rPr>
          <w:color w:val="1B1B22"/>
          <w:spacing w:val="-2"/>
        </w:rPr>
        <w:t>investors</w:t>
      </w:r>
      <w:r>
        <w:rPr>
          <w:color w:val="1B1B22"/>
          <w:spacing w:val="-9"/>
        </w:rPr>
        <w:t> </w:t>
      </w:r>
      <w:r>
        <w:rPr>
          <w:color w:val="1B1B22"/>
          <w:spacing w:val="-2"/>
        </w:rPr>
        <w:t>held</w:t>
      </w:r>
      <w:r>
        <w:rPr>
          <w:color w:val="1B1B22"/>
          <w:spacing w:val="-8"/>
        </w:rPr>
        <w:t> </w:t>
      </w:r>
      <w:r>
        <w:rPr>
          <w:color w:val="1B1B22"/>
          <w:spacing w:val="-2"/>
        </w:rPr>
        <w:t>76.7%</w:t>
      </w:r>
      <w:r>
        <w:rPr>
          <w:color w:val="1B1B22"/>
          <w:spacing w:val="-11"/>
        </w:rPr>
        <w:t> </w:t>
      </w:r>
      <w:r>
        <w:rPr>
          <w:color w:val="1B1B22"/>
          <w:spacing w:val="-2"/>
        </w:rPr>
        <w:t>of</w:t>
      </w:r>
      <w:r>
        <w:rPr>
          <w:color w:val="1B1B22"/>
          <w:spacing w:val="-10"/>
        </w:rPr>
        <w:t> </w:t>
      </w:r>
      <w:r>
        <w:rPr>
          <w:color w:val="1B1B22"/>
          <w:spacing w:val="-2"/>
        </w:rPr>
        <w:t>the</w:t>
      </w:r>
      <w:r>
        <w:rPr>
          <w:color w:val="1B1B22"/>
          <w:spacing w:val="-10"/>
        </w:rPr>
        <w:t> </w:t>
      </w:r>
      <w:r>
        <w:rPr>
          <w:color w:val="1B1B22"/>
          <w:spacing w:val="-2"/>
        </w:rPr>
        <w:t>shares,</w:t>
      </w:r>
      <w:r>
        <w:rPr>
          <w:color w:val="1B1B22"/>
          <w:spacing w:val="-8"/>
        </w:rPr>
        <w:t> </w:t>
      </w:r>
      <w:r>
        <w:rPr>
          <w:color w:val="1B1B22"/>
          <w:spacing w:val="-2"/>
        </w:rPr>
        <w:t>and</w:t>
      </w:r>
      <w:r>
        <w:rPr>
          <w:color w:val="1B1B22"/>
          <w:spacing w:val="-11"/>
        </w:rPr>
        <w:t> </w:t>
      </w:r>
      <w:r>
        <w:rPr>
          <w:color w:val="1B1B22"/>
          <w:spacing w:val="-2"/>
        </w:rPr>
        <w:t>foreign</w:t>
      </w:r>
      <w:r>
        <w:rPr>
          <w:color w:val="1B1B22"/>
          <w:spacing w:val="-9"/>
        </w:rPr>
        <w:t> </w:t>
      </w:r>
      <w:r>
        <w:rPr>
          <w:color w:val="1B1B22"/>
          <w:spacing w:val="-2"/>
        </w:rPr>
        <w:t>investors</w:t>
      </w:r>
      <w:r>
        <w:rPr>
          <w:color w:val="1B1B22"/>
          <w:spacing w:val="-10"/>
        </w:rPr>
        <w:t> </w:t>
      </w:r>
      <w:r>
        <w:rPr>
          <w:color w:val="1B1B22"/>
          <w:spacing w:val="-2"/>
        </w:rPr>
        <w:t>held</w:t>
      </w:r>
      <w:r>
        <w:rPr>
          <w:color w:val="1B1B22"/>
          <w:spacing w:val="-11"/>
        </w:rPr>
        <w:t> </w:t>
      </w:r>
      <w:r>
        <w:rPr>
          <w:color w:val="1B1B22"/>
          <w:spacing w:val="-2"/>
        </w:rPr>
        <w:t>23.3%.</w:t>
      </w:r>
      <w:r>
        <w:rPr>
          <w:color w:val="1B1B22"/>
          <w:spacing w:val="-10"/>
        </w:rPr>
        <w:t> </w:t>
      </w:r>
      <w:r>
        <w:rPr>
          <w:color w:val="1B1B22"/>
          <w:spacing w:val="-2"/>
        </w:rPr>
        <w:t>Our </w:t>
      </w:r>
      <w:r>
        <w:rPr>
          <w:color w:val="1B1B22"/>
        </w:rPr>
        <w:t>shares (BBAS3) represented 3.813% of the Ibovespa in the last four months.</w:t>
      </w:r>
    </w:p>
    <w:p>
      <w:pPr>
        <w:pStyle w:val="BodyText"/>
        <w:spacing w:before="197"/>
        <w:ind w:left="568"/>
      </w:pPr>
      <w:r>
        <w:rPr>
          <w:color w:val="1B1B22"/>
        </w:rPr>
        <w:t>The</w:t>
      </w:r>
      <w:r>
        <w:rPr>
          <w:color w:val="1B1B22"/>
          <w:spacing w:val="-13"/>
        </w:rPr>
        <w:t> </w:t>
      </w:r>
      <w:r>
        <w:rPr>
          <w:color w:val="1B1B22"/>
        </w:rPr>
        <w:t>total</w:t>
      </w:r>
      <w:r>
        <w:rPr>
          <w:color w:val="1B1B22"/>
          <w:spacing w:val="-12"/>
        </w:rPr>
        <w:t> </w:t>
      </w:r>
      <w:r>
        <w:rPr>
          <w:color w:val="1B1B22"/>
        </w:rPr>
        <w:t>amount</w:t>
      </w:r>
      <w:r>
        <w:rPr>
          <w:color w:val="1B1B22"/>
          <w:spacing w:val="-11"/>
        </w:rPr>
        <w:t> </w:t>
      </w:r>
      <w:r>
        <w:rPr>
          <w:color w:val="1B1B22"/>
        </w:rPr>
        <w:t>allocated</w:t>
      </w:r>
      <w:r>
        <w:rPr>
          <w:color w:val="1B1B22"/>
          <w:spacing w:val="-12"/>
        </w:rPr>
        <w:t> </w:t>
      </w:r>
      <w:r>
        <w:rPr>
          <w:color w:val="1B1B22"/>
        </w:rPr>
        <w:t>to</w:t>
      </w:r>
      <w:r>
        <w:rPr>
          <w:color w:val="1B1B22"/>
          <w:spacing w:val="-13"/>
        </w:rPr>
        <w:t> </w:t>
      </w:r>
      <w:r>
        <w:rPr>
          <w:color w:val="1B1B22"/>
        </w:rPr>
        <w:t>shareholders</w:t>
      </w:r>
      <w:r>
        <w:rPr>
          <w:color w:val="1B1B22"/>
          <w:spacing w:val="-10"/>
        </w:rPr>
        <w:t> </w:t>
      </w:r>
      <w:r>
        <w:rPr>
          <w:color w:val="1B1B22"/>
        </w:rPr>
        <w:t>in</w:t>
      </w:r>
      <w:r>
        <w:rPr>
          <w:color w:val="1B1B22"/>
          <w:spacing w:val="-11"/>
        </w:rPr>
        <w:t> </w:t>
      </w:r>
      <w:r>
        <w:rPr>
          <w:color w:val="1B1B22"/>
        </w:rPr>
        <w:t>1Q25</w:t>
      </w:r>
      <w:r>
        <w:rPr>
          <w:color w:val="1B1B22"/>
          <w:spacing w:val="-12"/>
        </w:rPr>
        <w:t> </w:t>
      </w:r>
      <w:r>
        <w:rPr>
          <w:color w:val="1B1B22"/>
        </w:rPr>
        <w:t>was</w:t>
      </w:r>
      <w:r>
        <w:rPr>
          <w:color w:val="1B1B22"/>
          <w:spacing w:val="-11"/>
        </w:rPr>
        <w:t> </w:t>
      </w:r>
      <w:r>
        <w:rPr>
          <w:color w:val="1B1B22"/>
        </w:rPr>
        <w:t>R$2.8</w:t>
      </w:r>
      <w:r>
        <w:rPr>
          <w:color w:val="1B1B22"/>
          <w:spacing w:val="-12"/>
        </w:rPr>
        <w:t> </w:t>
      </w:r>
      <w:r>
        <w:rPr>
          <w:color w:val="1B1B22"/>
        </w:rPr>
        <w:t>billion</w:t>
      </w:r>
      <w:r>
        <w:rPr>
          <w:color w:val="1B1B22"/>
          <w:spacing w:val="-12"/>
        </w:rPr>
        <w:t> </w:t>
      </w:r>
      <w:r>
        <w:rPr>
          <w:color w:val="1B1B22"/>
        </w:rPr>
        <w:t>and</w:t>
      </w:r>
      <w:r>
        <w:rPr>
          <w:color w:val="1B1B22"/>
          <w:spacing w:val="-12"/>
        </w:rPr>
        <w:t> </w:t>
      </w:r>
      <w:r>
        <w:rPr>
          <w:color w:val="1B1B22"/>
        </w:rPr>
        <w:t>the</w:t>
      </w:r>
      <w:r>
        <w:rPr>
          <w:color w:val="1B1B22"/>
          <w:spacing w:val="-12"/>
        </w:rPr>
        <w:t> </w:t>
      </w:r>
      <w:r>
        <w:rPr>
          <w:color w:val="1B1B22"/>
        </w:rPr>
        <w:t>value</w:t>
      </w:r>
      <w:r>
        <w:rPr>
          <w:color w:val="1B1B22"/>
          <w:spacing w:val="-12"/>
        </w:rPr>
        <w:t> </w:t>
      </w:r>
      <w:r>
        <w:rPr>
          <w:color w:val="1B1B22"/>
        </w:rPr>
        <w:t>per</w:t>
      </w:r>
      <w:r>
        <w:rPr>
          <w:color w:val="1B1B22"/>
          <w:spacing w:val="-12"/>
        </w:rPr>
        <w:t> </w:t>
      </w:r>
      <w:r>
        <w:rPr>
          <w:color w:val="1B1B22"/>
        </w:rPr>
        <w:t>share</w:t>
      </w:r>
      <w:r>
        <w:rPr>
          <w:color w:val="1B1B22"/>
          <w:spacing w:val="-12"/>
        </w:rPr>
        <w:t> </w:t>
      </w:r>
      <w:r>
        <w:rPr>
          <w:color w:val="1B1B22"/>
        </w:rPr>
        <w:t>was</w:t>
      </w:r>
      <w:r>
        <w:rPr>
          <w:color w:val="1B1B22"/>
          <w:spacing w:val="-10"/>
        </w:rPr>
        <w:t> </w:t>
      </w:r>
      <w:r>
        <w:rPr>
          <w:color w:val="1B1B22"/>
          <w:spacing w:val="-2"/>
        </w:rPr>
        <w:t>R$0.48.</w:t>
      </w:r>
    </w:p>
    <w:p>
      <w:pPr>
        <w:pStyle w:val="Heading1"/>
        <w:spacing w:before="181"/>
        <w:jc w:val="both"/>
      </w:pPr>
      <w:r>
        <w:rPr>
          <w:color w:val="465EFF"/>
          <w:spacing w:val="31"/>
        </w:rPr>
        <w:t>Strategy</w:t>
      </w:r>
      <w:r>
        <w:rPr>
          <w:color w:val="465EFF"/>
          <w:spacing w:val="64"/>
        </w:rPr>
        <w:t> </w:t>
      </w:r>
      <w:r>
        <w:rPr>
          <w:color w:val="465EFF"/>
          <w:spacing w:val="27"/>
        </w:rPr>
        <w:t>and</w:t>
      </w:r>
      <w:r>
        <w:rPr>
          <w:color w:val="465EFF"/>
          <w:spacing w:val="71"/>
        </w:rPr>
        <w:t> </w:t>
      </w:r>
      <w:r>
        <w:rPr>
          <w:color w:val="465EFF"/>
          <w:spacing w:val="31"/>
        </w:rPr>
        <w:t>Governance</w:t>
      </w:r>
      <w:r>
        <w:rPr>
          <w:color w:val="465EFF"/>
          <w:spacing w:val="68"/>
        </w:rPr>
        <w:t> </w:t>
      </w:r>
      <w:r>
        <w:rPr>
          <w:color w:val="465EFF"/>
          <w:spacing w:val="32"/>
        </w:rPr>
        <w:t>Corporate</w:t>
      </w:r>
    </w:p>
    <w:p>
      <w:pPr>
        <w:pStyle w:val="BodyText"/>
        <w:spacing w:before="2"/>
        <w:jc w:val="left"/>
        <w:rPr>
          <w:rFonts w:ascii="BancoDoBrasil Titulos"/>
        </w:rPr>
      </w:pPr>
    </w:p>
    <w:p>
      <w:pPr>
        <w:pStyle w:val="BodyText"/>
        <w:spacing w:after="0"/>
        <w:jc w:val="left"/>
        <w:rPr>
          <w:rFonts w:ascii="BancoDoBrasil Titulos"/>
        </w:rPr>
        <w:sectPr>
          <w:pgSz w:w="11910" w:h="16850"/>
          <w:pgMar w:header="152" w:footer="572" w:top="900" w:bottom="760" w:left="283" w:right="283"/>
        </w:sectPr>
      </w:pPr>
    </w:p>
    <w:p>
      <w:pPr>
        <w:pStyle w:val="BodyText"/>
        <w:jc w:val="left"/>
        <w:rPr>
          <w:rFonts w:ascii="BancoDoBrasil Titulos"/>
        </w:rPr>
      </w:pPr>
      <w:r>
        <w:rPr>
          <w:rFonts w:ascii="BancoDoBrasil Titulos"/>
        </w:rPr>
        <mc:AlternateContent>
          <mc:Choice Requires="wps">
            <w:drawing>
              <wp:anchor distT="0" distB="0" distL="0" distR="0" allowOverlap="1" layoutInCell="1" locked="0" behindDoc="0" simplePos="0" relativeHeight="15731712">
                <wp:simplePos x="0" y="0"/>
                <wp:positionH relativeFrom="page">
                  <wp:posOffset>0</wp:posOffset>
                </wp:positionH>
                <wp:positionV relativeFrom="page">
                  <wp:posOffset>3477285</wp:posOffset>
                </wp:positionV>
                <wp:extent cx="3849370" cy="4429125"/>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3849370" cy="4429125"/>
                          <a:chExt cx="3849370" cy="4429125"/>
                        </a:xfrm>
                      </wpg:grpSpPr>
                      <wps:wsp>
                        <wps:cNvPr id="21" name="Graphic 21"/>
                        <wps:cNvSpPr/>
                        <wps:spPr>
                          <a:xfrm>
                            <a:off x="0" y="0"/>
                            <a:ext cx="3849370" cy="4429125"/>
                          </a:xfrm>
                          <a:custGeom>
                            <a:avLst/>
                            <a:gdLst/>
                            <a:ahLst/>
                            <a:cxnLst/>
                            <a:rect l="l" t="t" r="r" b="b"/>
                            <a:pathLst>
                              <a:path w="3849370" h="4429125">
                                <a:moveTo>
                                  <a:pt x="3849370" y="0"/>
                                </a:moveTo>
                                <a:lnTo>
                                  <a:pt x="0" y="0"/>
                                </a:lnTo>
                                <a:lnTo>
                                  <a:pt x="0" y="4429125"/>
                                </a:lnTo>
                                <a:lnTo>
                                  <a:pt x="3849370" y="4429125"/>
                                </a:lnTo>
                                <a:lnTo>
                                  <a:pt x="3849370" y="0"/>
                                </a:lnTo>
                                <a:close/>
                              </a:path>
                            </a:pathLst>
                          </a:custGeom>
                          <a:solidFill>
                            <a:srgbClr val="FFB7AB"/>
                          </a:solidFill>
                        </wps:spPr>
                        <wps:bodyPr wrap="square" lIns="0" tIns="0" rIns="0" bIns="0" rtlCol="0">
                          <a:prstTxWarp prst="textNoShape">
                            <a:avLst/>
                          </a:prstTxWarp>
                          <a:noAutofit/>
                        </wps:bodyPr>
                      </wps:wsp>
                      <wps:wsp>
                        <wps:cNvPr id="22" name="Textbox 22"/>
                        <wps:cNvSpPr txBox="1"/>
                        <wps:spPr>
                          <a:xfrm>
                            <a:off x="541080" y="163265"/>
                            <a:ext cx="3028315" cy="3754754"/>
                          </a:xfrm>
                          <a:prstGeom prst="rect">
                            <a:avLst/>
                          </a:prstGeom>
                        </wps:spPr>
                        <wps:txbx>
                          <w:txbxContent>
                            <w:p>
                              <w:pPr>
                                <w:spacing w:line="232" w:lineRule="exact" w:before="0"/>
                                <w:ind w:left="0" w:right="0" w:firstLine="0"/>
                                <w:jc w:val="both"/>
                                <w:rPr>
                                  <w:sz w:val="20"/>
                                </w:rPr>
                              </w:pPr>
                              <w:r>
                                <w:rPr>
                                  <w:color w:val="1B1B22"/>
                                  <w:sz w:val="20"/>
                                </w:rPr>
                                <w:t>The</w:t>
                              </w:r>
                              <w:r>
                                <w:rPr>
                                  <w:color w:val="1B1B22"/>
                                  <w:spacing w:val="32"/>
                                  <w:sz w:val="20"/>
                                </w:rPr>
                                <w:t> </w:t>
                              </w:r>
                              <w:r>
                                <w:rPr>
                                  <w:color w:val="1B1B22"/>
                                  <w:sz w:val="20"/>
                                </w:rPr>
                                <w:t>Corporate</w:t>
                              </w:r>
                              <w:r>
                                <w:rPr>
                                  <w:color w:val="1B1B22"/>
                                  <w:spacing w:val="32"/>
                                  <w:sz w:val="20"/>
                                </w:rPr>
                                <w:t> </w:t>
                              </w:r>
                              <w:r>
                                <w:rPr>
                                  <w:color w:val="1B1B22"/>
                                  <w:sz w:val="20"/>
                                </w:rPr>
                                <w:t>Strategy</w:t>
                              </w:r>
                              <w:r>
                                <w:rPr>
                                  <w:color w:val="1B1B22"/>
                                  <w:spacing w:val="33"/>
                                  <w:sz w:val="20"/>
                                </w:rPr>
                                <w:t> </w:t>
                              </w:r>
                              <w:r>
                                <w:rPr>
                                  <w:color w:val="1B1B22"/>
                                  <w:sz w:val="20"/>
                                </w:rPr>
                                <w:t>(ECBB)</w:t>
                              </w:r>
                              <w:r>
                                <w:rPr>
                                  <w:color w:val="1B1B22"/>
                                  <w:spacing w:val="32"/>
                                  <w:sz w:val="20"/>
                                </w:rPr>
                                <w:t> </w:t>
                              </w:r>
                              <w:r>
                                <w:rPr>
                                  <w:color w:val="1B1B22"/>
                                  <w:sz w:val="20"/>
                                </w:rPr>
                                <w:t>is</w:t>
                              </w:r>
                              <w:r>
                                <w:rPr>
                                  <w:color w:val="1B1B22"/>
                                  <w:spacing w:val="34"/>
                                  <w:sz w:val="20"/>
                                </w:rPr>
                                <w:t> </w:t>
                              </w:r>
                              <w:r>
                                <w:rPr>
                                  <w:color w:val="1B1B22"/>
                                  <w:sz w:val="20"/>
                                </w:rPr>
                                <w:t>the</w:t>
                              </w:r>
                              <w:r>
                                <w:rPr>
                                  <w:color w:val="1B1B22"/>
                                  <w:spacing w:val="32"/>
                                  <w:sz w:val="20"/>
                                </w:rPr>
                                <w:t> </w:t>
                              </w:r>
                              <w:r>
                                <w:rPr>
                                  <w:color w:val="1B1B22"/>
                                  <w:spacing w:val="-2"/>
                                  <w:sz w:val="20"/>
                                </w:rPr>
                                <w:t>document</w:t>
                              </w:r>
                            </w:p>
                            <w:p>
                              <w:pPr>
                                <w:spacing w:line="321" w:lineRule="auto" w:before="86"/>
                                <w:ind w:left="0" w:right="19" w:firstLine="0"/>
                                <w:jc w:val="both"/>
                                <w:rPr>
                                  <w:sz w:val="20"/>
                                </w:rPr>
                              </w:pPr>
                              <w:r>
                                <w:rPr>
                                  <w:color w:val="1B1B22"/>
                                  <w:sz w:val="20"/>
                                </w:rPr>
                                <w:t>that reflects the essence of our company. It is our why as an organization. It involves defining priorities, clear goals, allocating resources and making strategic decisions that will help us generate more sustainable results and value for society as a whole.</w:t>
                              </w:r>
                            </w:p>
                            <w:p>
                              <w:pPr>
                                <w:spacing w:line="321" w:lineRule="auto" w:before="115"/>
                                <w:ind w:left="0" w:right="18" w:firstLine="0"/>
                                <w:jc w:val="both"/>
                                <w:rPr>
                                  <w:sz w:val="20"/>
                                </w:rPr>
                              </w:pPr>
                              <w:r>
                                <w:rPr>
                                  <w:color w:val="1B1B22"/>
                                  <w:sz w:val="20"/>
                                </w:rPr>
                                <w:t>The ECBB has a five-year time horizon and is reviewed every year through a structured, participatory process using consolidated methodologies, was approved in December 2024.</w:t>
                              </w:r>
                            </w:p>
                            <w:p>
                              <w:pPr>
                                <w:spacing w:line="321" w:lineRule="auto" w:before="119"/>
                                <w:ind w:left="0" w:right="19" w:firstLine="0"/>
                                <w:jc w:val="both"/>
                                <w:rPr>
                                  <w:sz w:val="20"/>
                                </w:rPr>
                              </w:pPr>
                              <w:r>
                                <w:rPr>
                                  <w:color w:val="1B1B22"/>
                                  <w:sz w:val="20"/>
                                </w:rPr>
                                <w:t>In this cycle, we ratified our purpose and values, reaffirming our commitment to supporting our customers and partners at all times. And we maintained</w:t>
                              </w:r>
                              <w:r>
                                <w:rPr>
                                  <w:color w:val="1B1B22"/>
                                  <w:spacing w:val="-9"/>
                                  <w:sz w:val="20"/>
                                </w:rPr>
                                <w:t> </w:t>
                              </w:r>
                              <w:r>
                                <w:rPr>
                                  <w:color w:val="1B1B22"/>
                                  <w:sz w:val="20"/>
                                </w:rPr>
                                <w:t>our</w:t>
                              </w:r>
                              <w:r>
                                <w:rPr>
                                  <w:color w:val="1B1B22"/>
                                  <w:spacing w:val="-9"/>
                                  <w:sz w:val="20"/>
                                </w:rPr>
                                <w:t> </w:t>
                              </w:r>
                              <w:r>
                                <w:rPr>
                                  <w:color w:val="1B1B22"/>
                                  <w:sz w:val="20"/>
                                </w:rPr>
                                <w:t>focus</w:t>
                              </w:r>
                              <w:r>
                                <w:rPr>
                                  <w:color w:val="1B1B22"/>
                                  <w:spacing w:val="-8"/>
                                  <w:sz w:val="20"/>
                                </w:rPr>
                                <w:t> </w:t>
                              </w:r>
                              <w:r>
                                <w:rPr>
                                  <w:color w:val="1B1B22"/>
                                  <w:sz w:val="20"/>
                                </w:rPr>
                                <w:t>on</w:t>
                              </w:r>
                              <w:r>
                                <w:rPr>
                                  <w:color w:val="1B1B22"/>
                                  <w:spacing w:val="-8"/>
                                  <w:sz w:val="20"/>
                                </w:rPr>
                                <w:t> </w:t>
                              </w:r>
                              <w:r>
                                <w:rPr>
                                  <w:color w:val="1B1B22"/>
                                  <w:sz w:val="20"/>
                                </w:rPr>
                                <w:t>our</w:t>
                              </w:r>
                              <w:r>
                                <w:rPr>
                                  <w:color w:val="1B1B22"/>
                                  <w:spacing w:val="-9"/>
                                  <w:sz w:val="20"/>
                                </w:rPr>
                                <w:t> </w:t>
                              </w:r>
                              <w:r>
                                <w:rPr>
                                  <w:color w:val="1B1B22"/>
                                  <w:sz w:val="20"/>
                                </w:rPr>
                                <w:t>long-term</w:t>
                              </w:r>
                              <w:r>
                                <w:rPr>
                                  <w:color w:val="1B1B22"/>
                                  <w:spacing w:val="-9"/>
                                  <w:sz w:val="20"/>
                                </w:rPr>
                                <w:t> </w:t>
                              </w:r>
                              <w:r>
                                <w:rPr>
                                  <w:color w:val="1B1B22"/>
                                  <w:sz w:val="20"/>
                                </w:rPr>
                                <w:t>objectives, which</w:t>
                              </w:r>
                              <w:r>
                                <w:rPr>
                                  <w:color w:val="1B1B22"/>
                                  <w:spacing w:val="78"/>
                                  <w:sz w:val="20"/>
                                </w:rPr>
                                <w:t> </w:t>
                              </w:r>
                              <w:r>
                                <w:rPr>
                                  <w:color w:val="1B1B22"/>
                                  <w:sz w:val="20"/>
                                </w:rPr>
                                <w:t>guide</w:t>
                              </w:r>
                              <w:r>
                                <w:rPr>
                                  <w:color w:val="1B1B22"/>
                                  <w:spacing w:val="77"/>
                                  <w:sz w:val="20"/>
                                </w:rPr>
                                <w:t> </w:t>
                              </w:r>
                              <w:r>
                                <w:rPr>
                                  <w:color w:val="1B1B22"/>
                                  <w:sz w:val="20"/>
                                </w:rPr>
                                <w:t>our</w:t>
                              </w:r>
                              <w:r>
                                <w:rPr>
                                  <w:color w:val="1B1B22"/>
                                  <w:spacing w:val="77"/>
                                  <w:sz w:val="20"/>
                                </w:rPr>
                                <w:t> </w:t>
                              </w:r>
                              <w:r>
                                <w:rPr>
                                  <w:color w:val="1B1B22"/>
                                  <w:sz w:val="20"/>
                                </w:rPr>
                                <w:t>actions</w:t>
                              </w:r>
                              <w:r>
                                <w:rPr>
                                  <w:color w:val="1B1B22"/>
                                  <w:spacing w:val="78"/>
                                  <w:sz w:val="20"/>
                                </w:rPr>
                                <w:t> </w:t>
                              </w:r>
                              <w:r>
                                <w:rPr>
                                  <w:color w:val="1B1B22"/>
                                  <w:sz w:val="20"/>
                                </w:rPr>
                                <w:t>focused</w:t>
                              </w:r>
                              <w:r>
                                <w:rPr>
                                  <w:color w:val="1B1B22"/>
                                  <w:spacing w:val="78"/>
                                  <w:sz w:val="20"/>
                                </w:rPr>
                                <w:t> </w:t>
                              </w:r>
                              <w:r>
                                <w:rPr>
                                  <w:color w:val="1B1B22"/>
                                  <w:sz w:val="20"/>
                                </w:rPr>
                                <w:t>on</w:t>
                              </w:r>
                              <w:r>
                                <w:rPr>
                                  <w:color w:val="1B1B22"/>
                                  <w:spacing w:val="78"/>
                                  <w:sz w:val="20"/>
                                </w:rPr>
                                <w:t> </w:t>
                              </w:r>
                              <w:r>
                                <w:rPr>
                                  <w:color w:val="1B1B22"/>
                                  <w:spacing w:val="-2"/>
                                  <w:sz w:val="20"/>
                                </w:rPr>
                                <w:t>customer</w:t>
                              </w:r>
                            </w:p>
                            <w:p>
                              <w:pPr>
                                <w:spacing w:line="242" w:lineRule="exact" w:before="0"/>
                                <w:ind w:left="0" w:right="0" w:firstLine="0"/>
                                <w:jc w:val="both"/>
                                <w:rPr>
                                  <w:sz w:val="20"/>
                                </w:rPr>
                              </w:pPr>
                              <w:r>
                                <w:rPr>
                                  <w:color w:val="1B1B22"/>
                                  <w:sz w:val="20"/>
                                </w:rPr>
                                <w:t>experience,</w:t>
                              </w:r>
                              <w:r>
                                <w:rPr>
                                  <w:color w:val="1B1B22"/>
                                  <w:spacing w:val="66"/>
                                  <w:sz w:val="20"/>
                                </w:rPr>
                                <w:t>    </w:t>
                              </w:r>
                              <w:r>
                                <w:rPr>
                                  <w:color w:val="1B1B22"/>
                                  <w:sz w:val="20"/>
                                </w:rPr>
                                <w:t>social</w:t>
                              </w:r>
                              <w:r>
                                <w:rPr>
                                  <w:color w:val="1B1B22"/>
                                  <w:spacing w:val="67"/>
                                  <w:sz w:val="20"/>
                                </w:rPr>
                                <w:t>    </w:t>
                              </w:r>
                              <w:r>
                                <w:rPr>
                                  <w:color w:val="1B1B22"/>
                                  <w:sz w:val="20"/>
                                </w:rPr>
                                <w:t>and</w:t>
                              </w:r>
                              <w:r>
                                <w:rPr>
                                  <w:color w:val="1B1B22"/>
                                  <w:spacing w:val="66"/>
                                  <w:sz w:val="20"/>
                                </w:rPr>
                                <w:t>    </w:t>
                              </w:r>
                              <w:r>
                                <w:rPr>
                                  <w:color w:val="1B1B22"/>
                                  <w:spacing w:val="-2"/>
                                  <w:sz w:val="20"/>
                                </w:rPr>
                                <w:t>environmental</w:t>
                              </w:r>
                            </w:p>
                          </w:txbxContent>
                        </wps:txbx>
                        <wps:bodyPr wrap="square" lIns="0" tIns="0" rIns="0" bIns="0" rtlCol="0">
                          <a:noAutofit/>
                        </wps:bodyPr>
                      </wps:wsp>
                      <wps:wsp>
                        <wps:cNvPr id="23" name="Textbox 23"/>
                        <wps:cNvSpPr txBox="1"/>
                        <wps:spPr>
                          <a:xfrm>
                            <a:off x="541080" y="3991798"/>
                            <a:ext cx="840740" cy="358775"/>
                          </a:xfrm>
                          <a:prstGeom prst="rect">
                            <a:avLst/>
                          </a:prstGeom>
                        </wps:spPr>
                        <wps:txbx>
                          <w:txbxContent>
                            <w:p>
                              <w:pPr>
                                <w:spacing w:line="232" w:lineRule="exact" w:before="0"/>
                                <w:ind w:left="0" w:right="0" w:firstLine="0"/>
                                <w:jc w:val="left"/>
                                <w:rPr>
                                  <w:sz w:val="20"/>
                                </w:rPr>
                              </w:pPr>
                              <w:r>
                                <w:rPr>
                                  <w:color w:val="1B1B22"/>
                                  <w:spacing w:val="-2"/>
                                  <w:sz w:val="20"/>
                                </w:rPr>
                                <w:t>responsibility,</w:t>
                              </w:r>
                            </w:p>
                            <w:p>
                              <w:pPr>
                                <w:spacing w:line="246" w:lineRule="exact" w:before="86"/>
                                <w:ind w:left="0" w:right="0" w:firstLine="0"/>
                                <w:jc w:val="left"/>
                                <w:rPr>
                                  <w:sz w:val="20"/>
                                </w:rPr>
                              </w:pPr>
                              <w:r>
                                <w:rPr>
                                  <w:color w:val="1B1B22"/>
                                  <w:spacing w:val="-2"/>
                                  <w:sz w:val="20"/>
                                </w:rPr>
                                <w:t>innovation.</w:t>
                              </w:r>
                            </w:p>
                          </w:txbxContent>
                        </wps:txbx>
                        <wps:bodyPr wrap="square" lIns="0" tIns="0" rIns="0" bIns="0" rtlCol="0">
                          <a:noAutofit/>
                        </wps:bodyPr>
                      </wps:wsp>
                      <wps:wsp>
                        <wps:cNvPr id="24" name="Textbox 24"/>
                        <wps:cNvSpPr txBox="1"/>
                        <wps:spPr>
                          <a:xfrm>
                            <a:off x="1594164" y="3991798"/>
                            <a:ext cx="395605" cy="142875"/>
                          </a:xfrm>
                          <a:prstGeom prst="rect">
                            <a:avLst/>
                          </a:prstGeom>
                        </wps:spPr>
                        <wps:txbx>
                          <w:txbxContent>
                            <w:p>
                              <w:pPr>
                                <w:spacing w:line="224" w:lineRule="exact" w:before="0"/>
                                <w:ind w:left="0" w:right="0" w:firstLine="0"/>
                                <w:jc w:val="left"/>
                                <w:rPr>
                                  <w:sz w:val="20"/>
                                </w:rPr>
                              </w:pPr>
                              <w:r>
                                <w:rPr>
                                  <w:color w:val="1B1B22"/>
                                  <w:spacing w:val="-2"/>
                                  <w:sz w:val="20"/>
                                </w:rPr>
                                <w:t>digital</w:t>
                              </w:r>
                            </w:p>
                          </w:txbxContent>
                        </wps:txbx>
                        <wps:bodyPr wrap="square" lIns="0" tIns="0" rIns="0" bIns="0" rtlCol="0">
                          <a:noAutofit/>
                        </wps:bodyPr>
                      </wps:wsp>
                      <wps:wsp>
                        <wps:cNvPr id="25" name="Textbox 25"/>
                        <wps:cNvSpPr txBox="1"/>
                        <wps:spPr>
                          <a:xfrm>
                            <a:off x="2203742" y="3991798"/>
                            <a:ext cx="1364615" cy="142875"/>
                          </a:xfrm>
                          <a:prstGeom prst="rect">
                            <a:avLst/>
                          </a:prstGeom>
                        </wps:spPr>
                        <wps:txbx>
                          <w:txbxContent>
                            <w:p>
                              <w:pPr>
                                <w:tabs>
                                  <w:tab w:pos="1778" w:val="left" w:leader="none"/>
                                </w:tabs>
                                <w:spacing w:line="224" w:lineRule="exact" w:before="0"/>
                                <w:ind w:left="0" w:right="0" w:firstLine="0"/>
                                <w:jc w:val="left"/>
                                <w:rPr>
                                  <w:sz w:val="20"/>
                                </w:rPr>
                              </w:pPr>
                              <w:r>
                                <w:rPr>
                                  <w:color w:val="1B1B22"/>
                                  <w:spacing w:val="-2"/>
                                  <w:sz w:val="20"/>
                                </w:rPr>
                                <w:t>transformation</w:t>
                              </w:r>
                              <w:r>
                                <w:rPr>
                                  <w:color w:val="1B1B22"/>
                                  <w:sz w:val="20"/>
                                </w:rPr>
                                <w:tab/>
                              </w:r>
                              <w:r>
                                <w:rPr>
                                  <w:color w:val="1B1B22"/>
                                  <w:spacing w:val="-5"/>
                                  <w:sz w:val="20"/>
                                </w:rPr>
                                <w:t>and</w:t>
                              </w:r>
                            </w:p>
                          </w:txbxContent>
                        </wps:txbx>
                        <wps:bodyPr wrap="square" lIns="0" tIns="0" rIns="0" bIns="0" rtlCol="0">
                          <a:noAutofit/>
                        </wps:bodyPr>
                      </wps:wsp>
                    </wpg:wgp>
                  </a:graphicData>
                </a:graphic>
              </wp:anchor>
            </w:drawing>
          </mc:Choice>
          <mc:Fallback>
            <w:pict>
              <v:group style="position:absolute;margin-left:0pt;margin-top:273.801971pt;width:303.1pt;height:348.75pt;mso-position-horizontal-relative:page;mso-position-vertical-relative:page;z-index:15731712" id="docshapegroup20" coordorigin="0,5476" coordsize="6062,6975">
                <v:rect style="position:absolute;left:0;top:5476;width:6062;height:6975" id="docshape21" filled="true" fillcolor="#ffb7ab" stroked="false">
                  <v:fill type="solid"/>
                </v:rect>
                <v:shape style="position:absolute;left:852;top:5733;width:4769;height:5913" type="#_x0000_t202" id="docshape22" filled="false" stroked="false">
                  <v:textbox inset="0,0,0,0">
                    <w:txbxContent>
                      <w:p>
                        <w:pPr>
                          <w:spacing w:line="232" w:lineRule="exact" w:before="0"/>
                          <w:ind w:left="0" w:right="0" w:firstLine="0"/>
                          <w:jc w:val="both"/>
                          <w:rPr>
                            <w:sz w:val="20"/>
                          </w:rPr>
                        </w:pPr>
                        <w:r>
                          <w:rPr>
                            <w:color w:val="1B1B22"/>
                            <w:sz w:val="20"/>
                          </w:rPr>
                          <w:t>The</w:t>
                        </w:r>
                        <w:r>
                          <w:rPr>
                            <w:color w:val="1B1B22"/>
                            <w:spacing w:val="32"/>
                            <w:sz w:val="20"/>
                          </w:rPr>
                          <w:t> </w:t>
                        </w:r>
                        <w:r>
                          <w:rPr>
                            <w:color w:val="1B1B22"/>
                            <w:sz w:val="20"/>
                          </w:rPr>
                          <w:t>Corporate</w:t>
                        </w:r>
                        <w:r>
                          <w:rPr>
                            <w:color w:val="1B1B22"/>
                            <w:spacing w:val="32"/>
                            <w:sz w:val="20"/>
                          </w:rPr>
                          <w:t> </w:t>
                        </w:r>
                        <w:r>
                          <w:rPr>
                            <w:color w:val="1B1B22"/>
                            <w:sz w:val="20"/>
                          </w:rPr>
                          <w:t>Strategy</w:t>
                        </w:r>
                        <w:r>
                          <w:rPr>
                            <w:color w:val="1B1B22"/>
                            <w:spacing w:val="33"/>
                            <w:sz w:val="20"/>
                          </w:rPr>
                          <w:t> </w:t>
                        </w:r>
                        <w:r>
                          <w:rPr>
                            <w:color w:val="1B1B22"/>
                            <w:sz w:val="20"/>
                          </w:rPr>
                          <w:t>(ECBB)</w:t>
                        </w:r>
                        <w:r>
                          <w:rPr>
                            <w:color w:val="1B1B22"/>
                            <w:spacing w:val="32"/>
                            <w:sz w:val="20"/>
                          </w:rPr>
                          <w:t> </w:t>
                        </w:r>
                        <w:r>
                          <w:rPr>
                            <w:color w:val="1B1B22"/>
                            <w:sz w:val="20"/>
                          </w:rPr>
                          <w:t>is</w:t>
                        </w:r>
                        <w:r>
                          <w:rPr>
                            <w:color w:val="1B1B22"/>
                            <w:spacing w:val="34"/>
                            <w:sz w:val="20"/>
                          </w:rPr>
                          <w:t> </w:t>
                        </w:r>
                        <w:r>
                          <w:rPr>
                            <w:color w:val="1B1B22"/>
                            <w:sz w:val="20"/>
                          </w:rPr>
                          <w:t>the</w:t>
                        </w:r>
                        <w:r>
                          <w:rPr>
                            <w:color w:val="1B1B22"/>
                            <w:spacing w:val="32"/>
                            <w:sz w:val="20"/>
                          </w:rPr>
                          <w:t> </w:t>
                        </w:r>
                        <w:r>
                          <w:rPr>
                            <w:color w:val="1B1B22"/>
                            <w:spacing w:val="-2"/>
                            <w:sz w:val="20"/>
                          </w:rPr>
                          <w:t>document</w:t>
                        </w:r>
                      </w:p>
                      <w:p>
                        <w:pPr>
                          <w:spacing w:line="321" w:lineRule="auto" w:before="86"/>
                          <w:ind w:left="0" w:right="19" w:firstLine="0"/>
                          <w:jc w:val="both"/>
                          <w:rPr>
                            <w:sz w:val="20"/>
                          </w:rPr>
                        </w:pPr>
                        <w:r>
                          <w:rPr>
                            <w:color w:val="1B1B22"/>
                            <w:sz w:val="20"/>
                          </w:rPr>
                          <w:t>that reflects the essence of our company. It is our why as an organization. It involves defining priorities, clear goals, allocating resources and making strategic decisions that will help us generate more sustainable results and value for society as a whole.</w:t>
                        </w:r>
                      </w:p>
                      <w:p>
                        <w:pPr>
                          <w:spacing w:line="321" w:lineRule="auto" w:before="115"/>
                          <w:ind w:left="0" w:right="18" w:firstLine="0"/>
                          <w:jc w:val="both"/>
                          <w:rPr>
                            <w:sz w:val="20"/>
                          </w:rPr>
                        </w:pPr>
                        <w:r>
                          <w:rPr>
                            <w:color w:val="1B1B22"/>
                            <w:sz w:val="20"/>
                          </w:rPr>
                          <w:t>The ECBB has a five-year time horizon and is reviewed every year through a structured, participatory process using consolidated methodologies, was approved in December 2024.</w:t>
                        </w:r>
                      </w:p>
                      <w:p>
                        <w:pPr>
                          <w:spacing w:line="321" w:lineRule="auto" w:before="119"/>
                          <w:ind w:left="0" w:right="19" w:firstLine="0"/>
                          <w:jc w:val="both"/>
                          <w:rPr>
                            <w:sz w:val="20"/>
                          </w:rPr>
                        </w:pPr>
                        <w:r>
                          <w:rPr>
                            <w:color w:val="1B1B22"/>
                            <w:sz w:val="20"/>
                          </w:rPr>
                          <w:t>In this cycle, we ratified our purpose and values, reaffirming our commitment to supporting our customers and partners at all times. And we maintained</w:t>
                        </w:r>
                        <w:r>
                          <w:rPr>
                            <w:color w:val="1B1B22"/>
                            <w:spacing w:val="-9"/>
                            <w:sz w:val="20"/>
                          </w:rPr>
                          <w:t> </w:t>
                        </w:r>
                        <w:r>
                          <w:rPr>
                            <w:color w:val="1B1B22"/>
                            <w:sz w:val="20"/>
                          </w:rPr>
                          <w:t>our</w:t>
                        </w:r>
                        <w:r>
                          <w:rPr>
                            <w:color w:val="1B1B22"/>
                            <w:spacing w:val="-9"/>
                            <w:sz w:val="20"/>
                          </w:rPr>
                          <w:t> </w:t>
                        </w:r>
                        <w:r>
                          <w:rPr>
                            <w:color w:val="1B1B22"/>
                            <w:sz w:val="20"/>
                          </w:rPr>
                          <w:t>focus</w:t>
                        </w:r>
                        <w:r>
                          <w:rPr>
                            <w:color w:val="1B1B22"/>
                            <w:spacing w:val="-8"/>
                            <w:sz w:val="20"/>
                          </w:rPr>
                          <w:t> </w:t>
                        </w:r>
                        <w:r>
                          <w:rPr>
                            <w:color w:val="1B1B22"/>
                            <w:sz w:val="20"/>
                          </w:rPr>
                          <w:t>on</w:t>
                        </w:r>
                        <w:r>
                          <w:rPr>
                            <w:color w:val="1B1B22"/>
                            <w:spacing w:val="-8"/>
                            <w:sz w:val="20"/>
                          </w:rPr>
                          <w:t> </w:t>
                        </w:r>
                        <w:r>
                          <w:rPr>
                            <w:color w:val="1B1B22"/>
                            <w:sz w:val="20"/>
                          </w:rPr>
                          <w:t>our</w:t>
                        </w:r>
                        <w:r>
                          <w:rPr>
                            <w:color w:val="1B1B22"/>
                            <w:spacing w:val="-9"/>
                            <w:sz w:val="20"/>
                          </w:rPr>
                          <w:t> </w:t>
                        </w:r>
                        <w:r>
                          <w:rPr>
                            <w:color w:val="1B1B22"/>
                            <w:sz w:val="20"/>
                          </w:rPr>
                          <w:t>long-term</w:t>
                        </w:r>
                        <w:r>
                          <w:rPr>
                            <w:color w:val="1B1B22"/>
                            <w:spacing w:val="-9"/>
                            <w:sz w:val="20"/>
                          </w:rPr>
                          <w:t> </w:t>
                        </w:r>
                        <w:r>
                          <w:rPr>
                            <w:color w:val="1B1B22"/>
                            <w:sz w:val="20"/>
                          </w:rPr>
                          <w:t>objectives, which</w:t>
                        </w:r>
                        <w:r>
                          <w:rPr>
                            <w:color w:val="1B1B22"/>
                            <w:spacing w:val="78"/>
                            <w:sz w:val="20"/>
                          </w:rPr>
                          <w:t> </w:t>
                        </w:r>
                        <w:r>
                          <w:rPr>
                            <w:color w:val="1B1B22"/>
                            <w:sz w:val="20"/>
                          </w:rPr>
                          <w:t>guide</w:t>
                        </w:r>
                        <w:r>
                          <w:rPr>
                            <w:color w:val="1B1B22"/>
                            <w:spacing w:val="77"/>
                            <w:sz w:val="20"/>
                          </w:rPr>
                          <w:t> </w:t>
                        </w:r>
                        <w:r>
                          <w:rPr>
                            <w:color w:val="1B1B22"/>
                            <w:sz w:val="20"/>
                          </w:rPr>
                          <w:t>our</w:t>
                        </w:r>
                        <w:r>
                          <w:rPr>
                            <w:color w:val="1B1B22"/>
                            <w:spacing w:val="77"/>
                            <w:sz w:val="20"/>
                          </w:rPr>
                          <w:t> </w:t>
                        </w:r>
                        <w:r>
                          <w:rPr>
                            <w:color w:val="1B1B22"/>
                            <w:sz w:val="20"/>
                          </w:rPr>
                          <w:t>actions</w:t>
                        </w:r>
                        <w:r>
                          <w:rPr>
                            <w:color w:val="1B1B22"/>
                            <w:spacing w:val="78"/>
                            <w:sz w:val="20"/>
                          </w:rPr>
                          <w:t> </w:t>
                        </w:r>
                        <w:r>
                          <w:rPr>
                            <w:color w:val="1B1B22"/>
                            <w:sz w:val="20"/>
                          </w:rPr>
                          <w:t>focused</w:t>
                        </w:r>
                        <w:r>
                          <w:rPr>
                            <w:color w:val="1B1B22"/>
                            <w:spacing w:val="78"/>
                            <w:sz w:val="20"/>
                          </w:rPr>
                          <w:t> </w:t>
                        </w:r>
                        <w:r>
                          <w:rPr>
                            <w:color w:val="1B1B22"/>
                            <w:sz w:val="20"/>
                          </w:rPr>
                          <w:t>on</w:t>
                        </w:r>
                        <w:r>
                          <w:rPr>
                            <w:color w:val="1B1B22"/>
                            <w:spacing w:val="78"/>
                            <w:sz w:val="20"/>
                          </w:rPr>
                          <w:t> </w:t>
                        </w:r>
                        <w:r>
                          <w:rPr>
                            <w:color w:val="1B1B22"/>
                            <w:spacing w:val="-2"/>
                            <w:sz w:val="20"/>
                          </w:rPr>
                          <w:t>customer</w:t>
                        </w:r>
                      </w:p>
                      <w:p>
                        <w:pPr>
                          <w:spacing w:line="242" w:lineRule="exact" w:before="0"/>
                          <w:ind w:left="0" w:right="0" w:firstLine="0"/>
                          <w:jc w:val="both"/>
                          <w:rPr>
                            <w:sz w:val="20"/>
                          </w:rPr>
                        </w:pPr>
                        <w:r>
                          <w:rPr>
                            <w:color w:val="1B1B22"/>
                            <w:sz w:val="20"/>
                          </w:rPr>
                          <w:t>experience,</w:t>
                        </w:r>
                        <w:r>
                          <w:rPr>
                            <w:color w:val="1B1B22"/>
                            <w:spacing w:val="66"/>
                            <w:sz w:val="20"/>
                          </w:rPr>
                          <w:t>    </w:t>
                        </w:r>
                        <w:r>
                          <w:rPr>
                            <w:color w:val="1B1B22"/>
                            <w:sz w:val="20"/>
                          </w:rPr>
                          <w:t>social</w:t>
                        </w:r>
                        <w:r>
                          <w:rPr>
                            <w:color w:val="1B1B22"/>
                            <w:spacing w:val="67"/>
                            <w:sz w:val="20"/>
                          </w:rPr>
                          <w:t>    </w:t>
                        </w:r>
                        <w:r>
                          <w:rPr>
                            <w:color w:val="1B1B22"/>
                            <w:sz w:val="20"/>
                          </w:rPr>
                          <w:t>and</w:t>
                        </w:r>
                        <w:r>
                          <w:rPr>
                            <w:color w:val="1B1B22"/>
                            <w:spacing w:val="66"/>
                            <w:sz w:val="20"/>
                          </w:rPr>
                          <w:t>    </w:t>
                        </w:r>
                        <w:r>
                          <w:rPr>
                            <w:color w:val="1B1B22"/>
                            <w:spacing w:val="-2"/>
                            <w:sz w:val="20"/>
                          </w:rPr>
                          <w:t>environmental</w:t>
                        </w:r>
                      </w:p>
                    </w:txbxContent>
                  </v:textbox>
                  <w10:wrap type="none"/>
                </v:shape>
                <v:shape style="position:absolute;left:852;top:11762;width:1324;height:565" type="#_x0000_t202" id="docshape23" filled="false" stroked="false">
                  <v:textbox inset="0,0,0,0">
                    <w:txbxContent>
                      <w:p>
                        <w:pPr>
                          <w:spacing w:line="232" w:lineRule="exact" w:before="0"/>
                          <w:ind w:left="0" w:right="0" w:firstLine="0"/>
                          <w:jc w:val="left"/>
                          <w:rPr>
                            <w:sz w:val="20"/>
                          </w:rPr>
                        </w:pPr>
                        <w:r>
                          <w:rPr>
                            <w:color w:val="1B1B22"/>
                            <w:spacing w:val="-2"/>
                            <w:sz w:val="20"/>
                          </w:rPr>
                          <w:t>responsibility,</w:t>
                        </w:r>
                      </w:p>
                      <w:p>
                        <w:pPr>
                          <w:spacing w:line="246" w:lineRule="exact" w:before="86"/>
                          <w:ind w:left="0" w:right="0" w:firstLine="0"/>
                          <w:jc w:val="left"/>
                          <w:rPr>
                            <w:sz w:val="20"/>
                          </w:rPr>
                        </w:pPr>
                        <w:r>
                          <w:rPr>
                            <w:color w:val="1B1B22"/>
                            <w:spacing w:val="-2"/>
                            <w:sz w:val="20"/>
                          </w:rPr>
                          <w:t>innovation.</w:t>
                        </w:r>
                      </w:p>
                    </w:txbxContent>
                  </v:textbox>
                  <w10:wrap type="none"/>
                </v:shape>
                <v:shape style="position:absolute;left:2510;top:11762;width:623;height:225" type="#_x0000_t202" id="docshape24" filled="false" stroked="false">
                  <v:textbox inset="0,0,0,0">
                    <w:txbxContent>
                      <w:p>
                        <w:pPr>
                          <w:spacing w:line="224" w:lineRule="exact" w:before="0"/>
                          <w:ind w:left="0" w:right="0" w:firstLine="0"/>
                          <w:jc w:val="left"/>
                          <w:rPr>
                            <w:sz w:val="20"/>
                          </w:rPr>
                        </w:pPr>
                        <w:r>
                          <w:rPr>
                            <w:color w:val="1B1B22"/>
                            <w:spacing w:val="-2"/>
                            <w:sz w:val="20"/>
                          </w:rPr>
                          <w:t>digital</w:t>
                        </w:r>
                      </w:p>
                    </w:txbxContent>
                  </v:textbox>
                  <w10:wrap type="none"/>
                </v:shape>
                <v:shape style="position:absolute;left:3470;top:11762;width:2149;height:225" type="#_x0000_t202" id="docshape25" filled="false" stroked="false">
                  <v:textbox inset="0,0,0,0">
                    <w:txbxContent>
                      <w:p>
                        <w:pPr>
                          <w:tabs>
                            <w:tab w:pos="1778" w:val="left" w:leader="none"/>
                          </w:tabs>
                          <w:spacing w:line="224" w:lineRule="exact" w:before="0"/>
                          <w:ind w:left="0" w:right="0" w:firstLine="0"/>
                          <w:jc w:val="left"/>
                          <w:rPr>
                            <w:sz w:val="20"/>
                          </w:rPr>
                        </w:pPr>
                        <w:r>
                          <w:rPr>
                            <w:color w:val="1B1B22"/>
                            <w:spacing w:val="-2"/>
                            <w:sz w:val="20"/>
                          </w:rPr>
                          <w:t>transformation</w:t>
                        </w:r>
                        <w:r>
                          <w:rPr>
                            <w:color w:val="1B1B22"/>
                            <w:sz w:val="20"/>
                          </w:rPr>
                          <w:tab/>
                        </w:r>
                        <w:r>
                          <w:rPr>
                            <w:color w:val="1B1B22"/>
                            <w:spacing w:val="-5"/>
                            <w:sz w:val="20"/>
                          </w:rPr>
                          <w:t>and</w:t>
                        </w:r>
                      </w:p>
                    </w:txbxContent>
                  </v:textbox>
                  <w10:wrap type="none"/>
                </v:shape>
                <w10:wrap type="none"/>
              </v:group>
            </w:pict>
          </mc:Fallback>
        </mc:AlternateContent>
      </w:r>
    </w:p>
    <w:p>
      <w:pPr>
        <w:pStyle w:val="BodyText"/>
        <w:jc w:val="left"/>
        <w:rPr>
          <w:rFonts w:ascii="BancoDoBrasil Titulos"/>
        </w:rPr>
      </w:pPr>
    </w:p>
    <w:p>
      <w:pPr>
        <w:pStyle w:val="BodyText"/>
        <w:jc w:val="left"/>
        <w:rPr>
          <w:rFonts w:ascii="BancoDoBrasil Titulos"/>
        </w:rPr>
      </w:pPr>
    </w:p>
    <w:p>
      <w:pPr>
        <w:pStyle w:val="BodyText"/>
        <w:jc w:val="left"/>
        <w:rPr>
          <w:rFonts w:ascii="BancoDoBrasil Titulos"/>
        </w:rPr>
      </w:pPr>
    </w:p>
    <w:p>
      <w:pPr>
        <w:pStyle w:val="BodyText"/>
        <w:jc w:val="left"/>
        <w:rPr>
          <w:rFonts w:ascii="BancoDoBrasil Titulos"/>
        </w:rPr>
      </w:pPr>
    </w:p>
    <w:p>
      <w:pPr>
        <w:pStyle w:val="BodyText"/>
        <w:jc w:val="left"/>
        <w:rPr>
          <w:rFonts w:ascii="BancoDoBrasil Titulos"/>
        </w:rPr>
      </w:pPr>
    </w:p>
    <w:p>
      <w:pPr>
        <w:pStyle w:val="BodyText"/>
        <w:jc w:val="left"/>
        <w:rPr>
          <w:rFonts w:ascii="BancoDoBrasil Titulos"/>
        </w:rPr>
      </w:pPr>
    </w:p>
    <w:p>
      <w:pPr>
        <w:pStyle w:val="BodyText"/>
        <w:jc w:val="left"/>
        <w:rPr>
          <w:rFonts w:ascii="BancoDoBrasil Titulos"/>
        </w:rPr>
      </w:pPr>
    </w:p>
    <w:p>
      <w:pPr>
        <w:pStyle w:val="BodyText"/>
        <w:jc w:val="left"/>
        <w:rPr>
          <w:rFonts w:ascii="BancoDoBrasil Titulos"/>
        </w:rPr>
      </w:pPr>
    </w:p>
    <w:p>
      <w:pPr>
        <w:pStyle w:val="BodyText"/>
        <w:jc w:val="left"/>
        <w:rPr>
          <w:rFonts w:ascii="BancoDoBrasil Titulos"/>
        </w:rPr>
      </w:pPr>
    </w:p>
    <w:p>
      <w:pPr>
        <w:pStyle w:val="BodyText"/>
        <w:jc w:val="left"/>
        <w:rPr>
          <w:rFonts w:ascii="BancoDoBrasil Titulos"/>
        </w:rPr>
      </w:pPr>
    </w:p>
    <w:p>
      <w:pPr>
        <w:pStyle w:val="BodyText"/>
        <w:jc w:val="left"/>
        <w:rPr>
          <w:rFonts w:ascii="BancoDoBrasil Titulos"/>
        </w:rPr>
      </w:pPr>
    </w:p>
    <w:p>
      <w:pPr>
        <w:pStyle w:val="BodyText"/>
        <w:jc w:val="left"/>
        <w:rPr>
          <w:rFonts w:ascii="BancoDoBrasil Titulos"/>
        </w:rPr>
      </w:pPr>
    </w:p>
    <w:p>
      <w:pPr>
        <w:pStyle w:val="BodyText"/>
        <w:jc w:val="left"/>
        <w:rPr>
          <w:rFonts w:ascii="BancoDoBrasil Titulos"/>
        </w:rPr>
      </w:pPr>
    </w:p>
    <w:p>
      <w:pPr>
        <w:pStyle w:val="BodyText"/>
        <w:jc w:val="left"/>
        <w:rPr>
          <w:rFonts w:ascii="BancoDoBrasil Titulos"/>
        </w:rPr>
      </w:pPr>
    </w:p>
    <w:p>
      <w:pPr>
        <w:pStyle w:val="BodyText"/>
        <w:jc w:val="left"/>
        <w:rPr>
          <w:rFonts w:ascii="BancoDoBrasil Titulos"/>
        </w:rPr>
      </w:pPr>
    </w:p>
    <w:p>
      <w:pPr>
        <w:pStyle w:val="BodyText"/>
        <w:jc w:val="left"/>
        <w:rPr>
          <w:rFonts w:ascii="BancoDoBrasil Titulos"/>
        </w:rPr>
      </w:pPr>
    </w:p>
    <w:p>
      <w:pPr>
        <w:pStyle w:val="BodyText"/>
        <w:jc w:val="left"/>
        <w:rPr>
          <w:rFonts w:ascii="BancoDoBrasil Titulos"/>
        </w:rPr>
      </w:pPr>
    </w:p>
    <w:p>
      <w:pPr>
        <w:pStyle w:val="BodyText"/>
        <w:jc w:val="left"/>
        <w:rPr>
          <w:rFonts w:ascii="BancoDoBrasil Titulos"/>
        </w:rPr>
      </w:pPr>
    </w:p>
    <w:p>
      <w:pPr>
        <w:pStyle w:val="BodyText"/>
        <w:jc w:val="left"/>
        <w:rPr>
          <w:rFonts w:ascii="BancoDoBrasil Titulos"/>
        </w:rPr>
      </w:pPr>
    </w:p>
    <w:p>
      <w:pPr>
        <w:pStyle w:val="BodyText"/>
        <w:jc w:val="left"/>
        <w:rPr>
          <w:rFonts w:ascii="BancoDoBrasil Titulos"/>
        </w:rPr>
      </w:pPr>
    </w:p>
    <w:p>
      <w:pPr>
        <w:pStyle w:val="BodyText"/>
        <w:jc w:val="left"/>
        <w:rPr>
          <w:rFonts w:ascii="BancoDoBrasil Titulos"/>
        </w:rPr>
      </w:pPr>
    </w:p>
    <w:p>
      <w:pPr>
        <w:pStyle w:val="BodyText"/>
        <w:jc w:val="left"/>
        <w:rPr>
          <w:rFonts w:ascii="BancoDoBrasil Titulos"/>
        </w:rPr>
      </w:pPr>
    </w:p>
    <w:p>
      <w:pPr>
        <w:pStyle w:val="BodyText"/>
        <w:jc w:val="left"/>
        <w:rPr>
          <w:rFonts w:ascii="BancoDoBrasil Titulos"/>
        </w:rPr>
      </w:pPr>
    </w:p>
    <w:p>
      <w:pPr>
        <w:pStyle w:val="BodyText"/>
        <w:jc w:val="left"/>
        <w:rPr>
          <w:rFonts w:ascii="BancoDoBrasil Titulos"/>
        </w:rPr>
      </w:pPr>
    </w:p>
    <w:p>
      <w:pPr>
        <w:pStyle w:val="BodyText"/>
        <w:jc w:val="left"/>
        <w:rPr>
          <w:rFonts w:ascii="BancoDoBrasil Titulos"/>
        </w:rPr>
      </w:pPr>
    </w:p>
    <w:p>
      <w:pPr>
        <w:pStyle w:val="BodyText"/>
        <w:spacing w:before="34"/>
        <w:jc w:val="left"/>
        <w:rPr>
          <w:rFonts w:ascii="BancoDoBrasil Titulos"/>
        </w:rPr>
      </w:pPr>
    </w:p>
    <w:p>
      <w:pPr>
        <w:pStyle w:val="BodyText"/>
        <w:spacing w:line="321" w:lineRule="auto"/>
        <w:ind w:left="569" w:right="38"/>
      </w:pPr>
      <w:r>
        <w:rPr>
          <w:color w:val="1B1B22"/>
        </w:rPr>
        <w:t>Our governance structure is composed of the General Shareholders' Meeting; the Board of Directors</w:t>
      </w:r>
      <w:r>
        <w:rPr>
          <w:color w:val="1B1B22"/>
          <w:spacing w:val="-11"/>
        </w:rPr>
        <w:t> </w:t>
      </w:r>
      <w:r>
        <w:rPr>
          <w:color w:val="1B1B22"/>
        </w:rPr>
        <w:t>(CA)</w:t>
      </w:r>
      <w:r>
        <w:rPr>
          <w:color w:val="1B1B22"/>
          <w:spacing w:val="-11"/>
        </w:rPr>
        <w:t> </w:t>
      </w:r>
      <w:r>
        <w:rPr>
          <w:color w:val="1B1B22"/>
        </w:rPr>
        <w:t>and</w:t>
      </w:r>
      <w:r>
        <w:rPr>
          <w:color w:val="1B1B22"/>
          <w:spacing w:val="-11"/>
        </w:rPr>
        <w:t> </w:t>
      </w:r>
      <w:r>
        <w:rPr>
          <w:color w:val="1B1B22"/>
        </w:rPr>
        <w:t>its</w:t>
      </w:r>
      <w:r>
        <w:rPr>
          <w:color w:val="1B1B22"/>
          <w:spacing w:val="-10"/>
        </w:rPr>
        <w:t> </w:t>
      </w:r>
      <w:r>
        <w:rPr>
          <w:color w:val="1B1B22"/>
        </w:rPr>
        <w:t>advisory</w:t>
      </w:r>
      <w:r>
        <w:rPr>
          <w:color w:val="1B1B22"/>
          <w:spacing w:val="-11"/>
        </w:rPr>
        <w:t> </w:t>
      </w:r>
      <w:r>
        <w:rPr>
          <w:color w:val="1B1B22"/>
        </w:rPr>
        <w:t>committees</w:t>
      </w:r>
      <w:r>
        <w:rPr>
          <w:color w:val="1B1B22"/>
          <w:spacing w:val="-10"/>
        </w:rPr>
        <w:t> </w:t>
      </w:r>
      <w:r>
        <w:rPr>
          <w:color w:val="1B1B22"/>
        </w:rPr>
        <w:t>–</w:t>
      </w:r>
      <w:r>
        <w:rPr>
          <w:color w:val="1B1B22"/>
          <w:spacing w:val="-13"/>
        </w:rPr>
        <w:t> </w:t>
      </w:r>
      <w:r>
        <w:rPr>
          <w:color w:val="1B1B22"/>
        </w:rPr>
        <w:t>Audit Committee</w:t>
      </w:r>
      <w:r>
        <w:rPr>
          <w:color w:val="1B1B22"/>
          <w:spacing w:val="-13"/>
        </w:rPr>
        <w:t> </w:t>
      </w:r>
      <w:r>
        <w:rPr>
          <w:color w:val="1B1B22"/>
        </w:rPr>
        <w:t>(Coaud);</w:t>
      </w:r>
      <w:r>
        <w:rPr>
          <w:color w:val="1B1B22"/>
          <w:spacing w:val="-12"/>
        </w:rPr>
        <w:t> </w:t>
      </w:r>
      <w:r>
        <w:rPr>
          <w:color w:val="1B1B22"/>
        </w:rPr>
        <w:t>Personnel,</w:t>
      </w:r>
      <w:r>
        <w:rPr>
          <w:color w:val="1B1B22"/>
          <w:spacing w:val="-13"/>
        </w:rPr>
        <w:t> </w:t>
      </w:r>
      <w:r>
        <w:rPr>
          <w:color w:val="1B1B22"/>
        </w:rPr>
        <w:t>Compensation</w:t>
      </w:r>
      <w:r>
        <w:rPr>
          <w:color w:val="1B1B22"/>
          <w:spacing w:val="-12"/>
        </w:rPr>
        <w:t> </w:t>
      </w:r>
      <w:r>
        <w:rPr>
          <w:color w:val="1B1B22"/>
        </w:rPr>
        <w:t>and Eligibility</w:t>
      </w:r>
      <w:r>
        <w:rPr>
          <w:color w:val="1B1B22"/>
          <w:spacing w:val="57"/>
        </w:rPr>
        <w:t> </w:t>
      </w:r>
      <w:r>
        <w:rPr>
          <w:color w:val="1B1B22"/>
        </w:rPr>
        <w:t>Committee</w:t>
      </w:r>
      <w:r>
        <w:rPr>
          <w:color w:val="1B1B22"/>
          <w:spacing w:val="58"/>
        </w:rPr>
        <w:t> </w:t>
      </w:r>
      <w:r>
        <w:rPr>
          <w:color w:val="1B1B22"/>
        </w:rPr>
        <w:t>(Corem);</w:t>
      </w:r>
      <w:r>
        <w:rPr>
          <w:color w:val="1B1B22"/>
          <w:spacing w:val="58"/>
        </w:rPr>
        <w:t> </w:t>
      </w:r>
      <w:r>
        <w:rPr>
          <w:color w:val="1B1B22"/>
        </w:rPr>
        <w:t>Risk</w:t>
      </w:r>
      <w:r>
        <w:rPr>
          <w:color w:val="1B1B22"/>
          <w:spacing w:val="57"/>
        </w:rPr>
        <w:t> </w:t>
      </w:r>
      <w:r>
        <w:rPr>
          <w:color w:val="1B1B22"/>
        </w:rPr>
        <w:t>and</w:t>
      </w:r>
      <w:r>
        <w:rPr>
          <w:color w:val="1B1B22"/>
          <w:spacing w:val="57"/>
        </w:rPr>
        <w:t> </w:t>
      </w:r>
      <w:r>
        <w:rPr>
          <w:color w:val="1B1B22"/>
          <w:spacing w:val="-2"/>
        </w:rPr>
        <w:t>Capital</w:t>
      </w:r>
    </w:p>
    <w:p>
      <w:pPr>
        <w:pStyle w:val="BodyText"/>
        <w:spacing w:line="321" w:lineRule="auto" w:before="78"/>
        <w:ind w:left="569" w:right="566"/>
      </w:pPr>
      <w:r>
        <w:rPr/>
        <w:br w:type="column"/>
      </w:r>
      <w:r>
        <w:rPr>
          <w:color w:val="1B1B22"/>
        </w:rPr>
        <w:t>Committee (Coris), Technology and Innovation Committee (Cotei) and Corporate Sustainability Committee (Cosem); the Executive Board, composed</w:t>
      </w:r>
      <w:r>
        <w:rPr>
          <w:color w:val="1B1B22"/>
          <w:spacing w:val="-13"/>
        </w:rPr>
        <w:t> </w:t>
      </w:r>
      <w:r>
        <w:rPr>
          <w:color w:val="1B1B22"/>
        </w:rPr>
        <w:t>of</w:t>
      </w:r>
      <w:r>
        <w:rPr>
          <w:color w:val="1B1B22"/>
          <w:spacing w:val="-12"/>
        </w:rPr>
        <w:t> </w:t>
      </w:r>
      <w:r>
        <w:rPr>
          <w:color w:val="1B1B22"/>
        </w:rPr>
        <w:t>the</w:t>
      </w:r>
      <w:r>
        <w:rPr>
          <w:color w:val="1B1B22"/>
          <w:spacing w:val="-13"/>
        </w:rPr>
        <w:t> </w:t>
      </w:r>
      <w:r>
        <w:rPr>
          <w:color w:val="1B1B22"/>
        </w:rPr>
        <w:t>Board</w:t>
      </w:r>
      <w:r>
        <w:rPr>
          <w:color w:val="1B1B22"/>
          <w:spacing w:val="-12"/>
        </w:rPr>
        <w:t> </w:t>
      </w:r>
      <w:r>
        <w:rPr>
          <w:color w:val="1B1B22"/>
        </w:rPr>
        <w:t>of</w:t>
      </w:r>
      <w:r>
        <w:rPr>
          <w:color w:val="1B1B22"/>
          <w:spacing w:val="-12"/>
        </w:rPr>
        <w:t> </w:t>
      </w:r>
      <w:r>
        <w:rPr>
          <w:color w:val="1B1B22"/>
        </w:rPr>
        <w:t>Directors</w:t>
      </w:r>
      <w:r>
        <w:rPr>
          <w:color w:val="1B1B22"/>
          <w:spacing w:val="-13"/>
        </w:rPr>
        <w:t> </w:t>
      </w:r>
      <w:r>
        <w:rPr>
          <w:color w:val="1B1B22"/>
        </w:rPr>
        <w:t>(President</w:t>
      </w:r>
      <w:r>
        <w:rPr>
          <w:color w:val="1B1B22"/>
          <w:spacing w:val="-12"/>
        </w:rPr>
        <w:t> </w:t>
      </w:r>
      <w:r>
        <w:rPr>
          <w:color w:val="1B1B22"/>
        </w:rPr>
        <w:t>and </w:t>
      </w:r>
      <w:r>
        <w:rPr>
          <w:color w:val="1B1B22"/>
          <w:spacing w:val="-2"/>
        </w:rPr>
        <w:t>Vice-Presidents)</w:t>
      </w:r>
      <w:r>
        <w:rPr>
          <w:color w:val="1B1B22"/>
          <w:spacing w:val="-9"/>
        </w:rPr>
        <w:t> </w:t>
      </w:r>
      <w:r>
        <w:rPr>
          <w:color w:val="1B1B22"/>
          <w:spacing w:val="-2"/>
        </w:rPr>
        <w:t>and</w:t>
      </w:r>
      <w:r>
        <w:rPr>
          <w:color w:val="1B1B22"/>
          <w:spacing w:val="-9"/>
        </w:rPr>
        <w:t> </w:t>
      </w:r>
      <w:r>
        <w:rPr>
          <w:color w:val="1B1B22"/>
          <w:spacing w:val="-2"/>
        </w:rPr>
        <w:t>other</w:t>
      </w:r>
      <w:r>
        <w:rPr>
          <w:color w:val="1B1B22"/>
          <w:spacing w:val="-9"/>
        </w:rPr>
        <w:t> </w:t>
      </w:r>
      <w:r>
        <w:rPr>
          <w:color w:val="1B1B22"/>
          <w:spacing w:val="-2"/>
        </w:rPr>
        <w:t>Directors;</w:t>
      </w:r>
      <w:r>
        <w:rPr>
          <w:color w:val="1B1B22"/>
          <w:spacing w:val="-8"/>
        </w:rPr>
        <w:t> </w:t>
      </w:r>
      <w:r>
        <w:rPr>
          <w:color w:val="1B1B22"/>
          <w:spacing w:val="-2"/>
        </w:rPr>
        <w:t>and</w:t>
      </w:r>
      <w:r>
        <w:rPr>
          <w:color w:val="1B1B22"/>
          <w:spacing w:val="-9"/>
        </w:rPr>
        <w:t> </w:t>
      </w:r>
      <w:r>
        <w:rPr>
          <w:color w:val="1B1B22"/>
          <w:spacing w:val="-2"/>
        </w:rPr>
        <w:t>the</w:t>
      </w:r>
      <w:r>
        <w:rPr>
          <w:color w:val="1B1B22"/>
          <w:spacing w:val="-9"/>
        </w:rPr>
        <w:t> </w:t>
      </w:r>
      <w:r>
        <w:rPr>
          <w:color w:val="1B1B22"/>
          <w:spacing w:val="-2"/>
        </w:rPr>
        <w:t>Fiscal Council.</w:t>
      </w:r>
    </w:p>
    <w:p>
      <w:pPr>
        <w:pStyle w:val="BodyText"/>
        <w:spacing w:line="321" w:lineRule="auto" w:before="116"/>
        <w:ind w:left="569" w:right="563"/>
      </w:pPr>
      <w:r>
        <w:rPr>
          <w:color w:val="1B1B22"/>
        </w:rPr>
        <w:t>The Board of Directors has at least 30% independent members, in accordance with the provisions of the Bylaws, legislation and the B3 Novo Mercado Regulation.</w:t>
      </w:r>
    </w:p>
    <w:p>
      <w:pPr>
        <w:pStyle w:val="BodyText"/>
        <w:spacing w:line="321" w:lineRule="auto" w:before="118"/>
        <w:ind w:left="569" w:right="563"/>
      </w:pPr>
      <w:r>
        <w:rPr>
          <w:color w:val="1B1B22"/>
        </w:rPr>
        <w:t>In 1Q25, the Board of Directors approved the unified model of the Annual Charter of Public Policies and Corporate Governance for the Prudential Conglomerate (CPBB). The model will include the Related Entities headquartered in Brazil,</w:t>
      </w:r>
      <w:r>
        <w:rPr>
          <w:color w:val="1B1B22"/>
          <w:spacing w:val="-6"/>
        </w:rPr>
        <w:t> </w:t>
      </w:r>
      <w:r>
        <w:rPr>
          <w:color w:val="1B1B22"/>
        </w:rPr>
        <w:t>which</w:t>
      </w:r>
      <w:r>
        <w:rPr>
          <w:color w:val="1B1B22"/>
          <w:spacing w:val="-5"/>
        </w:rPr>
        <w:t> </w:t>
      </w:r>
      <w:r>
        <w:rPr>
          <w:color w:val="1B1B22"/>
        </w:rPr>
        <w:t>make</w:t>
      </w:r>
      <w:r>
        <w:rPr>
          <w:color w:val="1B1B22"/>
          <w:spacing w:val="-6"/>
        </w:rPr>
        <w:t> </w:t>
      </w:r>
      <w:r>
        <w:rPr>
          <w:color w:val="1B1B22"/>
        </w:rPr>
        <w:t>up</w:t>
      </w:r>
      <w:r>
        <w:rPr>
          <w:color w:val="1B1B22"/>
          <w:spacing w:val="-6"/>
        </w:rPr>
        <w:t> </w:t>
      </w:r>
      <w:r>
        <w:rPr>
          <w:color w:val="1B1B22"/>
        </w:rPr>
        <w:t>the</w:t>
      </w:r>
      <w:r>
        <w:rPr>
          <w:color w:val="1B1B22"/>
          <w:spacing w:val="-9"/>
        </w:rPr>
        <w:t> </w:t>
      </w:r>
      <w:r>
        <w:rPr>
          <w:color w:val="1B1B22"/>
        </w:rPr>
        <w:t>CPBB,</w:t>
      </w:r>
      <w:r>
        <w:rPr>
          <w:color w:val="1B1B22"/>
          <w:spacing w:val="-6"/>
        </w:rPr>
        <w:t> </w:t>
      </w:r>
      <w:r>
        <w:rPr>
          <w:color w:val="1B1B22"/>
        </w:rPr>
        <w:t>and</w:t>
      </w:r>
      <w:r>
        <w:rPr>
          <w:color w:val="1B1B22"/>
          <w:spacing w:val="-6"/>
        </w:rPr>
        <w:t> </w:t>
      </w:r>
      <w:r>
        <w:rPr>
          <w:color w:val="1B1B22"/>
        </w:rPr>
        <w:t>which</w:t>
      </w:r>
      <w:r>
        <w:rPr>
          <w:color w:val="1B1B22"/>
          <w:spacing w:val="-5"/>
        </w:rPr>
        <w:t> </w:t>
      </w:r>
      <w:r>
        <w:rPr>
          <w:color w:val="1B1B22"/>
        </w:rPr>
        <w:t>express their adherence to the unified Annual Charter.</w:t>
      </w:r>
    </w:p>
    <w:p>
      <w:pPr>
        <w:pStyle w:val="BodyText"/>
        <w:spacing w:line="321" w:lineRule="auto" w:before="115"/>
        <w:ind w:left="569" w:right="563"/>
      </w:pPr>
      <w:r>
        <w:rPr>
          <w:color w:val="1B1B22"/>
        </w:rPr>
        <w:t>The Annual Charter of Public Policies and Corporate Governance can be found on Banco do Brasil's Investor Relations Portal or at</w:t>
      </w:r>
    </w:p>
    <w:p>
      <w:pPr>
        <w:spacing w:line="319" w:lineRule="auto" w:before="123"/>
        <w:ind w:left="569" w:right="1197" w:firstLine="0"/>
        <w:jc w:val="left"/>
        <w:rPr>
          <w:sz w:val="14"/>
        </w:rPr>
      </w:pPr>
      <w:hyperlink r:id="rId8">
        <w:r>
          <w:rPr>
            <w:color w:val="0562C1"/>
            <w:spacing w:val="-2"/>
            <w:sz w:val="14"/>
            <w:u w:val="single" w:color="0562C1"/>
          </w:rPr>
          <w:t>https://ri.bb.com.br/en/corporate-governance-and-</w:t>
        </w:r>
      </w:hyperlink>
      <w:r>
        <w:rPr>
          <w:color w:val="0562C1"/>
          <w:spacing w:val="40"/>
          <w:sz w:val="14"/>
          <w:u w:val="none"/>
        </w:rPr>
        <w:t> </w:t>
      </w:r>
      <w:hyperlink r:id="rId8">
        <w:r>
          <w:rPr>
            <w:color w:val="0562C1"/>
            <w:spacing w:val="-2"/>
            <w:sz w:val="14"/>
            <w:u w:val="single" w:color="0562C1"/>
          </w:rPr>
          <w:t>sustainability/annual-chart-of-public-policies-and-corporate-</w:t>
        </w:r>
      </w:hyperlink>
      <w:r>
        <w:rPr>
          <w:color w:val="0562C1"/>
          <w:spacing w:val="40"/>
          <w:sz w:val="14"/>
          <w:u w:val="none"/>
        </w:rPr>
        <w:t> </w:t>
      </w:r>
      <w:hyperlink r:id="rId8">
        <w:r>
          <w:rPr>
            <w:color w:val="0562C1"/>
            <w:spacing w:val="-2"/>
            <w:sz w:val="14"/>
            <w:u w:val="single" w:color="0562C1"/>
          </w:rPr>
          <w:t>governance/</w:t>
        </w:r>
      </w:hyperlink>
    </w:p>
    <w:p>
      <w:pPr>
        <w:spacing w:after="0" w:line="319" w:lineRule="auto"/>
        <w:jc w:val="left"/>
        <w:rPr>
          <w:sz w:val="14"/>
        </w:rPr>
        <w:sectPr>
          <w:type w:val="continuous"/>
          <w:pgSz w:w="11910" w:h="16850"/>
          <w:pgMar w:header="152" w:footer="572" w:top="1920" w:bottom="280" w:left="283" w:right="283"/>
          <w:cols w:num="2" w:equalWidth="0">
            <w:col w:w="5358" w:space="97"/>
            <w:col w:w="5889"/>
          </w:cols>
        </w:sectPr>
      </w:pPr>
    </w:p>
    <w:p>
      <w:pPr>
        <w:pStyle w:val="Heading1"/>
        <w:spacing w:before="376"/>
      </w:pPr>
      <w:bookmarkStart w:name="Clients" w:id="3"/>
      <w:bookmarkEnd w:id="3"/>
      <w:r>
        <w:rPr/>
      </w:r>
      <w:r>
        <w:rPr>
          <w:color w:val="465EFF"/>
          <w:spacing w:val="31"/>
        </w:rPr>
        <w:t>Clients </w:t>
      </w:r>
    </w:p>
    <w:p>
      <w:pPr>
        <w:pStyle w:val="BodyText"/>
        <w:spacing w:before="2"/>
        <w:jc w:val="left"/>
        <w:rPr>
          <w:rFonts w:ascii="BancoDoBrasil Titulos"/>
          <w:sz w:val="13"/>
        </w:rPr>
      </w:pPr>
    </w:p>
    <w:p>
      <w:pPr>
        <w:pStyle w:val="BodyText"/>
        <w:spacing w:after="0"/>
        <w:jc w:val="left"/>
        <w:rPr>
          <w:rFonts w:ascii="BancoDoBrasil Titulos"/>
          <w:sz w:val="13"/>
        </w:rPr>
        <w:sectPr>
          <w:pgSz w:w="11910" w:h="16850"/>
          <w:pgMar w:header="152" w:footer="572" w:top="900" w:bottom="780" w:left="283" w:right="283"/>
        </w:sectPr>
      </w:pPr>
    </w:p>
    <w:p>
      <w:pPr>
        <w:pStyle w:val="BodyText"/>
        <w:spacing w:line="321" w:lineRule="auto" w:before="78"/>
        <w:ind w:left="569" w:right="40"/>
      </w:pPr>
      <w:r>
        <w:rPr>
          <w:color w:val="1B1B22"/>
          <w:spacing w:val="-2"/>
        </w:rPr>
        <w:t>BB</w:t>
      </w:r>
      <w:r>
        <w:rPr>
          <w:color w:val="1B1B22"/>
          <w:spacing w:val="-11"/>
        </w:rPr>
        <w:t> </w:t>
      </w:r>
      <w:r>
        <w:rPr>
          <w:color w:val="1B1B22"/>
          <w:spacing w:val="-2"/>
        </w:rPr>
        <w:t>places</w:t>
      </w:r>
      <w:r>
        <w:rPr>
          <w:color w:val="1B1B22"/>
          <w:spacing w:val="-10"/>
        </w:rPr>
        <w:t> </w:t>
      </w:r>
      <w:r>
        <w:rPr>
          <w:color w:val="1B1B22"/>
          <w:spacing w:val="-2"/>
        </w:rPr>
        <w:t>the</w:t>
      </w:r>
      <w:r>
        <w:rPr>
          <w:color w:val="1B1B22"/>
          <w:spacing w:val="-11"/>
        </w:rPr>
        <w:t> </w:t>
      </w:r>
      <w:r>
        <w:rPr>
          <w:color w:val="1B1B22"/>
          <w:spacing w:val="-2"/>
        </w:rPr>
        <w:t>customer</w:t>
      </w:r>
      <w:r>
        <w:rPr>
          <w:color w:val="1B1B22"/>
          <w:spacing w:val="-10"/>
        </w:rPr>
        <w:t> </w:t>
      </w:r>
      <w:r>
        <w:rPr>
          <w:color w:val="1B1B22"/>
          <w:spacing w:val="-2"/>
        </w:rPr>
        <w:t>at</w:t>
      </w:r>
      <w:r>
        <w:rPr>
          <w:color w:val="1B1B22"/>
          <w:spacing w:val="-10"/>
        </w:rPr>
        <w:t> </w:t>
      </w:r>
      <w:r>
        <w:rPr>
          <w:color w:val="1B1B22"/>
          <w:spacing w:val="-2"/>
        </w:rPr>
        <w:t>the</w:t>
      </w:r>
      <w:r>
        <w:rPr>
          <w:color w:val="1B1B22"/>
          <w:spacing w:val="-11"/>
        </w:rPr>
        <w:t> </w:t>
      </w:r>
      <w:r>
        <w:rPr>
          <w:color w:val="1B1B22"/>
          <w:spacing w:val="-2"/>
        </w:rPr>
        <w:t>center</w:t>
      </w:r>
      <w:r>
        <w:rPr>
          <w:color w:val="1B1B22"/>
          <w:spacing w:val="-10"/>
        </w:rPr>
        <w:t> </w:t>
      </w:r>
      <w:r>
        <w:rPr>
          <w:color w:val="1B1B22"/>
          <w:spacing w:val="-2"/>
        </w:rPr>
        <w:t>of</w:t>
      </w:r>
      <w:r>
        <w:rPr>
          <w:color w:val="1B1B22"/>
          <w:spacing w:val="-10"/>
        </w:rPr>
        <w:t> </w:t>
      </w:r>
      <w:r>
        <w:rPr>
          <w:color w:val="1B1B22"/>
          <w:spacing w:val="-2"/>
        </w:rPr>
        <w:t>its</w:t>
      </w:r>
      <w:r>
        <w:rPr>
          <w:color w:val="1B1B22"/>
          <w:spacing w:val="-11"/>
        </w:rPr>
        <w:t> </w:t>
      </w:r>
      <w:r>
        <w:rPr>
          <w:color w:val="1B1B22"/>
          <w:spacing w:val="-2"/>
        </w:rPr>
        <w:t>strategy, </w:t>
      </w:r>
      <w:r>
        <w:rPr>
          <w:color w:val="1B1B22"/>
        </w:rPr>
        <w:t>seeking to build a lasting relationship that is relevant</w:t>
      </w:r>
      <w:r>
        <w:rPr>
          <w:color w:val="1B1B22"/>
          <w:spacing w:val="-11"/>
        </w:rPr>
        <w:t> </w:t>
      </w:r>
      <w:r>
        <w:rPr>
          <w:color w:val="1B1B22"/>
        </w:rPr>
        <w:t>in</w:t>
      </w:r>
      <w:r>
        <w:rPr>
          <w:color w:val="1B1B22"/>
          <w:spacing w:val="-11"/>
        </w:rPr>
        <w:t> </w:t>
      </w:r>
      <w:r>
        <w:rPr>
          <w:color w:val="1B1B22"/>
        </w:rPr>
        <w:t>the</w:t>
      </w:r>
      <w:r>
        <w:rPr>
          <w:color w:val="1B1B22"/>
          <w:spacing w:val="-12"/>
        </w:rPr>
        <w:t> </w:t>
      </w:r>
      <w:r>
        <w:rPr>
          <w:color w:val="1B1B22"/>
        </w:rPr>
        <w:t>customer's</w:t>
      </w:r>
      <w:r>
        <w:rPr>
          <w:color w:val="1B1B22"/>
          <w:spacing w:val="-10"/>
        </w:rPr>
        <w:t> </w:t>
      </w:r>
      <w:r>
        <w:rPr>
          <w:color w:val="1B1B22"/>
        </w:rPr>
        <w:t>life</w:t>
      </w:r>
      <w:r>
        <w:rPr>
          <w:color w:val="1B1B22"/>
          <w:spacing w:val="-12"/>
        </w:rPr>
        <w:t> </w:t>
      </w:r>
      <w:r>
        <w:rPr>
          <w:color w:val="1B1B22"/>
        </w:rPr>
        <w:t>at</w:t>
      </w:r>
      <w:r>
        <w:rPr>
          <w:color w:val="1B1B22"/>
          <w:spacing w:val="-11"/>
        </w:rPr>
        <w:t> </w:t>
      </w:r>
      <w:r>
        <w:rPr>
          <w:color w:val="1B1B22"/>
        </w:rPr>
        <w:t>all</w:t>
      </w:r>
      <w:r>
        <w:rPr>
          <w:color w:val="1B1B22"/>
          <w:spacing w:val="-12"/>
        </w:rPr>
        <w:t> </w:t>
      </w:r>
      <w:r>
        <w:rPr>
          <w:color w:val="1B1B22"/>
        </w:rPr>
        <w:t>times.</w:t>
      </w:r>
      <w:r>
        <w:rPr>
          <w:color w:val="1B1B22"/>
          <w:spacing w:val="-11"/>
        </w:rPr>
        <w:t> </w:t>
      </w:r>
      <w:r>
        <w:rPr>
          <w:color w:val="1B1B22"/>
        </w:rPr>
        <w:t>Its</w:t>
      </w:r>
      <w:r>
        <w:rPr>
          <w:color w:val="1B1B22"/>
          <w:spacing w:val="-10"/>
        </w:rPr>
        <w:t> </w:t>
      </w:r>
      <w:r>
        <w:rPr>
          <w:color w:val="1B1B22"/>
        </w:rPr>
        <w:t>value proposition is materialized by offering hyper- </w:t>
      </w:r>
      <w:r>
        <w:rPr>
          <w:color w:val="1B1B22"/>
          <w:spacing w:val="-2"/>
        </w:rPr>
        <w:t>personalized experiences, by the</w:t>
      </w:r>
      <w:r>
        <w:rPr>
          <w:color w:val="1B1B22"/>
          <w:spacing w:val="-3"/>
        </w:rPr>
        <w:t> </w:t>
      </w:r>
      <w:r>
        <w:rPr>
          <w:color w:val="1B1B22"/>
          <w:spacing w:val="-2"/>
        </w:rPr>
        <w:t>“Figital” strategy, </w:t>
      </w:r>
      <w:r>
        <w:rPr>
          <w:color w:val="1B1B22"/>
        </w:rPr>
        <w:t>which integrates the best of the physical and digital</w:t>
      </w:r>
      <w:r>
        <w:rPr>
          <w:color w:val="1B1B22"/>
          <w:spacing w:val="-8"/>
        </w:rPr>
        <w:t> </w:t>
      </w:r>
      <w:r>
        <w:rPr>
          <w:color w:val="1B1B22"/>
        </w:rPr>
        <w:t>worlds,</w:t>
      </w:r>
      <w:r>
        <w:rPr>
          <w:color w:val="1B1B22"/>
          <w:spacing w:val="-7"/>
        </w:rPr>
        <w:t> </w:t>
      </w:r>
      <w:r>
        <w:rPr>
          <w:color w:val="1B1B22"/>
        </w:rPr>
        <w:t>and</w:t>
      </w:r>
      <w:r>
        <w:rPr>
          <w:color w:val="1B1B22"/>
          <w:spacing w:val="-8"/>
        </w:rPr>
        <w:t> </w:t>
      </w:r>
      <w:r>
        <w:rPr>
          <w:color w:val="1B1B22"/>
        </w:rPr>
        <w:t>by</w:t>
      </w:r>
      <w:r>
        <w:rPr>
          <w:color w:val="1B1B22"/>
          <w:spacing w:val="-7"/>
        </w:rPr>
        <w:t> </w:t>
      </w:r>
      <w:r>
        <w:rPr>
          <w:color w:val="1B1B22"/>
        </w:rPr>
        <w:t>operating</w:t>
      </w:r>
      <w:r>
        <w:rPr>
          <w:color w:val="1B1B22"/>
          <w:spacing w:val="-7"/>
        </w:rPr>
        <w:t> </w:t>
      </w:r>
      <w:r>
        <w:rPr>
          <w:color w:val="1B1B22"/>
        </w:rPr>
        <w:t>in</w:t>
      </w:r>
      <w:r>
        <w:rPr>
          <w:color w:val="1B1B22"/>
          <w:spacing w:val="-7"/>
        </w:rPr>
        <w:t> </w:t>
      </w:r>
      <w:r>
        <w:rPr>
          <w:color w:val="1B1B22"/>
        </w:rPr>
        <w:t>the</w:t>
      </w:r>
      <w:r>
        <w:rPr>
          <w:color w:val="1B1B22"/>
          <w:spacing w:val="-8"/>
        </w:rPr>
        <w:t> </w:t>
      </w:r>
      <w:r>
        <w:rPr>
          <w:color w:val="1B1B22"/>
        </w:rPr>
        <w:t>value</w:t>
      </w:r>
      <w:r>
        <w:rPr>
          <w:color w:val="1B1B22"/>
          <w:spacing w:val="-8"/>
        </w:rPr>
        <w:t> </w:t>
      </w:r>
      <w:r>
        <w:rPr>
          <w:color w:val="1B1B22"/>
        </w:rPr>
        <w:t>chain.</w:t>
      </w:r>
    </w:p>
    <w:p>
      <w:pPr>
        <w:pStyle w:val="BodyText"/>
        <w:spacing w:line="321" w:lineRule="auto" w:before="115"/>
        <w:ind w:left="568" w:right="41"/>
      </w:pPr>
      <w:r>
        <w:rPr>
          <w:color w:val="1B1B22"/>
        </w:rPr>
        <w:t>In this context, the new CRM architecture has improved</w:t>
      </w:r>
      <w:r>
        <w:rPr>
          <w:color w:val="1B1B22"/>
          <w:spacing w:val="-2"/>
        </w:rPr>
        <w:t> </w:t>
      </w:r>
      <w:r>
        <w:rPr>
          <w:color w:val="1B1B22"/>
        </w:rPr>
        <w:t>the</w:t>
      </w:r>
      <w:r>
        <w:rPr>
          <w:color w:val="1B1B22"/>
          <w:spacing w:val="-3"/>
        </w:rPr>
        <w:t> </w:t>
      </w:r>
      <w:r>
        <w:rPr>
          <w:color w:val="1B1B22"/>
        </w:rPr>
        <w:t>service</w:t>
      </w:r>
      <w:r>
        <w:rPr>
          <w:color w:val="1B1B22"/>
          <w:spacing w:val="-2"/>
        </w:rPr>
        <w:t> </w:t>
      </w:r>
      <w:r>
        <w:rPr>
          <w:color w:val="1B1B22"/>
        </w:rPr>
        <w:t>experience</w:t>
      </w:r>
      <w:r>
        <w:rPr>
          <w:color w:val="1B1B22"/>
          <w:spacing w:val="-3"/>
        </w:rPr>
        <w:t> </w:t>
      </w:r>
      <w:r>
        <w:rPr>
          <w:color w:val="1B1B22"/>
        </w:rPr>
        <w:t>by</w:t>
      </w:r>
      <w:r>
        <w:rPr>
          <w:color w:val="1B1B22"/>
          <w:spacing w:val="-2"/>
        </w:rPr>
        <w:t> </w:t>
      </w:r>
      <w:r>
        <w:rPr>
          <w:color w:val="1B1B22"/>
        </w:rPr>
        <w:t>integrating,</w:t>
      </w:r>
      <w:r>
        <w:rPr>
          <w:color w:val="1B1B22"/>
          <w:spacing w:val="-2"/>
        </w:rPr>
        <w:t> </w:t>
      </w:r>
      <w:r>
        <w:rPr>
          <w:color w:val="1B1B22"/>
        </w:rPr>
        <w:t>in a single platform, resources such as telephone, email, chat and corporate WhatsApp, the latter being</w:t>
      </w:r>
      <w:r>
        <w:rPr>
          <w:color w:val="1B1B22"/>
          <w:spacing w:val="-2"/>
        </w:rPr>
        <w:t> </w:t>
      </w:r>
      <w:r>
        <w:rPr>
          <w:color w:val="1B1B22"/>
        </w:rPr>
        <w:t>an</w:t>
      </w:r>
      <w:r>
        <w:rPr>
          <w:color w:val="1B1B22"/>
          <w:spacing w:val="-2"/>
        </w:rPr>
        <w:t> </w:t>
      </w:r>
      <w:r>
        <w:rPr>
          <w:color w:val="1B1B22"/>
        </w:rPr>
        <w:t>unprecedented</w:t>
      </w:r>
      <w:r>
        <w:rPr>
          <w:color w:val="1B1B22"/>
          <w:spacing w:val="-3"/>
        </w:rPr>
        <w:t> </w:t>
      </w:r>
      <w:r>
        <w:rPr>
          <w:color w:val="1B1B22"/>
        </w:rPr>
        <w:t>innovation</w:t>
      </w:r>
      <w:r>
        <w:rPr>
          <w:color w:val="1B1B22"/>
          <w:spacing w:val="-2"/>
        </w:rPr>
        <w:t> </w:t>
      </w:r>
      <w:r>
        <w:rPr>
          <w:color w:val="1B1B22"/>
        </w:rPr>
        <w:t>in</w:t>
      </w:r>
      <w:r>
        <w:rPr>
          <w:color w:val="1B1B22"/>
          <w:spacing w:val="-2"/>
        </w:rPr>
        <w:t> </w:t>
      </w:r>
      <w:r>
        <w:rPr>
          <w:color w:val="1B1B22"/>
        </w:rPr>
        <w:t>the</w:t>
      </w:r>
      <w:r>
        <w:rPr>
          <w:color w:val="1B1B22"/>
          <w:spacing w:val="-3"/>
        </w:rPr>
        <w:t> </w:t>
      </w:r>
      <w:r>
        <w:rPr>
          <w:color w:val="1B1B22"/>
        </w:rPr>
        <w:t>market. The solution already reaches 17 thousand employees from different sectors, providing greater efficiency and connectivity.</w:t>
      </w:r>
    </w:p>
    <w:p>
      <w:pPr>
        <w:pStyle w:val="BodyText"/>
        <w:spacing w:line="321" w:lineRule="auto" w:before="115"/>
        <w:ind w:left="568" w:right="40"/>
      </w:pPr>
      <w:r>
        <w:rPr>
          <w:color w:val="1B1B22"/>
        </w:rPr>
        <w:t>As a result of this improvement, we have the modernization of URAs (Audible Response Units) that</w:t>
      </w:r>
      <w:r>
        <w:rPr>
          <w:color w:val="1B1B22"/>
          <w:spacing w:val="-13"/>
        </w:rPr>
        <w:t> </w:t>
      </w:r>
      <w:r>
        <w:rPr>
          <w:color w:val="1B1B22"/>
        </w:rPr>
        <w:t>are</w:t>
      </w:r>
      <w:r>
        <w:rPr>
          <w:color w:val="1B1B22"/>
          <w:spacing w:val="-12"/>
        </w:rPr>
        <w:t> </w:t>
      </w:r>
      <w:r>
        <w:rPr>
          <w:color w:val="1B1B22"/>
        </w:rPr>
        <w:t>advancing</w:t>
      </w:r>
      <w:r>
        <w:rPr>
          <w:color w:val="1B1B22"/>
          <w:spacing w:val="-13"/>
        </w:rPr>
        <w:t> </w:t>
      </w:r>
      <w:r>
        <w:rPr>
          <w:color w:val="1B1B22"/>
        </w:rPr>
        <w:t>with</w:t>
      </w:r>
      <w:r>
        <w:rPr>
          <w:color w:val="1B1B22"/>
          <w:spacing w:val="-12"/>
        </w:rPr>
        <w:t> </w:t>
      </w:r>
      <w:r>
        <w:rPr>
          <w:color w:val="1B1B22"/>
        </w:rPr>
        <w:t>the</w:t>
      </w:r>
      <w:r>
        <w:rPr>
          <w:color w:val="1B1B22"/>
          <w:spacing w:val="-12"/>
        </w:rPr>
        <w:t> </w:t>
      </w:r>
      <w:r>
        <w:rPr>
          <w:color w:val="1B1B22"/>
        </w:rPr>
        <w:t>migration</w:t>
      </w:r>
      <w:r>
        <w:rPr>
          <w:color w:val="1B1B22"/>
          <w:spacing w:val="-13"/>
        </w:rPr>
        <w:t> </w:t>
      </w:r>
      <w:r>
        <w:rPr>
          <w:color w:val="1B1B22"/>
        </w:rPr>
        <w:t>to</w:t>
      </w:r>
      <w:r>
        <w:rPr>
          <w:color w:val="1B1B22"/>
          <w:spacing w:val="-12"/>
        </w:rPr>
        <w:t> </w:t>
      </w:r>
      <w:r>
        <w:rPr>
          <w:color w:val="1B1B22"/>
        </w:rPr>
        <w:t>the</w:t>
      </w:r>
      <w:r>
        <w:rPr>
          <w:color w:val="1B1B22"/>
          <w:spacing w:val="-12"/>
        </w:rPr>
        <w:t> </w:t>
      </w:r>
      <w:r>
        <w:rPr>
          <w:color w:val="1B1B22"/>
        </w:rPr>
        <w:t>cloud. This transformation enhances data management and curation, in addition to introducing functionalities enabled by artificial intelligence (AI), raising the level of service offered.</w:t>
      </w:r>
    </w:p>
    <w:p>
      <w:pPr>
        <w:pStyle w:val="BodyText"/>
        <w:spacing w:line="321" w:lineRule="auto" w:before="115"/>
        <w:ind w:left="568" w:right="40"/>
      </w:pPr>
      <w:r>
        <w:rPr>
          <w:color w:val="1B1B22"/>
        </w:rPr>
        <w:t>Our onboarding process is constantly evolving, resulting in advances such as the simplicity of opening a university account, which is now 100% digital,</w:t>
      </w:r>
      <w:r>
        <w:rPr>
          <w:color w:val="1B1B22"/>
          <w:spacing w:val="-13"/>
        </w:rPr>
        <w:t> </w:t>
      </w:r>
      <w:r>
        <w:rPr>
          <w:color w:val="1B1B22"/>
        </w:rPr>
        <w:t>in</w:t>
      </w:r>
      <w:r>
        <w:rPr>
          <w:color w:val="1B1B22"/>
          <w:spacing w:val="-12"/>
        </w:rPr>
        <w:t> </w:t>
      </w:r>
      <w:r>
        <w:rPr>
          <w:color w:val="1B1B22"/>
        </w:rPr>
        <w:t>line</w:t>
      </w:r>
      <w:r>
        <w:rPr>
          <w:color w:val="1B1B22"/>
          <w:spacing w:val="-13"/>
        </w:rPr>
        <w:t> </w:t>
      </w:r>
      <w:r>
        <w:rPr>
          <w:color w:val="1B1B22"/>
        </w:rPr>
        <w:t>with</w:t>
      </w:r>
      <w:r>
        <w:rPr>
          <w:color w:val="1B1B22"/>
          <w:spacing w:val="-12"/>
        </w:rPr>
        <w:t> </w:t>
      </w:r>
      <w:r>
        <w:rPr>
          <w:color w:val="1B1B22"/>
        </w:rPr>
        <w:t>the</w:t>
      </w:r>
      <w:r>
        <w:rPr>
          <w:color w:val="1B1B22"/>
          <w:spacing w:val="-12"/>
        </w:rPr>
        <w:t> </w:t>
      </w:r>
      <w:r>
        <w:rPr>
          <w:color w:val="1B1B22"/>
        </w:rPr>
        <w:t>strategy</w:t>
      </w:r>
      <w:r>
        <w:rPr>
          <w:color w:val="1B1B22"/>
          <w:spacing w:val="-13"/>
        </w:rPr>
        <w:t> </w:t>
      </w:r>
      <w:r>
        <w:rPr>
          <w:color w:val="1B1B22"/>
        </w:rPr>
        <w:t>of</w:t>
      </w:r>
      <w:r>
        <w:rPr>
          <w:color w:val="1B1B22"/>
          <w:spacing w:val="-12"/>
        </w:rPr>
        <w:t> </w:t>
      </w:r>
      <w:r>
        <w:rPr>
          <w:color w:val="1B1B22"/>
        </w:rPr>
        <w:t>rejuvenating</w:t>
      </w:r>
      <w:r>
        <w:rPr>
          <w:color w:val="1B1B22"/>
          <w:spacing w:val="-12"/>
        </w:rPr>
        <w:t> </w:t>
      </w:r>
      <w:r>
        <w:rPr>
          <w:color w:val="1B1B22"/>
        </w:rPr>
        <w:t>our customer base.</w:t>
      </w:r>
    </w:p>
    <w:p>
      <w:pPr>
        <w:pStyle w:val="BodyText"/>
        <w:spacing w:line="321" w:lineRule="auto" w:before="116"/>
        <w:ind w:left="568" w:right="39"/>
      </w:pPr>
      <w:r>
        <w:rPr>
          <w:color w:val="1B1B22"/>
        </w:rPr>
        <w:t>We recorded a record 1.3 million new individual account holders, representing a 30% increase compared to the previous quarter. Another highlight was the 1.2 million customers aged between</w:t>
      </w:r>
      <w:r>
        <w:rPr>
          <w:color w:val="1B1B22"/>
          <w:spacing w:val="-3"/>
        </w:rPr>
        <w:t> </w:t>
      </w:r>
      <w:r>
        <w:rPr>
          <w:color w:val="1B1B22"/>
        </w:rPr>
        <w:t>0</w:t>
      </w:r>
      <w:r>
        <w:rPr>
          <w:color w:val="1B1B22"/>
          <w:spacing w:val="-3"/>
        </w:rPr>
        <w:t> </w:t>
      </w:r>
      <w:r>
        <w:rPr>
          <w:color w:val="1B1B22"/>
        </w:rPr>
        <w:t>and</w:t>
      </w:r>
      <w:r>
        <w:rPr>
          <w:color w:val="1B1B22"/>
          <w:spacing w:val="-4"/>
        </w:rPr>
        <w:t> </w:t>
      </w:r>
      <w:r>
        <w:rPr>
          <w:color w:val="1B1B22"/>
        </w:rPr>
        <w:t>17,</w:t>
      </w:r>
      <w:r>
        <w:rPr>
          <w:color w:val="1B1B22"/>
          <w:spacing w:val="-6"/>
        </w:rPr>
        <w:t> </w:t>
      </w:r>
      <w:r>
        <w:rPr>
          <w:color w:val="1B1B22"/>
        </w:rPr>
        <w:t>of</w:t>
      </w:r>
      <w:r>
        <w:rPr>
          <w:color w:val="1B1B22"/>
          <w:spacing w:val="-5"/>
        </w:rPr>
        <w:t> </w:t>
      </w:r>
      <w:r>
        <w:rPr>
          <w:color w:val="1B1B22"/>
        </w:rPr>
        <w:t>which</w:t>
      </w:r>
      <w:r>
        <w:rPr>
          <w:color w:val="1B1B22"/>
          <w:spacing w:val="-3"/>
        </w:rPr>
        <w:t> </w:t>
      </w:r>
      <w:r>
        <w:rPr>
          <w:color w:val="1B1B22"/>
        </w:rPr>
        <w:t>34%</w:t>
      </w:r>
      <w:r>
        <w:rPr>
          <w:color w:val="1B1B22"/>
          <w:spacing w:val="-5"/>
        </w:rPr>
        <w:t> </w:t>
      </w:r>
      <w:r>
        <w:rPr>
          <w:color w:val="1B1B22"/>
        </w:rPr>
        <w:t>use</w:t>
      </w:r>
      <w:r>
        <w:rPr>
          <w:color w:val="1B1B22"/>
          <w:spacing w:val="-4"/>
        </w:rPr>
        <w:t> </w:t>
      </w:r>
      <w:r>
        <w:rPr>
          <w:color w:val="1B1B22"/>
        </w:rPr>
        <w:t>BB</w:t>
      </w:r>
      <w:r>
        <w:rPr>
          <w:color w:val="1B1B22"/>
          <w:spacing w:val="-4"/>
        </w:rPr>
        <w:t> </w:t>
      </w:r>
      <w:r>
        <w:rPr>
          <w:color w:val="1B1B22"/>
        </w:rPr>
        <w:t>Cash,</w:t>
      </w:r>
      <w:r>
        <w:rPr>
          <w:color w:val="1B1B22"/>
          <w:spacing w:val="-6"/>
        </w:rPr>
        <w:t> </w:t>
      </w:r>
      <w:r>
        <w:rPr>
          <w:color w:val="1B1B22"/>
        </w:rPr>
        <w:t>with engagement exceeding 95%.</w:t>
      </w:r>
    </w:p>
    <w:p>
      <w:pPr>
        <w:pStyle w:val="BodyText"/>
        <w:spacing w:line="319" w:lineRule="auto" w:before="118"/>
        <w:ind w:left="568" w:right="38"/>
      </w:pPr>
      <w:r>
        <w:rPr>
          <w:color w:val="1B1B22"/>
        </w:rPr>
        <w:t>In</w:t>
      </w:r>
      <w:r>
        <w:rPr>
          <w:color w:val="1B1B22"/>
          <w:spacing w:val="-10"/>
        </w:rPr>
        <w:t> </w:t>
      </w:r>
      <w:r>
        <w:rPr>
          <w:color w:val="1B1B22"/>
        </w:rPr>
        <w:t>the</w:t>
      </w:r>
      <w:r>
        <w:rPr>
          <w:color w:val="1B1B22"/>
          <w:spacing w:val="-10"/>
        </w:rPr>
        <w:t> </w:t>
      </w:r>
      <w:r>
        <w:rPr>
          <w:color w:val="1B1B22"/>
        </w:rPr>
        <w:t>context</w:t>
      </w:r>
      <w:r>
        <w:rPr>
          <w:color w:val="1B1B22"/>
          <w:spacing w:val="-10"/>
        </w:rPr>
        <w:t> </w:t>
      </w:r>
      <w:r>
        <w:rPr>
          <w:color w:val="1B1B22"/>
        </w:rPr>
        <w:t>of</w:t>
      </w:r>
      <w:r>
        <w:rPr>
          <w:color w:val="1B1B22"/>
          <w:spacing w:val="-11"/>
        </w:rPr>
        <w:t> </w:t>
      </w:r>
      <w:r>
        <w:rPr>
          <w:color w:val="1B1B22"/>
        </w:rPr>
        <w:t>customer</w:t>
      </w:r>
      <w:r>
        <w:rPr>
          <w:color w:val="1B1B22"/>
          <w:spacing w:val="-10"/>
        </w:rPr>
        <w:t> </w:t>
      </w:r>
      <w:r>
        <w:rPr>
          <w:color w:val="1B1B22"/>
        </w:rPr>
        <w:t>benefits,</w:t>
      </w:r>
      <w:r>
        <w:rPr>
          <w:color w:val="1B1B22"/>
          <w:spacing w:val="-10"/>
        </w:rPr>
        <w:t> </w:t>
      </w:r>
      <w:r>
        <w:rPr>
          <w:color w:val="1B1B22"/>
        </w:rPr>
        <w:t>the</w:t>
      </w:r>
      <w:r>
        <w:rPr>
          <w:color w:val="1B1B22"/>
          <w:spacing w:val="-10"/>
        </w:rPr>
        <w:t> </w:t>
      </w:r>
      <w:r>
        <w:rPr>
          <w:color w:val="1B1B22"/>
        </w:rPr>
        <w:t>automatic conversion of benefits generated R$26.6 million, representing</w:t>
      </w:r>
      <w:r>
        <w:rPr>
          <w:color w:val="1B1B22"/>
          <w:spacing w:val="48"/>
        </w:rPr>
        <w:t>  </w:t>
      </w:r>
      <w:r>
        <w:rPr>
          <w:color w:val="1B1B22"/>
        </w:rPr>
        <w:t>a</w:t>
      </w:r>
      <w:r>
        <w:rPr>
          <w:color w:val="1B1B22"/>
          <w:spacing w:val="48"/>
        </w:rPr>
        <w:t>  </w:t>
      </w:r>
      <w:r>
        <w:rPr>
          <w:color w:val="1B1B22"/>
        </w:rPr>
        <w:t>significant</w:t>
      </w:r>
      <w:r>
        <w:rPr>
          <w:color w:val="1B1B22"/>
          <w:spacing w:val="49"/>
        </w:rPr>
        <w:t>  </w:t>
      </w:r>
      <w:r>
        <w:rPr>
          <w:color w:val="1B1B22"/>
        </w:rPr>
        <w:t>growth</w:t>
      </w:r>
      <w:r>
        <w:rPr>
          <w:color w:val="1B1B22"/>
          <w:spacing w:val="49"/>
        </w:rPr>
        <w:t>  </w:t>
      </w:r>
      <w:r>
        <w:rPr>
          <w:color w:val="1B1B22"/>
        </w:rPr>
        <w:t>of</w:t>
      </w:r>
      <w:r>
        <w:rPr>
          <w:color w:val="1B1B22"/>
          <w:spacing w:val="47"/>
        </w:rPr>
        <w:t>  </w:t>
      </w:r>
      <w:r>
        <w:rPr>
          <w:color w:val="1B1B22"/>
          <w:spacing w:val="-4"/>
        </w:rPr>
        <w:t>106%</w:t>
      </w:r>
    </w:p>
    <w:p>
      <w:pPr>
        <w:pStyle w:val="BodyText"/>
        <w:spacing w:line="321" w:lineRule="auto" w:before="79"/>
        <w:ind w:left="568" w:right="570"/>
      </w:pPr>
      <w:r>
        <w:rPr/>
        <w:br w:type="column"/>
      </w:r>
      <w:r>
        <w:rPr>
          <w:color w:val="1B1B22"/>
        </w:rPr>
        <w:t>compared to the same period last year and an increase of 16% compared to 4Q24.</w:t>
      </w:r>
    </w:p>
    <w:p>
      <w:pPr>
        <w:pStyle w:val="BodyText"/>
        <w:spacing w:line="321" w:lineRule="auto" w:before="119"/>
        <w:ind w:left="568" w:right="564"/>
      </w:pPr>
      <w:r>
        <w:rPr>
          <w:color w:val="1B1B22"/>
        </w:rPr>
        <w:t>In the High Income clients, we expanded our specialized advisory services to 150 thousand new clients, totaling more than 7.4 million clients in managed</w:t>
      </w:r>
      <w:r>
        <w:rPr>
          <w:color w:val="1B1B22"/>
          <w:spacing w:val="-1"/>
        </w:rPr>
        <w:t> </w:t>
      </w:r>
      <w:r>
        <w:rPr>
          <w:color w:val="1B1B22"/>
        </w:rPr>
        <w:t>models.</w:t>
      </w:r>
      <w:r>
        <w:rPr>
          <w:color w:val="1B1B22"/>
          <w:spacing w:val="-3"/>
        </w:rPr>
        <w:t> </w:t>
      </w:r>
      <w:r>
        <w:rPr>
          <w:color w:val="1B1B22"/>
        </w:rPr>
        <w:t>In</w:t>
      </w:r>
      <w:r>
        <w:rPr>
          <w:color w:val="1B1B22"/>
          <w:spacing w:val="-2"/>
        </w:rPr>
        <w:t> </w:t>
      </w:r>
      <w:r>
        <w:rPr>
          <w:color w:val="1B1B22"/>
        </w:rPr>
        <w:t>the</w:t>
      </w:r>
      <w:r>
        <w:rPr>
          <w:color w:val="1B1B22"/>
          <w:spacing w:val="-1"/>
        </w:rPr>
        <w:t> </w:t>
      </w:r>
      <w:r>
        <w:rPr>
          <w:color w:val="1B1B22"/>
        </w:rPr>
        <w:t>Private</w:t>
      </w:r>
      <w:r>
        <w:rPr>
          <w:color w:val="1B1B22"/>
          <w:spacing w:val="-4"/>
        </w:rPr>
        <w:t> </w:t>
      </w:r>
      <w:r>
        <w:rPr>
          <w:color w:val="1B1B22"/>
        </w:rPr>
        <w:t>segment,</w:t>
      </w:r>
      <w:r>
        <w:rPr>
          <w:color w:val="1B1B22"/>
          <w:spacing w:val="-3"/>
        </w:rPr>
        <w:t> </w:t>
      </w:r>
      <w:r>
        <w:rPr>
          <w:color w:val="1B1B22"/>
        </w:rPr>
        <w:t>we</w:t>
      </w:r>
      <w:r>
        <w:rPr>
          <w:color w:val="1B1B22"/>
          <w:spacing w:val="-4"/>
        </w:rPr>
        <w:t> </w:t>
      </w:r>
      <w:r>
        <w:rPr>
          <w:color w:val="1B1B22"/>
        </w:rPr>
        <w:t>have the largest network of offices in the country, and we were awarded the Best Private Bank in the Country for sustainability by the Euromoney Private Banking Awards 2025.</w:t>
      </w:r>
    </w:p>
    <w:p>
      <w:pPr>
        <w:pStyle w:val="BodyText"/>
        <w:spacing w:line="321" w:lineRule="auto" w:before="115"/>
        <w:ind w:left="569" w:right="565" w:hanging="1"/>
      </w:pPr>
      <w:r>
        <w:rPr>
          <w:color w:val="1B1B22"/>
        </w:rPr>
        <w:t>For SME clients, the Painel PJ, a solution that supports the financial management of micro and small companies, had 216 thousand users in 1Q25 and</w:t>
      </w:r>
      <w:r>
        <w:rPr>
          <w:color w:val="1B1B22"/>
          <w:spacing w:val="-13"/>
        </w:rPr>
        <w:t> </w:t>
      </w:r>
      <w:r>
        <w:rPr>
          <w:color w:val="1B1B22"/>
        </w:rPr>
        <w:t>managed</w:t>
      </w:r>
      <w:r>
        <w:rPr>
          <w:color w:val="1B1B22"/>
          <w:spacing w:val="-12"/>
        </w:rPr>
        <w:t> </w:t>
      </w:r>
      <w:r>
        <w:rPr>
          <w:color w:val="1B1B22"/>
        </w:rPr>
        <w:t>annual</w:t>
      </w:r>
      <w:r>
        <w:rPr>
          <w:color w:val="1B1B22"/>
          <w:spacing w:val="-13"/>
        </w:rPr>
        <w:t> </w:t>
      </w:r>
      <w:r>
        <w:rPr>
          <w:color w:val="1B1B22"/>
        </w:rPr>
        <w:t>gross</w:t>
      </w:r>
      <w:r>
        <w:rPr>
          <w:color w:val="1B1B22"/>
          <w:spacing w:val="-12"/>
        </w:rPr>
        <w:t> </w:t>
      </w:r>
      <w:r>
        <w:rPr>
          <w:color w:val="1B1B22"/>
        </w:rPr>
        <w:t>revenues</w:t>
      </w:r>
      <w:r>
        <w:rPr>
          <w:color w:val="1B1B22"/>
          <w:spacing w:val="-12"/>
        </w:rPr>
        <w:t> </w:t>
      </w:r>
      <w:r>
        <w:rPr>
          <w:color w:val="1B1B22"/>
        </w:rPr>
        <w:t>of</w:t>
      </w:r>
      <w:r>
        <w:rPr>
          <w:color w:val="1B1B22"/>
          <w:spacing w:val="-13"/>
        </w:rPr>
        <w:t> </w:t>
      </w:r>
      <w:r>
        <w:rPr>
          <w:color w:val="1B1B22"/>
        </w:rPr>
        <w:t>over</w:t>
      </w:r>
      <w:r>
        <w:rPr>
          <w:color w:val="1B1B22"/>
          <w:spacing w:val="-12"/>
        </w:rPr>
        <w:t> </w:t>
      </w:r>
      <w:r>
        <w:rPr>
          <w:color w:val="1B1B22"/>
        </w:rPr>
        <w:t>R$850 billion. In this segment, the BB Empresas Benefits Program reached the milestone of 1.1 million </w:t>
      </w:r>
      <w:r>
        <w:rPr>
          <w:color w:val="1B1B22"/>
          <w:spacing w:val="-2"/>
        </w:rPr>
        <w:t>clients.</w:t>
      </w:r>
    </w:p>
    <w:p>
      <w:pPr>
        <w:pStyle w:val="BodyText"/>
        <w:spacing w:line="321" w:lineRule="auto" w:before="115"/>
        <w:ind w:left="569" w:right="565"/>
      </w:pPr>
      <w:r>
        <w:rPr>
          <w:color w:val="1B1B22"/>
        </w:rPr>
        <w:t>In supporting SMEs, we continue to promote actions to stimulate credit with quality and security,</w:t>
      </w:r>
      <w:r>
        <w:rPr>
          <w:color w:val="1B1B22"/>
          <w:spacing w:val="-7"/>
        </w:rPr>
        <w:t> </w:t>
      </w:r>
      <w:r>
        <w:rPr>
          <w:color w:val="1B1B22"/>
        </w:rPr>
        <w:t>in</w:t>
      </w:r>
      <w:r>
        <w:rPr>
          <w:color w:val="1B1B22"/>
          <w:spacing w:val="-6"/>
        </w:rPr>
        <w:t> </w:t>
      </w:r>
      <w:r>
        <w:rPr>
          <w:color w:val="1B1B22"/>
        </w:rPr>
        <w:t>addition</w:t>
      </w:r>
      <w:r>
        <w:rPr>
          <w:color w:val="1B1B22"/>
          <w:spacing w:val="-6"/>
        </w:rPr>
        <w:t> </w:t>
      </w:r>
      <w:r>
        <w:rPr>
          <w:color w:val="1B1B22"/>
        </w:rPr>
        <w:t>to</w:t>
      </w:r>
      <w:r>
        <w:rPr>
          <w:color w:val="1B1B22"/>
          <w:spacing w:val="-7"/>
        </w:rPr>
        <w:t> </w:t>
      </w:r>
      <w:r>
        <w:rPr>
          <w:color w:val="1B1B22"/>
        </w:rPr>
        <w:t>generating</w:t>
      </w:r>
      <w:r>
        <w:rPr>
          <w:color w:val="1B1B22"/>
          <w:spacing w:val="-7"/>
        </w:rPr>
        <w:t> </w:t>
      </w:r>
      <w:r>
        <w:rPr>
          <w:color w:val="1B1B22"/>
        </w:rPr>
        <w:t>income</w:t>
      </w:r>
      <w:r>
        <w:rPr>
          <w:color w:val="1B1B22"/>
          <w:spacing w:val="-8"/>
        </w:rPr>
        <w:t> </w:t>
      </w:r>
      <w:r>
        <w:rPr>
          <w:color w:val="1B1B22"/>
        </w:rPr>
        <w:t>through the</w:t>
      </w:r>
      <w:r>
        <w:rPr>
          <w:color w:val="1B1B22"/>
          <w:spacing w:val="-13"/>
        </w:rPr>
        <w:t> </w:t>
      </w:r>
      <w:r>
        <w:rPr>
          <w:color w:val="1B1B22"/>
        </w:rPr>
        <w:t>Acredita</w:t>
      </w:r>
      <w:r>
        <w:rPr>
          <w:color w:val="1B1B22"/>
          <w:spacing w:val="-10"/>
        </w:rPr>
        <w:t> </w:t>
      </w:r>
      <w:r>
        <w:rPr>
          <w:color w:val="1B1B22"/>
        </w:rPr>
        <w:t>Program,</w:t>
      </w:r>
      <w:r>
        <w:rPr>
          <w:color w:val="1B1B22"/>
          <w:spacing w:val="-9"/>
        </w:rPr>
        <w:t> </w:t>
      </w:r>
      <w:r>
        <w:rPr>
          <w:color w:val="1B1B22"/>
        </w:rPr>
        <w:t>with</w:t>
      </w:r>
      <w:r>
        <w:rPr>
          <w:color w:val="1B1B22"/>
          <w:spacing w:val="-9"/>
        </w:rPr>
        <w:t> </w:t>
      </w:r>
      <w:r>
        <w:rPr>
          <w:color w:val="1B1B22"/>
        </w:rPr>
        <w:t>emphasis</w:t>
      </w:r>
      <w:r>
        <w:rPr>
          <w:color w:val="1B1B22"/>
          <w:spacing w:val="-8"/>
        </w:rPr>
        <w:t> </w:t>
      </w:r>
      <w:r>
        <w:rPr>
          <w:color w:val="1B1B22"/>
        </w:rPr>
        <w:t>on</w:t>
      </w:r>
      <w:r>
        <w:rPr>
          <w:color w:val="1B1B22"/>
          <w:spacing w:val="-9"/>
        </w:rPr>
        <w:t> </w:t>
      </w:r>
      <w:r>
        <w:rPr>
          <w:color w:val="1B1B22"/>
        </w:rPr>
        <w:t>BB</w:t>
      </w:r>
      <w:r>
        <w:rPr>
          <w:color w:val="1B1B22"/>
          <w:spacing w:val="-9"/>
        </w:rPr>
        <w:t> </w:t>
      </w:r>
      <w:r>
        <w:rPr>
          <w:color w:val="1B1B22"/>
        </w:rPr>
        <w:t>Capital de Giro Pronampe, which recorded disbursements of R$1.6 billion in 1Q25.</w:t>
      </w:r>
    </w:p>
    <w:p>
      <w:pPr>
        <w:pStyle w:val="BodyText"/>
        <w:spacing w:line="321" w:lineRule="auto" w:before="116"/>
        <w:ind w:left="569" w:right="567"/>
      </w:pPr>
      <w:r>
        <w:rPr>
          <w:color w:val="1B1B22"/>
        </w:rPr>
        <w:t>Demonstrating</w:t>
      </w:r>
      <w:r>
        <w:rPr>
          <w:color w:val="1B1B22"/>
          <w:spacing w:val="-2"/>
        </w:rPr>
        <w:t> </w:t>
      </w:r>
      <w:r>
        <w:rPr>
          <w:color w:val="1B1B22"/>
        </w:rPr>
        <w:t>a</w:t>
      </w:r>
      <w:r>
        <w:rPr>
          <w:color w:val="1B1B22"/>
          <w:spacing w:val="-4"/>
        </w:rPr>
        <w:t> </w:t>
      </w:r>
      <w:r>
        <w:rPr>
          <w:color w:val="1B1B22"/>
        </w:rPr>
        <w:t>commitment</w:t>
      </w:r>
      <w:r>
        <w:rPr>
          <w:color w:val="1B1B22"/>
          <w:spacing w:val="-2"/>
        </w:rPr>
        <w:t> </w:t>
      </w:r>
      <w:r>
        <w:rPr>
          <w:color w:val="1B1B22"/>
        </w:rPr>
        <w:t>to</w:t>
      </w:r>
      <w:r>
        <w:rPr>
          <w:color w:val="1B1B22"/>
          <w:spacing w:val="-3"/>
        </w:rPr>
        <w:t> </w:t>
      </w:r>
      <w:r>
        <w:rPr>
          <w:color w:val="1B1B22"/>
        </w:rPr>
        <w:t>promoting</w:t>
      </w:r>
      <w:r>
        <w:rPr>
          <w:color w:val="1B1B22"/>
          <w:spacing w:val="-2"/>
        </w:rPr>
        <w:t> </w:t>
      </w:r>
      <w:r>
        <w:rPr>
          <w:color w:val="1B1B22"/>
        </w:rPr>
        <w:t>DE&amp;I, we</w:t>
      </w:r>
      <w:r>
        <w:rPr>
          <w:color w:val="1B1B22"/>
          <w:spacing w:val="-7"/>
        </w:rPr>
        <w:t> </w:t>
      </w:r>
      <w:r>
        <w:rPr>
          <w:color w:val="1B1B22"/>
        </w:rPr>
        <w:t>have</w:t>
      </w:r>
      <w:r>
        <w:rPr>
          <w:color w:val="1B1B22"/>
          <w:spacing w:val="-7"/>
        </w:rPr>
        <w:t> </w:t>
      </w:r>
      <w:r>
        <w:rPr>
          <w:color w:val="1B1B22"/>
        </w:rPr>
        <w:t>over</w:t>
      </w:r>
      <w:r>
        <w:rPr>
          <w:color w:val="1B1B22"/>
          <w:spacing w:val="-7"/>
        </w:rPr>
        <w:t> </w:t>
      </w:r>
      <w:r>
        <w:rPr>
          <w:color w:val="1B1B22"/>
        </w:rPr>
        <w:t>1.3</w:t>
      </w:r>
      <w:r>
        <w:rPr>
          <w:color w:val="1B1B22"/>
          <w:spacing w:val="-7"/>
        </w:rPr>
        <w:t> </w:t>
      </w:r>
      <w:r>
        <w:rPr>
          <w:color w:val="1B1B22"/>
        </w:rPr>
        <w:t>million</w:t>
      </w:r>
      <w:r>
        <w:rPr>
          <w:color w:val="1B1B22"/>
          <w:spacing w:val="-6"/>
        </w:rPr>
        <w:t> </w:t>
      </w:r>
      <w:r>
        <w:rPr>
          <w:color w:val="1B1B22"/>
        </w:rPr>
        <w:t>companies</w:t>
      </w:r>
      <w:r>
        <w:rPr>
          <w:color w:val="1B1B22"/>
          <w:spacing w:val="-6"/>
        </w:rPr>
        <w:t> </w:t>
      </w:r>
      <w:r>
        <w:rPr>
          <w:color w:val="1B1B22"/>
        </w:rPr>
        <w:t>led</w:t>
      </w:r>
      <w:r>
        <w:rPr>
          <w:color w:val="1B1B22"/>
          <w:spacing w:val="-7"/>
        </w:rPr>
        <w:t> </w:t>
      </w:r>
      <w:r>
        <w:rPr>
          <w:color w:val="1B1B22"/>
        </w:rPr>
        <w:t>by</w:t>
      </w:r>
      <w:r>
        <w:rPr>
          <w:color w:val="1B1B22"/>
          <w:spacing w:val="-7"/>
        </w:rPr>
        <w:t> </w:t>
      </w:r>
      <w:r>
        <w:rPr>
          <w:color w:val="1B1B22"/>
        </w:rPr>
        <w:t>women, with disbursements of R$294 million in exclusive lines for this audience in 1Q25.</w:t>
      </w:r>
    </w:p>
    <w:p>
      <w:pPr>
        <w:pStyle w:val="BodyText"/>
        <w:spacing w:line="321" w:lineRule="auto" w:before="116"/>
        <w:ind w:left="569" w:right="566"/>
      </w:pPr>
      <w:r>
        <w:rPr>
          <w:color w:val="1B1B22"/>
        </w:rPr>
        <w:t>We are partners of Large Companies, serving Corporate, Large Corporate and Ultra Large Corporate companies in the Wholesale segment, with a complete portfolio of credit, cash management and foreign trade, with emphasis on foreign</w:t>
      </w:r>
      <w:r>
        <w:rPr>
          <w:color w:val="1B1B22"/>
          <w:spacing w:val="-11"/>
        </w:rPr>
        <w:t> </w:t>
      </w:r>
      <w:r>
        <w:rPr>
          <w:color w:val="1B1B22"/>
        </w:rPr>
        <w:t>exchange</w:t>
      </w:r>
      <w:r>
        <w:rPr>
          <w:color w:val="1B1B22"/>
          <w:spacing w:val="-12"/>
        </w:rPr>
        <w:t> </w:t>
      </w:r>
      <w:r>
        <w:rPr>
          <w:color w:val="1B1B22"/>
        </w:rPr>
        <w:t>operations</w:t>
      </w:r>
      <w:r>
        <w:rPr>
          <w:color w:val="1B1B22"/>
          <w:spacing w:val="-11"/>
        </w:rPr>
        <w:t> </w:t>
      </w:r>
      <w:r>
        <w:rPr>
          <w:color w:val="1B1B22"/>
        </w:rPr>
        <w:t>and</w:t>
      </w:r>
      <w:r>
        <w:rPr>
          <w:color w:val="1B1B22"/>
          <w:spacing w:val="-12"/>
        </w:rPr>
        <w:t> </w:t>
      </w:r>
      <w:r>
        <w:rPr>
          <w:color w:val="1B1B22"/>
        </w:rPr>
        <w:t>export</w:t>
      </w:r>
      <w:r>
        <w:rPr>
          <w:color w:val="1B1B22"/>
          <w:spacing w:val="-12"/>
        </w:rPr>
        <w:t> </w:t>
      </w:r>
      <w:r>
        <w:rPr>
          <w:color w:val="1B1B22"/>
        </w:rPr>
        <w:t>financing. We also operate in international business, in addition to supporting capital market operations, with highly qualified advisors.</w:t>
      </w:r>
    </w:p>
    <w:p>
      <w:pPr>
        <w:pStyle w:val="BodyText"/>
        <w:spacing w:after="0" w:line="321" w:lineRule="auto"/>
        <w:sectPr>
          <w:type w:val="continuous"/>
          <w:pgSz w:w="11910" w:h="16850"/>
          <w:pgMar w:header="152" w:footer="572" w:top="1920" w:bottom="280" w:left="283" w:right="283"/>
          <w:cols w:num="2" w:equalWidth="0">
            <w:col w:w="5360" w:space="95"/>
            <w:col w:w="5889"/>
          </w:cols>
        </w:sectPr>
      </w:pPr>
    </w:p>
    <w:p>
      <w:pPr>
        <w:pStyle w:val="Heading1"/>
        <w:spacing w:before="479"/>
      </w:pPr>
      <w:bookmarkStart w:name="Technology and Inovation" w:id="4"/>
      <w:bookmarkEnd w:id="4"/>
      <w:r>
        <w:rPr/>
      </w:r>
      <w:r>
        <w:rPr>
          <w:color w:val="465EFF"/>
          <w:spacing w:val="30"/>
        </w:rPr>
        <w:t>Technology</w:t>
      </w:r>
      <w:r>
        <w:rPr>
          <w:color w:val="465EFF"/>
          <w:spacing w:val="65"/>
        </w:rPr>
        <w:t> </w:t>
      </w:r>
      <w:r>
        <w:rPr>
          <w:color w:val="465EFF"/>
          <w:spacing w:val="26"/>
        </w:rPr>
        <w:t>and</w:t>
      </w:r>
      <w:r>
        <w:rPr>
          <w:color w:val="465EFF"/>
          <w:spacing w:val="65"/>
        </w:rPr>
        <w:t> </w:t>
      </w:r>
      <w:r>
        <w:rPr>
          <w:color w:val="465EFF"/>
          <w:spacing w:val="30"/>
        </w:rPr>
        <w:t>Inovation</w:t>
      </w:r>
    </w:p>
    <w:p>
      <w:pPr>
        <w:pStyle w:val="BodyText"/>
        <w:spacing w:before="2"/>
        <w:jc w:val="left"/>
        <w:rPr>
          <w:rFonts w:ascii="BancoDoBrasil Titulos"/>
          <w:sz w:val="13"/>
        </w:rPr>
      </w:pPr>
    </w:p>
    <w:p>
      <w:pPr>
        <w:pStyle w:val="BodyText"/>
        <w:spacing w:after="0"/>
        <w:jc w:val="left"/>
        <w:rPr>
          <w:rFonts w:ascii="BancoDoBrasil Titulos"/>
          <w:sz w:val="13"/>
        </w:rPr>
        <w:sectPr>
          <w:pgSz w:w="11910" w:h="16850"/>
          <w:pgMar w:header="152" w:footer="572" w:top="900" w:bottom="780" w:left="283" w:right="283"/>
        </w:sectPr>
      </w:pPr>
    </w:p>
    <w:p>
      <w:pPr>
        <w:pStyle w:val="BodyText"/>
        <w:spacing w:line="321" w:lineRule="auto" w:before="78"/>
        <w:ind w:left="569" w:right="39"/>
      </w:pPr>
      <w:r>
        <w:rPr>
          <w:color w:val="1B1B22"/>
        </w:rPr>
        <w:t>At Banco do Brasil, each transaction is more than just an operation: it is an experience, an invitation </w:t>
      </w:r>
      <w:r>
        <w:rPr>
          <w:color w:val="1B1B22"/>
          <w:spacing w:val="-2"/>
        </w:rPr>
        <w:t>to</w:t>
      </w:r>
      <w:r>
        <w:rPr>
          <w:color w:val="1B1B22"/>
          <w:spacing w:val="-9"/>
        </w:rPr>
        <w:t> </w:t>
      </w:r>
      <w:r>
        <w:rPr>
          <w:color w:val="1B1B22"/>
          <w:spacing w:val="-2"/>
        </w:rPr>
        <w:t>celebrate</w:t>
      </w:r>
      <w:r>
        <w:rPr>
          <w:color w:val="1B1B22"/>
          <w:spacing w:val="-6"/>
        </w:rPr>
        <w:t> </w:t>
      </w:r>
      <w:r>
        <w:rPr>
          <w:color w:val="1B1B22"/>
          <w:spacing w:val="-2"/>
        </w:rPr>
        <w:t>the</w:t>
      </w:r>
      <w:r>
        <w:rPr>
          <w:color w:val="1B1B22"/>
          <w:spacing w:val="-6"/>
        </w:rPr>
        <w:t> </w:t>
      </w:r>
      <w:r>
        <w:rPr>
          <w:color w:val="1B1B22"/>
          <w:spacing w:val="-2"/>
        </w:rPr>
        <w:t>country's</w:t>
      </w:r>
      <w:r>
        <w:rPr>
          <w:color w:val="1B1B22"/>
          <w:spacing w:val="-4"/>
        </w:rPr>
        <w:t> </w:t>
      </w:r>
      <w:r>
        <w:rPr>
          <w:color w:val="1B1B22"/>
          <w:spacing w:val="-2"/>
        </w:rPr>
        <w:t>development.</w:t>
      </w:r>
      <w:r>
        <w:rPr>
          <w:color w:val="1B1B22"/>
          <w:spacing w:val="-11"/>
        </w:rPr>
        <w:t> </w:t>
      </w:r>
      <w:r>
        <w:rPr>
          <w:color w:val="1B1B22"/>
          <w:spacing w:val="-2"/>
        </w:rPr>
        <w:t>We</w:t>
      </w:r>
      <w:r>
        <w:rPr>
          <w:color w:val="1B1B22"/>
          <w:spacing w:val="-5"/>
        </w:rPr>
        <w:t> </w:t>
      </w:r>
      <w:r>
        <w:rPr>
          <w:color w:val="1B1B22"/>
          <w:spacing w:val="-2"/>
        </w:rPr>
        <w:t>have</w:t>
      </w:r>
      <w:r>
        <w:rPr>
          <w:color w:val="1B1B22"/>
          <w:spacing w:val="-6"/>
        </w:rPr>
        <w:t> </w:t>
      </w:r>
      <w:r>
        <w:rPr>
          <w:color w:val="1B1B22"/>
          <w:spacing w:val="-2"/>
        </w:rPr>
        <w:t>a </w:t>
      </w:r>
      <w:r>
        <w:rPr>
          <w:color w:val="1B1B22"/>
        </w:rPr>
        <w:t>Digital Strategy focused on digital and cultural transformation, with constant innovations, cutting-edge technology, new business models and greater organizational agility to delight customers and ensure lasting results.</w:t>
      </w:r>
    </w:p>
    <w:p>
      <w:pPr>
        <w:pStyle w:val="BodyText"/>
        <w:spacing w:line="321" w:lineRule="auto" w:before="115"/>
        <w:ind w:left="568" w:right="39"/>
      </w:pPr>
      <w:r>
        <w:rPr>
          <w:color w:val="1B1B22"/>
        </w:rPr>
        <w:t>We are continually innovating.</w:t>
      </w:r>
      <w:r>
        <w:rPr>
          <w:color w:val="1B1B22"/>
          <w:spacing w:val="-6"/>
        </w:rPr>
        <w:t> </w:t>
      </w:r>
      <w:r>
        <w:rPr>
          <w:color w:val="1B1B22"/>
        </w:rPr>
        <w:t>The new SAC URA, which</w:t>
      </w:r>
      <w:r>
        <w:rPr>
          <w:color w:val="1B1B22"/>
          <w:spacing w:val="-13"/>
        </w:rPr>
        <w:t> </w:t>
      </w:r>
      <w:r>
        <w:rPr>
          <w:color w:val="1B1B22"/>
        </w:rPr>
        <w:t>uses</w:t>
      </w:r>
      <w:r>
        <w:rPr>
          <w:color w:val="1B1B22"/>
          <w:spacing w:val="-12"/>
        </w:rPr>
        <w:t> </w:t>
      </w:r>
      <w:r>
        <w:rPr>
          <w:color w:val="1B1B22"/>
        </w:rPr>
        <w:t>AI</w:t>
      </w:r>
      <w:r>
        <w:rPr>
          <w:color w:val="1B1B22"/>
          <w:spacing w:val="-13"/>
        </w:rPr>
        <w:t> </w:t>
      </w:r>
      <w:r>
        <w:rPr>
          <w:color w:val="1B1B22"/>
        </w:rPr>
        <w:t>to</w:t>
      </w:r>
      <w:r>
        <w:rPr>
          <w:color w:val="1B1B22"/>
          <w:spacing w:val="-12"/>
        </w:rPr>
        <w:t> </w:t>
      </w:r>
      <w:r>
        <w:rPr>
          <w:color w:val="1B1B22"/>
        </w:rPr>
        <w:t>handle</w:t>
      </w:r>
      <w:r>
        <w:rPr>
          <w:color w:val="1B1B22"/>
          <w:spacing w:val="-12"/>
        </w:rPr>
        <w:t> </w:t>
      </w:r>
      <w:r>
        <w:rPr>
          <w:color w:val="1B1B22"/>
        </w:rPr>
        <w:t>incidents</w:t>
      </w:r>
      <w:r>
        <w:rPr>
          <w:color w:val="1B1B22"/>
          <w:spacing w:val="-13"/>
        </w:rPr>
        <w:t> </w:t>
      </w:r>
      <w:r>
        <w:rPr>
          <w:color w:val="1B1B22"/>
        </w:rPr>
        <w:t>from</w:t>
      </w:r>
      <w:r>
        <w:rPr>
          <w:color w:val="1B1B22"/>
          <w:spacing w:val="-12"/>
        </w:rPr>
        <w:t> </w:t>
      </w:r>
      <w:r>
        <w:rPr>
          <w:color w:val="1B1B22"/>
        </w:rPr>
        <w:t>the</w:t>
      </w:r>
      <w:r>
        <w:rPr>
          <w:color w:val="1B1B22"/>
          <w:spacing w:val="-12"/>
        </w:rPr>
        <w:t> </w:t>
      </w:r>
      <w:r>
        <w:rPr>
          <w:color w:val="1B1B22"/>
        </w:rPr>
        <w:t>Reclame Aqui and Consumidor.Gov platforms, generates </w:t>
      </w:r>
      <w:r>
        <w:rPr>
          <w:color w:val="1B1B22"/>
          <w:spacing w:val="-2"/>
        </w:rPr>
        <w:t>agile</w:t>
      </w:r>
      <w:r>
        <w:rPr>
          <w:color w:val="1B1B22"/>
          <w:spacing w:val="-6"/>
        </w:rPr>
        <w:t> </w:t>
      </w:r>
      <w:r>
        <w:rPr>
          <w:color w:val="1B1B22"/>
          <w:spacing w:val="-2"/>
        </w:rPr>
        <w:t>summaries</w:t>
      </w:r>
      <w:r>
        <w:rPr>
          <w:color w:val="1B1B22"/>
          <w:spacing w:val="-4"/>
        </w:rPr>
        <w:t> </w:t>
      </w:r>
      <w:r>
        <w:rPr>
          <w:color w:val="1B1B22"/>
          <w:spacing w:val="-2"/>
        </w:rPr>
        <w:t>of</w:t>
      </w:r>
      <w:r>
        <w:rPr>
          <w:color w:val="1B1B22"/>
          <w:spacing w:val="-7"/>
        </w:rPr>
        <w:t> </w:t>
      </w:r>
      <w:r>
        <w:rPr>
          <w:color w:val="1B1B22"/>
          <w:spacing w:val="-2"/>
        </w:rPr>
        <w:t>customer</w:t>
      </w:r>
      <w:r>
        <w:rPr>
          <w:color w:val="1B1B22"/>
          <w:spacing w:val="-6"/>
        </w:rPr>
        <w:t> </w:t>
      </w:r>
      <w:r>
        <w:rPr>
          <w:color w:val="1B1B22"/>
          <w:spacing w:val="-2"/>
        </w:rPr>
        <w:t>reports.</w:t>
      </w:r>
      <w:r>
        <w:rPr>
          <w:color w:val="1B1B22"/>
          <w:spacing w:val="-6"/>
        </w:rPr>
        <w:t> </w:t>
      </w:r>
      <w:r>
        <w:rPr>
          <w:color w:val="1B1B22"/>
          <w:spacing w:val="-2"/>
        </w:rPr>
        <w:t>Generative</w:t>
      </w:r>
      <w:r>
        <w:rPr>
          <w:color w:val="1B1B22"/>
          <w:spacing w:val="-6"/>
        </w:rPr>
        <w:t> </w:t>
      </w:r>
      <w:r>
        <w:rPr>
          <w:color w:val="1B1B22"/>
          <w:spacing w:val="-2"/>
        </w:rPr>
        <w:t>AI </w:t>
      </w:r>
      <w:r>
        <w:rPr>
          <w:color w:val="1B1B22"/>
        </w:rPr>
        <w:t>has also evolved, now transcribing and summarizing SAC calls, increasing operational efficiency, agility and resolution of customer </w:t>
      </w:r>
      <w:r>
        <w:rPr>
          <w:color w:val="1B1B22"/>
          <w:spacing w:val="-2"/>
        </w:rPr>
        <w:t>demands.</w:t>
      </w:r>
    </w:p>
    <w:p>
      <w:pPr>
        <w:pStyle w:val="BodyText"/>
        <w:spacing w:line="321" w:lineRule="auto" w:before="115"/>
        <w:ind w:left="569" w:right="40"/>
      </w:pPr>
      <w:r>
        <w:rPr>
          <w:color w:val="1B1B22"/>
        </w:rPr>
        <w:t>We integrate technology, inclusion and accessibility.</w:t>
      </w:r>
      <w:r>
        <w:rPr>
          <w:color w:val="1B1B22"/>
          <w:spacing w:val="-2"/>
        </w:rPr>
        <w:t> </w:t>
      </w:r>
      <w:r>
        <w:rPr>
          <w:color w:val="1B1B22"/>
        </w:rPr>
        <w:t>The BB App now allows adjustments to font size and touch area, in addition to being a pioneer in offering font enlargement directly on the platform.</w:t>
      </w:r>
    </w:p>
    <w:p>
      <w:pPr>
        <w:pStyle w:val="BodyText"/>
        <w:spacing w:line="321" w:lineRule="auto" w:before="116"/>
        <w:ind w:left="569" w:right="38"/>
      </w:pPr>
      <w:r>
        <w:rPr>
          <w:color w:val="1B1B22"/>
        </w:rPr>
        <w:t>We</w:t>
      </w:r>
      <w:r>
        <w:rPr>
          <w:color w:val="1B1B22"/>
          <w:spacing w:val="-13"/>
        </w:rPr>
        <w:t> </w:t>
      </w:r>
      <w:r>
        <w:rPr>
          <w:color w:val="1B1B22"/>
        </w:rPr>
        <w:t>launched</w:t>
      </w:r>
      <w:r>
        <w:rPr>
          <w:color w:val="1B1B22"/>
          <w:spacing w:val="-12"/>
        </w:rPr>
        <w:t> </w:t>
      </w:r>
      <w:r>
        <w:rPr>
          <w:color w:val="1B1B22"/>
        </w:rPr>
        <w:t>the</w:t>
      </w:r>
      <w:r>
        <w:rPr>
          <w:color w:val="1B1B22"/>
          <w:spacing w:val="-13"/>
        </w:rPr>
        <w:t> </w:t>
      </w:r>
      <w:r>
        <w:rPr>
          <w:color w:val="1B1B22"/>
        </w:rPr>
        <w:t>Open</w:t>
      </w:r>
      <w:r>
        <w:rPr>
          <w:color w:val="1B1B22"/>
          <w:spacing w:val="-12"/>
        </w:rPr>
        <w:t> </w:t>
      </w:r>
      <w:r>
        <w:rPr>
          <w:color w:val="1B1B22"/>
        </w:rPr>
        <w:t>Finance</w:t>
      </w:r>
      <w:r>
        <w:rPr>
          <w:color w:val="1B1B22"/>
          <w:spacing w:val="-12"/>
        </w:rPr>
        <w:t> </w:t>
      </w:r>
      <w:r>
        <w:rPr>
          <w:color w:val="1B1B22"/>
        </w:rPr>
        <w:t>Center,</w:t>
      </w:r>
      <w:r>
        <w:rPr>
          <w:color w:val="1B1B22"/>
          <w:spacing w:val="-13"/>
        </w:rPr>
        <w:t> </w:t>
      </w:r>
      <w:r>
        <w:rPr>
          <w:color w:val="1B1B22"/>
        </w:rPr>
        <w:t>a</w:t>
      </w:r>
      <w:r>
        <w:rPr>
          <w:color w:val="1B1B22"/>
          <w:spacing w:val="-12"/>
        </w:rPr>
        <w:t> </w:t>
      </w:r>
      <w:r>
        <w:rPr>
          <w:color w:val="1B1B22"/>
        </w:rPr>
        <w:t>dedicated area in the BB app that brings together all the information about active consents and the advantages of data sharing, offering customers more autonomy, transparency and clarity about how data sharing can be translated into real </w:t>
      </w:r>
      <w:r>
        <w:rPr>
          <w:color w:val="1B1B22"/>
          <w:spacing w:val="-2"/>
        </w:rPr>
        <w:t>advantages.</w:t>
      </w:r>
    </w:p>
    <w:p>
      <w:pPr>
        <w:pStyle w:val="BodyText"/>
        <w:spacing w:line="321" w:lineRule="auto" w:before="115"/>
        <w:ind w:left="569" w:right="40"/>
      </w:pPr>
      <w:r>
        <w:rPr>
          <w:color w:val="1B1B22"/>
        </w:rPr>
        <w:t>We also made it possible to change passwords 100% via mobile and to release devices via WhatsApp, in a simple way and strengthening customer privacy and data protection.</w:t>
      </w:r>
    </w:p>
    <w:p>
      <w:pPr>
        <w:pStyle w:val="BodyText"/>
        <w:spacing w:line="319" w:lineRule="auto" w:before="119"/>
        <w:ind w:left="569" w:right="41"/>
      </w:pPr>
      <w:r>
        <w:rPr>
          <w:color w:val="1B1B22"/>
        </w:rPr>
        <w:t>We remain one of the best rated in the financial industry, with a rating of 4.7 on Google and reaching</w:t>
      </w:r>
      <w:r>
        <w:rPr>
          <w:color w:val="1B1B22"/>
          <w:spacing w:val="46"/>
        </w:rPr>
        <w:t> </w:t>
      </w:r>
      <w:r>
        <w:rPr>
          <w:color w:val="1B1B22"/>
        </w:rPr>
        <w:t>the</w:t>
      </w:r>
      <w:r>
        <w:rPr>
          <w:color w:val="1B1B22"/>
          <w:spacing w:val="46"/>
        </w:rPr>
        <w:t> </w:t>
      </w:r>
      <w:r>
        <w:rPr>
          <w:color w:val="1B1B22"/>
        </w:rPr>
        <w:t>historic</w:t>
      </w:r>
      <w:r>
        <w:rPr>
          <w:color w:val="1B1B22"/>
          <w:spacing w:val="48"/>
        </w:rPr>
        <w:t> </w:t>
      </w:r>
      <w:r>
        <w:rPr>
          <w:color w:val="1B1B22"/>
        </w:rPr>
        <w:t>mark</w:t>
      </w:r>
      <w:r>
        <w:rPr>
          <w:color w:val="1B1B22"/>
          <w:spacing w:val="46"/>
        </w:rPr>
        <w:t> </w:t>
      </w:r>
      <w:r>
        <w:rPr>
          <w:color w:val="1B1B22"/>
        </w:rPr>
        <w:t>of</w:t>
      </w:r>
      <w:r>
        <w:rPr>
          <w:color w:val="1B1B22"/>
          <w:spacing w:val="45"/>
        </w:rPr>
        <w:t> </w:t>
      </w:r>
      <w:r>
        <w:rPr>
          <w:color w:val="1B1B22"/>
        </w:rPr>
        <w:t>4.8</w:t>
      </w:r>
      <w:r>
        <w:rPr>
          <w:color w:val="1B1B22"/>
          <w:spacing w:val="45"/>
        </w:rPr>
        <w:t> </w:t>
      </w:r>
      <w:r>
        <w:rPr>
          <w:color w:val="1B1B22"/>
        </w:rPr>
        <w:t>on</w:t>
      </w:r>
      <w:r>
        <w:rPr>
          <w:color w:val="1B1B22"/>
          <w:spacing w:val="46"/>
        </w:rPr>
        <w:t> </w:t>
      </w:r>
      <w:r>
        <w:rPr>
          <w:color w:val="1B1B22"/>
        </w:rPr>
        <w:t>the</w:t>
      </w:r>
      <w:r>
        <w:rPr>
          <w:color w:val="1B1B22"/>
          <w:spacing w:val="42"/>
        </w:rPr>
        <w:t> </w:t>
      </w:r>
      <w:r>
        <w:rPr>
          <w:color w:val="1B1B22"/>
          <w:spacing w:val="-4"/>
        </w:rPr>
        <w:t>Apple</w:t>
      </w:r>
    </w:p>
    <w:p>
      <w:pPr>
        <w:pStyle w:val="BodyText"/>
        <w:spacing w:line="319" w:lineRule="auto" w:before="79"/>
        <w:ind w:left="569" w:right="568"/>
      </w:pPr>
      <w:r>
        <w:rPr/>
        <w:br w:type="column"/>
      </w:r>
      <w:r>
        <w:rPr>
          <w:color w:val="1B1B22"/>
        </w:rPr>
        <w:t>Store.</w:t>
      </w:r>
      <w:r>
        <w:rPr>
          <w:color w:val="1B1B22"/>
          <w:spacing w:val="-13"/>
        </w:rPr>
        <w:t> </w:t>
      </w:r>
      <w:r>
        <w:rPr>
          <w:color w:val="1B1B22"/>
        </w:rPr>
        <w:t>We</w:t>
      </w:r>
      <w:r>
        <w:rPr>
          <w:color w:val="1B1B22"/>
          <w:spacing w:val="-12"/>
        </w:rPr>
        <w:t> </w:t>
      </w:r>
      <w:r>
        <w:rPr>
          <w:color w:val="1B1B22"/>
        </w:rPr>
        <w:t>have</w:t>
      </w:r>
      <w:r>
        <w:rPr>
          <w:color w:val="1B1B22"/>
          <w:spacing w:val="-13"/>
        </w:rPr>
        <w:t> </w:t>
      </w:r>
      <w:r>
        <w:rPr>
          <w:color w:val="1B1B22"/>
        </w:rPr>
        <w:t>more</w:t>
      </w:r>
      <w:r>
        <w:rPr>
          <w:color w:val="1B1B22"/>
          <w:spacing w:val="-12"/>
        </w:rPr>
        <w:t> </w:t>
      </w:r>
      <w:r>
        <w:rPr>
          <w:color w:val="1B1B22"/>
        </w:rPr>
        <w:t>than</w:t>
      </w:r>
      <w:r>
        <w:rPr>
          <w:color w:val="1B1B22"/>
          <w:spacing w:val="-12"/>
        </w:rPr>
        <w:t> </w:t>
      </w:r>
      <w:r>
        <w:rPr>
          <w:color w:val="1B1B22"/>
        </w:rPr>
        <w:t>26.3</w:t>
      </w:r>
      <w:r>
        <w:rPr>
          <w:color w:val="1B1B22"/>
          <w:spacing w:val="-13"/>
        </w:rPr>
        <w:t> </w:t>
      </w:r>
      <w:r>
        <w:rPr>
          <w:color w:val="1B1B22"/>
        </w:rPr>
        <w:t>million</w:t>
      </w:r>
      <w:r>
        <w:rPr>
          <w:color w:val="1B1B22"/>
          <w:spacing w:val="-12"/>
        </w:rPr>
        <w:t> </w:t>
      </w:r>
      <w:r>
        <w:rPr>
          <w:color w:val="1B1B22"/>
        </w:rPr>
        <w:t>users</w:t>
      </w:r>
      <w:r>
        <w:rPr>
          <w:color w:val="1B1B22"/>
          <w:spacing w:val="-12"/>
        </w:rPr>
        <w:t> </w:t>
      </w:r>
      <w:r>
        <w:rPr>
          <w:color w:val="1B1B22"/>
        </w:rPr>
        <w:t>on</w:t>
      </w:r>
      <w:r>
        <w:rPr>
          <w:color w:val="1B1B22"/>
          <w:spacing w:val="-13"/>
        </w:rPr>
        <w:t> </w:t>
      </w:r>
      <w:r>
        <w:rPr>
          <w:color w:val="1B1B22"/>
        </w:rPr>
        <w:t>the </w:t>
      </w:r>
      <w:r>
        <w:rPr>
          <w:color w:val="1B1B22"/>
          <w:spacing w:val="-4"/>
        </w:rPr>
        <w:t>App.</w:t>
      </w:r>
    </w:p>
    <w:p>
      <w:pPr>
        <w:pStyle w:val="BodyText"/>
        <w:spacing w:before="1"/>
        <w:jc w:val="left"/>
        <w:rPr>
          <w:sz w:val="9"/>
        </w:rPr>
      </w:pPr>
      <w:r>
        <w:rPr>
          <w:sz w:val="9"/>
        </w:rPr>
        <w:drawing>
          <wp:anchor distT="0" distB="0" distL="0" distR="0" allowOverlap="1" layoutInCell="1" locked="0" behindDoc="1" simplePos="0" relativeHeight="487591424">
            <wp:simplePos x="0" y="0"/>
            <wp:positionH relativeFrom="page">
              <wp:posOffset>4004945</wp:posOffset>
            </wp:positionH>
            <wp:positionV relativeFrom="paragraph">
              <wp:posOffset>89141</wp:posOffset>
            </wp:positionV>
            <wp:extent cx="3039593" cy="1709927"/>
            <wp:effectExtent l="0" t="0" r="0" b="0"/>
            <wp:wrapTopAndBottom/>
            <wp:docPr id="26" name="Image 26" descr="Mão de pessoa  O conteúdo gerado por IA pode estar incorreto. "/>
            <wp:cNvGraphicFramePr>
              <a:graphicFrameLocks/>
            </wp:cNvGraphicFramePr>
            <a:graphic>
              <a:graphicData uri="http://schemas.openxmlformats.org/drawingml/2006/picture">
                <pic:pic>
                  <pic:nvPicPr>
                    <pic:cNvPr id="26" name="Image 26" descr="Mão de pessoa  O conteúdo gerado por IA pode estar incorreto. "/>
                    <pic:cNvPicPr/>
                  </pic:nvPicPr>
                  <pic:blipFill>
                    <a:blip r:embed="rId9" cstate="print"/>
                    <a:stretch>
                      <a:fillRect/>
                    </a:stretch>
                  </pic:blipFill>
                  <pic:spPr>
                    <a:xfrm>
                      <a:off x="0" y="0"/>
                      <a:ext cx="3039593" cy="1709927"/>
                    </a:xfrm>
                    <a:prstGeom prst="rect">
                      <a:avLst/>
                    </a:prstGeom>
                  </pic:spPr>
                </pic:pic>
              </a:graphicData>
            </a:graphic>
          </wp:anchor>
        </w:drawing>
      </w:r>
    </w:p>
    <w:p>
      <w:pPr>
        <w:pStyle w:val="BodyText"/>
        <w:spacing w:line="321" w:lineRule="auto" w:before="195"/>
        <w:ind w:left="569" w:right="566"/>
      </w:pPr>
      <w:r>
        <w:rPr>
          <w:color w:val="1B1B22"/>
        </w:rPr>
        <w:t>With the BB Pay Platform, we simplified the process of receiving payments from companies, adding several payment methods and functionalities. R$3.7 billion was handled in four million transactions, a growth of 137% compared to the previous quarter.</w:t>
      </w:r>
    </w:p>
    <w:p>
      <w:pPr>
        <w:pStyle w:val="BodyText"/>
        <w:spacing w:line="321" w:lineRule="auto" w:before="116"/>
        <w:ind w:left="569" w:right="563"/>
      </w:pPr>
      <w:r>
        <w:rPr>
          <w:color w:val="1B1B22"/>
        </w:rPr>
        <w:t>In</w:t>
      </w:r>
      <w:r>
        <w:rPr>
          <w:color w:val="1B1B22"/>
          <w:spacing w:val="-12"/>
        </w:rPr>
        <w:t> </w:t>
      </w:r>
      <w:r>
        <w:rPr>
          <w:color w:val="1B1B22"/>
        </w:rPr>
        <w:t>addition</w:t>
      </w:r>
      <w:r>
        <w:rPr>
          <w:color w:val="1B1B22"/>
          <w:spacing w:val="-12"/>
        </w:rPr>
        <w:t> </w:t>
      </w:r>
      <w:r>
        <w:rPr>
          <w:color w:val="1B1B22"/>
        </w:rPr>
        <w:t>to</w:t>
      </w:r>
      <w:r>
        <w:rPr>
          <w:color w:val="1B1B22"/>
          <w:spacing w:val="-12"/>
        </w:rPr>
        <w:t> </w:t>
      </w:r>
      <w:r>
        <w:rPr>
          <w:color w:val="1B1B22"/>
        </w:rPr>
        <w:t>all</w:t>
      </w:r>
      <w:r>
        <w:rPr>
          <w:color w:val="1B1B22"/>
          <w:spacing w:val="-12"/>
        </w:rPr>
        <w:t> </w:t>
      </w:r>
      <w:r>
        <w:rPr>
          <w:color w:val="1B1B22"/>
        </w:rPr>
        <w:t>the</w:t>
      </w:r>
      <w:r>
        <w:rPr>
          <w:color w:val="1B1B22"/>
          <w:spacing w:val="-12"/>
        </w:rPr>
        <w:t> </w:t>
      </w:r>
      <w:r>
        <w:rPr>
          <w:color w:val="1B1B22"/>
        </w:rPr>
        <w:t>innovations</w:t>
      </w:r>
      <w:r>
        <w:rPr>
          <w:color w:val="1B1B22"/>
          <w:spacing w:val="-12"/>
        </w:rPr>
        <w:t> </w:t>
      </w:r>
      <w:r>
        <w:rPr>
          <w:color w:val="1B1B22"/>
        </w:rPr>
        <w:t>and</w:t>
      </w:r>
      <w:r>
        <w:rPr>
          <w:color w:val="1B1B22"/>
          <w:spacing w:val="-12"/>
        </w:rPr>
        <w:t> </w:t>
      </w:r>
      <w:r>
        <w:rPr>
          <w:color w:val="1B1B22"/>
        </w:rPr>
        <w:t>technological developments,</w:t>
      </w:r>
      <w:r>
        <w:rPr>
          <w:color w:val="1B1B22"/>
          <w:spacing w:val="-10"/>
        </w:rPr>
        <w:t> </w:t>
      </w:r>
      <w:r>
        <w:rPr>
          <w:color w:val="1B1B22"/>
        </w:rPr>
        <w:t>we</w:t>
      </w:r>
      <w:r>
        <w:rPr>
          <w:color w:val="1B1B22"/>
          <w:spacing w:val="-12"/>
        </w:rPr>
        <w:t> </w:t>
      </w:r>
      <w:r>
        <w:rPr>
          <w:color w:val="1B1B22"/>
        </w:rPr>
        <w:t>also</w:t>
      </w:r>
      <w:r>
        <w:rPr>
          <w:color w:val="1B1B22"/>
          <w:spacing w:val="-12"/>
        </w:rPr>
        <w:t> </w:t>
      </w:r>
      <w:r>
        <w:rPr>
          <w:color w:val="1B1B22"/>
        </w:rPr>
        <w:t>continue</w:t>
      </w:r>
      <w:r>
        <w:rPr>
          <w:color w:val="1B1B22"/>
          <w:spacing w:val="-12"/>
        </w:rPr>
        <w:t> </w:t>
      </w:r>
      <w:r>
        <w:rPr>
          <w:color w:val="1B1B22"/>
        </w:rPr>
        <w:t>to</w:t>
      </w:r>
      <w:r>
        <w:rPr>
          <w:color w:val="1B1B22"/>
          <w:spacing w:val="-12"/>
        </w:rPr>
        <w:t> </w:t>
      </w:r>
      <w:r>
        <w:rPr>
          <w:color w:val="1B1B22"/>
        </w:rPr>
        <w:t>expand</w:t>
      </w:r>
      <w:r>
        <w:rPr>
          <w:color w:val="1B1B22"/>
          <w:spacing w:val="-12"/>
        </w:rPr>
        <w:t> </w:t>
      </w:r>
      <w:r>
        <w:rPr>
          <w:color w:val="1B1B22"/>
        </w:rPr>
        <w:t>the</w:t>
      </w:r>
      <w:r>
        <w:rPr>
          <w:color w:val="1B1B22"/>
          <w:spacing w:val="-12"/>
        </w:rPr>
        <w:t> </w:t>
      </w:r>
      <w:r>
        <w:rPr>
          <w:color w:val="1B1B22"/>
        </w:rPr>
        <w:t>use of Artificial Intelligence to serve our customers. A good</w:t>
      </w:r>
      <w:r>
        <w:rPr>
          <w:color w:val="1B1B22"/>
          <w:spacing w:val="-8"/>
        </w:rPr>
        <w:t> </w:t>
      </w:r>
      <w:r>
        <w:rPr>
          <w:color w:val="1B1B22"/>
        </w:rPr>
        <w:t>example</w:t>
      </w:r>
      <w:r>
        <w:rPr>
          <w:color w:val="1B1B22"/>
          <w:spacing w:val="-8"/>
        </w:rPr>
        <w:t> </w:t>
      </w:r>
      <w:r>
        <w:rPr>
          <w:color w:val="1B1B22"/>
        </w:rPr>
        <w:t>of</w:t>
      </w:r>
      <w:r>
        <w:rPr>
          <w:color w:val="1B1B22"/>
          <w:spacing w:val="-9"/>
        </w:rPr>
        <w:t> </w:t>
      </w:r>
      <w:r>
        <w:rPr>
          <w:color w:val="1B1B22"/>
        </w:rPr>
        <w:t>this</w:t>
      </w:r>
      <w:r>
        <w:rPr>
          <w:color w:val="1B1B22"/>
          <w:spacing w:val="-7"/>
        </w:rPr>
        <w:t> </w:t>
      </w:r>
      <w:r>
        <w:rPr>
          <w:color w:val="1B1B22"/>
        </w:rPr>
        <w:t>is</w:t>
      </w:r>
      <w:r>
        <w:rPr>
          <w:color w:val="1B1B22"/>
          <w:spacing w:val="-9"/>
        </w:rPr>
        <w:t> </w:t>
      </w:r>
      <w:r>
        <w:rPr>
          <w:color w:val="1B1B22"/>
        </w:rPr>
        <w:t>Minhas</w:t>
      </w:r>
      <w:r>
        <w:rPr>
          <w:color w:val="1B1B22"/>
          <w:spacing w:val="-7"/>
        </w:rPr>
        <w:t> </w:t>
      </w:r>
      <w:r>
        <w:rPr>
          <w:color w:val="1B1B22"/>
        </w:rPr>
        <w:t>Finanças,</w:t>
      </w:r>
      <w:r>
        <w:rPr>
          <w:color w:val="1B1B22"/>
          <w:spacing w:val="-8"/>
        </w:rPr>
        <w:t> </w:t>
      </w:r>
      <w:r>
        <w:rPr>
          <w:color w:val="1B1B22"/>
        </w:rPr>
        <w:t>where</w:t>
      </w:r>
      <w:r>
        <w:rPr>
          <w:color w:val="1B1B22"/>
          <w:spacing w:val="-8"/>
        </w:rPr>
        <w:t> </w:t>
      </w:r>
      <w:r>
        <w:rPr>
          <w:color w:val="1B1B22"/>
        </w:rPr>
        <w:t>we categorize and organize more than 1.0 billion entries per month with the help of AI and achieve an accuracy of 91%. All this to help organize our customers' financial lives. At the end of March of this</w:t>
      </w:r>
      <w:r>
        <w:rPr>
          <w:color w:val="1B1B22"/>
          <w:spacing w:val="-9"/>
        </w:rPr>
        <w:t> </w:t>
      </w:r>
      <w:r>
        <w:rPr>
          <w:color w:val="1B1B22"/>
        </w:rPr>
        <w:t>year,</w:t>
      </w:r>
      <w:r>
        <w:rPr>
          <w:color w:val="1B1B22"/>
          <w:spacing w:val="-9"/>
        </w:rPr>
        <w:t> </w:t>
      </w:r>
      <w:r>
        <w:rPr>
          <w:color w:val="1B1B22"/>
        </w:rPr>
        <w:t>Minhas</w:t>
      </w:r>
      <w:r>
        <w:rPr>
          <w:color w:val="1B1B22"/>
          <w:spacing w:val="-9"/>
        </w:rPr>
        <w:t> </w:t>
      </w:r>
      <w:r>
        <w:rPr>
          <w:color w:val="1B1B22"/>
        </w:rPr>
        <w:t>Finanças</w:t>
      </w:r>
      <w:r>
        <w:rPr>
          <w:color w:val="1B1B22"/>
          <w:spacing w:val="-9"/>
        </w:rPr>
        <w:t> </w:t>
      </w:r>
      <w:r>
        <w:rPr>
          <w:color w:val="1B1B22"/>
        </w:rPr>
        <w:t>surpassed</w:t>
      </w:r>
      <w:r>
        <w:rPr>
          <w:color w:val="1B1B22"/>
          <w:spacing w:val="-9"/>
        </w:rPr>
        <w:t> </w:t>
      </w:r>
      <w:r>
        <w:rPr>
          <w:color w:val="1B1B22"/>
        </w:rPr>
        <w:t>the</w:t>
      </w:r>
      <w:r>
        <w:rPr>
          <w:color w:val="1B1B22"/>
          <w:spacing w:val="-9"/>
        </w:rPr>
        <w:t> </w:t>
      </w:r>
      <w:r>
        <w:rPr>
          <w:color w:val="1B1B22"/>
        </w:rPr>
        <w:t>milestone of 7 million unique customers who use the tool monthly (a growth of 16% compared to March </w:t>
      </w:r>
      <w:r>
        <w:rPr>
          <w:color w:val="1B1B22"/>
          <w:spacing w:val="-2"/>
        </w:rPr>
        <w:t>2024).</w:t>
      </w:r>
    </w:p>
    <w:p>
      <w:pPr>
        <w:pStyle w:val="BodyText"/>
        <w:spacing w:line="321" w:lineRule="auto" w:before="111"/>
        <w:ind w:left="569" w:right="555"/>
      </w:pPr>
      <w:r>
        <w:rPr>
          <w:color w:val="1B1B22"/>
          <w:spacing w:val="-2"/>
        </w:rPr>
        <w:t>We</w:t>
      </w:r>
      <w:r>
        <w:rPr>
          <w:color w:val="1B1B22"/>
          <w:spacing w:val="-9"/>
        </w:rPr>
        <w:t> </w:t>
      </w:r>
      <w:r>
        <w:rPr>
          <w:color w:val="1B1B22"/>
          <w:spacing w:val="-2"/>
        </w:rPr>
        <w:t>invest</w:t>
      </w:r>
      <w:r>
        <w:rPr>
          <w:color w:val="1B1B22"/>
          <w:spacing w:val="-9"/>
        </w:rPr>
        <w:t> </w:t>
      </w:r>
      <w:r>
        <w:rPr>
          <w:color w:val="1B1B22"/>
          <w:spacing w:val="-2"/>
        </w:rPr>
        <w:t>continuosly</w:t>
      </w:r>
      <w:r>
        <w:rPr>
          <w:color w:val="1B1B22"/>
          <w:spacing w:val="-9"/>
        </w:rPr>
        <w:t> </w:t>
      </w:r>
      <w:r>
        <w:rPr>
          <w:color w:val="1B1B22"/>
          <w:spacing w:val="-2"/>
        </w:rPr>
        <w:t>in</w:t>
      </w:r>
      <w:r>
        <w:rPr>
          <w:color w:val="1B1B22"/>
          <w:spacing w:val="-9"/>
        </w:rPr>
        <w:t> </w:t>
      </w:r>
      <w:r>
        <w:rPr>
          <w:color w:val="1B1B22"/>
          <w:spacing w:val="-2"/>
        </w:rPr>
        <w:t>technology.</w:t>
      </w:r>
      <w:r>
        <w:rPr>
          <w:color w:val="1B1B22"/>
          <w:spacing w:val="-9"/>
        </w:rPr>
        <w:t> </w:t>
      </w:r>
      <w:r>
        <w:rPr>
          <w:color w:val="1B1B22"/>
          <w:spacing w:val="-2"/>
        </w:rPr>
        <w:t>In</w:t>
      </w:r>
      <w:r>
        <w:rPr>
          <w:color w:val="1B1B22"/>
          <w:spacing w:val="-9"/>
        </w:rPr>
        <w:t> </w:t>
      </w:r>
      <w:r>
        <w:rPr>
          <w:color w:val="1B1B22"/>
          <w:spacing w:val="-2"/>
        </w:rPr>
        <w:t>1Q25,</w:t>
      </w:r>
      <w:r>
        <w:rPr>
          <w:color w:val="1B1B22"/>
          <w:spacing w:val="-9"/>
        </w:rPr>
        <w:t> </w:t>
      </w:r>
      <w:r>
        <w:rPr>
          <w:color w:val="1B1B22"/>
          <w:spacing w:val="-2"/>
        </w:rPr>
        <w:t>R$1.8 </w:t>
      </w:r>
      <w:r>
        <w:rPr>
          <w:color w:val="1B1B22"/>
        </w:rPr>
        <w:t>billion</w:t>
      </w:r>
      <w:r>
        <w:rPr>
          <w:color w:val="1B1B22"/>
          <w:spacing w:val="-3"/>
        </w:rPr>
        <w:t> </w:t>
      </w:r>
      <w:r>
        <w:rPr>
          <w:color w:val="1B1B22"/>
        </w:rPr>
        <w:t>were</w:t>
      </w:r>
      <w:r>
        <w:rPr>
          <w:color w:val="1B1B22"/>
          <w:spacing w:val="-6"/>
        </w:rPr>
        <w:t> </w:t>
      </w:r>
      <w:r>
        <w:rPr>
          <w:color w:val="1B1B22"/>
        </w:rPr>
        <w:t>invested</w:t>
      </w:r>
      <w:r>
        <w:rPr>
          <w:color w:val="1B1B22"/>
          <w:spacing w:val="-6"/>
        </w:rPr>
        <w:t> </w:t>
      </w:r>
      <w:r>
        <w:rPr>
          <w:color w:val="1B1B22"/>
        </w:rPr>
        <w:t>to</w:t>
      </w:r>
      <w:r>
        <w:rPr>
          <w:color w:val="1B1B22"/>
          <w:spacing w:val="-6"/>
        </w:rPr>
        <w:t> </w:t>
      </w:r>
      <w:r>
        <w:rPr>
          <w:color w:val="1B1B22"/>
        </w:rPr>
        <w:t>guarantee</w:t>
      </w:r>
      <w:r>
        <w:rPr>
          <w:color w:val="1B1B22"/>
          <w:spacing w:val="-6"/>
        </w:rPr>
        <w:t> </w:t>
      </w:r>
      <w:r>
        <w:rPr>
          <w:color w:val="1B1B22"/>
        </w:rPr>
        <w:t>the</w:t>
      </w:r>
      <w:r>
        <w:rPr>
          <w:color w:val="1B1B22"/>
          <w:spacing w:val="-6"/>
        </w:rPr>
        <w:t> </w:t>
      </w:r>
      <w:r>
        <w:rPr>
          <w:color w:val="1B1B22"/>
        </w:rPr>
        <w:t>premises</w:t>
      </w:r>
      <w:r>
        <w:rPr>
          <w:color w:val="1B1B22"/>
          <w:spacing w:val="-5"/>
        </w:rPr>
        <w:t> </w:t>
      </w:r>
      <w:r>
        <w:rPr>
          <w:color w:val="1B1B22"/>
        </w:rPr>
        <w:t>of innovation, agility, flexibility and reliability of IT solutions.</w:t>
      </w:r>
      <w:r>
        <w:rPr>
          <w:color w:val="1B1B22"/>
          <w:spacing w:val="-13"/>
        </w:rPr>
        <w:t> </w:t>
      </w:r>
      <w:r>
        <w:rPr>
          <w:color w:val="1B1B22"/>
        </w:rPr>
        <w:t>We</w:t>
      </w:r>
      <w:r>
        <w:rPr>
          <w:color w:val="1B1B22"/>
          <w:spacing w:val="-12"/>
        </w:rPr>
        <w:t> </w:t>
      </w:r>
      <w:r>
        <w:rPr>
          <w:color w:val="1B1B22"/>
        </w:rPr>
        <w:t>hired</w:t>
      </w:r>
      <w:r>
        <w:rPr>
          <w:color w:val="1B1B22"/>
          <w:spacing w:val="-10"/>
        </w:rPr>
        <w:t> </w:t>
      </w:r>
      <w:r>
        <w:rPr>
          <w:color w:val="1B1B22"/>
        </w:rPr>
        <w:t>more</w:t>
      </w:r>
      <w:r>
        <w:rPr>
          <w:color w:val="1B1B22"/>
          <w:spacing w:val="-10"/>
        </w:rPr>
        <w:t> </w:t>
      </w:r>
      <w:r>
        <w:rPr>
          <w:color w:val="1B1B22"/>
        </w:rPr>
        <w:t>than</w:t>
      </w:r>
      <w:r>
        <w:rPr>
          <w:color w:val="1B1B22"/>
          <w:spacing w:val="-9"/>
        </w:rPr>
        <w:t> </w:t>
      </w:r>
      <w:r>
        <w:rPr>
          <w:color w:val="1B1B22"/>
        </w:rPr>
        <w:t>500</w:t>
      </w:r>
      <w:r>
        <w:rPr>
          <w:color w:val="1B1B22"/>
          <w:spacing w:val="-9"/>
        </w:rPr>
        <w:t> </w:t>
      </w:r>
      <w:r>
        <w:rPr>
          <w:color w:val="1B1B22"/>
        </w:rPr>
        <w:t>new</w:t>
      </w:r>
      <w:r>
        <w:rPr>
          <w:color w:val="1B1B22"/>
          <w:spacing w:val="-11"/>
        </w:rPr>
        <w:t> </w:t>
      </w:r>
      <w:r>
        <w:rPr>
          <w:color w:val="1B1B22"/>
        </w:rPr>
        <w:t>employees from the last public contest to join the IT team, </w:t>
      </w:r>
      <w:r>
        <w:rPr>
          <w:color w:val="1B1B22"/>
          <w:spacing w:val="-2"/>
        </w:rPr>
        <w:t>reinforcing</w:t>
      </w:r>
      <w:r>
        <w:rPr>
          <w:color w:val="1B1B22"/>
          <w:spacing w:val="-8"/>
        </w:rPr>
        <w:t> </w:t>
      </w:r>
      <w:r>
        <w:rPr>
          <w:color w:val="1B1B22"/>
          <w:spacing w:val="-2"/>
        </w:rPr>
        <w:t>BB's</w:t>
      </w:r>
      <w:r>
        <w:rPr>
          <w:color w:val="1B1B22"/>
          <w:spacing w:val="-7"/>
        </w:rPr>
        <w:t> </w:t>
      </w:r>
      <w:r>
        <w:rPr>
          <w:color w:val="1B1B22"/>
          <w:spacing w:val="-2"/>
        </w:rPr>
        <w:t>leading</w:t>
      </w:r>
      <w:r>
        <w:rPr>
          <w:color w:val="1B1B22"/>
          <w:spacing w:val="-8"/>
        </w:rPr>
        <w:t> </w:t>
      </w:r>
      <w:r>
        <w:rPr>
          <w:color w:val="1B1B22"/>
          <w:spacing w:val="-2"/>
        </w:rPr>
        <w:t>role</w:t>
      </w:r>
      <w:r>
        <w:rPr>
          <w:color w:val="1B1B22"/>
          <w:spacing w:val="-9"/>
        </w:rPr>
        <w:t> </w:t>
      </w:r>
      <w:r>
        <w:rPr>
          <w:color w:val="1B1B22"/>
          <w:spacing w:val="-2"/>
        </w:rPr>
        <w:t>in</w:t>
      </w:r>
      <w:r>
        <w:rPr>
          <w:color w:val="1B1B22"/>
          <w:spacing w:val="-7"/>
        </w:rPr>
        <w:t> </w:t>
      </w:r>
      <w:r>
        <w:rPr>
          <w:color w:val="1B1B22"/>
          <w:spacing w:val="-2"/>
        </w:rPr>
        <w:t>banking</w:t>
      </w:r>
      <w:r>
        <w:rPr>
          <w:color w:val="1B1B22"/>
          <w:spacing w:val="-8"/>
        </w:rPr>
        <w:t> </w:t>
      </w:r>
      <w:r>
        <w:rPr>
          <w:color w:val="1B1B22"/>
          <w:spacing w:val="-2"/>
        </w:rPr>
        <w:t>technology.</w:t>
      </w:r>
    </w:p>
    <w:p>
      <w:pPr>
        <w:pStyle w:val="BodyText"/>
        <w:spacing w:after="0" w:line="321" w:lineRule="auto"/>
        <w:sectPr>
          <w:type w:val="continuous"/>
          <w:pgSz w:w="11910" w:h="16850"/>
          <w:pgMar w:header="152" w:footer="572" w:top="1920" w:bottom="280" w:left="283" w:right="283"/>
          <w:cols w:num="2" w:equalWidth="0">
            <w:col w:w="5360" w:space="95"/>
            <w:col w:w="5889"/>
          </w:cols>
        </w:sectPr>
      </w:pPr>
    </w:p>
    <w:p>
      <w:pPr>
        <w:pStyle w:val="BodyText"/>
        <w:jc w:val="left"/>
        <w:rPr>
          <w:sz w:val="44"/>
        </w:rPr>
      </w:pPr>
    </w:p>
    <w:p>
      <w:pPr>
        <w:pStyle w:val="BodyText"/>
        <w:jc w:val="left"/>
        <w:rPr>
          <w:sz w:val="44"/>
        </w:rPr>
      </w:pPr>
    </w:p>
    <w:p>
      <w:pPr>
        <w:pStyle w:val="BodyText"/>
        <w:jc w:val="left"/>
        <w:rPr>
          <w:sz w:val="44"/>
        </w:rPr>
      </w:pPr>
    </w:p>
    <w:p>
      <w:pPr>
        <w:pStyle w:val="BodyText"/>
        <w:spacing w:before="499"/>
        <w:jc w:val="left"/>
        <w:rPr>
          <w:sz w:val="44"/>
        </w:rPr>
      </w:pPr>
    </w:p>
    <w:p>
      <w:pPr>
        <w:pStyle w:val="Heading1"/>
        <w:tabs>
          <w:tab w:pos="2498" w:val="left" w:leader="none"/>
          <w:tab w:pos="7423" w:val="left" w:leader="none"/>
          <w:tab w:pos="9885" w:val="left" w:leader="none"/>
        </w:tabs>
        <w:spacing w:line="321" w:lineRule="auto"/>
        <w:ind w:right="606"/>
      </w:pPr>
      <w:r>
        <w:rPr>
          <w:color w:val="465EFF"/>
          <w:spacing w:val="20"/>
        </w:rPr>
        <w:t>ESG</w:t>
      </w:r>
      <w:r>
        <w:rPr>
          <w:color w:val="465EFF"/>
        </w:rPr>
        <w:tab/>
      </w:r>
      <w:r>
        <w:rPr>
          <w:color w:val="465EFF"/>
          <w:spacing w:val="33"/>
        </w:rPr>
        <w:t>(Environmental,</w:t>
      </w:r>
      <w:r>
        <w:rPr>
          <w:color w:val="465EFF"/>
        </w:rPr>
        <w:tab/>
      </w:r>
      <w:r>
        <w:rPr>
          <w:color w:val="465EFF"/>
          <w:spacing w:val="31"/>
        </w:rPr>
        <w:t>Social</w:t>
      </w:r>
      <w:r>
        <w:rPr>
          <w:color w:val="465EFF"/>
        </w:rPr>
        <w:tab/>
      </w:r>
      <w:r>
        <w:rPr>
          <w:color w:val="465EFF"/>
          <w:spacing w:val="16"/>
        </w:rPr>
        <w:t>and </w:t>
      </w:r>
      <w:r>
        <w:rPr>
          <w:color w:val="465EFF"/>
          <w:spacing w:val="31"/>
        </w:rPr>
        <w:t>Governance)</w:t>
      </w:r>
      <w:r>
        <w:rPr>
          <w:color w:val="465EFF"/>
          <w:spacing w:val="31"/>
        </w:rPr>
        <w:t> </w:t>
      </w:r>
      <w:r>
        <w:rPr>
          <w:color w:val="465EFF"/>
          <w:spacing w:val="30"/>
        </w:rPr>
        <w:t>Agenda</w:t>
      </w:r>
    </w:p>
    <w:p>
      <w:pPr>
        <w:pStyle w:val="Heading1"/>
        <w:spacing w:after="0" w:line="321" w:lineRule="auto"/>
        <w:sectPr>
          <w:pgSz w:w="11910" w:h="16850"/>
          <w:pgMar w:header="152" w:footer="572" w:top="900" w:bottom="780" w:left="283" w:right="283"/>
        </w:sectPr>
      </w:pPr>
    </w:p>
    <w:p>
      <w:pPr>
        <w:pStyle w:val="BodyText"/>
        <w:spacing w:line="321" w:lineRule="auto" w:before="143"/>
        <w:ind w:left="569" w:right="38"/>
      </w:pPr>
      <w:r>
        <w:rPr/>
        <w:t>We are a reference in Environmental, Social and Governance (ESG) practices, with actions to manage</w:t>
      </w:r>
      <w:r>
        <w:rPr>
          <w:spacing w:val="-7"/>
        </w:rPr>
        <w:t> </w:t>
      </w:r>
      <w:r>
        <w:rPr/>
        <w:t>risks</w:t>
      </w:r>
      <w:r>
        <w:rPr>
          <w:spacing w:val="-6"/>
        </w:rPr>
        <w:t> </w:t>
      </w:r>
      <w:r>
        <w:rPr/>
        <w:t>and</w:t>
      </w:r>
      <w:r>
        <w:rPr>
          <w:spacing w:val="-7"/>
        </w:rPr>
        <w:t> </w:t>
      </w:r>
      <w:r>
        <w:rPr/>
        <w:t>opportunities.</w:t>
      </w:r>
      <w:r>
        <w:rPr>
          <w:spacing w:val="-7"/>
        </w:rPr>
        <w:t> </w:t>
      </w:r>
      <w:r>
        <w:rPr/>
        <w:t>Our</w:t>
      </w:r>
      <w:r>
        <w:rPr>
          <w:spacing w:val="-7"/>
        </w:rPr>
        <w:t> </w:t>
      </w:r>
      <w:r>
        <w:rPr/>
        <w:t>Sustainability Plan</w:t>
      </w:r>
      <w:r>
        <w:rPr>
          <w:spacing w:val="-13"/>
        </w:rPr>
        <w:t> </w:t>
      </w:r>
      <w:r>
        <w:rPr/>
        <w:t>-</w:t>
      </w:r>
      <w:r>
        <w:rPr>
          <w:spacing w:val="-12"/>
        </w:rPr>
        <w:t> </w:t>
      </w:r>
      <w:r>
        <w:rPr/>
        <w:t>BB</w:t>
      </w:r>
      <w:r>
        <w:rPr>
          <w:spacing w:val="-13"/>
        </w:rPr>
        <w:t> </w:t>
      </w:r>
      <w:r>
        <w:rPr/>
        <w:t>Agenda</w:t>
      </w:r>
      <w:r>
        <w:rPr>
          <w:spacing w:val="-12"/>
        </w:rPr>
        <w:t> </w:t>
      </w:r>
      <w:r>
        <w:rPr/>
        <w:t>30,</w:t>
      </w:r>
      <w:r>
        <w:rPr>
          <w:spacing w:val="-12"/>
        </w:rPr>
        <w:t> </w:t>
      </w:r>
      <w:r>
        <w:rPr/>
        <w:t>aligned</w:t>
      </w:r>
      <w:r>
        <w:rPr>
          <w:spacing w:val="-13"/>
        </w:rPr>
        <w:t> </w:t>
      </w:r>
      <w:r>
        <w:rPr/>
        <w:t>with</w:t>
      </w:r>
      <w:r>
        <w:rPr>
          <w:spacing w:val="-12"/>
        </w:rPr>
        <w:t> </w:t>
      </w:r>
      <w:r>
        <w:rPr/>
        <w:t>the</w:t>
      </w:r>
      <w:r>
        <w:rPr>
          <w:spacing w:val="-12"/>
        </w:rPr>
        <w:t> </w:t>
      </w:r>
      <w:r>
        <w:rPr/>
        <w:t>UN</w:t>
      </w:r>
      <w:r>
        <w:rPr>
          <w:spacing w:val="-13"/>
        </w:rPr>
        <w:t> </w:t>
      </w:r>
      <w:r>
        <w:rPr/>
        <w:t>SDGs</w:t>
      </w:r>
      <w:r>
        <w:rPr>
          <w:spacing w:val="-12"/>
        </w:rPr>
        <w:t> </w:t>
      </w:r>
      <w:r>
        <w:rPr/>
        <w:t>and the Paris Agreement, is our main instrument, including 47 actions and 100 indicators for 2023- 2025.</w:t>
      </w:r>
      <w:r>
        <w:rPr>
          <w:spacing w:val="-3"/>
        </w:rPr>
        <w:t> </w:t>
      </w:r>
      <w:r>
        <w:rPr/>
        <w:t>In</w:t>
      </w:r>
      <w:r>
        <w:rPr>
          <w:spacing w:val="-2"/>
        </w:rPr>
        <w:t> </w:t>
      </w:r>
      <w:r>
        <w:rPr/>
        <w:t>addition,</w:t>
      </w:r>
      <w:r>
        <w:rPr>
          <w:spacing w:val="-3"/>
        </w:rPr>
        <w:t> </w:t>
      </w:r>
      <w:r>
        <w:rPr/>
        <w:t>the</w:t>
      </w:r>
      <w:r>
        <w:rPr>
          <w:spacing w:val="-3"/>
        </w:rPr>
        <w:t> </w:t>
      </w:r>
      <w:r>
        <w:rPr/>
        <w:t>BB</w:t>
      </w:r>
      <w:r>
        <w:rPr>
          <w:spacing w:val="-5"/>
        </w:rPr>
        <w:t> </w:t>
      </w:r>
      <w:r>
        <w:rPr/>
        <w:t>2030</w:t>
      </w:r>
      <w:r>
        <w:rPr>
          <w:spacing w:val="-2"/>
        </w:rPr>
        <w:t> </w:t>
      </w:r>
      <w:r>
        <w:rPr/>
        <w:t>Commitments</w:t>
      </w:r>
      <w:r>
        <w:rPr>
          <w:spacing w:val="-2"/>
        </w:rPr>
        <w:t> </w:t>
      </w:r>
      <w:r>
        <w:rPr/>
        <w:t>for</w:t>
      </w:r>
      <w:r>
        <w:rPr>
          <w:spacing w:val="-3"/>
        </w:rPr>
        <w:t> </w:t>
      </w:r>
      <w:r>
        <w:rPr/>
        <w:t>a More Sustainable World establish objectives on four fronts of action: sustainable credit, responsible investment, ESG and climate management,</w:t>
      </w:r>
      <w:r>
        <w:rPr>
          <w:spacing w:val="-3"/>
        </w:rPr>
        <w:t> </w:t>
      </w:r>
      <w:r>
        <w:rPr/>
        <w:t>aiming</w:t>
      </w:r>
      <w:r>
        <w:rPr>
          <w:spacing w:val="-2"/>
        </w:rPr>
        <w:t> </w:t>
      </w:r>
      <w:r>
        <w:rPr/>
        <w:t>to</w:t>
      </w:r>
      <w:r>
        <w:rPr>
          <w:spacing w:val="-3"/>
        </w:rPr>
        <w:t> </w:t>
      </w:r>
      <w:r>
        <w:rPr/>
        <w:t>generate</w:t>
      </w:r>
      <w:r>
        <w:rPr>
          <w:spacing w:val="-3"/>
        </w:rPr>
        <w:t> </w:t>
      </w:r>
      <w:r>
        <w:rPr/>
        <w:t>positive</w:t>
      </w:r>
      <w:r>
        <w:rPr>
          <w:spacing w:val="-3"/>
        </w:rPr>
        <w:t> </w:t>
      </w:r>
      <w:r>
        <w:rPr/>
        <w:t>impacts in the value chain.</w:t>
      </w:r>
    </w:p>
    <w:p>
      <w:pPr>
        <w:pStyle w:val="Heading2"/>
        <w:spacing w:before="102"/>
        <w:rPr>
          <w:b w:val="0"/>
        </w:rPr>
      </w:pPr>
      <w:r>
        <w:rPr>
          <w:b w:val="0"/>
          <w:color w:val="465EFF"/>
          <w:spacing w:val="19"/>
        </w:rPr>
        <w:t>Sustainable</w:t>
      </w:r>
      <w:r>
        <w:rPr>
          <w:b w:val="0"/>
          <w:color w:val="465EFF"/>
          <w:spacing w:val="56"/>
        </w:rPr>
        <w:t> </w:t>
      </w:r>
      <w:r>
        <w:rPr>
          <w:b w:val="0"/>
          <w:color w:val="465EFF"/>
          <w:spacing w:val="18"/>
        </w:rPr>
        <w:t>Fundraising</w:t>
      </w:r>
    </w:p>
    <w:p>
      <w:pPr>
        <w:pStyle w:val="BodyText"/>
        <w:spacing w:line="321" w:lineRule="auto" w:before="250"/>
        <w:ind w:left="569" w:right="38"/>
      </w:pPr>
      <w:r>
        <w:rPr/>
        <w:t>We raised R$38 billion for investments in ESG initiatives, a 3% increase in the last three months. The funds were obtained through the issuance of Bonds with an ESG profile, in addition to fundraising with multilateral institutions, investment banks and international commercial </w:t>
      </w:r>
      <w:r>
        <w:rPr>
          <w:spacing w:val="-2"/>
        </w:rPr>
        <w:t>banks.</w:t>
      </w:r>
    </w:p>
    <w:p>
      <w:pPr>
        <w:pStyle w:val="BodyText"/>
        <w:spacing w:line="321" w:lineRule="auto" w:before="115"/>
        <w:ind w:left="569" w:right="43"/>
      </w:pPr>
      <w:r>
        <w:rPr/>
        <w:t>In 1Q25, a</w:t>
      </w:r>
      <w:r>
        <w:rPr>
          <w:spacing w:val="-1"/>
        </w:rPr>
        <w:t> </w:t>
      </w:r>
      <w:r>
        <w:rPr/>
        <w:t>US$100 million transaction and another US$95</w:t>
      </w:r>
      <w:r>
        <w:rPr>
          <w:spacing w:val="46"/>
        </w:rPr>
        <w:t> </w:t>
      </w:r>
      <w:r>
        <w:rPr/>
        <w:t>million</w:t>
      </w:r>
      <w:r>
        <w:rPr>
          <w:spacing w:val="47"/>
        </w:rPr>
        <w:t> </w:t>
      </w:r>
      <w:r>
        <w:rPr/>
        <w:t>transaction</w:t>
      </w:r>
      <w:r>
        <w:rPr>
          <w:spacing w:val="47"/>
        </w:rPr>
        <w:t> </w:t>
      </w:r>
      <w:r>
        <w:rPr/>
        <w:t>were</w:t>
      </w:r>
      <w:r>
        <w:rPr>
          <w:spacing w:val="47"/>
        </w:rPr>
        <w:t> </w:t>
      </w:r>
      <w:r>
        <w:rPr/>
        <w:t>completed.</w:t>
      </w:r>
      <w:r>
        <w:rPr>
          <w:spacing w:val="31"/>
        </w:rPr>
        <w:t> </w:t>
      </w:r>
      <w:r>
        <w:rPr>
          <w:spacing w:val="-5"/>
        </w:rPr>
        <w:t>The</w:t>
      </w:r>
    </w:p>
    <w:p>
      <w:pPr>
        <w:pStyle w:val="BodyText"/>
        <w:spacing w:line="321" w:lineRule="auto" w:before="143"/>
        <w:ind w:left="577" w:right="568"/>
      </w:pPr>
      <w:r>
        <w:rPr/>
        <w:br w:type="column"/>
      </w:r>
      <w:r>
        <w:rPr/>
        <w:t>funds will be allocated, respectively, to offering credit lines for Micro and Small Businesses and sanitation projects.</w:t>
      </w:r>
    </w:p>
    <w:p>
      <w:pPr>
        <w:pStyle w:val="BodyText"/>
        <w:spacing w:line="321" w:lineRule="auto" w:before="119"/>
        <w:ind w:left="577" w:right="566"/>
      </w:pPr>
      <w:r>
        <w:rPr/>
        <w:t>This latest operation, a first for BB, will prioritize initiatives aimed at collecting, treating and distributing water, promoting positive environmental and social impacts.</w:t>
      </w:r>
    </w:p>
    <w:p>
      <w:pPr>
        <w:pStyle w:val="BodyText"/>
        <w:spacing w:line="321" w:lineRule="auto" w:before="116"/>
        <w:ind w:left="577" w:right="566"/>
      </w:pPr>
      <w:r>
        <w:rPr/>
        <w:t>In addition, the first contributions from the inaugural auction of the Eco Invest Brasil Program </w:t>
      </w:r>
      <w:r>
        <w:rPr>
          <w:spacing w:val="-2"/>
        </w:rPr>
        <w:t>–</w:t>
      </w:r>
      <w:r>
        <w:rPr>
          <w:spacing w:val="-6"/>
        </w:rPr>
        <w:t> </w:t>
      </w:r>
      <w:r>
        <w:rPr>
          <w:spacing w:val="-2"/>
        </w:rPr>
        <w:t>underlined</w:t>
      </w:r>
      <w:r>
        <w:rPr>
          <w:spacing w:val="-7"/>
        </w:rPr>
        <w:t> </w:t>
      </w:r>
      <w:r>
        <w:rPr>
          <w:spacing w:val="-2"/>
        </w:rPr>
        <w:t>blended</w:t>
      </w:r>
      <w:r>
        <w:rPr>
          <w:spacing w:val="-7"/>
        </w:rPr>
        <w:t> </w:t>
      </w:r>
      <w:r>
        <w:rPr>
          <w:spacing w:val="-2"/>
        </w:rPr>
        <w:t>finance</w:t>
      </w:r>
      <w:r>
        <w:rPr>
          <w:spacing w:val="-7"/>
        </w:rPr>
        <w:t> </w:t>
      </w:r>
      <w:r>
        <w:rPr>
          <w:spacing w:val="-2"/>
        </w:rPr>
        <w:t>–</w:t>
      </w:r>
      <w:r>
        <w:rPr>
          <w:spacing w:val="-6"/>
        </w:rPr>
        <w:t> </w:t>
      </w:r>
      <w:r>
        <w:rPr>
          <w:spacing w:val="-2"/>
        </w:rPr>
        <w:t>were</w:t>
      </w:r>
      <w:r>
        <w:rPr>
          <w:spacing w:val="-7"/>
        </w:rPr>
        <w:t> </w:t>
      </w:r>
      <w:r>
        <w:rPr>
          <w:spacing w:val="-2"/>
        </w:rPr>
        <w:t>received,</w:t>
      </w:r>
      <w:r>
        <w:rPr>
          <w:spacing w:val="-7"/>
        </w:rPr>
        <w:t> </w:t>
      </w:r>
      <w:r>
        <w:rPr>
          <w:spacing w:val="-2"/>
        </w:rPr>
        <w:t>with a</w:t>
      </w:r>
      <w:r>
        <w:rPr>
          <w:spacing w:val="-9"/>
        </w:rPr>
        <w:t> </w:t>
      </w:r>
      <w:r>
        <w:rPr>
          <w:spacing w:val="-2"/>
        </w:rPr>
        <w:t>focus</w:t>
      </w:r>
      <w:r>
        <w:rPr>
          <w:spacing w:val="-6"/>
        </w:rPr>
        <w:t> </w:t>
      </w:r>
      <w:r>
        <w:rPr>
          <w:spacing w:val="-2"/>
        </w:rPr>
        <w:t>on</w:t>
      </w:r>
      <w:r>
        <w:rPr>
          <w:spacing w:val="-6"/>
        </w:rPr>
        <w:t> </w:t>
      </w:r>
      <w:r>
        <w:rPr>
          <w:spacing w:val="-2"/>
        </w:rPr>
        <w:t>financing</w:t>
      </w:r>
      <w:r>
        <w:rPr>
          <w:spacing w:val="-7"/>
        </w:rPr>
        <w:t> </w:t>
      </w:r>
      <w:r>
        <w:rPr>
          <w:spacing w:val="-2"/>
        </w:rPr>
        <w:t>projects</w:t>
      </w:r>
      <w:r>
        <w:rPr>
          <w:spacing w:val="-6"/>
        </w:rPr>
        <w:t> </w:t>
      </w:r>
      <w:r>
        <w:rPr>
          <w:spacing w:val="-2"/>
        </w:rPr>
        <w:t>in</w:t>
      </w:r>
      <w:r>
        <w:rPr>
          <w:spacing w:val="-6"/>
        </w:rPr>
        <w:t> </w:t>
      </w:r>
      <w:r>
        <w:rPr>
          <w:spacing w:val="-2"/>
        </w:rPr>
        <w:t>essential</w:t>
      </w:r>
      <w:r>
        <w:rPr>
          <w:spacing w:val="-9"/>
        </w:rPr>
        <w:t> </w:t>
      </w:r>
      <w:r>
        <w:rPr>
          <w:spacing w:val="-2"/>
        </w:rPr>
        <w:t>areas,</w:t>
      </w:r>
      <w:r>
        <w:rPr>
          <w:spacing w:val="-7"/>
        </w:rPr>
        <w:t> </w:t>
      </w:r>
      <w:r>
        <w:rPr>
          <w:spacing w:val="-2"/>
        </w:rPr>
        <w:t>such </w:t>
      </w:r>
      <w:r>
        <w:rPr/>
        <w:t>as</w:t>
      </w:r>
      <w:r>
        <w:rPr>
          <w:spacing w:val="-13"/>
        </w:rPr>
        <w:t> </w:t>
      </w:r>
      <w:r>
        <w:rPr/>
        <w:t>Energy</w:t>
      </w:r>
      <w:r>
        <w:rPr>
          <w:spacing w:val="-12"/>
        </w:rPr>
        <w:t> </w:t>
      </w:r>
      <w:r>
        <w:rPr/>
        <w:t>Transition,</w:t>
      </w:r>
      <w:r>
        <w:rPr>
          <w:spacing w:val="-13"/>
        </w:rPr>
        <w:t> </w:t>
      </w:r>
      <w:r>
        <w:rPr/>
        <w:t>Circular</w:t>
      </w:r>
      <w:r>
        <w:rPr>
          <w:spacing w:val="-12"/>
        </w:rPr>
        <w:t> </w:t>
      </w:r>
      <w:r>
        <w:rPr/>
        <w:t>Economy,</w:t>
      </w:r>
      <w:r>
        <w:rPr>
          <w:spacing w:val="-12"/>
        </w:rPr>
        <w:t> </w:t>
      </w:r>
      <w:r>
        <w:rPr/>
        <w:t>New</w:t>
      </w:r>
      <w:r>
        <w:rPr>
          <w:spacing w:val="-13"/>
        </w:rPr>
        <w:t> </w:t>
      </w:r>
      <w:r>
        <w:rPr/>
        <w:t>Green Infrastructure and Adaptation, in addition to Bioeconomy and Agrifood Systems.</w:t>
      </w:r>
    </w:p>
    <w:p>
      <w:pPr>
        <w:pStyle w:val="BodyText"/>
        <w:spacing w:before="10"/>
        <w:jc w:val="left"/>
        <w:rPr>
          <w:sz w:val="15"/>
        </w:rPr>
      </w:pPr>
      <w:r>
        <w:rPr>
          <w:sz w:val="15"/>
        </w:rPr>
        <w:drawing>
          <wp:anchor distT="0" distB="0" distL="0" distR="0" allowOverlap="1" layoutInCell="1" locked="0" behindDoc="1" simplePos="0" relativeHeight="487591936">
            <wp:simplePos x="0" y="0"/>
            <wp:positionH relativeFrom="page">
              <wp:posOffset>3999866</wp:posOffset>
            </wp:positionH>
            <wp:positionV relativeFrom="paragraph">
              <wp:posOffset>143130</wp:posOffset>
            </wp:positionV>
            <wp:extent cx="2986906" cy="1671066"/>
            <wp:effectExtent l="0" t="0" r="0" b="0"/>
            <wp:wrapTopAndBottom/>
            <wp:docPr id="27" name="Image 27" descr="Homem em pé na grama  O conteúdo gerado por IA pode estar incorreto. "/>
            <wp:cNvGraphicFramePr>
              <a:graphicFrameLocks/>
            </wp:cNvGraphicFramePr>
            <a:graphic>
              <a:graphicData uri="http://schemas.openxmlformats.org/drawingml/2006/picture">
                <pic:pic>
                  <pic:nvPicPr>
                    <pic:cNvPr id="27" name="Image 27" descr="Homem em pé na grama  O conteúdo gerado por IA pode estar incorreto. "/>
                    <pic:cNvPicPr/>
                  </pic:nvPicPr>
                  <pic:blipFill>
                    <a:blip r:embed="rId10" cstate="print"/>
                    <a:stretch>
                      <a:fillRect/>
                    </a:stretch>
                  </pic:blipFill>
                  <pic:spPr>
                    <a:xfrm>
                      <a:off x="0" y="0"/>
                      <a:ext cx="2986906" cy="1671066"/>
                    </a:xfrm>
                    <a:prstGeom prst="rect">
                      <a:avLst/>
                    </a:prstGeom>
                  </pic:spPr>
                </pic:pic>
              </a:graphicData>
            </a:graphic>
          </wp:anchor>
        </w:drawing>
      </w:r>
    </w:p>
    <w:p>
      <w:pPr>
        <w:pStyle w:val="BodyText"/>
        <w:spacing w:after="0"/>
        <w:jc w:val="left"/>
        <w:rPr>
          <w:sz w:val="15"/>
        </w:rPr>
        <w:sectPr>
          <w:type w:val="continuous"/>
          <w:pgSz w:w="11910" w:h="16850"/>
          <w:pgMar w:header="152" w:footer="572" w:top="1920" w:bottom="280" w:left="283" w:right="283"/>
          <w:cols w:num="2" w:equalWidth="0">
            <w:col w:w="5360" w:space="87"/>
            <w:col w:w="5897"/>
          </w:cols>
        </w:sectPr>
      </w:pPr>
    </w:p>
    <w:p>
      <w:pPr>
        <w:pStyle w:val="BodyText"/>
        <w:spacing w:before="146"/>
        <w:jc w:val="left"/>
      </w:pPr>
    </w:p>
    <w:p>
      <w:pPr>
        <w:pStyle w:val="BodyText"/>
        <w:spacing w:line="88" w:lineRule="exact"/>
        <w:ind w:left="540"/>
        <w:jc w:val="left"/>
        <w:rPr>
          <w:position w:val="-1"/>
          <w:sz w:val="8"/>
        </w:rPr>
      </w:pPr>
      <w:r>
        <w:rPr>
          <w:position w:val="-1"/>
          <w:sz w:val="8"/>
        </w:rPr>
        <mc:AlternateContent>
          <mc:Choice Requires="wps">
            <w:drawing>
              <wp:inline distT="0" distB="0" distL="0" distR="0">
                <wp:extent cx="6517005" cy="56515"/>
                <wp:effectExtent l="0" t="0" r="0" b="0"/>
                <wp:docPr id="28" name="Group 28"/>
                <wp:cNvGraphicFramePr>
                  <a:graphicFrameLocks/>
                </wp:cNvGraphicFramePr>
                <a:graphic>
                  <a:graphicData uri="http://schemas.microsoft.com/office/word/2010/wordprocessingGroup">
                    <wpg:wgp>
                      <wpg:cNvPr id="28" name="Group 28"/>
                      <wpg:cNvGrpSpPr/>
                      <wpg:grpSpPr>
                        <a:xfrm>
                          <a:off x="0" y="0"/>
                          <a:ext cx="6517005" cy="56515"/>
                          <a:chExt cx="6517005" cy="56515"/>
                        </a:xfrm>
                      </wpg:grpSpPr>
                      <wps:wsp>
                        <wps:cNvPr id="29" name="Graphic 29"/>
                        <wps:cNvSpPr/>
                        <wps:spPr>
                          <a:xfrm>
                            <a:off x="0" y="0"/>
                            <a:ext cx="6517005" cy="56515"/>
                          </a:xfrm>
                          <a:custGeom>
                            <a:avLst/>
                            <a:gdLst/>
                            <a:ahLst/>
                            <a:cxnLst/>
                            <a:rect l="l" t="t" r="r" b="b"/>
                            <a:pathLst>
                              <a:path w="6517005" h="56515">
                                <a:moveTo>
                                  <a:pt x="6516624" y="0"/>
                                </a:moveTo>
                                <a:lnTo>
                                  <a:pt x="0" y="0"/>
                                </a:lnTo>
                                <a:lnTo>
                                  <a:pt x="0" y="56388"/>
                                </a:lnTo>
                                <a:lnTo>
                                  <a:pt x="6516624" y="56388"/>
                                </a:lnTo>
                                <a:lnTo>
                                  <a:pt x="6516624" y="0"/>
                                </a:lnTo>
                                <a:close/>
                              </a:path>
                            </a:pathLst>
                          </a:custGeom>
                          <a:solidFill>
                            <a:srgbClr val="DADEFF"/>
                          </a:solidFill>
                        </wps:spPr>
                        <wps:bodyPr wrap="square" lIns="0" tIns="0" rIns="0" bIns="0" rtlCol="0">
                          <a:prstTxWarp prst="textNoShape">
                            <a:avLst/>
                          </a:prstTxWarp>
                          <a:noAutofit/>
                        </wps:bodyPr>
                      </wps:wsp>
                    </wpg:wgp>
                  </a:graphicData>
                </a:graphic>
              </wp:inline>
            </w:drawing>
          </mc:Choice>
          <mc:Fallback>
            <w:pict>
              <v:group style="width:513.15pt;height:4.45pt;mso-position-horizontal-relative:char;mso-position-vertical-relative:line" id="docshapegroup26" coordorigin="0,0" coordsize="10263,89">
                <v:rect style="position:absolute;left:0;top:0;width:10263;height:89" id="docshape27" filled="true" fillcolor="#dadeff" stroked="false">
                  <v:fill type="solid"/>
                </v:rect>
              </v:group>
            </w:pict>
          </mc:Fallback>
        </mc:AlternateContent>
      </w:r>
      <w:r>
        <w:rPr>
          <w:position w:val="-1"/>
          <w:sz w:val="8"/>
        </w:rPr>
      </w:r>
    </w:p>
    <w:p>
      <w:pPr>
        <w:pStyle w:val="BodyText"/>
        <w:spacing w:before="11"/>
        <w:jc w:val="left"/>
        <w:rPr>
          <w:sz w:val="8"/>
        </w:rPr>
      </w:pPr>
      <w:r>
        <w:rPr>
          <w:sz w:val="8"/>
        </w:rPr>
        <w:drawing>
          <wp:anchor distT="0" distB="0" distL="0" distR="0" allowOverlap="1" layoutInCell="1" locked="0" behindDoc="1" simplePos="0" relativeHeight="487592960">
            <wp:simplePos x="0" y="0"/>
            <wp:positionH relativeFrom="page">
              <wp:posOffset>577506</wp:posOffset>
            </wp:positionH>
            <wp:positionV relativeFrom="paragraph">
              <wp:posOffset>87425</wp:posOffset>
            </wp:positionV>
            <wp:extent cx="6454568" cy="3547110"/>
            <wp:effectExtent l="0" t="0" r="0" b="0"/>
            <wp:wrapTopAndBottom/>
            <wp:docPr id="30" name="Image 30" descr="Interface gráfica do usuário, Site  O conteúdo gerado por IA pode estar incorreto. "/>
            <wp:cNvGraphicFramePr>
              <a:graphicFrameLocks/>
            </wp:cNvGraphicFramePr>
            <a:graphic>
              <a:graphicData uri="http://schemas.openxmlformats.org/drawingml/2006/picture">
                <pic:pic>
                  <pic:nvPicPr>
                    <pic:cNvPr id="30" name="Image 30" descr="Interface gráfica do usuário, Site  O conteúdo gerado por IA pode estar incorreto. "/>
                    <pic:cNvPicPr/>
                  </pic:nvPicPr>
                  <pic:blipFill>
                    <a:blip r:embed="rId11" cstate="print"/>
                    <a:stretch>
                      <a:fillRect/>
                    </a:stretch>
                  </pic:blipFill>
                  <pic:spPr>
                    <a:xfrm>
                      <a:off x="0" y="0"/>
                      <a:ext cx="6454568" cy="3547110"/>
                    </a:xfrm>
                    <a:prstGeom prst="rect">
                      <a:avLst/>
                    </a:prstGeom>
                  </pic:spPr>
                </pic:pic>
              </a:graphicData>
            </a:graphic>
          </wp:anchor>
        </w:drawing>
      </w:r>
      <w:r>
        <w:rPr>
          <w:sz w:val="8"/>
        </w:rPr>
        <mc:AlternateContent>
          <mc:Choice Requires="wps">
            <w:drawing>
              <wp:anchor distT="0" distB="0" distL="0" distR="0" allowOverlap="1" layoutInCell="1" locked="0" behindDoc="1" simplePos="0" relativeHeight="487593472">
                <wp:simplePos x="0" y="0"/>
                <wp:positionH relativeFrom="page">
                  <wp:posOffset>522731</wp:posOffset>
                </wp:positionH>
                <wp:positionV relativeFrom="paragraph">
                  <wp:posOffset>3700779</wp:posOffset>
                </wp:positionV>
                <wp:extent cx="6517005" cy="56515"/>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6517005" cy="56515"/>
                        </a:xfrm>
                        <a:custGeom>
                          <a:avLst/>
                          <a:gdLst/>
                          <a:ahLst/>
                          <a:cxnLst/>
                          <a:rect l="l" t="t" r="r" b="b"/>
                          <a:pathLst>
                            <a:path w="6517005" h="56515">
                              <a:moveTo>
                                <a:pt x="6516624" y="0"/>
                              </a:moveTo>
                              <a:lnTo>
                                <a:pt x="0" y="0"/>
                              </a:lnTo>
                              <a:lnTo>
                                <a:pt x="0" y="56387"/>
                              </a:lnTo>
                              <a:lnTo>
                                <a:pt x="6516624" y="56387"/>
                              </a:lnTo>
                              <a:lnTo>
                                <a:pt x="6516624" y="0"/>
                              </a:lnTo>
                              <a:close/>
                            </a:path>
                          </a:pathLst>
                        </a:custGeom>
                        <a:solidFill>
                          <a:srgbClr val="DADEFF"/>
                        </a:solidFill>
                      </wps:spPr>
                      <wps:bodyPr wrap="square" lIns="0" tIns="0" rIns="0" bIns="0" rtlCol="0">
                        <a:prstTxWarp prst="textNoShape">
                          <a:avLst/>
                        </a:prstTxWarp>
                        <a:noAutofit/>
                      </wps:bodyPr>
                    </wps:wsp>
                  </a:graphicData>
                </a:graphic>
              </wp:anchor>
            </w:drawing>
          </mc:Choice>
          <mc:Fallback>
            <w:pict>
              <v:rect style="position:absolute;margin-left:41.16pt;margin-top:291.399994pt;width:513.12pt;height:4.440pt;mso-position-horizontal-relative:page;mso-position-vertical-relative:paragraph;z-index:-15723008;mso-wrap-distance-left:0;mso-wrap-distance-right:0" id="docshape28" filled="true" fillcolor="#dadeff" stroked="false">
                <v:fill type="solid"/>
                <w10:wrap type="topAndBottom"/>
              </v:rect>
            </w:pict>
          </mc:Fallback>
        </mc:AlternateContent>
      </w:r>
    </w:p>
    <w:p>
      <w:pPr>
        <w:pStyle w:val="BodyText"/>
        <w:spacing w:before="3"/>
        <w:jc w:val="left"/>
        <w:rPr>
          <w:sz w:val="6"/>
        </w:rPr>
      </w:pPr>
    </w:p>
    <w:p>
      <w:pPr>
        <w:pStyle w:val="BodyText"/>
        <w:spacing w:before="6"/>
        <w:jc w:val="left"/>
        <w:rPr>
          <w:sz w:val="5"/>
        </w:rPr>
      </w:pPr>
    </w:p>
    <w:p>
      <w:pPr>
        <w:pStyle w:val="BodyText"/>
        <w:spacing w:after="0"/>
        <w:jc w:val="left"/>
        <w:rPr>
          <w:sz w:val="5"/>
        </w:rPr>
        <w:sectPr>
          <w:pgSz w:w="11910" w:h="16850"/>
          <w:pgMar w:header="152" w:footer="572" w:top="900" w:bottom="780" w:left="283" w:right="283"/>
        </w:sectPr>
      </w:pPr>
    </w:p>
    <w:p>
      <w:pPr>
        <w:pStyle w:val="Heading2"/>
        <w:spacing w:before="26"/>
        <w:rPr>
          <w:b w:val="0"/>
        </w:rPr>
      </w:pPr>
      <w:r>
        <w:rPr>
          <w:b w:val="0"/>
          <w:color w:val="465EFF"/>
          <w:spacing w:val="19"/>
        </w:rPr>
        <w:t>Sustainable</w:t>
      </w:r>
      <w:r>
        <w:rPr>
          <w:b w:val="0"/>
          <w:color w:val="465EFF"/>
          <w:spacing w:val="53"/>
        </w:rPr>
        <w:t> </w:t>
      </w:r>
      <w:r>
        <w:rPr>
          <w:b w:val="0"/>
          <w:color w:val="465EFF"/>
          <w:spacing w:val="17"/>
        </w:rPr>
        <w:t>Business</w:t>
      </w:r>
    </w:p>
    <w:p>
      <w:pPr>
        <w:pStyle w:val="BodyText"/>
        <w:spacing w:line="321" w:lineRule="auto" w:before="170"/>
        <w:ind w:left="568" w:right="39"/>
      </w:pPr>
      <w:r>
        <w:rPr>
          <w:color w:val="1B1B22"/>
        </w:rPr>
        <w:t>In line with our long-term commitments and aiming to help clients in the transition to a more </w:t>
      </w:r>
      <w:r>
        <w:rPr>
          <w:color w:val="1B1B22"/>
          <w:spacing w:val="-2"/>
        </w:rPr>
        <w:t>sustainable</w:t>
      </w:r>
      <w:r>
        <w:rPr>
          <w:color w:val="1B1B22"/>
          <w:spacing w:val="-11"/>
        </w:rPr>
        <w:t> </w:t>
      </w:r>
      <w:r>
        <w:rPr>
          <w:color w:val="1B1B22"/>
          <w:spacing w:val="-2"/>
        </w:rPr>
        <w:t>economy,</w:t>
      </w:r>
      <w:r>
        <w:rPr>
          <w:color w:val="1B1B22"/>
          <w:spacing w:val="-10"/>
        </w:rPr>
        <w:t> </w:t>
      </w:r>
      <w:r>
        <w:rPr>
          <w:color w:val="1B1B22"/>
          <w:spacing w:val="-2"/>
        </w:rPr>
        <w:t>by</w:t>
      </w:r>
      <w:r>
        <w:rPr>
          <w:color w:val="1B1B22"/>
          <w:spacing w:val="-11"/>
        </w:rPr>
        <w:t> </w:t>
      </w:r>
      <w:r>
        <w:rPr>
          <w:color w:val="1B1B22"/>
          <w:spacing w:val="-2"/>
        </w:rPr>
        <w:t>the</w:t>
      </w:r>
      <w:r>
        <w:rPr>
          <w:color w:val="1B1B22"/>
          <w:spacing w:val="-10"/>
        </w:rPr>
        <w:t> </w:t>
      </w:r>
      <w:r>
        <w:rPr>
          <w:color w:val="1B1B22"/>
          <w:spacing w:val="-2"/>
        </w:rPr>
        <w:t>end</w:t>
      </w:r>
      <w:r>
        <w:rPr>
          <w:color w:val="1B1B22"/>
          <w:spacing w:val="-10"/>
        </w:rPr>
        <w:t> </w:t>
      </w:r>
      <w:r>
        <w:rPr>
          <w:color w:val="1B1B22"/>
          <w:spacing w:val="-2"/>
        </w:rPr>
        <w:t>of</w:t>
      </w:r>
      <w:r>
        <w:rPr>
          <w:color w:val="1B1B22"/>
          <w:spacing w:val="-11"/>
        </w:rPr>
        <w:t> </w:t>
      </w:r>
      <w:r>
        <w:rPr>
          <w:color w:val="1B1B22"/>
          <w:spacing w:val="-2"/>
        </w:rPr>
        <w:t>March</w:t>
      </w:r>
      <w:r>
        <w:rPr>
          <w:color w:val="1B1B22"/>
          <w:spacing w:val="-10"/>
        </w:rPr>
        <w:t> </w:t>
      </w:r>
      <w:r>
        <w:rPr>
          <w:color w:val="1B1B22"/>
          <w:spacing w:val="-2"/>
        </w:rPr>
        <w:t>2025,</w:t>
      </w:r>
      <w:r>
        <w:rPr>
          <w:color w:val="1B1B22"/>
          <w:spacing w:val="-10"/>
        </w:rPr>
        <w:t> </w:t>
      </w:r>
      <w:r>
        <w:rPr>
          <w:color w:val="1B1B22"/>
          <w:spacing w:val="-2"/>
        </w:rPr>
        <w:t>we </w:t>
      </w:r>
      <w:r>
        <w:rPr>
          <w:color w:val="1B1B22"/>
        </w:rPr>
        <w:t>had reached R$393.5 billion in sustainable credit operations, a growth of 9.6% in 12 months. This amount was contracted in credit lines with an environmental or social focus, aimed at financing activities that promote positive socio- environmental impacts.</w:t>
      </w:r>
    </w:p>
    <w:p>
      <w:pPr>
        <w:pStyle w:val="BodyText"/>
        <w:spacing w:line="321" w:lineRule="auto" w:before="194"/>
        <w:ind w:left="568" w:right="38"/>
      </w:pPr>
      <w:r>
        <w:rPr>
          <w:color w:val="1B1B22"/>
        </w:rPr>
        <w:t>The sectors benefiting include renewable energy, energy efficiency, sustainable construction, transportation and tourism, water, fishing, forestry, sustainable agriculture, waste management, education, health and local and regional development, thus reinforcing the transformative role in the country's development and in building an increasingly sustainable future for society.</w:t>
      </w:r>
    </w:p>
    <w:p>
      <w:pPr>
        <w:pStyle w:val="BodyText"/>
        <w:spacing w:line="321" w:lineRule="auto" w:before="194"/>
        <w:ind w:left="568" w:right="42"/>
      </w:pPr>
      <w:r>
        <w:rPr>
          <w:color w:val="1B1B22"/>
        </w:rPr>
        <w:t>The Sustainable Credit Portfolio is subject to an </w:t>
      </w:r>
      <w:r>
        <w:rPr>
          <w:color w:val="1B1B22"/>
          <w:spacing w:val="-2"/>
        </w:rPr>
        <w:t>independent</w:t>
      </w:r>
      <w:r>
        <w:rPr>
          <w:color w:val="1B1B22"/>
          <w:spacing w:val="-3"/>
        </w:rPr>
        <w:t> </w:t>
      </w:r>
      <w:r>
        <w:rPr>
          <w:color w:val="1B1B22"/>
          <w:spacing w:val="-2"/>
        </w:rPr>
        <w:t>assessment,</w:t>
      </w:r>
      <w:r>
        <w:rPr>
          <w:color w:val="1B1B22"/>
          <w:spacing w:val="-5"/>
        </w:rPr>
        <w:t> </w:t>
      </w:r>
      <w:r>
        <w:rPr>
          <w:color w:val="1B1B22"/>
          <w:spacing w:val="-2"/>
        </w:rPr>
        <w:t>which</w:t>
      </w:r>
      <w:r>
        <w:rPr>
          <w:color w:val="1B1B22"/>
          <w:spacing w:val="-1"/>
        </w:rPr>
        <w:t> </w:t>
      </w:r>
      <w:r>
        <w:rPr>
          <w:color w:val="1B1B22"/>
          <w:spacing w:val="-2"/>
        </w:rPr>
        <w:t>considers</w:t>
      </w:r>
      <w:r>
        <w:rPr>
          <w:color w:val="1B1B22"/>
          <w:spacing w:val="-1"/>
        </w:rPr>
        <w:t> </w:t>
      </w:r>
      <w:r>
        <w:rPr>
          <w:color w:val="1B1B22"/>
          <w:spacing w:val="-2"/>
        </w:rPr>
        <w:t>the</w:t>
      </w:r>
      <w:r>
        <w:rPr>
          <w:color w:val="1B1B22"/>
          <w:spacing w:val="-3"/>
        </w:rPr>
        <w:t> </w:t>
      </w:r>
      <w:r>
        <w:rPr>
          <w:color w:val="1B1B22"/>
          <w:spacing w:val="-4"/>
        </w:rPr>
        <w:t>main</w:t>
      </w:r>
    </w:p>
    <w:p>
      <w:pPr>
        <w:spacing w:line="240" w:lineRule="auto" w:before="0"/>
        <w:rPr>
          <w:sz w:val="20"/>
        </w:rPr>
      </w:pPr>
      <w:r>
        <w:rPr/>
        <w:br w:type="column"/>
      </w:r>
      <w:r>
        <w:rPr>
          <w:sz w:val="20"/>
        </w:rPr>
      </w:r>
    </w:p>
    <w:p>
      <w:pPr>
        <w:pStyle w:val="BodyText"/>
        <w:spacing w:before="44"/>
        <w:jc w:val="left"/>
      </w:pPr>
    </w:p>
    <w:p>
      <w:pPr>
        <w:pStyle w:val="BodyText"/>
        <w:spacing w:line="319" w:lineRule="auto"/>
        <w:ind w:left="568" w:right="565"/>
      </w:pPr>
      <w:r>
        <w:rPr>
          <w:color w:val="1B1B22"/>
        </w:rPr>
        <w:t>national and international ESG taxonomies in the classification of clients and credit lines that make up the portfolio. The methodology is continually reviewed to incorporate best practices and pioneering references from recent years and to include new products with ESG attributes.</w:t>
      </w:r>
    </w:p>
    <w:p>
      <w:pPr>
        <w:pStyle w:val="Heading2"/>
        <w:spacing w:before="201"/>
        <w:ind w:left="568"/>
        <w:rPr>
          <w:b w:val="0"/>
        </w:rPr>
      </w:pPr>
      <w:r>
        <w:rPr>
          <w:b w:val="0"/>
          <w:color w:val="465EFF"/>
          <w:spacing w:val="19"/>
        </w:rPr>
        <w:t>Bioeconomy</w:t>
      </w:r>
      <w:r>
        <w:rPr>
          <w:b w:val="0"/>
          <w:color w:val="465EFF"/>
          <w:spacing w:val="49"/>
        </w:rPr>
        <w:t> </w:t>
      </w:r>
      <w:r>
        <w:rPr>
          <w:b w:val="0"/>
          <w:color w:val="465EFF"/>
          <w:spacing w:val="15"/>
        </w:rPr>
        <w:t>and</w:t>
      </w:r>
      <w:r>
        <w:rPr>
          <w:b w:val="0"/>
          <w:color w:val="465EFF"/>
          <w:spacing w:val="37"/>
        </w:rPr>
        <w:t> </w:t>
      </w:r>
      <w:r>
        <w:rPr>
          <w:b w:val="0"/>
          <w:color w:val="465EFF"/>
          <w:spacing w:val="13"/>
        </w:rPr>
        <w:t>Value</w:t>
      </w:r>
      <w:r>
        <w:rPr>
          <w:b w:val="0"/>
          <w:color w:val="465EFF"/>
          <w:spacing w:val="52"/>
        </w:rPr>
        <w:t> </w:t>
      </w:r>
      <w:r>
        <w:rPr>
          <w:b w:val="0"/>
          <w:color w:val="465EFF"/>
          <w:spacing w:val="16"/>
        </w:rPr>
        <w:t>Chain</w:t>
      </w:r>
    </w:p>
    <w:p>
      <w:pPr>
        <w:pStyle w:val="BodyText"/>
        <w:spacing w:line="321" w:lineRule="auto" w:before="329"/>
        <w:ind w:left="568" w:right="564"/>
      </w:pPr>
      <w:r>
        <w:rPr>
          <w:color w:val="1B1B22"/>
        </w:rPr>
        <w:t>We have contributed to the development of biodiversity in the country, providing financial resources, specialized services, credit lines with attractive conditions and financial consulting services to assist family farmers, associations and cooperatives that work with the Bioeconomy.</w:t>
      </w:r>
      <w:r>
        <w:rPr>
          <w:color w:val="1B1B22"/>
          <w:spacing w:val="-1"/>
        </w:rPr>
        <w:t> </w:t>
      </w:r>
      <w:r>
        <w:rPr>
          <w:color w:val="1B1B22"/>
        </w:rPr>
        <w:t>We are currently one of the main financiers of forest- compatible products, with R$1.9 billion in bioeconomy and value chain projects in the Legal Amazon Forest, representing a growth of 39% in the last 12 months.</w:t>
      </w:r>
    </w:p>
    <w:p>
      <w:pPr>
        <w:pStyle w:val="BodyText"/>
        <w:spacing w:after="0" w:line="321" w:lineRule="auto"/>
        <w:sectPr>
          <w:type w:val="continuous"/>
          <w:pgSz w:w="11910" w:h="16850"/>
          <w:pgMar w:header="152" w:footer="572" w:top="1920" w:bottom="280" w:left="283" w:right="283"/>
          <w:cols w:num="2" w:equalWidth="0">
            <w:col w:w="5360" w:space="95"/>
            <w:col w:w="5889"/>
          </w:cols>
        </w:sectPr>
      </w:pPr>
    </w:p>
    <w:p>
      <w:pPr>
        <w:pStyle w:val="BodyText"/>
        <w:spacing w:before="111"/>
        <w:jc w:val="left"/>
      </w:pPr>
    </w:p>
    <w:p>
      <w:pPr>
        <w:pStyle w:val="BodyText"/>
        <w:spacing w:after="0"/>
        <w:jc w:val="left"/>
        <w:sectPr>
          <w:pgSz w:w="11910" w:h="16850"/>
          <w:pgMar w:header="152" w:footer="572" w:top="900" w:bottom="780" w:left="283" w:right="283"/>
        </w:sectPr>
      </w:pPr>
    </w:p>
    <w:p>
      <w:pPr>
        <w:pStyle w:val="Heading2"/>
        <w:rPr>
          <w:b w:val="0"/>
        </w:rPr>
      </w:pPr>
      <w:r>
        <w:rPr>
          <w:b w:val="0"/>
          <w:color w:val="465EFF"/>
          <w:spacing w:val="19"/>
        </w:rPr>
        <w:t>Carbon</w:t>
      </w:r>
      <w:r>
        <w:rPr>
          <w:b w:val="0"/>
          <w:color w:val="465EFF"/>
          <w:spacing w:val="48"/>
        </w:rPr>
        <w:t> </w:t>
      </w:r>
      <w:r>
        <w:rPr>
          <w:b w:val="0"/>
          <w:color w:val="465EFF"/>
          <w:spacing w:val="15"/>
        </w:rPr>
        <w:t>Market</w:t>
      </w:r>
    </w:p>
    <w:p>
      <w:pPr>
        <w:pStyle w:val="BodyText"/>
        <w:spacing w:line="321" w:lineRule="auto" w:before="170"/>
        <w:ind w:left="568" w:right="38"/>
      </w:pPr>
      <w:r>
        <w:rPr/>
        <mc:AlternateContent>
          <mc:Choice Requires="wps">
            <w:drawing>
              <wp:anchor distT="0" distB="0" distL="0" distR="0" allowOverlap="1" layoutInCell="1" locked="0" behindDoc="1" simplePos="0" relativeHeight="487368192">
                <wp:simplePos x="0" y="0"/>
                <wp:positionH relativeFrom="page">
                  <wp:posOffset>260350</wp:posOffset>
                </wp:positionH>
                <wp:positionV relativeFrom="paragraph">
                  <wp:posOffset>1784438</wp:posOffset>
                </wp:positionV>
                <wp:extent cx="3460115" cy="126111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3460115" cy="1261110"/>
                        </a:xfrm>
                        <a:prstGeom prst="rect">
                          <a:avLst/>
                        </a:prstGeom>
                        <a:solidFill>
                          <a:srgbClr val="FFEB8D"/>
                        </a:solidFill>
                      </wps:spPr>
                      <wps:txbx>
                        <w:txbxContent>
                          <w:p>
                            <w:pPr>
                              <w:pStyle w:val="BodyText"/>
                              <w:spacing w:line="321" w:lineRule="auto" w:before="204"/>
                              <w:ind w:left="441" w:right="258"/>
                              <w:rPr>
                                <w:color w:val="000000"/>
                              </w:rPr>
                            </w:pPr>
                            <w:r>
                              <w:rPr>
                                <w:color w:val="1B1B22"/>
                              </w:rPr>
                              <w:t>In addition,</w:t>
                            </w:r>
                            <w:r>
                              <w:rPr>
                                <w:color w:val="1B1B22"/>
                                <w:spacing w:val="-1"/>
                              </w:rPr>
                              <w:t> </w:t>
                            </w:r>
                            <w:r>
                              <w:rPr>
                                <w:color w:val="1B1B22"/>
                              </w:rPr>
                              <w:t>we</w:t>
                            </w:r>
                            <w:r>
                              <w:rPr>
                                <w:color w:val="1B1B22"/>
                                <w:spacing w:val="-1"/>
                              </w:rPr>
                              <w:t> </w:t>
                            </w:r>
                            <w:r>
                              <w:rPr>
                                <w:color w:val="1B1B22"/>
                              </w:rPr>
                              <w:t>offer</w:t>
                            </w:r>
                            <w:r>
                              <w:rPr>
                                <w:color w:val="1B1B22"/>
                                <w:spacing w:val="-1"/>
                              </w:rPr>
                              <w:t> </w:t>
                            </w:r>
                            <w:r>
                              <w:rPr>
                                <w:color w:val="1B1B22"/>
                              </w:rPr>
                              <w:t>intermediation opportunities between those who need and those who have carbon credits. We have specific lines to promote projects that contribute to decarbonization, such as renewable energy and energy efficiency.</w:t>
                            </w:r>
                          </w:p>
                        </w:txbxContent>
                      </wps:txbx>
                      <wps:bodyPr wrap="square" lIns="0" tIns="0" rIns="0" bIns="0" rtlCol="0">
                        <a:noAutofit/>
                      </wps:bodyPr>
                    </wps:wsp>
                  </a:graphicData>
                </a:graphic>
              </wp:anchor>
            </w:drawing>
          </mc:Choice>
          <mc:Fallback>
            <w:pict>
              <v:shape style="position:absolute;margin-left:20.5pt;margin-top:140.507004pt;width:272.45pt;height:99.3pt;mso-position-horizontal-relative:page;mso-position-vertical-relative:paragraph;z-index:-15948288" type="#_x0000_t202" id="docshape29" filled="true" fillcolor="#ffeb8d" stroked="false">
                <v:textbox inset="0,0,0,0">
                  <w:txbxContent>
                    <w:p>
                      <w:pPr>
                        <w:pStyle w:val="BodyText"/>
                        <w:spacing w:line="321" w:lineRule="auto" w:before="204"/>
                        <w:ind w:left="441" w:right="258"/>
                        <w:rPr>
                          <w:color w:val="000000"/>
                        </w:rPr>
                      </w:pPr>
                      <w:r>
                        <w:rPr>
                          <w:color w:val="1B1B22"/>
                        </w:rPr>
                        <w:t>In addition,</w:t>
                      </w:r>
                      <w:r>
                        <w:rPr>
                          <w:color w:val="1B1B22"/>
                          <w:spacing w:val="-1"/>
                        </w:rPr>
                        <w:t> </w:t>
                      </w:r>
                      <w:r>
                        <w:rPr>
                          <w:color w:val="1B1B22"/>
                        </w:rPr>
                        <w:t>we</w:t>
                      </w:r>
                      <w:r>
                        <w:rPr>
                          <w:color w:val="1B1B22"/>
                          <w:spacing w:val="-1"/>
                        </w:rPr>
                        <w:t> </w:t>
                      </w:r>
                      <w:r>
                        <w:rPr>
                          <w:color w:val="1B1B22"/>
                        </w:rPr>
                        <w:t>offer</w:t>
                      </w:r>
                      <w:r>
                        <w:rPr>
                          <w:color w:val="1B1B22"/>
                          <w:spacing w:val="-1"/>
                        </w:rPr>
                        <w:t> </w:t>
                      </w:r>
                      <w:r>
                        <w:rPr>
                          <w:color w:val="1B1B22"/>
                        </w:rPr>
                        <w:t>intermediation opportunities between those who need and those who have carbon credits. We have specific lines to promote projects that contribute to decarbonization, such as renewable energy and energy efficiency.</w:t>
                      </w:r>
                    </w:p>
                  </w:txbxContent>
                </v:textbox>
                <v:fill type="solid"/>
                <w10:wrap type="none"/>
              </v:shape>
            </w:pict>
          </mc:Fallback>
        </mc:AlternateContent>
      </w:r>
      <w:r>
        <w:rPr>
          <w:color w:val="1B1B22"/>
        </w:rPr>
        <w:t>We have strengthened our presence in the voluntary carbon market, supporting clients in developing projects that generate carbon credits with significant environmental additionality, offering advice on carrying out GHG emissions </w:t>
      </w:r>
      <w:r>
        <w:rPr>
          <w:color w:val="1B1B22"/>
          <w:spacing w:val="-2"/>
        </w:rPr>
        <w:t>inventories</w:t>
      </w:r>
      <w:r>
        <w:rPr>
          <w:color w:val="1B1B22"/>
          <w:spacing w:val="-11"/>
        </w:rPr>
        <w:t> </w:t>
      </w:r>
      <w:r>
        <w:rPr>
          <w:color w:val="1B1B22"/>
          <w:spacing w:val="-2"/>
        </w:rPr>
        <w:t>and</w:t>
      </w:r>
      <w:r>
        <w:rPr>
          <w:color w:val="1B1B22"/>
          <w:spacing w:val="-10"/>
        </w:rPr>
        <w:t> </w:t>
      </w:r>
      <w:r>
        <w:rPr>
          <w:color w:val="1B1B22"/>
          <w:spacing w:val="-2"/>
        </w:rPr>
        <w:t>decarbonization</w:t>
      </w:r>
      <w:r>
        <w:rPr>
          <w:color w:val="1B1B22"/>
          <w:spacing w:val="-11"/>
        </w:rPr>
        <w:t> </w:t>
      </w:r>
      <w:r>
        <w:rPr>
          <w:color w:val="1B1B22"/>
          <w:spacing w:val="-2"/>
        </w:rPr>
        <w:t>plans,</w:t>
      </w:r>
      <w:r>
        <w:rPr>
          <w:color w:val="1B1B22"/>
          <w:spacing w:val="-10"/>
        </w:rPr>
        <w:t> </w:t>
      </w:r>
      <w:r>
        <w:rPr>
          <w:color w:val="1B1B22"/>
          <w:spacing w:val="-2"/>
        </w:rPr>
        <w:t>and</w:t>
      </w:r>
      <w:r>
        <w:rPr>
          <w:color w:val="1B1B22"/>
          <w:spacing w:val="-10"/>
        </w:rPr>
        <w:t> </w:t>
      </w:r>
      <w:r>
        <w:rPr>
          <w:color w:val="1B1B22"/>
          <w:spacing w:val="-2"/>
        </w:rPr>
        <w:t>offering </w:t>
      </w:r>
      <w:r>
        <w:rPr>
          <w:color w:val="1B1B22"/>
        </w:rPr>
        <w:t>carbon credits from high-integrity projects to offset unmitigated emissions.</w:t>
      </w: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spacing w:before="154"/>
        <w:jc w:val="left"/>
      </w:pPr>
    </w:p>
    <w:p>
      <w:pPr>
        <w:pStyle w:val="BodyText"/>
        <w:spacing w:line="321" w:lineRule="auto" w:before="1"/>
        <w:ind w:left="568" w:right="38"/>
      </w:pPr>
      <w:r>
        <w:rPr>
          <w:color w:val="1B1B22"/>
        </w:rPr>
        <w:t>Until March 2025, more than 762 thousand hectares have been preserved or reforested through</w:t>
      </w:r>
      <w:r>
        <w:rPr>
          <w:color w:val="1B1B22"/>
          <w:spacing w:val="60"/>
        </w:rPr>
        <w:t> </w:t>
      </w:r>
      <w:r>
        <w:rPr>
          <w:color w:val="1B1B22"/>
        </w:rPr>
        <w:t>carbon</w:t>
      </w:r>
      <w:r>
        <w:rPr>
          <w:color w:val="1B1B22"/>
          <w:spacing w:val="61"/>
        </w:rPr>
        <w:t> </w:t>
      </w:r>
      <w:r>
        <w:rPr>
          <w:color w:val="1B1B22"/>
        </w:rPr>
        <w:t>projects</w:t>
      </w:r>
      <w:r>
        <w:rPr>
          <w:color w:val="1B1B22"/>
          <w:spacing w:val="63"/>
        </w:rPr>
        <w:t> </w:t>
      </w:r>
      <w:r>
        <w:rPr>
          <w:color w:val="1B1B22"/>
        </w:rPr>
        <w:t>and</w:t>
      </w:r>
      <w:r>
        <w:rPr>
          <w:color w:val="1B1B22"/>
          <w:spacing w:val="60"/>
        </w:rPr>
        <w:t> </w:t>
      </w:r>
      <w:r>
        <w:rPr>
          <w:color w:val="1B1B22"/>
        </w:rPr>
        <w:t>credit</w:t>
      </w:r>
      <w:r>
        <w:rPr>
          <w:color w:val="1B1B22"/>
          <w:spacing w:val="61"/>
        </w:rPr>
        <w:t> </w:t>
      </w:r>
      <w:r>
        <w:rPr>
          <w:color w:val="1B1B22"/>
          <w:spacing w:val="-2"/>
        </w:rPr>
        <w:t>operations.</w:t>
      </w:r>
    </w:p>
    <w:p>
      <w:pPr>
        <w:spacing w:line="240" w:lineRule="auto" w:before="0"/>
        <w:rPr>
          <w:sz w:val="20"/>
        </w:rPr>
      </w:pPr>
      <w:r>
        <w:rPr/>
        <w:br w:type="column"/>
      </w:r>
      <w:r>
        <w:rPr>
          <w:sz w:val="20"/>
        </w:rPr>
      </w:r>
    </w:p>
    <w:p>
      <w:pPr>
        <w:pStyle w:val="BodyText"/>
        <w:spacing w:before="89"/>
        <w:jc w:val="left"/>
      </w:pPr>
    </w:p>
    <w:p>
      <w:pPr>
        <w:pStyle w:val="BodyText"/>
        <w:spacing w:line="321" w:lineRule="auto"/>
        <w:ind w:left="568" w:right="568"/>
      </w:pPr>
      <w:r>
        <w:rPr>
          <w:color w:val="1B1B22"/>
        </w:rPr>
        <w:t>Forest conservation carbon projects (REDD+) combine environmental preservation and income generation for landowners.</w:t>
      </w:r>
    </w:p>
    <w:p>
      <w:pPr>
        <w:pStyle w:val="BodyText"/>
        <w:spacing w:line="321" w:lineRule="auto" w:before="116"/>
        <w:ind w:left="568" w:right="566"/>
      </w:pPr>
      <w:r>
        <w:rPr>
          <w:color w:val="1B1B22"/>
        </w:rPr>
        <w:t>Aiming to diversify the sources of carbon credit generation,</w:t>
      </w:r>
      <w:r>
        <w:rPr>
          <w:color w:val="1B1B22"/>
          <w:spacing w:val="-5"/>
        </w:rPr>
        <w:t> </w:t>
      </w:r>
      <w:r>
        <w:rPr>
          <w:color w:val="1B1B22"/>
        </w:rPr>
        <w:t>in</w:t>
      </w:r>
      <w:r>
        <w:rPr>
          <w:color w:val="1B1B22"/>
          <w:spacing w:val="-4"/>
        </w:rPr>
        <w:t> </w:t>
      </w:r>
      <w:r>
        <w:rPr>
          <w:color w:val="1B1B22"/>
        </w:rPr>
        <w:t>March</w:t>
      </w:r>
      <w:r>
        <w:rPr>
          <w:color w:val="1B1B22"/>
          <w:spacing w:val="-4"/>
        </w:rPr>
        <w:t> </w:t>
      </w:r>
      <w:r>
        <w:rPr>
          <w:color w:val="1B1B22"/>
        </w:rPr>
        <w:t>2024</w:t>
      </w:r>
      <w:r>
        <w:rPr>
          <w:color w:val="1B1B22"/>
          <w:spacing w:val="-5"/>
        </w:rPr>
        <w:t> </w:t>
      </w:r>
      <w:r>
        <w:rPr>
          <w:color w:val="1B1B22"/>
        </w:rPr>
        <w:t>we</w:t>
      </w:r>
      <w:r>
        <w:rPr>
          <w:color w:val="1B1B22"/>
          <w:spacing w:val="-5"/>
        </w:rPr>
        <w:t> </w:t>
      </w:r>
      <w:r>
        <w:rPr>
          <w:color w:val="1B1B22"/>
        </w:rPr>
        <w:t>launched</w:t>
      </w:r>
      <w:r>
        <w:rPr>
          <w:color w:val="1B1B22"/>
          <w:spacing w:val="-5"/>
        </w:rPr>
        <w:t> </w:t>
      </w:r>
      <w:r>
        <w:rPr>
          <w:color w:val="1B1B22"/>
        </w:rPr>
        <w:t>the</w:t>
      </w:r>
      <w:r>
        <w:rPr>
          <w:color w:val="1B1B22"/>
          <w:spacing w:val="-5"/>
        </w:rPr>
        <w:t> </w:t>
      </w:r>
      <w:r>
        <w:rPr>
          <w:color w:val="1B1B22"/>
        </w:rPr>
        <w:t>Biogas Program, which supports the development of projects based on the generation of biogas and biomethane in agriculture, especially with swine farmers and cattle.</w:t>
      </w:r>
    </w:p>
    <w:p>
      <w:pPr>
        <w:pStyle w:val="BodyText"/>
        <w:spacing w:line="319" w:lineRule="auto" w:before="118"/>
        <w:ind w:left="568" w:right="564"/>
      </w:pPr>
      <w:r>
        <w:rPr>
          <w:color w:val="1B1B22"/>
        </w:rPr>
        <w:t>In line with diversification, we formalized five projects in the soil carbon modality (ALM) for the recovery</w:t>
      </w:r>
      <w:r>
        <w:rPr>
          <w:color w:val="1B1B22"/>
          <w:spacing w:val="-7"/>
        </w:rPr>
        <w:t> </w:t>
      </w:r>
      <w:r>
        <w:rPr>
          <w:color w:val="1B1B22"/>
        </w:rPr>
        <w:t>of</w:t>
      </w:r>
      <w:r>
        <w:rPr>
          <w:color w:val="1B1B22"/>
          <w:spacing w:val="-7"/>
        </w:rPr>
        <w:t> </w:t>
      </w:r>
      <w:r>
        <w:rPr>
          <w:color w:val="1B1B22"/>
        </w:rPr>
        <w:t>degraded</w:t>
      </w:r>
      <w:r>
        <w:rPr>
          <w:color w:val="1B1B22"/>
          <w:spacing w:val="-7"/>
        </w:rPr>
        <w:t> </w:t>
      </w:r>
      <w:r>
        <w:rPr>
          <w:color w:val="1B1B22"/>
        </w:rPr>
        <w:t>pastures,</w:t>
      </w:r>
      <w:r>
        <w:rPr>
          <w:color w:val="1B1B22"/>
          <w:spacing w:val="-7"/>
        </w:rPr>
        <w:t> </w:t>
      </w:r>
      <w:r>
        <w:rPr>
          <w:color w:val="1B1B22"/>
        </w:rPr>
        <w:t>totaling</w:t>
      </w:r>
      <w:r>
        <w:rPr>
          <w:color w:val="1B1B22"/>
          <w:spacing w:val="-7"/>
        </w:rPr>
        <w:t> </w:t>
      </w:r>
      <w:r>
        <w:rPr>
          <w:color w:val="1B1B22"/>
        </w:rPr>
        <w:t>an</w:t>
      </w:r>
      <w:r>
        <w:rPr>
          <w:color w:val="1B1B22"/>
          <w:spacing w:val="-6"/>
        </w:rPr>
        <w:t> </w:t>
      </w:r>
      <w:r>
        <w:rPr>
          <w:color w:val="1B1B22"/>
        </w:rPr>
        <w:t>area</w:t>
      </w:r>
      <w:r>
        <w:rPr>
          <w:color w:val="1B1B22"/>
          <w:spacing w:val="-7"/>
        </w:rPr>
        <w:t> </w:t>
      </w:r>
      <w:r>
        <w:rPr>
          <w:color w:val="1B1B22"/>
        </w:rPr>
        <w:t>of</w:t>
      </w:r>
    </w:p>
    <w:p>
      <w:pPr>
        <w:pStyle w:val="BodyText"/>
        <w:spacing w:line="321" w:lineRule="auto" w:before="5"/>
        <w:ind w:left="568" w:right="566"/>
      </w:pPr>
      <w:r>
        <w:rPr>
          <w:color w:val="1B1B22"/>
        </w:rPr>
        <w:t>46 thousand hectares, contributing to more sustainable agriculture and generating additional income for producers.</w:t>
      </w:r>
    </w:p>
    <w:p>
      <w:pPr>
        <w:pStyle w:val="BodyText"/>
        <w:spacing w:after="0" w:line="321" w:lineRule="auto"/>
        <w:sectPr>
          <w:type w:val="continuous"/>
          <w:pgSz w:w="11910" w:h="16850"/>
          <w:pgMar w:header="152" w:footer="572" w:top="1920" w:bottom="280" w:left="283" w:right="283"/>
          <w:cols w:num="2" w:equalWidth="0">
            <w:col w:w="5358" w:space="97"/>
            <w:col w:w="5889"/>
          </w:cols>
        </w:sectPr>
      </w:pPr>
    </w:p>
    <w:p>
      <w:pPr>
        <w:pStyle w:val="Heading1"/>
        <w:spacing w:before="433"/>
      </w:pPr>
      <w:r>
        <w:rPr>
          <w:color w:val="465EFF"/>
          <w:spacing w:val="29"/>
        </w:rPr>
        <w:t>Diversity,</w:t>
      </w:r>
      <w:r>
        <w:rPr>
          <w:color w:val="465EFF"/>
          <w:spacing w:val="66"/>
        </w:rPr>
        <w:t> </w:t>
      </w:r>
      <w:r>
        <w:rPr>
          <w:color w:val="465EFF"/>
          <w:spacing w:val="28"/>
        </w:rPr>
        <w:t>Equity,</w:t>
      </w:r>
      <w:r>
        <w:rPr>
          <w:color w:val="465EFF"/>
          <w:spacing w:val="69"/>
        </w:rPr>
        <w:t> </w:t>
      </w:r>
      <w:r>
        <w:rPr>
          <w:color w:val="465EFF"/>
          <w:spacing w:val="26"/>
        </w:rPr>
        <w:t>and</w:t>
      </w:r>
      <w:r>
        <w:rPr>
          <w:color w:val="465EFF"/>
          <w:spacing w:val="69"/>
        </w:rPr>
        <w:t> </w:t>
      </w:r>
      <w:r>
        <w:rPr>
          <w:color w:val="465EFF"/>
          <w:spacing w:val="31"/>
        </w:rPr>
        <w:t>Inclusion</w:t>
      </w:r>
    </w:p>
    <w:p>
      <w:pPr>
        <w:pStyle w:val="BodyText"/>
        <w:spacing w:before="2"/>
        <w:jc w:val="left"/>
        <w:rPr>
          <w:rFonts w:ascii="BancoDoBrasil Titulos"/>
        </w:rPr>
      </w:pPr>
    </w:p>
    <w:p>
      <w:pPr>
        <w:pStyle w:val="BodyText"/>
        <w:spacing w:after="0"/>
        <w:jc w:val="left"/>
        <w:rPr>
          <w:rFonts w:ascii="BancoDoBrasil Titulos"/>
        </w:rPr>
        <w:sectPr>
          <w:type w:val="continuous"/>
          <w:pgSz w:w="11910" w:h="16850"/>
          <w:pgMar w:header="152" w:footer="572" w:top="1920" w:bottom="280" w:left="283" w:right="283"/>
        </w:sectPr>
      </w:pPr>
    </w:p>
    <w:p>
      <w:pPr>
        <w:pStyle w:val="BodyText"/>
        <w:spacing w:line="321" w:lineRule="auto" w:before="78"/>
        <w:ind w:left="568" w:right="40"/>
      </w:pPr>
      <w:r>
        <w:rPr>
          <w:color w:val="1B1B22"/>
        </w:rPr>
        <w:t>We remain committed to diversity. Currently, women represent 44% of the Board of Directors </w:t>
      </w:r>
      <w:r>
        <w:rPr>
          <w:color w:val="1B1B22"/>
          <w:spacing w:val="-2"/>
        </w:rPr>
        <w:t>and</w:t>
      </w:r>
      <w:r>
        <w:rPr>
          <w:color w:val="1B1B22"/>
          <w:spacing w:val="-9"/>
        </w:rPr>
        <w:t> </w:t>
      </w:r>
      <w:r>
        <w:rPr>
          <w:color w:val="1B1B22"/>
          <w:spacing w:val="-2"/>
        </w:rPr>
        <w:t>50%</w:t>
      </w:r>
      <w:r>
        <w:rPr>
          <w:color w:val="1B1B22"/>
          <w:spacing w:val="-10"/>
        </w:rPr>
        <w:t> </w:t>
      </w:r>
      <w:r>
        <w:rPr>
          <w:color w:val="1B1B22"/>
          <w:spacing w:val="-2"/>
        </w:rPr>
        <w:t>of</w:t>
      </w:r>
      <w:r>
        <w:rPr>
          <w:color w:val="1B1B22"/>
          <w:spacing w:val="-10"/>
        </w:rPr>
        <w:t> </w:t>
      </w:r>
      <w:r>
        <w:rPr>
          <w:color w:val="1B1B22"/>
          <w:spacing w:val="-2"/>
        </w:rPr>
        <w:t>the</w:t>
      </w:r>
      <w:r>
        <w:rPr>
          <w:color w:val="1B1B22"/>
          <w:spacing w:val="-9"/>
        </w:rPr>
        <w:t> </w:t>
      </w:r>
      <w:r>
        <w:rPr>
          <w:color w:val="1B1B22"/>
          <w:spacing w:val="-2"/>
        </w:rPr>
        <w:t>Board</w:t>
      </w:r>
      <w:r>
        <w:rPr>
          <w:color w:val="1B1B22"/>
          <w:spacing w:val="-9"/>
        </w:rPr>
        <w:t> </w:t>
      </w:r>
      <w:r>
        <w:rPr>
          <w:color w:val="1B1B22"/>
          <w:spacing w:val="-2"/>
        </w:rPr>
        <w:t>of</w:t>
      </w:r>
      <w:r>
        <w:rPr>
          <w:color w:val="1B1B22"/>
          <w:spacing w:val="-10"/>
        </w:rPr>
        <w:t> </w:t>
      </w:r>
      <w:r>
        <w:rPr>
          <w:color w:val="1B1B22"/>
          <w:spacing w:val="-2"/>
        </w:rPr>
        <w:t>Directors</w:t>
      </w:r>
      <w:r>
        <w:rPr>
          <w:color w:val="1B1B22"/>
          <w:spacing w:val="-8"/>
        </w:rPr>
        <w:t> </w:t>
      </w:r>
      <w:r>
        <w:rPr>
          <w:color w:val="1B1B22"/>
          <w:spacing w:val="-2"/>
        </w:rPr>
        <w:t>(CA).</w:t>
      </w:r>
      <w:r>
        <w:rPr>
          <w:color w:val="1B1B22"/>
          <w:spacing w:val="-9"/>
        </w:rPr>
        <w:t> </w:t>
      </w:r>
      <w:r>
        <w:rPr>
          <w:color w:val="1B1B22"/>
          <w:spacing w:val="-2"/>
        </w:rPr>
        <w:t>In</w:t>
      </w:r>
      <w:r>
        <w:rPr>
          <w:color w:val="1B1B22"/>
          <w:spacing w:val="-8"/>
        </w:rPr>
        <w:t> </w:t>
      </w:r>
      <w:r>
        <w:rPr>
          <w:color w:val="1B1B22"/>
          <w:spacing w:val="-2"/>
        </w:rPr>
        <w:t>addition, </w:t>
      </w:r>
      <w:r>
        <w:rPr>
          <w:color w:val="1B1B22"/>
        </w:rPr>
        <w:t>two</w:t>
      </w:r>
      <w:r>
        <w:rPr>
          <w:color w:val="1B1B22"/>
          <w:spacing w:val="-10"/>
        </w:rPr>
        <w:t> </w:t>
      </w:r>
      <w:r>
        <w:rPr>
          <w:color w:val="1B1B22"/>
        </w:rPr>
        <w:t>members</w:t>
      </w:r>
      <w:r>
        <w:rPr>
          <w:color w:val="1B1B22"/>
          <w:spacing w:val="-8"/>
        </w:rPr>
        <w:t> </w:t>
      </w:r>
      <w:r>
        <w:rPr>
          <w:color w:val="1B1B22"/>
        </w:rPr>
        <w:t>of</w:t>
      </w:r>
      <w:r>
        <w:rPr>
          <w:color w:val="1B1B22"/>
          <w:spacing w:val="-10"/>
        </w:rPr>
        <w:t> </w:t>
      </w:r>
      <w:r>
        <w:rPr>
          <w:color w:val="1B1B22"/>
        </w:rPr>
        <w:t>the</w:t>
      </w:r>
      <w:r>
        <w:rPr>
          <w:color w:val="1B1B22"/>
          <w:spacing w:val="-10"/>
        </w:rPr>
        <w:t> </w:t>
      </w:r>
      <w:r>
        <w:rPr>
          <w:color w:val="1B1B22"/>
        </w:rPr>
        <w:t>Board</w:t>
      </w:r>
      <w:r>
        <w:rPr>
          <w:color w:val="1B1B22"/>
          <w:spacing w:val="-10"/>
        </w:rPr>
        <w:t> </w:t>
      </w:r>
      <w:r>
        <w:rPr>
          <w:color w:val="1B1B22"/>
        </w:rPr>
        <w:t>of</w:t>
      </w:r>
      <w:r>
        <w:rPr>
          <w:color w:val="1B1B22"/>
          <w:spacing w:val="-10"/>
        </w:rPr>
        <w:t> </w:t>
      </w:r>
      <w:r>
        <w:rPr>
          <w:color w:val="1B1B22"/>
        </w:rPr>
        <w:t>Directors</w:t>
      </w:r>
      <w:r>
        <w:rPr>
          <w:color w:val="1B1B22"/>
          <w:spacing w:val="-8"/>
        </w:rPr>
        <w:t> </w:t>
      </w:r>
      <w:r>
        <w:rPr>
          <w:color w:val="1B1B22"/>
        </w:rPr>
        <w:t>and</w:t>
      </w:r>
      <w:r>
        <w:rPr>
          <w:color w:val="1B1B22"/>
          <w:spacing w:val="-10"/>
        </w:rPr>
        <w:t> </w:t>
      </w:r>
      <w:r>
        <w:rPr>
          <w:color w:val="1B1B22"/>
        </w:rPr>
        <w:t>two</w:t>
      </w:r>
      <w:r>
        <w:rPr>
          <w:color w:val="1B1B22"/>
          <w:spacing w:val="-10"/>
        </w:rPr>
        <w:t> </w:t>
      </w:r>
      <w:r>
        <w:rPr>
          <w:color w:val="1B1B22"/>
        </w:rPr>
        <w:t>of </w:t>
      </w:r>
      <w:r>
        <w:rPr>
          <w:color w:val="1B1B22"/>
          <w:spacing w:val="-2"/>
        </w:rPr>
        <w:t>the</w:t>
      </w:r>
      <w:r>
        <w:rPr>
          <w:color w:val="1B1B22"/>
          <w:spacing w:val="-11"/>
        </w:rPr>
        <w:t> </w:t>
      </w:r>
      <w:r>
        <w:rPr>
          <w:color w:val="1B1B22"/>
          <w:spacing w:val="-2"/>
        </w:rPr>
        <w:t>CA</w:t>
      </w:r>
      <w:r>
        <w:rPr>
          <w:color w:val="1B1B22"/>
          <w:spacing w:val="-10"/>
        </w:rPr>
        <w:t> </w:t>
      </w:r>
      <w:r>
        <w:rPr>
          <w:color w:val="1B1B22"/>
          <w:spacing w:val="-2"/>
        </w:rPr>
        <w:t>identify</w:t>
      </w:r>
      <w:r>
        <w:rPr>
          <w:color w:val="1B1B22"/>
          <w:spacing w:val="-11"/>
        </w:rPr>
        <w:t> </w:t>
      </w:r>
      <w:r>
        <w:rPr>
          <w:color w:val="1B1B22"/>
          <w:spacing w:val="-2"/>
        </w:rPr>
        <w:t>as</w:t>
      </w:r>
      <w:r>
        <w:rPr>
          <w:color w:val="1B1B22"/>
          <w:spacing w:val="-10"/>
        </w:rPr>
        <w:t> </w:t>
      </w:r>
      <w:r>
        <w:rPr>
          <w:color w:val="1B1B22"/>
          <w:spacing w:val="-2"/>
        </w:rPr>
        <w:t>black.</w:t>
      </w:r>
      <w:r>
        <w:rPr>
          <w:color w:val="1B1B22"/>
          <w:spacing w:val="-10"/>
        </w:rPr>
        <w:t> </w:t>
      </w:r>
      <w:r>
        <w:rPr>
          <w:color w:val="1B1B22"/>
          <w:spacing w:val="-2"/>
        </w:rPr>
        <w:t>Two</w:t>
      </w:r>
      <w:r>
        <w:rPr>
          <w:color w:val="1B1B22"/>
          <w:spacing w:val="-11"/>
        </w:rPr>
        <w:t> </w:t>
      </w:r>
      <w:r>
        <w:rPr>
          <w:color w:val="1B1B22"/>
          <w:spacing w:val="-2"/>
        </w:rPr>
        <w:t>members</w:t>
      </w:r>
      <w:r>
        <w:rPr>
          <w:color w:val="1B1B22"/>
          <w:spacing w:val="-10"/>
        </w:rPr>
        <w:t> </w:t>
      </w:r>
      <w:r>
        <w:rPr>
          <w:color w:val="1B1B22"/>
          <w:spacing w:val="-2"/>
        </w:rPr>
        <w:t>of</w:t>
      </w:r>
      <w:r>
        <w:rPr>
          <w:color w:val="1B1B22"/>
          <w:spacing w:val="-10"/>
        </w:rPr>
        <w:t> </w:t>
      </w:r>
      <w:r>
        <w:rPr>
          <w:color w:val="1B1B22"/>
          <w:spacing w:val="-2"/>
        </w:rPr>
        <w:t>the</w:t>
      </w:r>
      <w:r>
        <w:rPr>
          <w:color w:val="1B1B22"/>
          <w:spacing w:val="-11"/>
        </w:rPr>
        <w:t> </w:t>
      </w:r>
      <w:r>
        <w:rPr>
          <w:color w:val="1B1B22"/>
          <w:spacing w:val="-2"/>
        </w:rPr>
        <w:t>Board </w:t>
      </w:r>
      <w:r>
        <w:rPr>
          <w:color w:val="1B1B22"/>
        </w:rPr>
        <w:t>and two of the CA identify as members of the LGBTQIAPN+ community.</w:t>
      </w:r>
    </w:p>
    <w:p>
      <w:pPr>
        <w:pStyle w:val="BodyText"/>
        <w:spacing w:line="321" w:lineRule="auto" w:before="115"/>
        <w:ind w:left="568" w:right="38"/>
      </w:pPr>
      <w:r>
        <w:rPr>
          <w:color w:val="1B1B22"/>
        </w:rPr>
        <w:t>BB has one of the most diverse workforces in the market, endorsed by B3, through iDiversa.</w:t>
      </w:r>
    </w:p>
    <w:p>
      <w:pPr>
        <w:pStyle w:val="BodyText"/>
        <w:spacing w:line="321" w:lineRule="auto" w:before="120"/>
        <w:ind w:left="568" w:right="41"/>
      </w:pPr>
      <w:r>
        <w:rPr>
          <w:color w:val="1B1B22"/>
        </w:rPr>
        <w:t>As a practical action of the Memorandum of Understanding signed in November 2023, in February, through the Foundation and Zumbi dos Palmares</w:t>
      </w:r>
      <w:r>
        <w:rPr>
          <w:color w:val="1B1B22"/>
          <w:spacing w:val="-12"/>
        </w:rPr>
        <w:t> </w:t>
      </w:r>
      <w:r>
        <w:rPr>
          <w:color w:val="1B1B22"/>
        </w:rPr>
        <w:t>University,</w:t>
      </w:r>
      <w:r>
        <w:rPr>
          <w:color w:val="1B1B22"/>
          <w:spacing w:val="-12"/>
        </w:rPr>
        <w:t> </w:t>
      </w:r>
      <w:r>
        <w:rPr>
          <w:color w:val="1B1B22"/>
        </w:rPr>
        <w:t>we</w:t>
      </w:r>
      <w:r>
        <w:rPr>
          <w:color w:val="1B1B22"/>
          <w:spacing w:val="-12"/>
        </w:rPr>
        <w:t> </w:t>
      </w:r>
      <w:r>
        <w:rPr>
          <w:color w:val="1B1B22"/>
        </w:rPr>
        <w:t>announced</w:t>
      </w:r>
      <w:r>
        <w:rPr>
          <w:color w:val="1B1B22"/>
          <w:spacing w:val="-12"/>
        </w:rPr>
        <w:t> </w:t>
      </w:r>
      <w:r>
        <w:rPr>
          <w:color w:val="1B1B22"/>
        </w:rPr>
        <w:t>the</w:t>
      </w:r>
      <w:r>
        <w:rPr>
          <w:color w:val="1B1B22"/>
          <w:spacing w:val="-12"/>
        </w:rPr>
        <w:t> </w:t>
      </w:r>
      <w:r>
        <w:rPr>
          <w:color w:val="1B1B22"/>
        </w:rPr>
        <w:t>opening</w:t>
      </w:r>
      <w:r>
        <w:rPr>
          <w:color w:val="1B1B22"/>
          <w:spacing w:val="-12"/>
        </w:rPr>
        <w:t> </w:t>
      </w:r>
      <w:r>
        <w:rPr>
          <w:color w:val="1B1B22"/>
        </w:rPr>
        <w:t>of a selection process for a research scholarship, aimed at black people pursuing master's and doctoral degrees.</w:t>
      </w:r>
      <w:r>
        <w:rPr>
          <w:color w:val="1B1B22"/>
          <w:spacing w:val="-5"/>
        </w:rPr>
        <w:t> </w:t>
      </w:r>
      <w:r>
        <w:rPr>
          <w:color w:val="1B1B22"/>
        </w:rPr>
        <w:t>With the theme “Studies on the impact</w:t>
      </w:r>
      <w:r>
        <w:rPr>
          <w:color w:val="1B1B22"/>
          <w:spacing w:val="-13"/>
        </w:rPr>
        <w:t> </w:t>
      </w:r>
      <w:r>
        <w:rPr>
          <w:color w:val="1B1B22"/>
        </w:rPr>
        <w:t>of</w:t>
      </w:r>
      <w:r>
        <w:rPr>
          <w:color w:val="1B1B22"/>
          <w:spacing w:val="-12"/>
        </w:rPr>
        <w:t> </w:t>
      </w:r>
      <w:r>
        <w:rPr>
          <w:color w:val="1B1B22"/>
        </w:rPr>
        <w:t>beauty</w:t>
      </w:r>
      <w:r>
        <w:rPr>
          <w:color w:val="1B1B22"/>
          <w:spacing w:val="-13"/>
        </w:rPr>
        <w:t> </w:t>
      </w:r>
      <w:r>
        <w:rPr>
          <w:color w:val="1B1B22"/>
        </w:rPr>
        <w:t>and</w:t>
      </w:r>
      <w:r>
        <w:rPr>
          <w:color w:val="1B1B22"/>
          <w:spacing w:val="-12"/>
        </w:rPr>
        <w:t> </w:t>
      </w:r>
      <w:r>
        <w:rPr>
          <w:color w:val="1B1B22"/>
        </w:rPr>
        <w:t>aesthetic</w:t>
      </w:r>
      <w:r>
        <w:rPr>
          <w:color w:val="1B1B22"/>
          <w:spacing w:val="-12"/>
        </w:rPr>
        <w:t> </w:t>
      </w:r>
      <w:r>
        <w:rPr>
          <w:color w:val="1B1B22"/>
        </w:rPr>
        <w:t>activities</w:t>
      </w:r>
      <w:r>
        <w:rPr>
          <w:color w:val="1B1B22"/>
          <w:spacing w:val="-13"/>
        </w:rPr>
        <w:t> </w:t>
      </w:r>
      <w:r>
        <w:rPr>
          <w:color w:val="1B1B22"/>
        </w:rPr>
        <w:t>on</w:t>
      </w:r>
      <w:r>
        <w:rPr>
          <w:color w:val="1B1B22"/>
          <w:spacing w:val="-12"/>
        </w:rPr>
        <w:t> </w:t>
      </w:r>
      <w:r>
        <w:rPr>
          <w:color w:val="1B1B22"/>
        </w:rPr>
        <w:t>income generation for black people in the outskirts of cities”,</w:t>
      </w:r>
      <w:r>
        <w:rPr>
          <w:color w:val="1B1B22"/>
          <w:spacing w:val="6"/>
        </w:rPr>
        <w:t> </w:t>
      </w:r>
      <w:r>
        <w:rPr>
          <w:color w:val="1B1B22"/>
        </w:rPr>
        <w:t>the</w:t>
      </w:r>
      <w:r>
        <w:rPr>
          <w:color w:val="1B1B22"/>
          <w:spacing w:val="6"/>
        </w:rPr>
        <w:t> </w:t>
      </w:r>
      <w:r>
        <w:rPr>
          <w:color w:val="1B1B22"/>
        </w:rPr>
        <w:t>research</w:t>
      </w:r>
      <w:r>
        <w:rPr>
          <w:color w:val="1B1B22"/>
          <w:spacing w:val="7"/>
        </w:rPr>
        <w:t> </w:t>
      </w:r>
      <w:r>
        <w:rPr>
          <w:color w:val="1B1B22"/>
        </w:rPr>
        <w:t>aims</w:t>
      </w:r>
      <w:r>
        <w:rPr>
          <w:color w:val="1B1B22"/>
          <w:spacing w:val="6"/>
        </w:rPr>
        <w:t> </w:t>
      </w:r>
      <w:r>
        <w:rPr>
          <w:color w:val="1B1B22"/>
        </w:rPr>
        <w:t>to</w:t>
      </w:r>
      <w:r>
        <w:rPr>
          <w:color w:val="1B1B22"/>
          <w:spacing w:val="7"/>
        </w:rPr>
        <w:t> </w:t>
      </w:r>
      <w:r>
        <w:rPr>
          <w:color w:val="1B1B22"/>
        </w:rPr>
        <w:t>foster</w:t>
      </w:r>
      <w:r>
        <w:rPr>
          <w:color w:val="1B1B22"/>
          <w:spacing w:val="6"/>
        </w:rPr>
        <w:t> </w:t>
      </w:r>
      <w:r>
        <w:rPr>
          <w:color w:val="1B1B22"/>
        </w:rPr>
        <w:t>the</w:t>
      </w:r>
      <w:r>
        <w:rPr>
          <w:color w:val="1B1B22"/>
          <w:spacing w:val="6"/>
        </w:rPr>
        <w:t> </w:t>
      </w:r>
      <w:r>
        <w:rPr>
          <w:color w:val="1B1B22"/>
          <w:spacing w:val="-2"/>
        </w:rPr>
        <w:t>production</w:t>
      </w:r>
    </w:p>
    <w:p>
      <w:pPr>
        <w:pStyle w:val="BodyText"/>
        <w:spacing w:line="321" w:lineRule="auto" w:before="79"/>
        <w:ind w:left="569" w:right="568"/>
      </w:pPr>
      <w:r>
        <w:rPr/>
        <w:br w:type="column"/>
      </w:r>
      <w:r>
        <w:rPr>
          <w:color w:val="1B1B22"/>
          <w:spacing w:val="-2"/>
        </w:rPr>
        <w:t>of</w:t>
      </w:r>
      <w:r>
        <w:rPr>
          <w:color w:val="1B1B22"/>
          <w:spacing w:val="-6"/>
        </w:rPr>
        <w:t> </w:t>
      </w:r>
      <w:r>
        <w:rPr>
          <w:color w:val="1B1B22"/>
          <w:spacing w:val="-2"/>
        </w:rPr>
        <w:t>scientific</w:t>
      </w:r>
      <w:r>
        <w:rPr>
          <w:color w:val="1B1B22"/>
          <w:spacing w:val="-5"/>
        </w:rPr>
        <w:t> </w:t>
      </w:r>
      <w:r>
        <w:rPr>
          <w:color w:val="1B1B22"/>
          <w:spacing w:val="-2"/>
        </w:rPr>
        <w:t>knowledge</w:t>
      </w:r>
      <w:r>
        <w:rPr>
          <w:color w:val="1B1B22"/>
          <w:spacing w:val="-5"/>
        </w:rPr>
        <w:t> </w:t>
      </w:r>
      <w:r>
        <w:rPr>
          <w:color w:val="1B1B22"/>
          <w:spacing w:val="-2"/>
        </w:rPr>
        <w:t>and</w:t>
      </w:r>
      <w:r>
        <w:rPr>
          <w:color w:val="1B1B22"/>
          <w:spacing w:val="-5"/>
        </w:rPr>
        <w:t> </w:t>
      </w:r>
      <w:r>
        <w:rPr>
          <w:color w:val="1B1B22"/>
          <w:spacing w:val="-2"/>
        </w:rPr>
        <w:t>encourage</w:t>
      </w:r>
      <w:r>
        <w:rPr>
          <w:color w:val="1B1B22"/>
          <w:spacing w:val="-5"/>
        </w:rPr>
        <w:t> </w:t>
      </w:r>
      <w:r>
        <w:rPr>
          <w:color w:val="1B1B22"/>
          <w:spacing w:val="-2"/>
        </w:rPr>
        <w:t>productions </w:t>
      </w:r>
      <w:r>
        <w:rPr>
          <w:color w:val="1B1B22"/>
        </w:rPr>
        <w:t>that highlight Afro-Brazilian culture.</w:t>
      </w:r>
    </w:p>
    <w:p>
      <w:pPr>
        <w:pStyle w:val="BodyText"/>
        <w:spacing w:line="321" w:lineRule="auto" w:before="119"/>
        <w:ind w:left="568" w:right="567"/>
      </w:pPr>
      <w:r>
        <w:rPr>
          <w:color w:val="1B1B22"/>
        </w:rPr>
        <w:t>In March, we actively participated in the 69th Commission</w:t>
      </w:r>
      <w:r>
        <w:rPr>
          <w:color w:val="1B1B22"/>
          <w:spacing w:val="-8"/>
        </w:rPr>
        <w:t> </w:t>
      </w:r>
      <w:r>
        <w:rPr>
          <w:color w:val="1B1B22"/>
        </w:rPr>
        <w:t>on</w:t>
      </w:r>
      <w:r>
        <w:rPr>
          <w:color w:val="1B1B22"/>
          <w:spacing w:val="-5"/>
        </w:rPr>
        <w:t> </w:t>
      </w:r>
      <w:r>
        <w:rPr>
          <w:color w:val="1B1B22"/>
        </w:rPr>
        <w:t>the</w:t>
      </w:r>
      <w:r>
        <w:rPr>
          <w:color w:val="1B1B22"/>
          <w:spacing w:val="-6"/>
        </w:rPr>
        <w:t> </w:t>
      </w:r>
      <w:r>
        <w:rPr>
          <w:color w:val="1B1B22"/>
        </w:rPr>
        <w:t>Status</w:t>
      </w:r>
      <w:r>
        <w:rPr>
          <w:color w:val="1B1B22"/>
          <w:spacing w:val="-5"/>
        </w:rPr>
        <w:t> </w:t>
      </w:r>
      <w:r>
        <w:rPr>
          <w:color w:val="1B1B22"/>
        </w:rPr>
        <w:t>of</w:t>
      </w:r>
      <w:r>
        <w:rPr>
          <w:color w:val="1B1B22"/>
          <w:spacing w:val="-13"/>
        </w:rPr>
        <w:t> </w:t>
      </w:r>
      <w:r>
        <w:rPr>
          <w:color w:val="1B1B22"/>
        </w:rPr>
        <w:t>Women,</w:t>
      </w:r>
      <w:r>
        <w:rPr>
          <w:color w:val="1B1B22"/>
          <w:spacing w:val="-5"/>
        </w:rPr>
        <w:t> </w:t>
      </w:r>
      <w:r>
        <w:rPr>
          <w:color w:val="1B1B22"/>
        </w:rPr>
        <w:t>in</w:t>
      </w:r>
      <w:r>
        <w:rPr>
          <w:color w:val="1B1B22"/>
          <w:spacing w:val="-5"/>
        </w:rPr>
        <w:t> </w:t>
      </w:r>
      <w:r>
        <w:rPr>
          <w:color w:val="1B1B22"/>
        </w:rPr>
        <w:t>New</w:t>
      </w:r>
      <w:r>
        <w:rPr>
          <w:color w:val="1B1B22"/>
          <w:spacing w:val="-13"/>
        </w:rPr>
        <w:t> </w:t>
      </w:r>
      <w:r>
        <w:rPr>
          <w:color w:val="1B1B22"/>
        </w:rPr>
        <w:t>York, strengthening the advancement of gender equality in the world.</w:t>
      </w:r>
    </w:p>
    <w:p>
      <w:pPr>
        <w:pStyle w:val="BodyText"/>
        <w:spacing w:line="321" w:lineRule="auto" w:before="116"/>
        <w:ind w:left="568" w:right="564"/>
      </w:pPr>
      <w:r>
        <w:rPr>
          <w:color w:val="1B1B22"/>
        </w:rPr>
        <w:t>Also</w:t>
      </w:r>
      <w:r>
        <w:rPr>
          <w:color w:val="1B1B22"/>
          <w:spacing w:val="-10"/>
        </w:rPr>
        <w:t> </w:t>
      </w:r>
      <w:r>
        <w:rPr>
          <w:color w:val="1B1B22"/>
        </w:rPr>
        <w:t>in</w:t>
      </w:r>
      <w:r>
        <w:rPr>
          <w:color w:val="1B1B22"/>
          <w:spacing w:val="-9"/>
        </w:rPr>
        <w:t> </w:t>
      </w:r>
      <w:r>
        <w:rPr>
          <w:color w:val="1B1B22"/>
        </w:rPr>
        <w:t>March,</w:t>
      </w:r>
      <w:r>
        <w:rPr>
          <w:color w:val="1B1B22"/>
          <w:spacing w:val="-8"/>
        </w:rPr>
        <w:t> </w:t>
      </w:r>
      <w:r>
        <w:rPr>
          <w:color w:val="1B1B22"/>
        </w:rPr>
        <w:t>we</w:t>
      </w:r>
      <w:r>
        <w:rPr>
          <w:color w:val="1B1B22"/>
          <w:spacing w:val="-10"/>
        </w:rPr>
        <w:t> </w:t>
      </w:r>
      <w:r>
        <w:rPr>
          <w:color w:val="1B1B22"/>
        </w:rPr>
        <w:t>hosted,</w:t>
      </w:r>
      <w:r>
        <w:rPr>
          <w:color w:val="1B1B22"/>
          <w:spacing w:val="-8"/>
        </w:rPr>
        <w:t> </w:t>
      </w:r>
      <w:r>
        <w:rPr>
          <w:color w:val="1B1B22"/>
        </w:rPr>
        <w:t>at</w:t>
      </w:r>
      <w:r>
        <w:rPr>
          <w:color w:val="1B1B22"/>
          <w:spacing w:val="-9"/>
        </w:rPr>
        <w:t> </w:t>
      </w:r>
      <w:r>
        <w:rPr>
          <w:color w:val="1B1B22"/>
        </w:rPr>
        <w:t>our</w:t>
      </w:r>
      <w:r>
        <w:rPr>
          <w:color w:val="1B1B22"/>
          <w:spacing w:val="-8"/>
        </w:rPr>
        <w:t> </w:t>
      </w:r>
      <w:r>
        <w:rPr>
          <w:color w:val="1B1B22"/>
        </w:rPr>
        <w:t>Headquarters,</w:t>
      </w:r>
      <w:r>
        <w:rPr>
          <w:color w:val="1B1B22"/>
          <w:spacing w:val="-9"/>
        </w:rPr>
        <w:t> </w:t>
      </w:r>
      <w:r>
        <w:rPr>
          <w:color w:val="1B1B22"/>
        </w:rPr>
        <w:t>the workshop on Future Scenarios for the Black Population in Brazil, an initiative of the Guetto Institute and the National Anti-Racist Front, with the</w:t>
      </w:r>
      <w:r>
        <w:rPr>
          <w:color w:val="1B1B22"/>
          <w:spacing w:val="-3"/>
        </w:rPr>
        <w:t> </w:t>
      </w:r>
      <w:r>
        <w:rPr>
          <w:color w:val="1B1B22"/>
        </w:rPr>
        <w:t>methodological</w:t>
      </w:r>
      <w:r>
        <w:rPr>
          <w:color w:val="1B1B22"/>
          <w:spacing w:val="-2"/>
        </w:rPr>
        <w:t> </w:t>
      </w:r>
      <w:r>
        <w:rPr>
          <w:color w:val="1B1B22"/>
        </w:rPr>
        <w:t>support</w:t>
      </w:r>
      <w:r>
        <w:rPr>
          <w:color w:val="1B1B22"/>
          <w:spacing w:val="-1"/>
        </w:rPr>
        <w:t> </w:t>
      </w:r>
      <w:r>
        <w:rPr>
          <w:color w:val="1B1B22"/>
        </w:rPr>
        <w:t>of</w:t>
      </w:r>
      <w:r>
        <w:rPr>
          <w:color w:val="1B1B22"/>
          <w:spacing w:val="-3"/>
        </w:rPr>
        <w:t> </w:t>
      </w:r>
      <w:r>
        <w:rPr>
          <w:color w:val="1B1B22"/>
        </w:rPr>
        <w:t>Reos</w:t>
      </w:r>
      <w:r>
        <w:rPr>
          <w:color w:val="1B1B22"/>
          <w:spacing w:val="-1"/>
        </w:rPr>
        <w:t> </w:t>
      </w:r>
      <w:r>
        <w:rPr>
          <w:color w:val="1B1B22"/>
        </w:rPr>
        <w:t>Partners.</w:t>
      </w:r>
      <w:r>
        <w:rPr>
          <w:color w:val="1B1B22"/>
          <w:spacing w:val="-13"/>
        </w:rPr>
        <w:t> </w:t>
      </w:r>
      <w:r>
        <w:rPr>
          <w:color w:val="1B1B22"/>
        </w:rPr>
        <w:t>The goal is to build a set of relevant scenarios about what could happen to the black population in Brazil over a 25-year horizon.</w:t>
      </w:r>
    </w:p>
    <w:p>
      <w:pPr>
        <w:pStyle w:val="BodyText"/>
        <w:spacing w:line="321" w:lineRule="auto" w:before="115"/>
        <w:ind w:left="568" w:right="566"/>
      </w:pPr>
      <w:r>
        <w:rPr>
          <w:color w:val="1B1B22"/>
        </w:rPr>
        <w:t>In this quarter, we implemented the Regional Forums on Diversity, Equity and Inclusion (DE&amp;I) and Employee Experience (EX) that complement and</w:t>
      </w:r>
      <w:r>
        <w:rPr>
          <w:color w:val="1B1B22"/>
          <w:spacing w:val="5"/>
        </w:rPr>
        <w:t> </w:t>
      </w:r>
      <w:r>
        <w:rPr>
          <w:color w:val="1B1B22"/>
        </w:rPr>
        <w:t>strengthen</w:t>
      </w:r>
      <w:r>
        <w:rPr>
          <w:color w:val="1B1B22"/>
          <w:spacing w:val="6"/>
        </w:rPr>
        <w:t> </w:t>
      </w:r>
      <w:r>
        <w:rPr>
          <w:color w:val="1B1B22"/>
        </w:rPr>
        <w:t>the</w:t>
      </w:r>
      <w:r>
        <w:rPr>
          <w:color w:val="1B1B22"/>
          <w:spacing w:val="5"/>
        </w:rPr>
        <w:t> </w:t>
      </w:r>
      <w:r>
        <w:rPr>
          <w:color w:val="1B1B22"/>
        </w:rPr>
        <w:t>governance</w:t>
      </w:r>
      <w:r>
        <w:rPr>
          <w:color w:val="1B1B22"/>
          <w:spacing w:val="4"/>
        </w:rPr>
        <w:t> </w:t>
      </w:r>
      <w:r>
        <w:rPr>
          <w:color w:val="1B1B22"/>
        </w:rPr>
        <w:t>structure</w:t>
      </w:r>
      <w:r>
        <w:rPr>
          <w:color w:val="1B1B22"/>
          <w:spacing w:val="5"/>
        </w:rPr>
        <w:t> </w:t>
      </w:r>
      <w:r>
        <w:rPr>
          <w:color w:val="1B1B22"/>
        </w:rPr>
        <w:t>in</w:t>
      </w:r>
      <w:r>
        <w:rPr>
          <w:color w:val="1B1B22"/>
          <w:spacing w:val="6"/>
        </w:rPr>
        <w:t> </w:t>
      </w:r>
      <w:r>
        <w:rPr>
          <w:color w:val="1B1B22"/>
          <w:spacing w:val="-4"/>
        </w:rPr>
        <w:t>DE&amp;I,</w:t>
      </w:r>
    </w:p>
    <w:p>
      <w:pPr>
        <w:pStyle w:val="BodyText"/>
        <w:spacing w:after="0" w:line="321" w:lineRule="auto"/>
        <w:sectPr>
          <w:type w:val="continuous"/>
          <w:pgSz w:w="11910" w:h="16850"/>
          <w:pgMar w:header="152" w:footer="572" w:top="1920" w:bottom="280" w:left="283" w:right="283"/>
          <w:cols w:num="2" w:equalWidth="0">
            <w:col w:w="5362" w:space="93"/>
            <w:col w:w="5889"/>
          </w:cols>
        </w:sectPr>
      </w:pPr>
    </w:p>
    <w:p>
      <w:pPr>
        <w:pStyle w:val="BodyText"/>
        <w:jc w:val="left"/>
      </w:pPr>
    </w:p>
    <w:p>
      <w:pPr>
        <w:pStyle w:val="BodyText"/>
        <w:jc w:val="left"/>
      </w:pPr>
    </w:p>
    <w:p>
      <w:pPr>
        <w:pStyle w:val="BodyText"/>
        <w:spacing w:before="170"/>
        <w:jc w:val="left"/>
      </w:pPr>
    </w:p>
    <w:p>
      <w:pPr>
        <w:pStyle w:val="BodyText"/>
        <w:spacing w:after="0"/>
        <w:jc w:val="left"/>
        <w:sectPr>
          <w:pgSz w:w="11910" w:h="16850"/>
          <w:pgMar w:header="152" w:footer="572" w:top="900" w:bottom="780" w:left="283" w:right="283"/>
        </w:sectPr>
      </w:pPr>
    </w:p>
    <w:p>
      <w:pPr>
        <w:pStyle w:val="BodyText"/>
        <w:spacing w:line="319" w:lineRule="auto" w:before="78"/>
        <w:ind w:left="569" w:right="39"/>
      </w:pPr>
      <w:r>
        <w:rPr>
          <w:color w:val="1B1B22"/>
          <w:spacing w:val="-2"/>
        </w:rPr>
        <w:t>created</w:t>
      </w:r>
      <w:r>
        <w:rPr>
          <w:color w:val="1B1B22"/>
          <w:spacing w:val="-11"/>
        </w:rPr>
        <w:t> </w:t>
      </w:r>
      <w:r>
        <w:rPr>
          <w:color w:val="1B1B22"/>
          <w:spacing w:val="-2"/>
        </w:rPr>
        <w:t>in</w:t>
      </w:r>
      <w:r>
        <w:rPr>
          <w:color w:val="1B1B22"/>
          <w:spacing w:val="-10"/>
        </w:rPr>
        <w:t> </w:t>
      </w:r>
      <w:r>
        <w:rPr>
          <w:color w:val="1B1B22"/>
          <w:spacing w:val="-2"/>
        </w:rPr>
        <w:t>the</w:t>
      </w:r>
      <w:r>
        <w:rPr>
          <w:color w:val="1B1B22"/>
          <w:spacing w:val="-11"/>
        </w:rPr>
        <w:t> </w:t>
      </w:r>
      <w:r>
        <w:rPr>
          <w:color w:val="1B1B22"/>
          <w:spacing w:val="-2"/>
        </w:rPr>
        <w:t>Diversity</w:t>
      </w:r>
      <w:r>
        <w:rPr>
          <w:color w:val="1B1B22"/>
          <w:spacing w:val="-10"/>
        </w:rPr>
        <w:t> </w:t>
      </w:r>
      <w:r>
        <w:rPr>
          <w:color w:val="1B1B22"/>
          <w:spacing w:val="-2"/>
        </w:rPr>
        <w:t>Program,</w:t>
      </w:r>
      <w:r>
        <w:rPr>
          <w:color w:val="1B1B22"/>
          <w:spacing w:val="-10"/>
        </w:rPr>
        <w:t> </w:t>
      </w:r>
      <w:r>
        <w:rPr>
          <w:color w:val="1B1B22"/>
          <w:spacing w:val="-2"/>
        </w:rPr>
        <w:t>launched</w:t>
      </w:r>
      <w:r>
        <w:rPr>
          <w:color w:val="1B1B22"/>
          <w:spacing w:val="-11"/>
        </w:rPr>
        <w:t> </w:t>
      </w:r>
      <w:r>
        <w:rPr>
          <w:color w:val="1B1B22"/>
          <w:spacing w:val="-2"/>
        </w:rPr>
        <w:t>in</w:t>
      </w:r>
      <w:r>
        <w:rPr>
          <w:color w:val="1B1B22"/>
          <w:spacing w:val="-10"/>
        </w:rPr>
        <w:t> </w:t>
      </w:r>
      <w:r>
        <w:rPr>
          <w:color w:val="1B1B22"/>
          <w:spacing w:val="-2"/>
        </w:rPr>
        <w:t>March </w:t>
      </w:r>
      <w:r>
        <w:rPr>
          <w:color w:val="1B1B22"/>
          <w:spacing w:val="-4"/>
        </w:rPr>
        <w:t>2023.</w:t>
      </w:r>
    </w:p>
    <w:p>
      <w:pPr>
        <w:pStyle w:val="BodyText"/>
        <w:spacing w:line="321" w:lineRule="auto" w:before="121"/>
        <w:ind w:left="569" w:right="38"/>
      </w:pPr>
      <w:r>
        <w:rPr>
          <w:color w:val="1B1B22"/>
        </w:rPr>
        <w:t>In the same period, we participated in two meetings of the State-Owned Companies Pact, in January</w:t>
      </w:r>
      <w:r>
        <w:rPr>
          <w:color w:val="1B1B22"/>
          <w:spacing w:val="-9"/>
        </w:rPr>
        <w:t> </w:t>
      </w:r>
      <w:r>
        <w:rPr>
          <w:color w:val="1B1B22"/>
        </w:rPr>
        <w:t>and</w:t>
      </w:r>
      <w:r>
        <w:rPr>
          <w:color w:val="1B1B22"/>
          <w:spacing w:val="-9"/>
        </w:rPr>
        <w:t> </w:t>
      </w:r>
      <w:r>
        <w:rPr>
          <w:color w:val="1B1B22"/>
        </w:rPr>
        <w:t>March,</w:t>
      </w:r>
      <w:r>
        <w:rPr>
          <w:color w:val="1B1B22"/>
          <w:spacing w:val="-8"/>
        </w:rPr>
        <w:t> </w:t>
      </w:r>
      <w:r>
        <w:rPr>
          <w:color w:val="1B1B22"/>
        </w:rPr>
        <w:t>the</w:t>
      </w:r>
      <w:r>
        <w:rPr>
          <w:color w:val="1B1B22"/>
          <w:spacing w:val="-9"/>
        </w:rPr>
        <w:t> </w:t>
      </w:r>
      <w:r>
        <w:rPr>
          <w:color w:val="1B1B22"/>
        </w:rPr>
        <w:t>latter</w:t>
      </w:r>
      <w:r>
        <w:rPr>
          <w:color w:val="1B1B22"/>
          <w:spacing w:val="-9"/>
        </w:rPr>
        <w:t> </w:t>
      </w:r>
      <w:r>
        <w:rPr>
          <w:color w:val="1B1B22"/>
        </w:rPr>
        <w:t>of</w:t>
      </w:r>
      <w:r>
        <w:rPr>
          <w:color w:val="1B1B22"/>
          <w:spacing w:val="-9"/>
        </w:rPr>
        <w:t> </w:t>
      </w:r>
      <w:r>
        <w:rPr>
          <w:color w:val="1B1B22"/>
        </w:rPr>
        <w:t>which</w:t>
      </w:r>
      <w:r>
        <w:rPr>
          <w:color w:val="1B1B22"/>
          <w:spacing w:val="-8"/>
        </w:rPr>
        <w:t> </w:t>
      </w:r>
      <w:r>
        <w:rPr>
          <w:color w:val="1B1B22"/>
        </w:rPr>
        <w:t>was</w:t>
      </w:r>
      <w:r>
        <w:rPr>
          <w:color w:val="1B1B22"/>
          <w:spacing w:val="-8"/>
        </w:rPr>
        <w:t> </w:t>
      </w:r>
      <w:r>
        <w:rPr>
          <w:color w:val="1B1B22"/>
        </w:rPr>
        <w:t>held</w:t>
      </w:r>
      <w:r>
        <w:rPr>
          <w:color w:val="1B1B22"/>
          <w:spacing w:val="-9"/>
        </w:rPr>
        <w:t> </w:t>
      </w:r>
      <w:r>
        <w:rPr>
          <w:color w:val="1B1B22"/>
          <w:spacing w:val="-5"/>
        </w:rPr>
        <w:t>at</w:t>
      </w:r>
    </w:p>
    <w:p>
      <w:pPr>
        <w:pStyle w:val="BodyText"/>
        <w:spacing w:line="321" w:lineRule="auto" w:before="78"/>
        <w:ind w:left="568" w:right="564"/>
      </w:pPr>
      <w:r>
        <w:rPr/>
        <w:br w:type="column"/>
      </w:r>
      <w:r>
        <w:rPr>
          <w:color w:val="1B1B22"/>
        </w:rPr>
        <w:t>BB's headquarters in Brasília, bringing together dozens of federal state-owned companies that signed</w:t>
      </w:r>
      <w:r>
        <w:rPr>
          <w:color w:val="1B1B22"/>
          <w:spacing w:val="-13"/>
        </w:rPr>
        <w:t> </w:t>
      </w:r>
      <w:r>
        <w:rPr>
          <w:color w:val="1B1B22"/>
        </w:rPr>
        <w:t>the</w:t>
      </w:r>
      <w:r>
        <w:rPr>
          <w:color w:val="1B1B22"/>
          <w:spacing w:val="-12"/>
        </w:rPr>
        <w:t> </w:t>
      </w:r>
      <w:r>
        <w:rPr>
          <w:color w:val="1B1B22"/>
        </w:rPr>
        <w:t>Pact</w:t>
      </w:r>
      <w:r>
        <w:rPr>
          <w:color w:val="1B1B22"/>
          <w:spacing w:val="-13"/>
        </w:rPr>
        <w:t> </w:t>
      </w:r>
      <w:r>
        <w:rPr>
          <w:color w:val="1B1B22"/>
        </w:rPr>
        <w:t>in</w:t>
      </w:r>
      <w:r>
        <w:rPr>
          <w:color w:val="1B1B22"/>
          <w:spacing w:val="-12"/>
        </w:rPr>
        <w:t> </w:t>
      </w:r>
      <w:r>
        <w:rPr>
          <w:color w:val="1B1B22"/>
        </w:rPr>
        <w:t>September</w:t>
      </w:r>
      <w:r>
        <w:rPr>
          <w:color w:val="1B1B22"/>
          <w:spacing w:val="-12"/>
        </w:rPr>
        <w:t> </w:t>
      </w:r>
      <w:r>
        <w:rPr>
          <w:color w:val="1B1B22"/>
        </w:rPr>
        <w:t>2024,</w:t>
      </w:r>
      <w:r>
        <w:rPr>
          <w:color w:val="1B1B22"/>
          <w:spacing w:val="-13"/>
        </w:rPr>
        <w:t> </w:t>
      </w:r>
      <w:r>
        <w:rPr>
          <w:color w:val="1B1B22"/>
        </w:rPr>
        <w:t>with</w:t>
      </w:r>
      <w:r>
        <w:rPr>
          <w:color w:val="1B1B22"/>
          <w:spacing w:val="-12"/>
        </w:rPr>
        <w:t> </w:t>
      </w:r>
      <w:r>
        <w:rPr>
          <w:color w:val="1B1B22"/>
        </w:rPr>
        <w:t>the</w:t>
      </w:r>
      <w:r>
        <w:rPr>
          <w:color w:val="1B1B22"/>
          <w:spacing w:val="-12"/>
        </w:rPr>
        <w:t> </w:t>
      </w:r>
      <w:r>
        <w:rPr>
          <w:color w:val="1B1B22"/>
        </w:rPr>
        <w:t>aim</w:t>
      </w:r>
      <w:r>
        <w:rPr>
          <w:color w:val="1B1B22"/>
          <w:spacing w:val="-13"/>
        </w:rPr>
        <w:t> </w:t>
      </w:r>
      <w:r>
        <w:rPr>
          <w:color w:val="1B1B22"/>
        </w:rPr>
        <w:t>of exchanging experiences and promoting good practices in Diversity, Equity and Inclusion.</w:t>
      </w:r>
    </w:p>
    <w:p>
      <w:pPr>
        <w:pStyle w:val="BodyText"/>
        <w:spacing w:after="0" w:line="321" w:lineRule="auto"/>
        <w:sectPr>
          <w:type w:val="continuous"/>
          <w:pgSz w:w="11910" w:h="16850"/>
          <w:pgMar w:header="152" w:footer="572" w:top="1920" w:bottom="280" w:left="283" w:right="283"/>
          <w:cols w:num="2" w:equalWidth="0">
            <w:col w:w="5355" w:space="100"/>
            <w:col w:w="5889"/>
          </w:cols>
        </w:sectPr>
      </w:pPr>
    </w:p>
    <w:p>
      <w:pPr>
        <w:pStyle w:val="BodyText"/>
        <w:spacing w:before="282"/>
        <w:jc w:val="left"/>
        <w:rPr>
          <w:sz w:val="44"/>
        </w:rPr>
      </w:pPr>
    </w:p>
    <w:p>
      <w:pPr>
        <w:pStyle w:val="Heading1"/>
      </w:pPr>
      <w:r>
        <w:rPr>
          <w:color w:val="465EFF"/>
          <w:spacing w:val="35"/>
        </w:rPr>
        <w:t>Independent</w:t>
      </w:r>
      <w:r>
        <w:rPr>
          <w:color w:val="465EFF"/>
          <w:spacing w:val="55"/>
        </w:rPr>
        <w:t> </w:t>
      </w:r>
      <w:r>
        <w:rPr>
          <w:color w:val="465EFF"/>
          <w:spacing w:val="28"/>
        </w:rPr>
        <w:t>Audit</w:t>
      </w:r>
    </w:p>
    <w:p>
      <w:pPr>
        <w:pStyle w:val="BodyText"/>
        <w:spacing w:line="321" w:lineRule="auto" w:before="335"/>
        <w:ind w:left="569" w:right="564"/>
      </w:pPr>
      <w:r>
        <w:rPr>
          <w:color w:val="1B1B22"/>
        </w:rPr>
        <w:t>BB strictly follows all applicable laws and regulations for independent auditing, ensuring transparency and compliance in the</w:t>
      </w:r>
      <w:r>
        <w:rPr>
          <w:color w:val="1B1B22"/>
          <w:spacing w:val="-1"/>
        </w:rPr>
        <w:t> </w:t>
      </w:r>
      <w:r>
        <w:rPr>
          <w:color w:val="1B1B22"/>
        </w:rPr>
        <w:t>processes. KPMG</w:t>
      </w:r>
      <w:r>
        <w:rPr>
          <w:color w:val="1B1B22"/>
          <w:spacing w:val="-4"/>
        </w:rPr>
        <w:t> </w:t>
      </w:r>
      <w:r>
        <w:rPr>
          <w:color w:val="1B1B22"/>
        </w:rPr>
        <w:t>Auditores Independentes Ltda. is the</w:t>
      </w:r>
      <w:r>
        <w:rPr>
          <w:color w:val="1B1B22"/>
          <w:spacing w:val="-1"/>
        </w:rPr>
        <w:t> </w:t>
      </w:r>
      <w:r>
        <w:rPr>
          <w:color w:val="1B1B22"/>
        </w:rPr>
        <w:t>company hired to provide external audit services for the financial statements.</w:t>
      </w:r>
    </w:p>
    <w:p>
      <w:pPr>
        <w:pStyle w:val="BodyText"/>
        <w:spacing w:line="321" w:lineRule="auto" w:before="119"/>
        <w:ind w:left="568" w:right="563"/>
      </w:pPr>
      <w:r>
        <w:rPr>
          <w:color w:val="1B1B22"/>
        </w:rPr>
        <w:t>Regarding the non-audit services provided by it within the scope of BB, they do not represent a conflict of interest</w:t>
      </w:r>
      <w:r>
        <w:rPr>
          <w:color w:val="1B1B22"/>
          <w:spacing w:val="-7"/>
        </w:rPr>
        <w:t> </w:t>
      </w:r>
      <w:r>
        <w:rPr>
          <w:color w:val="1B1B22"/>
        </w:rPr>
        <w:t>nor</w:t>
      </w:r>
      <w:r>
        <w:rPr>
          <w:color w:val="1B1B22"/>
          <w:spacing w:val="-8"/>
        </w:rPr>
        <w:t> </w:t>
      </w:r>
      <w:r>
        <w:rPr>
          <w:color w:val="1B1B22"/>
        </w:rPr>
        <w:t>do</w:t>
      </w:r>
      <w:r>
        <w:rPr>
          <w:color w:val="1B1B22"/>
          <w:spacing w:val="-8"/>
        </w:rPr>
        <w:t> </w:t>
      </w:r>
      <w:r>
        <w:rPr>
          <w:color w:val="1B1B22"/>
        </w:rPr>
        <w:t>they</w:t>
      </w:r>
      <w:r>
        <w:rPr>
          <w:color w:val="1B1B22"/>
          <w:spacing w:val="-7"/>
        </w:rPr>
        <w:t> </w:t>
      </w:r>
      <w:r>
        <w:rPr>
          <w:color w:val="1B1B22"/>
        </w:rPr>
        <w:t>compromise</w:t>
      </w:r>
      <w:r>
        <w:rPr>
          <w:color w:val="1B1B22"/>
          <w:spacing w:val="-8"/>
        </w:rPr>
        <w:t> </w:t>
      </w:r>
      <w:r>
        <w:rPr>
          <w:color w:val="1B1B22"/>
        </w:rPr>
        <w:t>its</w:t>
      </w:r>
      <w:r>
        <w:rPr>
          <w:color w:val="1B1B22"/>
          <w:spacing w:val="-7"/>
        </w:rPr>
        <w:t> </w:t>
      </w:r>
      <w:r>
        <w:rPr>
          <w:color w:val="1B1B22"/>
        </w:rPr>
        <w:t>independence</w:t>
      </w:r>
      <w:r>
        <w:rPr>
          <w:color w:val="1B1B22"/>
          <w:spacing w:val="-8"/>
        </w:rPr>
        <w:t> </w:t>
      </w:r>
      <w:r>
        <w:rPr>
          <w:color w:val="1B1B22"/>
        </w:rPr>
        <w:t>in</w:t>
      </w:r>
      <w:r>
        <w:rPr>
          <w:color w:val="1B1B22"/>
          <w:spacing w:val="-7"/>
        </w:rPr>
        <w:t> </w:t>
      </w:r>
      <w:r>
        <w:rPr>
          <w:color w:val="1B1B22"/>
        </w:rPr>
        <w:t>the</w:t>
      </w:r>
      <w:r>
        <w:rPr>
          <w:color w:val="1B1B22"/>
          <w:spacing w:val="-8"/>
        </w:rPr>
        <w:t> </w:t>
      </w:r>
      <w:r>
        <w:rPr>
          <w:color w:val="1B1B22"/>
        </w:rPr>
        <w:t>execution</w:t>
      </w:r>
      <w:r>
        <w:rPr>
          <w:color w:val="1B1B22"/>
          <w:spacing w:val="-7"/>
        </w:rPr>
        <w:t> </w:t>
      </w:r>
      <w:r>
        <w:rPr>
          <w:color w:val="1B1B22"/>
        </w:rPr>
        <w:t>of</w:t>
      </w:r>
      <w:r>
        <w:rPr>
          <w:color w:val="1B1B22"/>
          <w:spacing w:val="-8"/>
        </w:rPr>
        <w:t> </w:t>
      </w:r>
      <w:r>
        <w:rPr>
          <w:color w:val="1B1B22"/>
        </w:rPr>
        <w:t>the</w:t>
      </w:r>
      <w:r>
        <w:rPr>
          <w:color w:val="1B1B22"/>
          <w:spacing w:val="-8"/>
        </w:rPr>
        <w:t> </w:t>
      </w:r>
      <w:r>
        <w:rPr>
          <w:color w:val="1B1B22"/>
        </w:rPr>
        <w:t>work.</w:t>
      </w:r>
      <w:r>
        <w:rPr>
          <w:color w:val="1B1B22"/>
          <w:spacing w:val="-7"/>
        </w:rPr>
        <w:t> </w:t>
      </w:r>
      <w:r>
        <w:rPr>
          <w:color w:val="1B1B22"/>
        </w:rPr>
        <w:t>Information</w:t>
      </w:r>
      <w:r>
        <w:rPr>
          <w:color w:val="1B1B22"/>
          <w:spacing w:val="-7"/>
        </w:rPr>
        <w:t> </w:t>
      </w:r>
      <w:r>
        <w:rPr>
          <w:color w:val="1B1B22"/>
        </w:rPr>
        <w:t>on</w:t>
      </w:r>
      <w:r>
        <w:rPr>
          <w:color w:val="1B1B22"/>
          <w:spacing w:val="-7"/>
        </w:rPr>
        <w:t> </w:t>
      </w:r>
      <w:r>
        <w:rPr>
          <w:color w:val="1B1B22"/>
        </w:rPr>
        <w:t>fees</w:t>
      </w:r>
      <w:r>
        <w:rPr>
          <w:color w:val="1B1B22"/>
          <w:spacing w:val="-7"/>
        </w:rPr>
        <w:t> </w:t>
      </w:r>
      <w:r>
        <w:rPr>
          <w:color w:val="1B1B22"/>
        </w:rPr>
        <w:t>for</w:t>
      </w:r>
      <w:r>
        <w:rPr>
          <w:color w:val="1B1B22"/>
          <w:spacing w:val="-8"/>
        </w:rPr>
        <w:t> </w:t>
      </w:r>
      <w:r>
        <w:rPr>
          <w:color w:val="1B1B22"/>
        </w:rPr>
        <w:t>non- audit</w:t>
      </w:r>
      <w:r>
        <w:rPr>
          <w:color w:val="1B1B22"/>
          <w:spacing w:val="-2"/>
        </w:rPr>
        <w:t> </w:t>
      </w:r>
      <w:r>
        <w:rPr>
          <w:color w:val="1B1B22"/>
        </w:rPr>
        <w:t>services</w:t>
      </w:r>
      <w:r>
        <w:rPr>
          <w:color w:val="1B1B22"/>
          <w:spacing w:val="-1"/>
        </w:rPr>
        <w:t> </w:t>
      </w:r>
      <w:r>
        <w:rPr>
          <w:color w:val="1B1B22"/>
        </w:rPr>
        <w:t>is</w:t>
      </w:r>
      <w:r>
        <w:rPr>
          <w:color w:val="1B1B22"/>
          <w:spacing w:val="-1"/>
        </w:rPr>
        <w:t> </w:t>
      </w:r>
      <w:r>
        <w:rPr>
          <w:color w:val="1B1B22"/>
        </w:rPr>
        <w:t>disclosed</w:t>
      </w:r>
      <w:r>
        <w:rPr>
          <w:color w:val="1B1B22"/>
          <w:spacing w:val="-3"/>
        </w:rPr>
        <w:t> </w:t>
      </w:r>
      <w:r>
        <w:rPr>
          <w:color w:val="1B1B22"/>
        </w:rPr>
        <w:t>annually</w:t>
      </w:r>
      <w:r>
        <w:rPr>
          <w:color w:val="1B1B22"/>
          <w:spacing w:val="-2"/>
        </w:rPr>
        <w:t> </w:t>
      </w:r>
      <w:r>
        <w:rPr>
          <w:color w:val="1B1B22"/>
        </w:rPr>
        <w:t>in</w:t>
      </w:r>
      <w:r>
        <w:rPr>
          <w:color w:val="1B1B22"/>
          <w:spacing w:val="-2"/>
        </w:rPr>
        <w:t> </w:t>
      </w:r>
      <w:r>
        <w:rPr>
          <w:color w:val="1B1B22"/>
        </w:rPr>
        <w:t>our</w:t>
      </w:r>
      <w:r>
        <w:rPr>
          <w:color w:val="1B1B22"/>
          <w:spacing w:val="-3"/>
        </w:rPr>
        <w:t> </w:t>
      </w:r>
      <w:r>
        <w:rPr>
          <w:color w:val="1B1B22"/>
        </w:rPr>
        <w:t>Reference</w:t>
      </w:r>
      <w:r>
        <w:rPr>
          <w:color w:val="1B1B22"/>
          <w:spacing w:val="-3"/>
        </w:rPr>
        <w:t> </w:t>
      </w:r>
      <w:r>
        <w:rPr>
          <w:color w:val="1B1B22"/>
        </w:rPr>
        <w:t>Form,</w:t>
      </w:r>
      <w:r>
        <w:rPr>
          <w:color w:val="1B1B22"/>
          <w:spacing w:val="-2"/>
        </w:rPr>
        <w:t> </w:t>
      </w:r>
      <w:r>
        <w:rPr>
          <w:color w:val="1B1B22"/>
        </w:rPr>
        <w:t>in</w:t>
      </w:r>
      <w:r>
        <w:rPr>
          <w:color w:val="1B1B22"/>
          <w:spacing w:val="-2"/>
        </w:rPr>
        <w:t> </w:t>
      </w:r>
      <w:r>
        <w:rPr>
          <w:color w:val="1B1B22"/>
        </w:rPr>
        <w:t>accordance</w:t>
      </w:r>
      <w:r>
        <w:rPr>
          <w:color w:val="1B1B22"/>
          <w:spacing w:val="-3"/>
        </w:rPr>
        <w:t> </w:t>
      </w:r>
      <w:r>
        <w:rPr>
          <w:color w:val="1B1B22"/>
        </w:rPr>
        <w:t>with</w:t>
      </w:r>
      <w:r>
        <w:rPr>
          <w:color w:val="1B1B22"/>
          <w:spacing w:val="-2"/>
        </w:rPr>
        <w:t> </w:t>
      </w:r>
      <w:r>
        <w:rPr>
          <w:color w:val="1B1B22"/>
        </w:rPr>
        <w:t>CVM</w:t>
      </w:r>
      <w:r>
        <w:rPr>
          <w:color w:val="1B1B22"/>
          <w:spacing w:val="-2"/>
        </w:rPr>
        <w:t> </w:t>
      </w:r>
      <w:r>
        <w:rPr>
          <w:color w:val="1B1B22"/>
        </w:rPr>
        <w:t>Resolution</w:t>
      </w:r>
      <w:r>
        <w:rPr>
          <w:color w:val="1B1B22"/>
          <w:spacing w:val="-2"/>
        </w:rPr>
        <w:t> </w:t>
      </w:r>
      <w:r>
        <w:rPr>
          <w:color w:val="1B1B22"/>
        </w:rPr>
        <w:t>162/2022.</w:t>
      </w:r>
    </w:p>
    <w:p>
      <w:pPr>
        <w:pStyle w:val="Heading1"/>
        <w:spacing w:before="90"/>
      </w:pPr>
      <w:r>
        <w:rPr>
          <w:color w:val="465EFF"/>
          <w:spacing w:val="34"/>
        </w:rPr>
        <w:t>Additional</w:t>
      </w:r>
      <w:r>
        <w:rPr>
          <w:color w:val="465EFF"/>
          <w:spacing w:val="66"/>
        </w:rPr>
        <w:t> </w:t>
      </w:r>
      <w:r>
        <w:rPr>
          <w:color w:val="465EFF"/>
          <w:spacing w:val="34"/>
        </w:rPr>
        <w:t>Clarifications</w:t>
      </w:r>
    </w:p>
    <w:p>
      <w:pPr>
        <w:pStyle w:val="BodyText"/>
        <w:spacing w:line="321" w:lineRule="auto" w:before="162"/>
        <w:ind w:left="568" w:right="562"/>
      </w:pPr>
      <w:r>
        <w:rPr>
          <w:color w:val="1B1B22"/>
        </w:rPr>
        <w:t>We</w:t>
      </w:r>
      <w:r>
        <w:rPr>
          <w:color w:val="1B1B22"/>
          <w:spacing w:val="-4"/>
        </w:rPr>
        <w:t> </w:t>
      </w:r>
      <w:r>
        <w:rPr>
          <w:color w:val="1B1B22"/>
        </w:rPr>
        <w:t>have</w:t>
      </w:r>
      <w:r>
        <w:rPr>
          <w:color w:val="1B1B22"/>
          <w:spacing w:val="-4"/>
        </w:rPr>
        <w:t> </w:t>
      </w:r>
      <w:r>
        <w:rPr>
          <w:color w:val="1B1B22"/>
        </w:rPr>
        <w:t>R$1.2</w:t>
      </w:r>
      <w:r>
        <w:rPr>
          <w:color w:val="1B1B22"/>
          <w:spacing w:val="-5"/>
        </w:rPr>
        <w:t> </w:t>
      </w:r>
      <w:r>
        <w:rPr>
          <w:color w:val="1B1B22"/>
        </w:rPr>
        <w:t>billion</w:t>
      </w:r>
      <w:r>
        <w:rPr>
          <w:color w:val="1B1B22"/>
          <w:spacing w:val="-2"/>
        </w:rPr>
        <w:t> </w:t>
      </w:r>
      <w:r>
        <w:rPr>
          <w:color w:val="1B1B22"/>
        </w:rPr>
        <w:t>(consolidated)</w:t>
      </w:r>
      <w:r>
        <w:rPr>
          <w:color w:val="1B1B22"/>
          <w:spacing w:val="-4"/>
        </w:rPr>
        <w:t> </w:t>
      </w:r>
      <w:r>
        <w:rPr>
          <w:color w:val="1B1B22"/>
        </w:rPr>
        <w:t>in</w:t>
      </w:r>
      <w:r>
        <w:rPr>
          <w:color w:val="1B1B22"/>
          <w:spacing w:val="-2"/>
        </w:rPr>
        <w:t> </w:t>
      </w:r>
      <w:r>
        <w:rPr>
          <w:color w:val="1B1B22"/>
        </w:rPr>
        <w:t>unrecovered</w:t>
      </w:r>
      <w:r>
        <w:rPr>
          <w:color w:val="1B1B22"/>
          <w:spacing w:val="-2"/>
        </w:rPr>
        <w:t> </w:t>
      </w:r>
      <w:r>
        <w:rPr>
          <w:color w:val="1B1B22"/>
        </w:rPr>
        <w:t>tax</w:t>
      </w:r>
      <w:r>
        <w:rPr>
          <w:color w:val="1B1B22"/>
          <w:spacing w:val="-4"/>
        </w:rPr>
        <w:t> </w:t>
      </w:r>
      <w:r>
        <w:rPr>
          <w:color w:val="1B1B22"/>
        </w:rPr>
        <w:t>credits,</w:t>
      </w:r>
      <w:r>
        <w:rPr>
          <w:color w:val="1B1B22"/>
          <w:spacing w:val="-2"/>
        </w:rPr>
        <w:t> </w:t>
      </w:r>
      <w:r>
        <w:rPr>
          <w:color w:val="1B1B22"/>
        </w:rPr>
        <w:t>as</w:t>
      </w:r>
      <w:r>
        <w:rPr>
          <w:color w:val="1B1B22"/>
          <w:spacing w:val="-2"/>
        </w:rPr>
        <w:t> </w:t>
      </w:r>
      <w:r>
        <w:rPr>
          <w:color w:val="1B1B22"/>
        </w:rPr>
        <w:t>shown</w:t>
      </w:r>
      <w:r>
        <w:rPr>
          <w:color w:val="1B1B22"/>
          <w:spacing w:val="-2"/>
        </w:rPr>
        <w:t> </w:t>
      </w:r>
      <w:r>
        <w:rPr>
          <w:color w:val="1B1B22"/>
        </w:rPr>
        <w:t>in</w:t>
      </w:r>
      <w:r>
        <w:rPr>
          <w:color w:val="1B1B22"/>
          <w:spacing w:val="-2"/>
        </w:rPr>
        <w:t> </w:t>
      </w:r>
      <w:r>
        <w:rPr>
          <w:color w:val="1B1B22"/>
        </w:rPr>
        <w:t>Note</w:t>
      </w:r>
      <w:r>
        <w:rPr>
          <w:color w:val="1B1B22"/>
          <w:spacing w:val="-4"/>
        </w:rPr>
        <w:t> </w:t>
      </w:r>
      <w:r>
        <w:rPr>
          <w:color w:val="1B1B22"/>
        </w:rPr>
        <w:t>22</w:t>
      </w:r>
      <w:r>
        <w:rPr>
          <w:color w:val="1B1B22"/>
          <w:spacing w:val="-5"/>
        </w:rPr>
        <w:t> </w:t>
      </w:r>
      <w:r>
        <w:rPr>
          <w:color w:val="1B1B22"/>
        </w:rPr>
        <w:t>-</w:t>
      </w:r>
      <w:r>
        <w:rPr>
          <w:color w:val="1B1B22"/>
          <w:spacing w:val="-10"/>
        </w:rPr>
        <w:t> </w:t>
      </w:r>
      <w:r>
        <w:rPr>
          <w:color w:val="1B1B22"/>
        </w:rPr>
        <w:t>Taxes</w:t>
      </w:r>
      <w:r>
        <w:rPr>
          <w:color w:val="1B1B22"/>
          <w:spacing w:val="-2"/>
        </w:rPr>
        <w:t> </w:t>
      </w:r>
      <w:r>
        <w:rPr>
          <w:color w:val="1B1B22"/>
        </w:rPr>
        <w:t>(subitem</w:t>
      </w:r>
      <w:r>
        <w:rPr>
          <w:color w:val="1B1B22"/>
          <w:spacing w:val="-4"/>
        </w:rPr>
        <w:t> </w:t>
      </w:r>
      <w:r>
        <w:rPr>
          <w:color w:val="1B1B22"/>
        </w:rPr>
        <w:t>“f”).</w:t>
      </w:r>
      <w:r>
        <w:rPr>
          <w:color w:val="1B1B22"/>
          <w:spacing w:val="-3"/>
        </w:rPr>
        <w:t> </w:t>
      </w:r>
      <w:r>
        <w:rPr>
          <w:color w:val="1B1B22"/>
        </w:rPr>
        <w:t>In compliance with article 243 of Law 6,404/1976, we hereby inform you that the company's investments in affiliated and controlled companies are listed in Notes 2 - Presentation of Financial Statements and 14 - </w:t>
      </w:r>
      <w:r>
        <w:rPr>
          <w:color w:val="1B1B22"/>
          <w:spacing w:val="-2"/>
        </w:rPr>
        <w:t>Investments.</w:t>
      </w:r>
    </w:p>
    <w:p>
      <w:pPr>
        <w:pStyle w:val="BodyText"/>
        <w:spacing w:before="116"/>
        <w:ind w:left="568"/>
      </w:pPr>
      <w:r>
        <w:rPr>
          <w:color w:val="1B1B22"/>
        </w:rPr>
        <w:t>We</w:t>
      </w:r>
      <w:r>
        <w:rPr>
          <w:color w:val="1B1B22"/>
          <w:spacing w:val="27"/>
        </w:rPr>
        <w:t> </w:t>
      </w:r>
      <w:r>
        <w:rPr>
          <w:color w:val="1B1B22"/>
        </w:rPr>
        <w:t>publish</w:t>
      </w:r>
      <w:r>
        <w:rPr>
          <w:color w:val="1B1B22"/>
          <w:spacing w:val="28"/>
        </w:rPr>
        <w:t> </w:t>
      </w:r>
      <w:r>
        <w:rPr>
          <w:color w:val="1B1B22"/>
        </w:rPr>
        <w:t>annually</w:t>
      </w:r>
      <w:r>
        <w:rPr>
          <w:color w:val="1B1B22"/>
          <w:spacing w:val="29"/>
        </w:rPr>
        <w:t> </w:t>
      </w:r>
      <w:r>
        <w:rPr>
          <w:color w:val="1B1B22"/>
        </w:rPr>
        <w:t>the</w:t>
      </w:r>
      <w:r>
        <w:rPr>
          <w:color w:val="1B1B22"/>
          <w:spacing w:val="30"/>
        </w:rPr>
        <w:t> </w:t>
      </w:r>
      <w:r>
        <w:rPr>
          <w:color w:val="1B1B22"/>
        </w:rPr>
        <w:t>investments</w:t>
      </w:r>
      <w:r>
        <w:rPr>
          <w:color w:val="1B1B22"/>
          <w:spacing w:val="29"/>
        </w:rPr>
        <w:t> </w:t>
      </w:r>
      <w:r>
        <w:rPr>
          <w:color w:val="1B1B22"/>
        </w:rPr>
        <w:t>made</w:t>
      </w:r>
      <w:r>
        <w:rPr>
          <w:color w:val="1B1B22"/>
          <w:spacing w:val="27"/>
        </w:rPr>
        <w:t> </w:t>
      </w:r>
      <w:r>
        <w:rPr>
          <w:color w:val="1B1B22"/>
        </w:rPr>
        <w:t>in</w:t>
      </w:r>
      <w:r>
        <w:rPr>
          <w:color w:val="1B1B22"/>
          <w:spacing w:val="29"/>
        </w:rPr>
        <w:t> </w:t>
      </w:r>
      <w:r>
        <w:rPr>
          <w:color w:val="1B1B22"/>
        </w:rPr>
        <w:t>public</w:t>
      </w:r>
      <w:r>
        <w:rPr>
          <w:color w:val="1B1B22"/>
          <w:spacing w:val="27"/>
        </w:rPr>
        <w:t> </w:t>
      </w:r>
      <w:r>
        <w:rPr>
          <w:color w:val="1B1B22"/>
        </w:rPr>
        <w:t>policies</w:t>
      </w:r>
      <w:r>
        <w:rPr>
          <w:color w:val="1B1B22"/>
          <w:spacing w:val="29"/>
        </w:rPr>
        <w:t> </w:t>
      </w:r>
      <w:r>
        <w:rPr>
          <w:color w:val="1B1B22"/>
        </w:rPr>
        <w:t>in</w:t>
      </w:r>
      <w:r>
        <w:rPr>
          <w:color w:val="1B1B22"/>
          <w:spacing w:val="29"/>
        </w:rPr>
        <w:t> </w:t>
      </w:r>
      <w:r>
        <w:rPr>
          <w:color w:val="1B1B22"/>
        </w:rPr>
        <w:t>our</w:t>
      </w:r>
      <w:r>
        <w:rPr>
          <w:color w:val="1B1B22"/>
          <w:spacing w:val="25"/>
        </w:rPr>
        <w:t> </w:t>
      </w:r>
      <w:r>
        <w:rPr>
          <w:color w:val="1B1B22"/>
        </w:rPr>
        <w:t>Annual</w:t>
      </w:r>
      <w:r>
        <w:rPr>
          <w:color w:val="1B1B22"/>
          <w:spacing w:val="30"/>
        </w:rPr>
        <w:t> </w:t>
      </w:r>
      <w:r>
        <w:rPr>
          <w:color w:val="1B1B22"/>
        </w:rPr>
        <w:t>Letter</w:t>
      </w:r>
      <w:r>
        <w:rPr>
          <w:color w:val="1B1B22"/>
          <w:spacing w:val="30"/>
        </w:rPr>
        <w:t> </w:t>
      </w:r>
      <w:r>
        <w:rPr>
          <w:color w:val="1B1B22"/>
        </w:rPr>
        <w:t>of</w:t>
      </w:r>
      <w:r>
        <w:rPr>
          <w:color w:val="1B1B22"/>
          <w:spacing w:val="27"/>
        </w:rPr>
        <w:t> </w:t>
      </w:r>
      <w:r>
        <w:rPr>
          <w:color w:val="1B1B22"/>
        </w:rPr>
        <w:t>Public</w:t>
      </w:r>
      <w:r>
        <w:rPr>
          <w:color w:val="1B1B22"/>
          <w:spacing w:val="30"/>
        </w:rPr>
        <w:t> </w:t>
      </w:r>
      <w:r>
        <w:rPr>
          <w:color w:val="1B1B22"/>
        </w:rPr>
        <w:t>Policies</w:t>
      </w:r>
      <w:r>
        <w:rPr>
          <w:color w:val="1B1B22"/>
          <w:spacing w:val="29"/>
        </w:rPr>
        <w:t> </w:t>
      </w:r>
      <w:r>
        <w:rPr>
          <w:color w:val="1B1B22"/>
          <w:spacing w:val="-5"/>
        </w:rPr>
        <w:t>and</w:t>
      </w:r>
    </w:p>
    <w:p>
      <w:pPr>
        <w:pStyle w:val="BodyText"/>
        <w:spacing w:before="87"/>
        <w:ind w:left="568"/>
      </w:pPr>
      <w:r>
        <w:rPr>
          <w:color w:val="1B1B22"/>
          <w:spacing w:val="-2"/>
        </w:rPr>
        <w:t>Corporate</w:t>
      </w:r>
      <w:r>
        <w:rPr>
          <w:color w:val="1B1B22"/>
          <w:spacing w:val="-7"/>
        </w:rPr>
        <w:t> </w:t>
      </w:r>
      <w:r>
        <w:rPr>
          <w:color w:val="1B1B22"/>
          <w:spacing w:val="-2"/>
        </w:rPr>
        <w:t>Governance,</w:t>
      </w:r>
      <w:r>
        <w:rPr>
          <w:color w:val="1B1B22"/>
          <w:spacing w:val="-5"/>
        </w:rPr>
        <w:t> </w:t>
      </w:r>
      <w:r>
        <w:rPr>
          <w:color w:val="1B1B22"/>
          <w:spacing w:val="-2"/>
        </w:rPr>
        <w:t>available</w:t>
      </w:r>
      <w:r>
        <w:rPr>
          <w:color w:val="1B1B22"/>
          <w:spacing w:val="-6"/>
        </w:rPr>
        <w:t> </w:t>
      </w:r>
      <w:r>
        <w:rPr>
          <w:color w:val="1B1B22"/>
          <w:spacing w:val="-2"/>
        </w:rPr>
        <w:t>on</w:t>
      </w:r>
      <w:r>
        <w:rPr>
          <w:color w:val="1B1B22"/>
          <w:spacing w:val="-6"/>
        </w:rPr>
        <w:t> </w:t>
      </w:r>
      <w:r>
        <w:rPr>
          <w:color w:val="1B1B22"/>
          <w:spacing w:val="-2"/>
        </w:rPr>
        <w:t>the</w:t>
      </w:r>
      <w:r>
        <w:rPr>
          <w:color w:val="1B1B22"/>
          <w:spacing w:val="-6"/>
        </w:rPr>
        <w:t> </w:t>
      </w:r>
      <w:r>
        <w:rPr>
          <w:color w:val="1B1B22"/>
          <w:spacing w:val="-2"/>
        </w:rPr>
        <w:t>website</w:t>
      </w:r>
      <w:r>
        <w:rPr>
          <w:color w:val="1B1B22"/>
          <w:spacing w:val="-6"/>
        </w:rPr>
        <w:t> </w:t>
      </w:r>
      <w:r>
        <w:rPr>
          <w:color w:val="1B1B22"/>
          <w:spacing w:val="-2"/>
        </w:rPr>
        <w:t>ri.bb.com.br.</w:t>
      </w:r>
    </w:p>
    <w:p>
      <w:pPr>
        <w:pStyle w:val="BodyText"/>
        <w:spacing w:line="321" w:lineRule="auto" w:before="206"/>
        <w:ind w:left="568" w:right="566"/>
      </w:pPr>
      <w:r>
        <w:rPr>
          <w:color w:val="1B1B22"/>
        </w:rPr>
        <w:t>Banco</w:t>
      </w:r>
      <w:r>
        <w:rPr>
          <w:color w:val="1B1B22"/>
          <w:spacing w:val="-12"/>
        </w:rPr>
        <w:t> </w:t>
      </w:r>
      <w:r>
        <w:rPr>
          <w:color w:val="1B1B22"/>
        </w:rPr>
        <w:t>do</w:t>
      </w:r>
      <w:r>
        <w:rPr>
          <w:color w:val="1B1B22"/>
          <w:spacing w:val="-12"/>
        </w:rPr>
        <w:t> </w:t>
      </w:r>
      <w:r>
        <w:rPr>
          <w:color w:val="1B1B22"/>
        </w:rPr>
        <w:t>Brasil,</w:t>
      </w:r>
      <w:r>
        <w:rPr>
          <w:color w:val="1B1B22"/>
          <w:spacing w:val="-12"/>
        </w:rPr>
        <w:t> </w:t>
      </w:r>
      <w:r>
        <w:rPr>
          <w:color w:val="1B1B22"/>
        </w:rPr>
        <w:t>its</w:t>
      </w:r>
      <w:r>
        <w:rPr>
          <w:color w:val="1B1B22"/>
          <w:spacing w:val="-11"/>
        </w:rPr>
        <w:t> </w:t>
      </w:r>
      <w:r>
        <w:rPr>
          <w:color w:val="1B1B22"/>
        </w:rPr>
        <w:t>shareholders,</w:t>
      </w:r>
      <w:r>
        <w:rPr>
          <w:color w:val="1B1B22"/>
          <w:spacing w:val="-12"/>
        </w:rPr>
        <w:t> </w:t>
      </w:r>
      <w:r>
        <w:rPr>
          <w:color w:val="1B1B22"/>
        </w:rPr>
        <w:t>directors</w:t>
      </w:r>
      <w:r>
        <w:rPr>
          <w:color w:val="1B1B22"/>
          <w:spacing w:val="-11"/>
        </w:rPr>
        <w:t> </w:t>
      </w:r>
      <w:r>
        <w:rPr>
          <w:color w:val="1B1B22"/>
        </w:rPr>
        <w:t>and</w:t>
      </w:r>
      <w:r>
        <w:rPr>
          <w:color w:val="1B1B22"/>
          <w:spacing w:val="-12"/>
        </w:rPr>
        <w:t> </w:t>
      </w:r>
      <w:r>
        <w:rPr>
          <w:color w:val="1B1B22"/>
        </w:rPr>
        <w:t>members</w:t>
      </w:r>
      <w:r>
        <w:rPr>
          <w:color w:val="1B1B22"/>
          <w:spacing w:val="-11"/>
        </w:rPr>
        <w:t> </w:t>
      </w:r>
      <w:r>
        <w:rPr>
          <w:color w:val="1B1B22"/>
        </w:rPr>
        <w:t>of</w:t>
      </w:r>
      <w:r>
        <w:rPr>
          <w:color w:val="1B1B22"/>
          <w:spacing w:val="-13"/>
        </w:rPr>
        <w:t> </w:t>
      </w:r>
      <w:r>
        <w:rPr>
          <w:color w:val="1B1B22"/>
        </w:rPr>
        <w:t>the</w:t>
      </w:r>
      <w:r>
        <w:rPr>
          <w:color w:val="1B1B22"/>
          <w:spacing w:val="-11"/>
        </w:rPr>
        <w:t> </w:t>
      </w:r>
      <w:r>
        <w:rPr>
          <w:color w:val="1B1B22"/>
        </w:rPr>
        <w:t>Fiscal</w:t>
      </w:r>
      <w:r>
        <w:rPr>
          <w:color w:val="1B1B22"/>
          <w:spacing w:val="-12"/>
        </w:rPr>
        <w:t> </w:t>
      </w:r>
      <w:r>
        <w:rPr>
          <w:color w:val="1B1B22"/>
        </w:rPr>
        <w:t>Council</w:t>
      </w:r>
      <w:r>
        <w:rPr>
          <w:color w:val="1B1B22"/>
          <w:spacing w:val="-10"/>
        </w:rPr>
        <w:t> </w:t>
      </w:r>
      <w:r>
        <w:rPr>
          <w:color w:val="1B1B22"/>
        </w:rPr>
        <w:t>undertake</w:t>
      </w:r>
      <w:r>
        <w:rPr>
          <w:color w:val="1B1B22"/>
          <w:spacing w:val="-12"/>
        </w:rPr>
        <w:t> </w:t>
      </w:r>
      <w:r>
        <w:rPr>
          <w:color w:val="1B1B22"/>
        </w:rPr>
        <w:t>to</w:t>
      </w:r>
      <w:r>
        <w:rPr>
          <w:color w:val="1B1B22"/>
          <w:spacing w:val="-12"/>
        </w:rPr>
        <w:t> </w:t>
      </w:r>
      <w:r>
        <w:rPr>
          <w:color w:val="1B1B22"/>
        </w:rPr>
        <w:t>resolve</w:t>
      </w:r>
      <w:r>
        <w:rPr>
          <w:color w:val="1B1B22"/>
          <w:spacing w:val="-12"/>
        </w:rPr>
        <w:t> </w:t>
      </w:r>
      <w:r>
        <w:rPr>
          <w:color w:val="1B1B22"/>
        </w:rPr>
        <w:t>any</w:t>
      </w:r>
      <w:r>
        <w:rPr>
          <w:color w:val="1B1B22"/>
          <w:spacing w:val="-12"/>
        </w:rPr>
        <w:t> </w:t>
      </w:r>
      <w:r>
        <w:rPr>
          <w:color w:val="1B1B22"/>
        </w:rPr>
        <w:t>and</w:t>
      </w:r>
      <w:r>
        <w:rPr>
          <w:color w:val="1B1B22"/>
          <w:spacing w:val="-12"/>
        </w:rPr>
        <w:t> </w:t>
      </w:r>
      <w:r>
        <w:rPr>
          <w:color w:val="1B1B22"/>
        </w:rPr>
        <w:t>all disputes or controversies related to the Novo Mercado Regulation through the B3 Arbitration Chamber, in accordance with the arbitration clause contained in Banco do Brasil's Bylaws.</w:t>
      </w:r>
    </w:p>
    <w:p>
      <w:pPr>
        <w:pStyle w:val="BodyText"/>
        <w:spacing w:line="321" w:lineRule="auto" w:before="119"/>
        <w:ind w:left="568" w:right="563"/>
      </w:pPr>
      <w:r>
        <w:rPr>
          <w:color w:val="1B1B22"/>
        </w:rPr>
        <w:t>This Management Report was prepared based on the Individual and Consolidated Financial Statements prepared</w:t>
      </w:r>
      <w:r>
        <w:rPr>
          <w:color w:val="1B1B22"/>
          <w:spacing w:val="-13"/>
        </w:rPr>
        <w:t> </w:t>
      </w:r>
      <w:r>
        <w:rPr>
          <w:color w:val="1B1B22"/>
        </w:rPr>
        <w:t>in</w:t>
      </w:r>
      <w:r>
        <w:rPr>
          <w:color w:val="1B1B22"/>
          <w:spacing w:val="-12"/>
        </w:rPr>
        <w:t> </w:t>
      </w:r>
      <w:r>
        <w:rPr>
          <w:color w:val="1B1B22"/>
        </w:rPr>
        <w:t>accordance</w:t>
      </w:r>
      <w:r>
        <w:rPr>
          <w:color w:val="1B1B22"/>
          <w:spacing w:val="-13"/>
        </w:rPr>
        <w:t> </w:t>
      </w:r>
      <w:r>
        <w:rPr>
          <w:color w:val="1B1B22"/>
        </w:rPr>
        <w:t>with</w:t>
      </w:r>
      <w:r>
        <w:rPr>
          <w:color w:val="1B1B22"/>
          <w:spacing w:val="-12"/>
        </w:rPr>
        <w:t> </w:t>
      </w:r>
      <w:r>
        <w:rPr>
          <w:color w:val="1B1B22"/>
        </w:rPr>
        <w:t>the</w:t>
      </w:r>
      <w:r>
        <w:rPr>
          <w:color w:val="1B1B22"/>
          <w:spacing w:val="-12"/>
        </w:rPr>
        <w:t> </w:t>
      </w:r>
      <w:r>
        <w:rPr>
          <w:color w:val="1B1B22"/>
        </w:rPr>
        <w:t>Accounting</w:t>
      </w:r>
      <w:r>
        <w:rPr>
          <w:color w:val="1B1B22"/>
          <w:spacing w:val="-13"/>
        </w:rPr>
        <w:t> </w:t>
      </w:r>
      <w:r>
        <w:rPr>
          <w:color w:val="1B1B22"/>
        </w:rPr>
        <w:t>Standards</w:t>
      </w:r>
      <w:r>
        <w:rPr>
          <w:color w:val="1B1B22"/>
          <w:spacing w:val="-12"/>
        </w:rPr>
        <w:t> </w:t>
      </w:r>
      <w:r>
        <w:rPr>
          <w:color w:val="1B1B22"/>
        </w:rPr>
        <w:t>for</w:t>
      </w:r>
      <w:r>
        <w:rPr>
          <w:color w:val="1B1B22"/>
          <w:spacing w:val="-12"/>
        </w:rPr>
        <w:t> </w:t>
      </w:r>
      <w:r>
        <w:rPr>
          <w:color w:val="1B1B22"/>
        </w:rPr>
        <w:t>Institutions</w:t>
      </w:r>
      <w:r>
        <w:rPr>
          <w:color w:val="1B1B22"/>
          <w:spacing w:val="-13"/>
        </w:rPr>
        <w:t> </w:t>
      </w:r>
      <w:r>
        <w:rPr>
          <w:color w:val="1B1B22"/>
        </w:rPr>
        <w:t>Regulated</w:t>
      </w:r>
      <w:r>
        <w:rPr>
          <w:color w:val="1B1B22"/>
          <w:spacing w:val="-12"/>
        </w:rPr>
        <w:t> </w:t>
      </w:r>
      <w:r>
        <w:rPr>
          <w:color w:val="1B1B22"/>
        </w:rPr>
        <w:t>by</w:t>
      </w:r>
      <w:r>
        <w:rPr>
          <w:color w:val="1B1B22"/>
          <w:spacing w:val="-12"/>
        </w:rPr>
        <w:t> </w:t>
      </w:r>
      <w:r>
        <w:rPr>
          <w:color w:val="1B1B22"/>
        </w:rPr>
        <w:t>the</w:t>
      </w:r>
      <w:r>
        <w:rPr>
          <w:color w:val="1B1B22"/>
          <w:spacing w:val="-13"/>
        </w:rPr>
        <w:t> </w:t>
      </w:r>
      <w:r>
        <w:rPr>
          <w:color w:val="1B1B22"/>
        </w:rPr>
        <w:t>Central</w:t>
      </w:r>
      <w:r>
        <w:rPr>
          <w:color w:val="1B1B22"/>
          <w:spacing w:val="-12"/>
        </w:rPr>
        <w:t> </w:t>
      </w:r>
      <w:r>
        <w:rPr>
          <w:color w:val="1B1B22"/>
        </w:rPr>
        <w:t>Bank</w:t>
      </w:r>
      <w:r>
        <w:rPr>
          <w:color w:val="1B1B22"/>
          <w:spacing w:val="-12"/>
        </w:rPr>
        <w:t> </w:t>
      </w:r>
      <w:r>
        <w:rPr>
          <w:color w:val="1B1B22"/>
        </w:rPr>
        <w:t>of</w:t>
      </w:r>
      <w:r>
        <w:rPr>
          <w:color w:val="1B1B22"/>
          <w:spacing w:val="-13"/>
        </w:rPr>
        <w:t> </w:t>
      </w:r>
      <w:r>
        <w:rPr>
          <w:color w:val="1B1B22"/>
        </w:rPr>
        <w:t>Brazil (Cosif). For more information, the Reference Form, the Performance Analysis Report and the Institutional Presentation are available at ri.bb.com.br.</w:t>
      </w:r>
    </w:p>
    <w:p>
      <w:pPr>
        <w:pStyle w:val="Heading1"/>
        <w:spacing w:before="90"/>
      </w:pPr>
      <w:r>
        <w:rPr>
          <w:color w:val="465EFF"/>
          <w:spacing w:val="32"/>
        </w:rPr>
        <w:t>Acknowledgements</w:t>
      </w:r>
    </w:p>
    <w:p>
      <w:pPr>
        <w:pStyle w:val="BodyText"/>
        <w:spacing w:before="334"/>
        <w:ind w:left="569"/>
      </w:pPr>
      <w:r>
        <w:rPr>
          <w:color w:val="1B1B22"/>
        </w:rPr>
        <w:t>We</w:t>
      </w:r>
      <w:r>
        <w:rPr>
          <w:color w:val="1B1B22"/>
          <w:spacing w:val="-5"/>
        </w:rPr>
        <w:t> </w:t>
      </w:r>
      <w:r>
        <w:rPr>
          <w:color w:val="1B1B22"/>
        </w:rPr>
        <w:t>remain</w:t>
      </w:r>
      <w:r>
        <w:rPr>
          <w:color w:val="1B1B22"/>
          <w:spacing w:val="-3"/>
        </w:rPr>
        <w:t> </w:t>
      </w:r>
      <w:r>
        <w:rPr>
          <w:color w:val="1B1B22"/>
        </w:rPr>
        <w:t>committed</w:t>
      </w:r>
      <w:r>
        <w:rPr>
          <w:color w:val="1B1B22"/>
          <w:spacing w:val="-4"/>
        </w:rPr>
        <w:t> </w:t>
      </w:r>
      <w:r>
        <w:rPr>
          <w:color w:val="1B1B22"/>
        </w:rPr>
        <w:t>to</w:t>
      </w:r>
      <w:r>
        <w:rPr>
          <w:color w:val="1B1B22"/>
          <w:spacing w:val="-3"/>
        </w:rPr>
        <w:t> </w:t>
      </w:r>
      <w:r>
        <w:rPr>
          <w:color w:val="1B1B22"/>
        </w:rPr>
        <w:t>offering</w:t>
      </w:r>
      <w:r>
        <w:rPr>
          <w:color w:val="1B1B22"/>
          <w:spacing w:val="-4"/>
        </w:rPr>
        <w:t> </w:t>
      </w:r>
      <w:r>
        <w:rPr>
          <w:color w:val="1B1B22"/>
        </w:rPr>
        <w:t>innovative</w:t>
      </w:r>
      <w:r>
        <w:rPr>
          <w:color w:val="1B1B22"/>
          <w:spacing w:val="-4"/>
        </w:rPr>
        <w:t> </w:t>
      </w:r>
      <w:r>
        <w:rPr>
          <w:color w:val="1B1B22"/>
        </w:rPr>
        <w:t>solutions,</w:t>
      </w:r>
      <w:r>
        <w:rPr>
          <w:color w:val="1B1B22"/>
          <w:spacing w:val="-4"/>
        </w:rPr>
        <w:t> </w:t>
      </w:r>
      <w:r>
        <w:rPr>
          <w:color w:val="1B1B22"/>
        </w:rPr>
        <w:t>driving</w:t>
      </w:r>
      <w:r>
        <w:rPr>
          <w:color w:val="1B1B22"/>
          <w:spacing w:val="-4"/>
        </w:rPr>
        <w:t> </w:t>
      </w:r>
      <w:r>
        <w:rPr>
          <w:color w:val="1B1B22"/>
        </w:rPr>
        <w:t>growth</w:t>
      </w:r>
      <w:r>
        <w:rPr>
          <w:color w:val="1B1B22"/>
          <w:spacing w:val="-4"/>
        </w:rPr>
        <w:t> </w:t>
      </w:r>
      <w:r>
        <w:rPr>
          <w:color w:val="1B1B22"/>
        </w:rPr>
        <w:t>and</w:t>
      </w:r>
      <w:r>
        <w:rPr>
          <w:color w:val="1B1B22"/>
          <w:spacing w:val="-4"/>
        </w:rPr>
        <w:t> </w:t>
      </w:r>
      <w:r>
        <w:rPr>
          <w:color w:val="1B1B22"/>
        </w:rPr>
        <w:t>excellence</w:t>
      </w:r>
      <w:r>
        <w:rPr>
          <w:color w:val="1B1B22"/>
          <w:spacing w:val="-4"/>
        </w:rPr>
        <w:t> </w:t>
      </w:r>
      <w:r>
        <w:rPr>
          <w:color w:val="1B1B22"/>
        </w:rPr>
        <w:t>in</w:t>
      </w:r>
      <w:r>
        <w:rPr>
          <w:color w:val="1B1B22"/>
          <w:spacing w:val="-3"/>
        </w:rPr>
        <w:t> </w:t>
      </w:r>
      <w:r>
        <w:rPr>
          <w:color w:val="1B1B22"/>
        </w:rPr>
        <w:t>our</w:t>
      </w:r>
      <w:r>
        <w:rPr>
          <w:color w:val="1B1B22"/>
          <w:spacing w:val="-4"/>
        </w:rPr>
        <w:t> </w:t>
      </w:r>
      <w:r>
        <w:rPr>
          <w:color w:val="1B1B22"/>
        </w:rPr>
        <w:t>services.</w:t>
      </w:r>
      <w:r>
        <w:rPr>
          <w:color w:val="1B1B22"/>
          <w:spacing w:val="-13"/>
        </w:rPr>
        <w:t> </w:t>
      </w:r>
      <w:r>
        <w:rPr>
          <w:color w:val="1B1B22"/>
          <w:spacing w:val="-2"/>
        </w:rPr>
        <w:t>Thank</w:t>
      </w:r>
    </w:p>
    <w:p>
      <w:pPr>
        <w:pStyle w:val="BodyText"/>
        <w:spacing w:before="87"/>
        <w:ind w:left="569"/>
      </w:pPr>
      <w:r>
        <w:rPr>
          <w:color w:val="1B1B22"/>
        </w:rPr>
        <w:t>you</w:t>
      </w:r>
      <w:r>
        <w:rPr>
          <w:color w:val="1B1B22"/>
          <w:spacing w:val="-12"/>
        </w:rPr>
        <w:t> </w:t>
      </w:r>
      <w:r>
        <w:rPr>
          <w:color w:val="1B1B22"/>
        </w:rPr>
        <w:t>for</w:t>
      </w:r>
      <w:r>
        <w:rPr>
          <w:color w:val="1B1B22"/>
          <w:spacing w:val="-11"/>
        </w:rPr>
        <w:t> </w:t>
      </w:r>
      <w:r>
        <w:rPr>
          <w:color w:val="1B1B22"/>
        </w:rPr>
        <w:t>following</w:t>
      </w:r>
      <w:r>
        <w:rPr>
          <w:color w:val="1B1B22"/>
          <w:spacing w:val="-11"/>
        </w:rPr>
        <w:t> </w:t>
      </w:r>
      <w:r>
        <w:rPr>
          <w:color w:val="1B1B22"/>
        </w:rPr>
        <w:t>this</w:t>
      </w:r>
      <w:r>
        <w:rPr>
          <w:color w:val="1B1B22"/>
          <w:spacing w:val="-9"/>
        </w:rPr>
        <w:t> </w:t>
      </w:r>
      <w:r>
        <w:rPr>
          <w:color w:val="1B1B22"/>
        </w:rPr>
        <w:t>report</w:t>
      </w:r>
      <w:r>
        <w:rPr>
          <w:color w:val="1B1B22"/>
          <w:spacing w:val="-11"/>
        </w:rPr>
        <w:t> </w:t>
      </w:r>
      <w:r>
        <w:rPr>
          <w:color w:val="1B1B22"/>
        </w:rPr>
        <w:t>and</w:t>
      </w:r>
      <w:r>
        <w:rPr>
          <w:color w:val="1B1B22"/>
          <w:spacing w:val="-11"/>
        </w:rPr>
        <w:t> </w:t>
      </w:r>
      <w:r>
        <w:rPr>
          <w:color w:val="1B1B22"/>
        </w:rPr>
        <w:t>being</w:t>
      </w:r>
      <w:r>
        <w:rPr>
          <w:color w:val="1B1B22"/>
          <w:spacing w:val="-11"/>
        </w:rPr>
        <w:t> </w:t>
      </w:r>
      <w:r>
        <w:rPr>
          <w:color w:val="1B1B22"/>
        </w:rPr>
        <w:t>part</w:t>
      </w:r>
      <w:r>
        <w:rPr>
          <w:color w:val="1B1B22"/>
          <w:spacing w:val="-10"/>
        </w:rPr>
        <w:t> </w:t>
      </w:r>
      <w:r>
        <w:rPr>
          <w:color w:val="1B1B22"/>
        </w:rPr>
        <w:t>of</w:t>
      </w:r>
      <w:r>
        <w:rPr>
          <w:color w:val="1B1B22"/>
          <w:spacing w:val="-12"/>
        </w:rPr>
        <w:t> </w:t>
      </w:r>
      <w:r>
        <w:rPr>
          <w:color w:val="1B1B22"/>
        </w:rPr>
        <w:t>our</w:t>
      </w:r>
      <w:r>
        <w:rPr>
          <w:color w:val="1B1B22"/>
          <w:spacing w:val="-11"/>
        </w:rPr>
        <w:t> </w:t>
      </w:r>
      <w:r>
        <w:rPr>
          <w:color w:val="1B1B22"/>
          <w:spacing w:val="-2"/>
        </w:rPr>
        <w:t>journey.</w:t>
      </w:r>
    </w:p>
    <w:sectPr>
      <w:type w:val="continuous"/>
      <w:pgSz w:w="11910" w:h="16850"/>
      <w:pgMar w:header="152" w:footer="572" w:top="1920" w:bottom="28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BancoDoBrasil Textos Light">
    <w:altName w:val="BancoDoBrasil Textos Light"/>
    <w:charset w:val="0"/>
    <w:family w:val="auto"/>
    <w:pitch w:val="variable"/>
  </w:font>
  <w:font w:name="BancoDoBrasil Textos Medium">
    <w:altName w:val="BancoDoBrasil Textos Medium"/>
    <w:charset w:val="0"/>
    <w:family w:val="auto"/>
    <w:pitch w:val="variable"/>
  </w:font>
  <w:font w:name="BancoDoBrasil Textos">
    <w:altName w:val="BancoDoBrasil Textos"/>
    <w:charset w:val="0"/>
    <w:family w:val="auto"/>
    <w:pitch w:val="variable"/>
  </w:font>
  <w:font w:name="BancoDoBrasil Titulos">
    <w:altName w:val="BancoDoBrasil Titulos"/>
    <w:charset w:val="0"/>
    <w:family w:val="auto"/>
    <w:pitch w:val="variable"/>
  </w:font>
  <w:font w:name="BancoDoBrasil Titulos Light">
    <w:altName w:val="BancoDoBrasil Titulos Light"/>
    <w:charset w:val="0"/>
    <w:family w:val="auto"/>
    <w:pitch w:val="variable"/>
  </w:font>
  <w:font w:name="BancoDoBrasil Titulos Medium">
    <w:altName w:val="BancoDoBrasil Titulos Medium"/>
    <w:charset w:val="0"/>
    <w:family w:val="auto"/>
    <w:pitch w:val="variable"/>
  </w:font>
  <w:font w:name="BancoDoBrasil Titulos ExtraBold">
    <w:altName w:val="BancoDoBrasil Titulos ExtraBold"/>
    <w:charset w:val="0"/>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jc w:val="left"/>
    </w:pPr>
    <w:r>
      <w:rPr/>
      <mc:AlternateContent>
        <mc:Choice Requires="wps">
          <w:drawing>
            <wp:anchor distT="0" distB="0" distL="0" distR="0" allowOverlap="1" layoutInCell="1" locked="0" behindDoc="1" simplePos="0" relativeHeight="487363584">
              <wp:simplePos x="0" y="0"/>
              <wp:positionH relativeFrom="page">
                <wp:posOffset>4572</wp:posOffset>
              </wp:positionH>
              <wp:positionV relativeFrom="page">
                <wp:posOffset>10152900</wp:posOffset>
              </wp:positionV>
              <wp:extent cx="7556500" cy="53975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7556500" cy="539750"/>
                      </a:xfrm>
                      <a:custGeom>
                        <a:avLst/>
                        <a:gdLst/>
                        <a:ahLst/>
                        <a:cxnLst/>
                        <a:rect l="l" t="t" r="r" b="b"/>
                        <a:pathLst>
                          <a:path w="7556500" h="539750">
                            <a:moveTo>
                              <a:pt x="7555979" y="0"/>
                            </a:moveTo>
                            <a:lnTo>
                              <a:pt x="7025640" y="0"/>
                            </a:lnTo>
                            <a:lnTo>
                              <a:pt x="6486144" y="0"/>
                            </a:lnTo>
                            <a:lnTo>
                              <a:pt x="541020" y="0"/>
                            </a:lnTo>
                            <a:lnTo>
                              <a:pt x="0" y="0"/>
                            </a:lnTo>
                            <a:lnTo>
                              <a:pt x="0" y="539483"/>
                            </a:lnTo>
                            <a:lnTo>
                              <a:pt x="541020" y="539483"/>
                            </a:lnTo>
                            <a:lnTo>
                              <a:pt x="6486144" y="539483"/>
                            </a:lnTo>
                            <a:lnTo>
                              <a:pt x="7025640" y="539483"/>
                            </a:lnTo>
                            <a:lnTo>
                              <a:pt x="7555979" y="539483"/>
                            </a:lnTo>
                            <a:lnTo>
                              <a:pt x="7555979" y="0"/>
                            </a:lnTo>
                            <a:close/>
                          </a:path>
                        </a:pathLst>
                      </a:custGeom>
                      <a:solidFill>
                        <a:srgbClr val="FBFB2F"/>
                      </a:solidFill>
                    </wps:spPr>
                    <wps:bodyPr wrap="square" lIns="0" tIns="0" rIns="0" bIns="0" rtlCol="0">
                      <a:prstTxWarp prst="textNoShape">
                        <a:avLst/>
                      </a:prstTxWarp>
                      <a:noAutofit/>
                    </wps:bodyPr>
                  </wps:wsp>
                </a:graphicData>
              </a:graphic>
            </wp:anchor>
          </w:drawing>
        </mc:Choice>
        <mc:Fallback>
          <w:pict>
            <v:shape style="position:absolute;margin-left:.36pt;margin-top:799.440979pt;width:595pt;height:42.5pt;mso-position-horizontal-relative:page;mso-position-vertical-relative:page;z-index:-15952896" id="docshape11" coordorigin="7,15989" coordsize="11900,850" path="m11906,15989l11071,15989,10222,15989,859,15989,7,15989,7,16838,859,16838,10222,16838,11071,16838,11906,16838,11906,15989xe" filled="true" fillcolor="#fbfb2f" stroked="false">
              <v:path arrowok="t"/>
              <v:fill type="solid"/>
              <w10:wrap type="none"/>
            </v:shape>
          </w:pict>
        </mc:Fallback>
      </mc:AlternateContent>
    </w:r>
    <w:r>
      <w:rPr/>
      <mc:AlternateContent>
        <mc:Choice Requires="wps">
          <w:drawing>
            <wp:anchor distT="0" distB="0" distL="0" distR="0" allowOverlap="1" layoutInCell="1" locked="0" behindDoc="1" simplePos="0" relativeHeight="487364096">
              <wp:simplePos x="0" y="0"/>
              <wp:positionH relativeFrom="page">
                <wp:posOffset>532891</wp:posOffset>
              </wp:positionH>
              <wp:positionV relativeFrom="page">
                <wp:posOffset>10325826</wp:posOffset>
              </wp:positionV>
              <wp:extent cx="2814955" cy="16827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814955" cy="168275"/>
                      </a:xfrm>
                      <a:prstGeom prst="rect">
                        <a:avLst/>
                      </a:prstGeom>
                    </wps:spPr>
                    <wps:txbx>
                      <w:txbxContent>
                        <w:p>
                          <w:pPr>
                            <w:pStyle w:val="BodyText"/>
                            <w:spacing w:line="252" w:lineRule="exact"/>
                            <w:ind w:left="20"/>
                            <w:jc w:val="left"/>
                            <w:rPr>
                              <w:rFonts w:ascii="BancoDoBrasil Titulos Light"/>
                              <w:b w:val="0"/>
                            </w:rPr>
                          </w:pPr>
                          <w:r>
                            <w:rPr>
                              <w:rFonts w:ascii="BancoDoBrasil Titulos Medium"/>
                              <w:b w:val="0"/>
                              <w:color w:val="465EFF"/>
                              <w:spacing w:val="15"/>
                            </w:rPr>
                            <w:t>Banco</w:t>
                          </w:r>
                          <w:r>
                            <w:rPr>
                              <w:rFonts w:ascii="BancoDoBrasil Titulos Medium"/>
                              <w:b w:val="0"/>
                              <w:color w:val="465EFF"/>
                              <w:spacing w:val="38"/>
                            </w:rPr>
                            <w:t> </w:t>
                          </w:r>
                          <w:r>
                            <w:rPr>
                              <w:rFonts w:ascii="BancoDoBrasil Titulos Medium"/>
                              <w:b w:val="0"/>
                              <w:color w:val="465EFF"/>
                              <w:spacing w:val="10"/>
                            </w:rPr>
                            <w:t>do</w:t>
                          </w:r>
                          <w:r>
                            <w:rPr>
                              <w:rFonts w:ascii="BancoDoBrasil Titulos Medium"/>
                              <w:b w:val="0"/>
                              <w:color w:val="465EFF"/>
                              <w:spacing w:val="42"/>
                            </w:rPr>
                            <w:t> </w:t>
                          </w:r>
                          <w:r>
                            <w:rPr>
                              <w:rFonts w:ascii="BancoDoBrasil Titulos Medium"/>
                              <w:b w:val="0"/>
                              <w:color w:val="465EFF"/>
                              <w:spacing w:val="15"/>
                            </w:rPr>
                            <w:t>Brasil</w:t>
                          </w:r>
                          <w:r>
                            <w:rPr>
                              <w:rFonts w:ascii="BancoDoBrasil Titulos Medium"/>
                              <w:b w:val="0"/>
                              <w:color w:val="465EFF"/>
                              <w:spacing w:val="40"/>
                            </w:rPr>
                            <w:t> </w:t>
                          </w:r>
                          <w:r>
                            <w:rPr>
                              <w:rFonts w:ascii="BancoDoBrasil Titulos Medium"/>
                              <w:b w:val="0"/>
                              <w:color w:val="465EFF"/>
                            </w:rPr>
                            <w:t>S.</w:t>
                          </w:r>
                          <w:r>
                            <w:rPr>
                              <w:rFonts w:ascii="BancoDoBrasil Titulos Medium"/>
                              <w:b w:val="0"/>
                              <w:color w:val="465EFF"/>
                              <w:spacing w:val="-26"/>
                            </w:rPr>
                            <w:t> </w:t>
                          </w:r>
                          <w:r>
                            <w:rPr>
                              <w:rFonts w:ascii="BancoDoBrasil Titulos Medium"/>
                              <w:b w:val="0"/>
                              <w:color w:val="465EFF"/>
                              <w:spacing w:val="9"/>
                            </w:rPr>
                            <w:t>A.</w:t>
                          </w:r>
                          <w:r>
                            <w:rPr>
                              <w:rFonts w:ascii="BancoDoBrasil Titulos Medium"/>
                              <w:b w:val="0"/>
                              <w:color w:val="465EFF"/>
                              <w:spacing w:val="43"/>
                            </w:rPr>
                            <w:t> </w:t>
                          </w:r>
                          <w:r>
                            <w:rPr>
                              <w:rFonts w:ascii="BancoDoBrasil Titulos Medium"/>
                              <w:b w:val="0"/>
                              <w:color w:val="465EFF"/>
                            </w:rPr>
                            <w:t>|</w:t>
                          </w:r>
                          <w:r>
                            <w:rPr>
                              <w:rFonts w:ascii="BancoDoBrasil Titulos Medium"/>
                              <w:b w:val="0"/>
                              <w:color w:val="465EFF"/>
                              <w:spacing w:val="38"/>
                            </w:rPr>
                            <w:t> </w:t>
                          </w:r>
                          <w:r>
                            <w:rPr>
                              <w:rFonts w:ascii="BancoDoBrasil Titulos Light"/>
                              <w:b w:val="0"/>
                              <w:color w:val="465EFF"/>
                              <w:spacing w:val="15"/>
                            </w:rPr>
                            <w:t>Investor</w:t>
                          </w:r>
                          <w:r>
                            <w:rPr>
                              <w:rFonts w:ascii="BancoDoBrasil Titulos Light"/>
                              <w:b w:val="0"/>
                              <w:color w:val="465EFF"/>
                              <w:spacing w:val="40"/>
                            </w:rPr>
                            <w:t> </w:t>
                          </w:r>
                          <w:r>
                            <w:rPr>
                              <w:rFonts w:ascii="BancoDoBrasil Titulos Light"/>
                              <w:b w:val="0"/>
                              <w:color w:val="465EFF"/>
                              <w:spacing w:val="15"/>
                            </w:rPr>
                            <w:t>Relations</w:t>
                          </w:r>
                        </w:p>
                      </w:txbxContent>
                    </wps:txbx>
                    <wps:bodyPr wrap="square" lIns="0" tIns="0" rIns="0" bIns="0" rtlCol="0">
                      <a:noAutofit/>
                    </wps:bodyPr>
                  </wps:wsp>
                </a:graphicData>
              </a:graphic>
            </wp:anchor>
          </w:drawing>
        </mc:Choice>
        <mc:Fallback>
          <w:pict>
            <v:shape style="position:absolute;margin-left:41.959999pt;margin-top:813.05719pt;width:221.65pt;height:13.25pt;mso-position-horizontal-relative:page;mso-position-vertical-relative:page;z-index:-15952384" type="#_x0000_t202" id="docshape12" filled="false" stroked="false">
              <v:textbox inset="0,0,0,0">
                <w:txbxContent>
                  <w:p>
                    <w:pPr>
                      <w:pStyle w:val="BodyText"/>
                      <w:spacing w:line="252" w:lineRule="exact"/>
                      <w:ind w:left="20"/>
                      <w:jc w:val="left"/>
                      <w:rPr>
                        <w:rFonts w:ascii="BancoDoBrasil Titulos Light"/>
                        <w:b w:val="0"/>
                      </w:rPr>
                    </w:pPr>
                    <w:r>
                      <w:rPr>
                        <w:rFonts w:ascii="BancoDoBrasil Titulos Medium"/>
                        <w:b w:val="0"/>
                        <w:color w:val="465EFF"/>
                        <w:spacing w:val="15"/>
                      </w:rPr>
                      <w:t>Banco</w:t>
                    </w:r>
                    <w:r>
                      <w:rPr>
                        <w:rFonts w:ascii="BancoDoBrasil Titulos Medium"/>
                        <w:b w:val="0"/>
                        <w:color w:val="465EFF"/>
                        <w:spacing w:val="38"/>
                      </w:rPr>
                      <w:t> </w:t>
                    </w:r>
                    <w:r>
                      <w:rPr>
                        <w:rFonts w:ascii="BancoDoBrasil Titulos Medium"/>
                        <w:b w:val="0"/>
                        <w:color w:val="465EFF"/>
                        <w:spacing w:val="10"/>
                      </w:rPr>
                      <w:t>do</w:t>
                    </w:r>
                    <w:r>
                      <w:rPr>
                        <w:rFonts w:ascii="BancoDoBrasil Titulos Medium"/>
                        <w:b w:val="0"/>
                        <w:color w:val="465EFF"/>
                        <w:spacing w:val="42"/>
                      </w:rPr>
                      <w:t> </w:t>
                    </w:r>
                    <w:r>
                      <w:rPr>
                        <w:rFonts w:ascii="BancoDoBrasil Titulos Medium"/>
                        <w:b w:val="0"/>
                        <w:color w:val="465EFF"/>
                        <w:spacing w:val="15"/>
                      </w:rPr>
                      <w:t>Brasil</w:t>
                    </w:r>
                    <w:r>
                      <w:rPr>
                        <w:rFonts w:ascii="BancoDoBrasil Titulos Medium"/>
                        <w:b w:val="0"/>
                        <w:color w:val="465EFF"/>
                        <w:spacing w:val="40"/>
                      </w:rPr>
                      <w:t> </w:t>
                    </w:r>
                    <w:r>
                      <w:rPr>
                        <w:rFonts w:ascii="BancoDoBrasil Titulos Medium"/>
                        <w:b w:val="0"/>
                        <w:color w:val="465EFF"/>
                      </w:rPr>
                      <w:t>S.</w:t>
                    </w:r>
                    <w:r>
                      <w:rPr>
                        <w:rFonts w:ascii="BancoDoBrasil Titulos Medium"/>
                        <w:b w:val="0"/>
                        <w:color w:val="465EFF"/>
                        <w:spacing w:val="-26"/>
                      </w:rPr>
                      <w:t> </w:t>
                    </w:r>
                    <w:r>
                      <w:rPr>
                        <w:rFonts w:ascii="BancoDoBrasil Titulos Medium"/>
                        <w:b w:val="0"/>
                        <w:color w:val="465EFF"/>
                        <w:spacing w:val="9"/>
                      </w:rPr>
                      <w:t>A.</w:t>
                    </w:r>
                    <w:r>
                      <w:rPr>
                        <w:rFonts w:ascii="BancoDoBrasil Titulos Medium"/>
                        <w:b w:val="0"/>
                        <w:color w:val="465EFF"/>
                        <w:spacing w:val="43"/>
                      </w:rPr>
                      <w:t> </w:t>
                    </w:r>
                    <w:r>
                      <w:rPr>
                        <w:rFonts w:ascii="BancoDoBrasil Titulos Medium"/>
                        <w:b w:val="0"/>
                        <w:color w:val="465EFF"/>
                      </w:rPr>
                      <w:t>|</w:t>
                    </w:r>
                    <w:r>
                      <w:rPr>
                        <w:rFonts w:ascii="BancoDoBrasil Titulos Medium"/>
                        <w:b w:val="0"/>
                        <w:color w:val="465EFF"/>
                        <w:spacing w:val="38"/>
                      </w:rPr>
                      <w:t> </w:t>
                    </w:r>
                    <w:r>
                      <w:rPr>
                        <w:rFonts w:ascii="BancoDoBrasil Titulos Light"/>
                        <w:b w:val="0"/>
                        <w:color w:val="465EFF"/>
                        <w:spacing w:val="15"/>
                      </w:rPr>
                      <w:t>Investor</w:t>
                    </w:r>
                    <w:r>
                      <w:rPr>
                        <w:rFonts w:ascii="BancoDoBrasil Titulos Light"/>
                        <w:b w:val="0"/>
                        <w:color w:val="465EFF"/>
                        <w:spacing w:val="40"/>
                      </w:rPr>
                      <w:t> </w:t>
                    </w:r>
                    <w:r>
                      <w:rPr>
                        <w:rFonts w:ascii="BancoDoBrasil Titulos Light"/>
                        <w:b w:val="0"/>
                        <w:color w:val="465EFF"/>
                        <w:spacing w:val="15"/>
                      </w:rPr>
                      <w:t>Relations</w:t>
                    </w:r>
                  </w:p>
                </w:txbxContent>
              </v:textbox>
              <w10:wrap type="none"/>
            </v:shape>
          </w:pict>
        </mc:Fallback>
      </mc:AlternateContent>
    </w:r>
    <w:r>
      <w:rPr/>
      <mc:AlternateContent>
        <mc:Choice Requires="wps">
          <w:drawing>
            <wp:anchor distT="0" distB="0" distL="0" distR="0" allowOverlap="1" layoutInCell="1" locked="0" behindDoc="1" simplePos="0" relativeHeight="487364608">
              <wp:simplePos x="0" y="0"/>
              <wp:positionH relativeFrom="page">
                <wp:posOffset>6903719</wp:posOffset>
              </wp:positionH>
              <wp:positionV relativeFrom="page">
                <wp:posOffset>10325826</wp:posOffset>
              </wp:positionV>
              <wp:extent cx="166370" cy="18161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66370" cy="181610"/>
                      </a:xfrm>
                      <a:prstGeom prst="rect">
                        <a:avLst/>
                      </a:prstGeom>
                    </wps:spPr>
                    <wps:txbx>
                      <w:txbxContent>
                        <w:p>
                          <w:pPr>
                            <w:pStyle w:val="BodyText"/>
                            <w:spacing w:line="252" w:lineRule="exact"/>
                            <w:ind w:left="50"/>
                            <w:jc w:val="left"/>
                            <w:rPr>
                              <w:rFonts w:ascii="BancoDoBrasil Titulos Medium"/>
                              <w:b w:val="0"/>
                            </w:rPr>
                          </w:pPr>
                          <w:r>
                            <w:rPr>
                              <w:rFonts w:ascii="BancoDoBrasil Titulos Medium"/>
                              <w:b w:val="0"/>
                              <w:color w:val="465EFF"/>
                              <w:spacing w:val="-10"/>
                            </w:rPr>
                            <w:fldChar w:fldCharType="begin"/>
                          </w:r>
                          <w:r>
                            <w:rPr>
                              <w:rFonts w:ascii="BancoDoBrasil Titulos Medium"/>
                              <w:b w:val="0"/>
                              <w:color w:val="465EFF"/>
                              <w:spacing w:val="-10"/>
                            </w:rPr>
                            <w:instrText> PAGE </w:instrText>
                          </w:r>
                          <w:r>
                            <w:rPr>
                              <w:rFonts w:ascii="BancoDoBrasil Titulos Medium"/>
                              <w:b w:val="0"/>
                              <w:color w:val="465EFF"/>
                              <w:spacing w:val="-10"/>
                            </w:rPr>
                            <w:fldChar w:fldCharType="separate"/>
                          </w:r>
                          <w:r>
                            <w:rPr>
                              <w:rFonts w:ascii="BancoDoBrasil Titulos Medium"/>
                              <w:b w:val="0"/>
                              <w:color w:val="465EFF"/>
                              <w:spacing w:val="-10"/>
                            </w:rPr>
                            <w:t>4</w:t>
                          </w:r>
                          <w:r>
                            <w:rPr>
                              <w:rFonts w:ascii="BancoDoBrasil Titulos Medium"/>
                              <w:b w:val="0"/>
                              <w:color w:val="465EFF"/>
                              <w:spacing w:val="-10"/>
                            </w:rPr>
                            <w:fldChar w:fldCharType="end"/>
                          </w:r>
                        </w:p>
                      </w:txbxContent>
                    </wps:txbx>
                    <wps:bodyPr wrap="square" lIns="0" tIns="0" rIns="0" bIns="0" rtlCol="0">
                      <a:noAutofit/>
                    </wps:bodyPr>
                  </wps:wsp>
                </a:graphicData>
              </a:graphic>
            </wp:anchor>
          </w:drawing>
        </mc:Choice>
        <mc:Fallback>
          <w:pict>
            <v:shape style="position:absolute;margin-left:543.599976pt;margin-top:813.05719pt;width:13.1pt;height:14.3pt;mso-position-horizontal-relative:page;mso-position-vertical-relative:page;z-index:-15951872" type="#_x0000_t202" id="docshape13" filled="false" stroked="false">
              <v:textbox inset="0,0,0,0">
                <w:txbxContent>
                  <w:p>
                    <w:pPr>
                      <w:pStyle w:val="BodyText"/>
                      <w:spacing w:line="252" w:lineRule="exact"/>
                      <w:ind w:left="50"/>
                      <w:jc w:val="left"/>
                      <w:rPr>
                        <w:rFonts w:ascii="BancoDoBrasil Titulos Medium"/>
                        <w:b w:val="0"/>
                      </w:rPr>
                    </w:pPr>
                    <w:r>
                      <w:rPr>
                        <w:rFonts w:ascii="BancoDoBrasil Titulos Medium"/>
                        <w:b w:val="0"/>
                        <w:color w:val="465EFF"/>
                        <w:spacing w:val="-10"/>
                      </w:rPr>
                      <w:fldChar w:fldCharType="begin"/>
                    </w:r>
                    <w:r>
                      <w:rPr>
                        <w:rFonts w:ascii="BancoDoBrasil Titulos Medium"/>
                        <w:b w:val="0"/>
                        <w:color w:val="465EFF"/>
                        <w:spacing w:val="-10"/>
                      </w:rPr>
                      <w:instrText> PAGE </w:instrText>
                    </w:r>
                    <w:r>
                      <w:rPr>
                        <w:rFonts w:ascii="BancoDoBrasil Titulos Medium"/>
                        <w:b w:val="0"/>
                        <w:color w:val="465EFF"/>
                        <w:spacing w:val="-10"/>
                      </w:rPr>
                      <w:fldChar w:fldCharType="separate"/>
                    </w:r>
                    <w:r>
                      <w:rPr>
                        <w:rFonts w:ascii="BancoDoBrasil Titulos Medium"/>
                        <w:b w:val="0"/>
                        <w:color w:val="465EFF"/>
                        <w:spacing w:val="-10"/>
                      </w:rPr>
                      <w:t>4</w:t>
                    </w:r>
                    <w:r>
                      <w:rPr>
                        <w:rFonts w:ascii="BancoDoBrasil Titulos Medium"/>
                        <w:b w:val="0"/>
                        <w:color w:val="465EFF"/>
                        <w:spacing w:val="-10"/>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jc w:val="left"/>
    </w:pPr>
    <w:r>
      <w:rPr/>
      <mc:AlternateContent>
        <mc:Choice Requires="wps">
          <w:drawing>
            <wp:anchor distT="0" distB="0" distL="0" distR="0" allowOverlap="1" layoutInCell="1" locked="0" behindDoc="1" simplePos="0" relativeHeight="487362048">
              <wp:simplePos x="0" y="0"/>
              <wp:positionH relativeFrom="page">
                <wp:posOffset>6659384</wp:posOffset>
              </wp:positionH>
              <wp:positionV relativeFrom="page">
                <wp:posOffset>96671</wp:posOffset>
              </wp:positionV>
              <wp:extent cx="353695" cy="34671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353695" cy="346710"/>
                      </a:xfrm>
                      <a:custGeom>
                        <a:avLst/>
                        <a:gdLst/>
                        <a:ahLst/>
                        <a:cxnLst/>
                        <a:rect l="l" t="t" r="r" b="b"/>
                        <a:pathLst>
                          <a:path w="353695" h="346710">
                            <a:moveTo>
                              <a:pt x="71628" y="300278"/>
                            </a:moveTo>
                            <a:lnTo>
                              <a:pt x="35052" y="275628"/>
                            </a:lnTo>
                            <a:lnTo>
                              <a:pt x="0" y="297815"/>
                            </a:lnTo>
                            <a:lnTo>
                              <a:pt x="0" y="346506"/>
                            </a:lnTo>
                            <a:lnTo>
                              <a:pt x="71628" y="300278"/>
                            </a:lnTo>
                            <a:close/>
                          </a:path>
                          <a:path w="353695" h="346710">
                            <a:moveTo>
                              <a:pt x="350837" y="230276"/>
                            </a:moveTo>
                            <a:lnTo>
                              <a:pt x="278193" y="181483"/>
                            </a:lnTo>
                            <a:lnTo>
                              <a:pt x="192214" y="239649"/>
                            </a:lnTo>
                            <a:lnTo>
                              <a:pt x="228282" y="263994"/>
                            </a:lnTo>
                            <a:lnTo>
                              <a:pt x="180835" y="296824"/>
                            </a:lnTo>
                            <a:lnTo>
                              <a:pt x="76568" y="226834"/>
                            </a:lnTo>
                            <a:lnTo>
                              <a:pt x="245579" y="117398"/>
                            </a:lnTo>
                            <a:lnTo>
                              <a:pt x="208013" y="92748"/>
                            </a:lnTo>
                            <a:lnTo>
                              <a:pt x="0" y="230276"/>
                            </a:lnTo>
                            <a:lnTo>
                              <a:pt x="176707" y="346506"/>
                            </a:lnTo>
                            <a:lnTo>
                              <a:pt x="350837" y="230276"/>
                            </a:lnTo>
                            <a:close/>
                          </a:path>
                          <a:path w="353695" h="346710">
                            <a:moveTo>
                              <a:pt x="350837" y="115430"/>
                            </a:moveTo>
                            <a:lnTo>
                              <a:pt x="176707" y="0"/>
                            </a:lnTo>
                            <a:lnTo>
                              <a:pt x="0" y="113461"/>
                            </a:lnTo>
                            <a:lnTo>
                              <a:pt x="74091" y="162750"/>
                            </a:lnTo>
                            <a:lnTo>
                              <a:pt x="159092" y="106057"/>
                            </a:lnTo>
                            <a:lnTo>
                              <a:pt x="123507" y="80429"/>
                            </a:lnTo>
                            <a:lnTo>
                              <a:pt x="171945" y="48387"/>
                            </a:lnTo>
                            <a:lnTo>
                              <a:pt x="274243" y="116903"/>
                            </a:lnTo>
                            <a:lnTo>
                              <a:pt x="108191" y="228803"/>
                            </a:lnTo>
                            <a:lnTo>
                              <a:pt x="143281" y="252463"/>
                            </a:lnTo>
                            <a:lnTo>
                              <a:pt x="350837" y="115430"/>
                            </a:lnTo>
                            <a:close/>
                          </a:path>
                          <a:path w="353695" h="346710">
                            <a:moveTo>
                              <a:pt x="353390" y="0"/>
                            </a:moveTo>
                            <a:lnTo>
                              <a:pt x="282155" y="45440"/>
                            </a:lnTo>
                            <a:lnTo>
                              <a:pt x="320205" y="72047"/>
                            </a:lnTo>
                            <a:lnTo>
                              <a:pt x="353390" y="50368"/>
                            </a:lnTo>
                            <a:lnTo>
                              <a:pt x="353390" y="0"/>
                            </a:lnTo>
                            <a:close/>
                          </a:path>
                        </a:pathLst>
                      </a:custGeom>
                      <a:solidFill>
                        <a:srgbClr val="465EFF"/>
                      </a:solidFill>
                    </wps:spPr>
                    <wps:bodyPr wrap="square" lIns="0" tIns="0" rIns="0" bIns="0" rtlCol="0">
                      <a:prstTxWarp prst="textNoShape">
                        <a:avLst/>
                      </a:prstTxWarp>
                      <a:noAutofit/>
                    </wps:bodyPr>
                  </wps:wsp>
                </a:graphicData>
              </a:graphic>
            </wp:anchor>
          </w:drawing>
        </mc:Choice>
        <mc:Fallback>
          <w:pict>
            <v:shape style="position:absolute;margin-left:524.361023pt;margin-top:7.611938pt;width:27.85pt;height:27.3pt;mso-position-horizontal-relative:page;mso-position-vertical-relative:page;z-index:-15954432" id="docshape8" coordorigin="10487,152" coordsize="557,546" path="m10600,625l10542,586,10487,621,10487,698,10600,625xm11040,515l10925,438,10790,530,10847,568,10772,620,10608,509,10874,337,10815,298,10487,515,10766,698,11040,515xm11040,334l10766,152,10487,331,10604,409,10738,319,10682,279,10758,228,10919,336,10658,513,10713,550,11040,334xm11044,152l10932,224,10991,266,11044,232,11044,152xe" filled="true" fillcolor="#465eff" stroked="false">
              <v:path arrowok="t"/>
              <v:fill type="solid"/>
              <w10:wrap type="none"/>
            </v:shape>
          </w:pict>
        </mc:Fallback>
      </mc:AlternateContent>
    </w:r>
    <w:r>
      <w:rPr/>
      <mc:AlternateContent>
        <mc:Choice Requires="wps">
          <w:drawing>
            <wp:anchor distT="0" distB="0" distL="0" distR="0" allowOverlap="1" layoutInCell="1" locked="0" behindDoc="1" simplePos="0" relativeHeight="487362560">
              <wp:simplePos x="0" y="0"/>
              <wp:positionH relativeFrom="page">
                <wp:posOffset>0</wp:posOffset>
              </wp:positionH>
              <wp:positionV relativeFrom="page">
                <wp:posOffset>539495</wp:posOffset>
              </wp:positionV>
              <wp:extent cx="7560945" cy="3810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7560945" cy="38100"/>
                      </a:xfrm>
                      <a:custGeom>
                        <a:avLst/>
                        <a:gdLst/>
                        <a:ahLst/>
                        <a:cxnLst/>
                        <a:rect l="l" t="t" r="r" b="b"/>
                        <a:pathLst>
                          <a:path w="7560945" h="38100">
                            <a:moveTo>
                              <a:pt x="7560577" y="0"/>
                            </a:moveTo>
                            <a:lnTo>
                              <a:pt x="7560577" y="0"/>
                            </a:lnTo>
                            <a:lnTo>
                              <a:pt x="0" y="0"/>
                            </a:lnTo>
                            <a:lnTo>
                              <a:pt x="0" y="38100"/>
                            </a:lnTo>
                            <a:lnTo>
                              <a:pt x="7560577" y="38100"/>
                            </a:lnTo>
                            <a:lnTo>
                              <a:pt x="7560577" y="0"/>
                            </a:lnTo>
                            <a:close/>
                          </a:path>
                        </a:pathLst>
                      </a:custGeom>
                      <a:solidFill>
                        <a:srgbClr val="FCF429"/>
                      </a:solidFill>
                    </wps:spPr>
                    <wps:bodyPr wrap="square" lIns="0" tIns="0" rIns="0" bIns="0" rtlCol="0">
                      <a:prstTxWarp prst="textNoShape">
                        <a:avLst/>
                      </a:prstTxWarp>
                      <a:noAutofit/>
                    </wps:bodyPr>
                  </wps:wsp>
                </a:graphicData>
              </a:graphic>
            </wp:anchor>
          </w:drawing>
        </mc:Choice>
        <mc:Fallback>
          <w:pict>
            <v:rect style="position:absolute;margin-left:0pt;margin-top:42.479939pt;width:595.321028pt;height:3.0pt;mso-position-horizontal-relative:page;mso-position-vertical-relative:page;z-index:-15953920" id="docshape9" filled="true" fillcolor="#fcf429" stroked="false">
              <v:fill type="solid"/>
              <w10:wrap type="none"/>
            </v:rect>
          </w:pict>
        </mc:Fallback>
      </mc:AlternateContent>
    </w:r>
    <w:r>
      <w:rPr/>
      <mc:AlternateContent>
        <mc:Choice Requires="wps">
          <w:drawing>
            <wp:anchor distT="0" distB="0" distL="0" distR="0" allowOverlap="1" layoutInCell="1" locked="0" behindDoc="1" simplePos="0" relativeHeight="487363072">
              <wp:simplePos x="0" y="0"/>
              <wp:positionH relativeFrom="page">
                <wp:posOffset>525272</wp:posOffset>
              </wp:positionH>
              <wp:positionV relativeFrom="page">
                <wp:posOffset>186654</wp:posOffset>
              </wp:positionV>
              <wp:extent cx="1974214" cy="16827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974214" cy="168275"/>
                      </a:xfrm>
                      <a:prstGeom prst="rect">
                        <a:avLst/>
                      </a:prstGeom>
                    </wps:spPr>
                    <wps:txbx>
                      <w:txbxContent>
                        <w:p>
                          <w:pPr>
                            <w:pStyle w:val="BodyText"/>
                            <w:spacing w:line="252" w:lineRule="exact"/>
                            <w:ind w:left="20"/>
                            <w:jc w:val="left"/>
                            <w:rPr>
                              <w:rFonts w:ascii="BancoDoBrasil Textos Medium"/>
                              <w:b w:val="0"/>
                            </w:rPr>
                          </w:pPr>
                          <w:r>
                            <w:rPr>
                              <w:rFonts w:ascii="BancoDoBrasil Textos Medium"/>
                              <w:b w:val="0"/>
                              <w:color w:val="465EFF"/>
                              <w:spacing w:val="17"/>
                            </w:rPr>
                            <w:t>Management</w:t>
                          </w:r>
                          <w:r>
                            <w:rPr>
                              <w:rFonts w:ascii="BancoDoBrasil Textos Medium"/>
                              <w:b w:val="0"/>
                              <w:color w:val="465EFF"/>
                              <w:spacing w:val="35"/>
                            </w:rPr>
                            <w:t> </w:t>
                          </w:r>
                          <w:r>
                            <w:rPr>
                              <w:rFonts w:ascii="BancoDoBrasil Textos Medium"/>
                              <w:b w:val="0"/>
                              <w:color w:val="465EFF"/>
                              <w:spacing w:val="15"/>
                            </w:rPr>
                            <w:t>Report</w:t>
                          </w:r>
                          <w:r>
                            <w:rPr>
                              <w:rFonts w:ascii="BancoDoBrasil Textos Medium"/>
                              <w:b w:val="0"/>
                              <w:color w:val="465EFF"/>
                              <w:spacing w:val="36"/>
                            </w:rPr>
                            <w:t> </w:t>
                          </w:r>
                          <w:r>
                            <w:rPr>
                              <w:rFonts w:ascii="BancoDoBrasil Textos Light"/>
                              <w:b w:val="0"/>
                              <w:color w:val="465EFF"/>
                            </w:rPr>
                            <w:t>|</w:t>
                          </w:r>
                          <w:r>
                            <w:rPr>
                              <w:rFonts w:ascii="BancoDoBrasil Textos Light"/>
                              <w:b w:val="0"/>
                              <w:color w:val="465EFF"/>
                              <w:spacing w:val="36"/>
                            </w:rPr>
                            <w:t> </w:t>
                          </w:r>
                          <w:r>
                            <w:rPr>
                              <w:rFonts w:ascii="BancoDoBrasil Textos Medium"/>
                              <w:b w:val="0"/>
                              <w:color w:val="465EFF"/>
                              <w:spacing w:val="10"/>
                            </w:rPr>
                            <w:t>1Q</w:t>
                          </w:r>
                          <w:r>
                            <w:rPr>
                              <w:rFonts w:ascii="BancoDoBrasil Textos Medium"/>
                              <w:b w:val="0"/>
                              <w:color w:val="465EFF"/>
                              <w:spacing w:val="-28"/>
                            </w:rPr>
                            <w:t> </w:t>
                          </w:r>
                          <w:r>
                            <w:rPr>
                              <w:rFonts w:ascii="BancoDoBrasil Textos Medium"/>
                              <w:b w:val="0"/>
                              <w:color w:val="465EFF"/>
                              <w:spacing w:val="-5"/>
                            </w:rPr>
                            <w:t>25</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1.360001pt;margin-top:14.697178pt;width:155.450pt;height:13.25pt;mso-position-horizontal-relative:page;mso-position-vertical-relative:page;z-index:-15953408" type="#_x0000_t202" id="docshape10" filled="false" stroked="false">
              <v:textbox inset="0,0,0,0">
                <w:txbxContent>
                  <w:p>
                    <w:pPr>
                      <w:pStyle w:val="BodyText"/>
                      <w:spacing w:line="252" w:lineRule="exact"/>
                      <w:ind w:left="20"/>
                      <w:jc w:val="left"/>
                      <w:rPr>
                        <w:rFonts w:ascii="BancoDoBrasil Textos Medium"/>
                        <w:b w:val="0"/>
                      </w:rPr>
                    </w:pPr>
                    <w:r>
                      <w:rPr>
                        <w:rFonts w:ascii="BancoDoBrasil Textos Medium"/>
                        <w:b w:val="0"/>
                        <w:color w:val="465EFF"/>
                        <w:spacing w:val="17"/>
                      </w:rPr>
                      <w:t>Management</w:t>
                    </w:r>
                    <w:r>
                      <w:rPr>
                        <w:rFonts w:ascii="BancoDoBrasil Textos Medium"/>
                        <w:b w:val="0"/>
                        <w:color w:val="465EFF"/>
                        <w:spacing w:val="35"/>
                      </w:rPr>
                      <w:t> </w:t>
                    </w:r>
                    <w:r>
                      <w:rPr>
                        <w:rFonts w:ascii="BancoDoBrasil Textos Medium"/>
                        <w:b w:val="0"/>
                        <w:color w:val="465EFF"/>
                        <w:spacing w:val="15"/>
                      </w:rPr>
                      <w:t>Report</w:t>
                    </w:r>
                    <w:r>
                      <w:rPr>
                        <w:rFonts w:ascii="BancoDoBrasil Textos Medium"/>
                        <w:b w:val="0"/>
                        <w:color w:val="465EFF"/>
                        <w:spacing w:val="36"/>
                      </w:rPr>
                      <w:t> </w:t>
                    </w:r>
                    <w:r>
                      <w:rPr>
                        <w:rFonts w:ascii="BancoDoBrasil Textos Light"/>
                        <w:b w:val="0"/>
                        <w:color w:val="465EFF"/>
                      </w:rPr>
                      <w:t>|</w:t>
                    </w:r>
                    <w:r>
                      <w:rPr>
                        <w:rFonts w:ascii="BancoDoBrasil Textos Light"/>
                        <w:b w:val="0"/>
                        <w:color w:val="465EFF"/>
                        <w:spacing w:val="36"/>
                      </w:rPr>
                      <w:t> </w:t>
                    </w:r>
                    <w:r>
                      <w:rPr>
                        <w:rFonts w:ascii="BancoDoBrasil Textos Medium"/>
                        <w:b w:val="0"/>
                        <w:color w:val="465EFF"/>
                        <w:spacing w:val="10"/>
                      </w:rPr>
                      <w:t>1Q</w:t>
                    </w:r>
                    <w:r>
                      <w:rPr>
                        <w:rFonts w:ascii="BancoDoBrasil Textos Medium"/>
                        <w:b w:val="0"/>
                        <w:color w:val="465EFF"/>
                        <w:spacing w:val="-28"/>
                      </w:rPr>
                      <w:t> </w:t>
                    </w:r>
                    <w:r>
                      <w:rPr>
                        <w:rFonts w:ascii="BancoDoBrasil Textos Medium"/>
                        <w:b w:val="0"/>
                        <w:color w:val="465EFF"/>
                        <w:spacing w:val="-5"/>
                      </w:rPr>
                      <w:t>25</w:t>
                    </w:r>
                  </w:p>
                </w:txbxContent>
              </v:textbox>
              <w10:wrap type="none"/>
            </v:shape>
          </w:pict>
        </mc:Fallback>
      </mc:AlternateConten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BancoDoBrasil Textos" w:hAnsi="BancoDoBrasil Textos" w:eastAsia="BancoDoBrasil Textos" w:cs="BancoDoBrasil Textos"/>
      <w:lang w:val="en-US" w:eastAsia="en-US" w:bidi="ar-SA"/>
    </w:rPr>
  </w:style>
  <w:style w:styleId="BodyText" w:type="paragraph">
    <w:name w:val="Body Text"/>
    <w:basedOn w:val="Normal"/>
    <w:uiPriority w:val="1"/>
    <w:qFormat/>
    <w:pPr>
      <w:jc w:val="both"/>
    </w:pPr>
    <w:rPr>
      <w:rFonts w:ascii="BancoDoBrasil Textos" w:hAnsi="BancoDoBrasil Textos" w:eastAsia="BancoDoBrasil Textos" w:cs="BancoDoBrasil Textos"/>
      <w:sz w:val="20"/>
      <w:szCs w:val="20"/>
      <w:lang w:val="en-US" w:eastAsia="en-US" w:bidi="ar-SA"/>
    </w:rPr>
  </w:style>
  <w:style w:styleId="Heading1" w:type="paragraph">
    <w:name w:val="Heading 1"/>
    <w:basedOn w:val="Normal"/>
    <w:uiPriority w:val="1"/>
    <w:qFormat/>
    <w:pPr>
      <w:ind w:left="569"/>
      <w:outlineLvl w:val="1"/>
    </w:pPr>
    <w:rPr>
      <w:rFonts w:ascii="BancoDoBrasil Titulos" w:hAnsi="BancoDoBrasil Titulos" w:eastAsia="BancoDoBrasil Titulos" w:cs="BancoDoBrasil Titulos"/>
      <w:sz w:val="44"/>
      <w:szCs w:val="44"/>
      <w:lang w:val="en-US" w:eastAsia="en-US" w:bidi="ar-SA"/>
    </w:rPr>
  </w:style>
  <w:style w:styleId="Heading2" w:type="paragraph">
    <w:name w:val="Heading 2"/>
    <w:basedOn w:val="Normal"/>
    <w:uiPriority w:val="1"/>
    <w:qFormat/>
    <w:pPr>
      <w:spacing w:before="71"/>
      <w:ind w:left="569"/>
      <w:jc w:val="both"/>
      <w:outlineLvl w:val="2"/>
    </w:pPr>
    <w:rPr>
      <w:rFonts w:ascii="BancoDoBrasil Textos Medium" w:hAnsi="BancoDoBrasil Textos Medium" w:eastAsia="BancoDoBrasil Textos Medium" w:cs="BancoDoBrasil Textos Medium"/>
      <w:sz w:val="28"/>
      <w:szCs w:val="28"/>
      <w:lang w:val="en-US" w:eastAsia="en-US" w:bidi="ar-SA"/>
    </w:rPr>
  </w:style>
  <w:style w:styleId="Title" w:type="paragraph">
    <w:name w:val="Title"/>
    <w:basedOn w:val="Normal"/>
    <w:uiPriority w:val="1"/>
    <w:qFormat/>
    <w:pPr>
      <w:spacing w:line="1460" w:lineRule="exact"/>
      <w:ind w:left="1731"/>
    </w:pPr>
    <w:rPr>
      <w:rFonts w:ascii="BancoDoBrasil Titulos" w:hAnsi="BancoDoBrasil Titulos" w:eastAsia="BancoDoBrasil Titulos" w:cs="BancoDoBrasil Titulos"/>
      <w:b/>
      <w:bCs/>
      <w:sz w:val="120"/>
      <w:szCs w:val="120"/>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spacing w:before="129"/>
      <w:ind w:left="50"/>
      <w:jc w:val="center"/>
    </w:pPr>
    <w:rPr>
      <w:rFonts w:ascii="BancoDoBrasil Textos Light" w:hAnsi="BancoDoBrasil Textos Light" w:eastAsia="BancoDoBrasil Textos Light" w:cs="BancoDoBrasil Textos Light"/>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ri.bb.com.br/en/corporate-governance-and-sustainability/annual-chart-of-public-policies-and-corporate-governance/" TargetMode="External"/><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Luiz Fernando de Almeida</dc:creator>
  <dcterms:created xsi:type="dcterms:W3CDTF">2025-05-15T18:07:33Z</dcterms:created>
  <dcterms:modified xsi:type="dcterms:W3CDTF">2025-05-15T18:07:33Z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2025-05-14T00:00:00Z</vt:filetime>
  </property>
  <property fmtid="{D5CDD505-2E9C-101B-9397-08002B2CF9AE}" pid="3" name="Creator">
    <vt:lpwstr>Adobe Acrobat (64-bit) 25.1.20474</vt:lpwstr>
  </property>
  <property fmtid="{D5CDD505-2E9C-101B-9397-08002B2CF9AE}" pid="4" name="LastSaved">
    <vt:filetime>2025-05-15T00:00:00Z</vt:filetime>
  </property>
  <property fmtid="{D5CDD505-2E9C-101B-9397-08002B2CF9AE}" pid="5" name="MSIP_Label_40881dc9-f7f2-41de-a334-ceff3dc15b31_ContentBits">
    <vt:lpwstr>1</vt:lpwstr>
  </property>
  <property fmtid="{D5CDD505-2E9C-101B-9397-08002B2CF9AE}" pid="6" name="MSIP_Label_40881dc9-f7f2-41de-a334-ceff3dc15b31_Enabled">
    <vt:lpwstr>true</vt:lpwstr>
  </property>
  <property fmtid="{D5CDD505-2E9C-101B-9397-08002B2CF9AE}" pid="7" name="MSIP_Label_40881dc9-f7f2-41de-a334-ceff3dc15b31_Method">
    <vt:lpwstr>Standard</vt:lpwstr>
  </property>
  <property fmtid="{D5CDD505-2E9C-101B-9397-08002B2CF9AE}" pid="8" name="MSIP_Label_40881dc9-f7f2-41de-a334-ceff3dc15b31_Name">
    <vt:lpwstr>40881dc9-f7f2-41de-a334-ceff3dc15b31</vt:lpwstr>
  </property>
  <property fmtid="{D5CDD505-2E9C-101B-9397-08002B2CF9AE}" pid="9" name="MSIP_Label_40881dc9-f7f2-41de-a334-ceff3dc15b31_SiteId">
    <vt:lpwstr>ea0c2907-38d2-4181-8750-b0b190b60443</vt:lpwstr>
  </property>
  <property fmtid="{D5CDD505-2E9C-101B-9397-08002B2CF9AE}" pid="10" name="Producer">
    <vt:lpwstr>Adobe Acrobat (64-bit) 25.1.20474</vt:lpwstr>
  </property>
</Properties>
</file>