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word/header1.xml" ContentType="application/vnd.openxmlformats-officedocument.wordprocessingml.header+xml"/>
  <Override PartName="/word/footer1.xml" ContentType="application/vnd.openxmlformats-officedocument.wordprocessingml.footer+xml"/>
  <Default Extension="jpeg" ContentType="image/jpe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pStyle w:val="BodyText"/>
        <w:rPr>
          <w:rFonts w:ascii="Times New Roman"/>
          <w:sz w:val="26"/>
        </w:rPr>
      </w:pPr>
      <w:r>
        <w:rPr>
          <w:rFonts w:ascii="Times New Roman"/>
          <w:sz w:val="26"/>
        </w:rPr>
        <mc:AlternateContent>
          <mc:Choice Requires="wps">
            <w:drawing>
              <wp:anchor distT="0" distB="0" distL="0" distR="0" allowOverlap="1" layoutInCell="1" locked="0" behindDoc="1" simplePos="0" relativeHeight="487381504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2215" cy="10694035"/>
                <wp:effectExtent l="0" t="0" r="0" b="0"/>
                <wp:wrapNone/>
                <wp:docPr id="1" name="Graphic 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" name="Graphic 1"/>
                      <wps:cNvSpPr/>
                      <wps:spPr>
                        <a:xfrm>
                          <a:off x="0" y="0"/>
                          <a:ext cx="7562215" cy="106940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562215" h="10694035">
                              <a:moveTo>
                                <a:pt x="7562215" y="0"/>
                              </a:moveTo>
                              <a:lnTo>
                                <a:pt x="0" y="0"/>
                              </a:lnTo>
                              <a:lnTo>
                                <a:pt x="0" y="10694035"/>
                              </a:lnTo>
                              <a:lnTo>
                                <a:pt x="7562215" y="10694035"/>
                              </a:lnTo>
                              <a:lnTo>
                                <a:pt x="756221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465EF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style="position:absolute;margin-left:0pt;margin-top:-.000017pt;width:595.450pt;height:842.05pt;mso-position-horizontal-relative:page;mso-position-vertical-relative:page;z-index:-15934976" id="docshape1" filled="true" fillcolor="#465eff" stroked="false">
                <v:fill type="solid"/>
                <w10:wrap type="none"/>
              </v:rect>
            </w:pict>
          </mc:Fallback>
        </mc:AlternateContent>
      </w:r>
      <w:r>
        <w:rPr>
          <w:rFonts w:ascii="Times New Roman"/>
          <w:sz w:val="26"/>
        </w:rPr>
        <mc:AlternateContent>
          <mc:Choice Requires="wps">
            <w:drawing>
              <wp:anchor distT="0" distB="0" distL="0" distR="0" allowOverlap="1" layoutInCell="1" locked="0" behindDoc="1" simplePos="0" relativeHeight="487382016">
                <wp:simplePos x="0" y="0"/>
                <wp:positionH relativeFrom="page">
                  <wp:posOffset>0</wp:posOffset>
                </wp:positionH>
                <wp:positionV relativeFrom="page">
                  <wp:posOffset>-3395</wp:posOffset>
                </wp:positionV>
                <wp:extent cx="7564120" cy="10694670"/>
                <wp:effectExtent l="0" t="0" r="0" b="0"/>
                <wp:wrapNone/>
                <wp:docPr id="2" name="Group 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" name="Group 2"/>
                      <wpg:cNvGrpSpPr/>
                      <wpg:grpSpPr>
                        <a:xfrm>
                          <a:off x="0" y="0"/>
                          <a:ext cx="7564120" cy="10694670"/>
                          <a:chExt cx="7564120" cy="10694670"/>
                        </a:xfrm>
                      </wpg:grpSpPr>
                      <pic:pic>
                        <pic:nvPicPr>
                          <pic:cNvPr id="3" name="Image 3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0163" y="2774296"/>
                            <a:ext cx="7110400" cy="792020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" name="Graphic 4"/>
                        <wps:cNvSpPr/>
                        <wps:spPr>
                          <a:xfrm>
                            <a:off x="2081171" y="3395"/>
                            <a:ext cx="5479415" cy="37242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79415" h="3724275">
                                <a:moveTo>
                                  <a:pt x="5479392" y="3724237"/>
                                </a:moveTo>
                                <a:lnTo>
                                  <a:pt x="3997302" y="2744596"/>
                                </a:lnTo>
                                <a:lnTo>
                                  <a:pt x="3928595" y="2699257"/>
                                </a:lnTo>
                                <a:lnTo>
                                  <a:pt x="3913924" y="2688407"/>
                                </a:lnTo>
                                <a:lnTo>
                                  <a:pt x="3880081" y="2646044"/>
                                </a:lnTo>
                                <a:lnTo>
                                  <a:pt x="3863888" y="2579623"/>
                                </a:lnTo>
                                <a:lnTo>
                                  <a:pt x="3867937" y="2545675"/>
                                </a:lnTo>
                                <a:lnTo>
                                  <a:pt x="3889536" y="2497637"/>
                                </a:lnTo>
                                <a:lnTo>
                                  <a:pt x="3928595" y="2459989"/>
                                </a:lnTo>
                                <a:lnTo>
                                  <a:pt x="5479392" y="1442693"/>
                                </a:lnTo>
                              </a:path>
                              <a:path w="5479415" h="3724275">
                                <a:moveTo>
                                  <a:pt x="5479392" y="1098884"/>
                                </a:moveTo>
                                <a:lnTo>
                                  <a:pt x="3694534" y="2316860"/>
                                </a:lnTo>
                                <a:lnTo>
                                  <a:pt x="3656053" y="2335291"/>
                                </a:lnTo>
                                <a:lnTo>
                                  <a:pt x="3613762" y="2341625"/>
                                </a:lnTo>
                                <a:lnTo>
                                  <a:pt x="3592978" y="2340115"/>
                                </a:lnTo>
                                <a:lnTo>
                                  <a:pt x="3572741" y="2335640"/>
                                </a:lnTo>
                                <a:lnTo>
                                  <a:pt x="3553362" y="2328284"/>
                                </a:lnTo>
                                <a:lnTo>
                                  <a:pt x="3535149" y="231813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79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Graphic 5"/>
                        <wps:cNvSpPr/>
                        <wps:spPr>
                          <a:xfrm>
                            <a:off x="0" y="1204306"/>
                            <a:ext cx="5425440" cy="94888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25440" h="9488805">
                                <a:moveTo>
                                  <a:pt x="1537335" y="1055624"/>
                                </a:moveTo>
                                <a:lnTo>
                                  <a:pt x="1415923" y="973201"/>
                                </a:lnTo>
                                <a:lnTo>
                                  <a:pt x="1297559" y="1055624"/>
                                </a:lnTo>
                                <a:lnTo>
                                  <a:pt x="1297559" y="1226820"/>
                                </a:lnTo>
                                <a:lnTo>
                                  <a:pt x="1537335" y="1055624"/>
                                </a:lnTo>
                                <a:close/>
                              </a:path>
                              <a:path w="5425440" h="9488805">
                                <a:moveTo>
                                  <a:pt x="2474849" y="814705"/>
                                </a:moveTo>
                                <a:lnTo>
                                  <a:pt x="2235073" y="646684"/>
                                </a:lnTo>
                                <a:lnTo>
                                  <a:pt x="1936115" y="849503"/>
                                </a:lnTo>
                                <a:lnTo>
                                  <a:pt x="2063750" y="932053"/>
                                </a:lnTo>
                                <a:lnTo>
                                  <a:pt x="1898650" y="1049274"/>
                                </a:lnTo>
                                <a:lnTo>
                                  <a:pt x="1549908" y="808355"/>
                                </a:lnTo>
                                <a:lnTo>
                                  <a:pt x="2113661" y="412115"/>
                                </a:lnTo>
                                <a:lnTo>
                                  <a:pt x="2001520" y="332867"/>
                                </a:lnTo>
                                <a:lnTo>
                                  <a:pt x="1297559" y="814705"/>
                                </a:lnTo>
                                <a:lnTo>
                                  <a:pt x="1886204" y="1220470"/>
                                </a:lnTo>
                                <a:lnTo>
                                  <a:pt x="2134552" y="1049274"/>
                                </a:lnTo>
                                <a:lnTo>
                                  <a:pt x="2474849" y="814705"/>
                                </a:lnTo>
                                <a:close/>
                              </a:path>
                              <a:path w="5425440" h="9488805">
                                <a:moveTo>
                                  <a:pt x="2474976" y="405765"/>
                                </a:moveTo>
                                <a:lnTo>
                                  <a:pt x="2134679" y="171196"/>
                                </a:lnTo>
                                <a:lnTo>
                                  <a:pt x="1886331" y="0"/>
                                </a:lnTo>
                                <a:lnTo>
                                  <a:pt x="1297559" y="405765"/>
                                </a:lnTo>
                                <a:lnTo>
                                  <a:pt x="1543558" y="573786"/>
                                </a:lnTo>
                                <a:lnTo>
                                  <a:pt x="1836420" y="374015"/>
                                </a:lnTo>
                                <a:lnTo>
                                  <a:pt x="1708658" y="288544"/>
                                </a:lnTo>
                                <a:lnTo>
                                  <a:pt x="1873758" y="171196"/>
                                </a:lnTo>
                                <a:lnTo>
                                  <a:pt x="2222627" y="412115"/>
                                </a:lnTo>
                                <a:lnTo>
                                  <a:pt x="1658874" y="808355"/>
                                </a:lnTo>
                                <a:lnTo>
                                  <a:pt x="1777238" y="887603"/>
                                </a:lnTo>
                                <a:lnTo>
                                  <a:pt x="2474976" y="405765"/>
                                </a:lnTo>
                                <a:close/>
                              </a:path>
                              <a:path w="5425440" h="9488805">
                                <a:moveTo>
                                  <a:pt x="2481199" y="6350"/>
                                </a:moveTo>
                                <a:lnTo>
                                  <a:pt x="2241296" y="171196"/>
                                </a:lnTo>
                                <a:lnTo>
                                  <a:pt x="2359660" y="256794"/>
                                </a:lnTo>
                                <a:lnTo>
                                  <a:pt x="2481199" y="171196"/>
                                </a:lnTo>
                                <a:lnTo>
                                  <a:pt x="2481199" y="6350"/>
                                </a:lnTo>
                                <a:close/>
                              </a:path>
                              <a:path w="5425440" h="9488805">
                                <a:moveTo>
                                  <a:pt x="5425122" y="8757031"/>
                                </a:moveTo>
                                <a:lnTo>
                                  <a:pt x="5408930" y="8690635"/>
                                </a:lnTo>
                                <a:lnTo>
                                  <a:pt x="5375021" y="8648243"/>
                                </a:lnTo>
                                <a:lnTo>
                                  <a:pt x="268655" y="5298186"/>
                                </a:lnTo>
                                <a:lnTo>
                                  <a:pt x="230009" y="5280418"/>
                                </a:lnTo>
                                <a:lnTo>
                                  <a:pt x="188734" y="5274729"/>
                                </a:lnTo>
                                <a:lnTo>
                                  <a:pt x="147548" y="5281079"/>
                                </a:lnTo>
                                <a:lnTo>
                                  <a:pt x="109194" y="5299456"/>
                                </a:lnTo>
                                <a:lnTo>
                                  <a:pt x="0" y="5373967"/>
                                </a:lnTo>
                                <a:lnTo>
                                  <a:pt x="0" y="9488564"/>
                                </a:lnTo>
                                <a:lnTo>
                                  <a:pt x="4434332" y="9488576"/>
                                </a:lnTo>
                                <a:lnTo>
                                  <a:pt x="5360416" y="8876652"/>
                                </a:lnTo>
                                <a:lnTo>
                                  <a:pt x="5399456" y="8839009"/>
                                </a:lnTo>
                                <a:lnTo>
                                  <a:pt x="5421071" y="8790965"/>
                                </a:lnTo>
                                <a:lnTo>
                                  <a:pt x="5425122" y="87570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FB2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.0pt;margin-top:-.267325pt;width:595.6pt;height:842.1pt;mso-position-horizontal-relative:page;mso-position-vertical-relative:page;z-index:-15934464" id="docshapegroup2" coordorigin="0,-5" coordsize="11912,16842">
                <v:shape style="position:absolute;left:708;top:4363;width:11198;height:12473" type="#_x0000_t75" id="docshape3" stroked="false">
                  <v:imagedata r:id="rId5" o:title=""/>
                </v:shape>
                <v:shape style="position:absolute;left:3277;top:0;width:8629;height:5865" id="docshape4" coordorigin="3277,0" coordsize="8629,5865" path="m11906,5865l9572,4322,9464,4251,9441,4234,9421,4214,9403,4192,9388,4167,9369,4116,9362,4062,9369,4009,9388,3958,9403,3933,9421,3911,9441,3891,9464,3874,11906,2272m11906,1731l9096,3649,9066,3665,9035,3678,9002,3685,8968,3688,8936,3685,8904,3678,8873,3667,8845,3651,3277,0e" filled="false" stroked="true" strokeweight=".534650pt" strokecolor="#ffffff">
                  <v:path arrowok="t"/>
                  <v:stroke dashstyle="solid"/>
                </v:shape>
                <v:shape style="position:absolute;left:0;top:1891;width:8544;height:14943" id="docshape5" coordorigin="0,1891" coordsize="8544,14943" path="m2421,3554l2230,3424,2043,3554,2043,3823,2421,3554xm3897,3174l3520,2910,3049,3229,3250,3359,2990,3544,2441,3164,3329,2540,3152,2415,2043,3174,2970,3813,3362,3544,3897,3174xm3898,2530l3362,2161,2971,1891,2043,2530,2431,2795,2892,2480,2691,2346,2951,2161,3500,2540,2612,3164,2799,3289,3898,2530xm3907,1901l3530,2161,3716,2296,3907,2161,3907,1901xm8544,15682l8537,15628,8518,15577,8503,15553,8485,15530,8465,15510,8442,15493,423,10235,362,10207,297,10198,232,10208,172,10237,0,10354,0,16834,6983,16834,8442,15870,8465,15853,8485,15833,8503,15811,8518,15786,8537,15735,8544,15682xe" filled="true" fillcolor="#fbfb2f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pStyle w:val="BodyText"/>
        <w:rPr>
          <w:rFonts w:ascii="Times New Roman"/>
          <w:sz w:val="26"/>
        </w:rPr>
      </w:pPr>
    </w:p>
    <w:p>
      <w:pPr>
        <w:pStyle w:val="BodyText"/>
        <w:rPr>
          <w:rFonts w:ascii="Times New Roman"/>
          <w:sz w:val="26"/>
        </w:rPr>
      </w:pPr>
    </w:p>
    <w:p>
      <w:pPr>
        <w:pStyle w:val="BodyText"/>
        <w:rPr>
          <w:rFonts w:ascii="Times New Roman"/>
          <w:sz w:val="26"/>
        </w:rPr>
      </w:pPr>
    </w:p>
    <w:p>
      <w:pPr>
        <w:pStyle w:val="BodyText"/>
        <w:rPr>
          <w:rFonts w:ascii="Times New Roman"/>
          <w:sz w:val="26"/>
        </w:rPr>
      </w:pPr>
    </w:p>
    <w:p>
      <w:pPr>
        <w:pStyle w:val="BodyText"/>
        <w:rPr>
          <w:rFonts w:ascii="Times New Roman"/>
          <w:sz w:val="26"/>
        </w:rPr>
      </w:pPr>
    </w:p>
    <w:p>
      <w:pPr>
        <w:pStyle w:val="BodyText"/>
        <w:spacing w:before="43"/>
        <w:rPr>
          <w:rFonts w:ascii="Times New Roman"/>
          <w:sz w:val="26"/>
        </w:rPr>
      </w:pPr>
    </w:p>
    <w:p>
      <w:pPr>
        <w:spacing w:line="272" w:lineRule="exact" w:before="0"/>
        <w:ind w:left="1605" w:right="0" w:firstLine="0"/>
        <w:jc w:val="left"/>
        <w:rPr>
          <w:rFonts w:ascii="BancoDoBrasil Titulos" w:hAnsi="BancoDoBrasil Titulos"/>
          <w:b/>
          <w:sz w:val="26"/>
        </w:rPr>
      </w:pPr>
      <w:bookmarkStart w:name="Capa_Relad_Português" w:id="1"/>
      <w:bookmarkEnd w:id="1"/>
      <w:r>
        <w:rPr/>
      </w:r>
      <w:r>
        <w:rPr>
          <w:rFonts w:ascii="BancoDoBrasil Titulos" w:hAnsi="BancoDoBrasil Titulos"/>
          <w:b/>
          <w:color w:val="FFF8F8"/>
          <w:spacing w:val="-2"/>
          <w:sz w:val="26"/>
        </w:rPr>
        <w:t>Relatório</w:t>
      </w:r>
      <w:r>
        <w:rPr>
          <w:rFonts w:ascii="BancoDoBrasil Titulos" w:hAnsi="BancoDoBrasil Titulos"/>
          <w:b/>
          <w:color w:val="FFF8F8"/>
          <w:spacing w:val="-12"/>
          <w:sz w:val="26"/>
        </w:rPr>
        <w:t> </w:t>
      </w:r>
      <w:r>
        <w:rPr>
          <w:rFonts w:ascii="BancoDoBrasil Titulos" w:hAnsi="BancoDoBrasil Titulos"/>
          <w:b/>
          <w:color w:val="FFF8F8"/>
          <w:spacing w:val="-7"/>
          <w:sz w:val="26"/>
        </w:rPr>
        <w:t>da</w:t>
      </w:r>
    </w:p>
    <w:p>
      <w:pPr>
        <w:spacing w:line="512" w:lineRule="exact" w:before="0"/>
        <w:ind w:left="1567" w:right="0" w:firstLine="0"/>
        <w:jc w:val="left"/>
        <w:rPr>
          <w:rFonts w:ascii="BancoDoBrasil Titulos" w:hAnsi="BancoDoBrasil Titulos"/>
          <w:b/>
          <w:sz w:val="48"/>
        </w:rPr>
      </w:pPr>
      <w:r>
        <w:rPr>
          <w:rFonts w:ascii="BancoDoBrasil Titulos" w:hAnsi="BancoDoBrasil Titulos"/>
          <w:b/>
          <w:color w:val="FFF8F8"/>
          <w:spacing w:val="-2"/>
          <w:sz w:val="48"/>
        </w:rPr>
        <w:t>Administração</w:t>
      </w:r>
    </w:p>
    <w:p>
      <w:pPr>
        <w:pStyle w:val="Title"/>
      </w:pPr>
      <w:r>
        <w:rPr>
          <w:color w:val="FFFFFF"/>
          <w:spacing w:val="-4"/>
        </w:rPr>
        <w:t>1S25</w:t>
      </w:r>
    </w:p>
    <w:p>
      <w:pPr>
        <w:pStyle w:val="Title"/>
        <w:spacing w:after="0"/>
        <w:sectPr>
          <w:type w:val="continuous"/>
          <w:pgSz w:w="11910" w:h="16840"/>
          <w:pgMar w:top="1920" w:bottom="280" w:left="425" w:right="708"/>
        </w:sectPr>
      </w:pPr>
    </w:p>
    <w:p>
      <w:pPr>
        <w:spacing w:line="626" w:lineRule="exact" w:before="24"/>
        <w:ind w:left="134" w:right="0" w:firstLine="0"/>
        <w:jc w:val="left"/>
        <w:rPr>
          <w:rFonts w:ascii="BancoDoBrasil Titulos Medium" w:hAnsi="BancoDoBrasil Titulos Medium"/>
          <w:b w:val="0"/>
          <w:sz w:val="52"/>
        </w:rPr>
      </w:pPr>
      <w:bookmarkStart w:name="RELAD_1S25_COSIF_1408_12h38" w:id="2"/>
      <w:bookmarkEnd w:id="2"/>
      <w:r>
        <w:rPr/>
      </w:r>
      <w:r>
        <w:rPr>
          <w:rFonts w:ascii="BancoDoBrasil Titulos Medium" w:hAnsi="BancoDoBrasil Titulos Medium"/>
          <w:b w:val="0"/>
          <w:color w:val="FFFFFF"/>
          <w:spacing w:val="13"/>
          <w:sz w:val="52"/>
        </w:rPr>
        <w:t>Relatório</w:t>
      </w:r>
      <w:r>
        <w:rPr>
          <w:rFonts w:ascii="BancoDoBrasil Titulos Medium" w:hAnsi="BancoDoBrasil Titulos Medium"/>
          <w:b w:val="0"/>
          <w:color w:val="FFFFFF"/>
          <w:spacing w:val="41"/>
          <w:sz w:val="52"/>
        </w:rPr>
        <w:t> </w:t>
      </w:r>
      <w:r>
        <w:rPr>
          <w:rFonts w:ascii="BancoDoBrasil Titulos Medium" w:hAnsi="BancoDoBrasil Titulos Medium"/>
          <w:b w:val="0"/>
          <w:color w:val="FFFFFF"/>
          <w:spacing w:val="-5"/>
          <w:sz w:val="52"/>
        </w:rPr>
        <w:t>da</w:t>
      </w:r>
    </w:p>
    <w:p>
      <w:pPr>
        <w:spacing w:line="626" w:lineRule="exact" w:before="0"/>
        <w:ind w:left="134" w:right="0" w:firstLine="0"/>
        <w:jc w:val="left"/>
        <w:rPr>
          <w:rFonts w:ascii="BancoDoBrasil Titulos Medium" w:hAnsi="BancoDoBrasil Titulos Medium"/>
          <w:b w:val="0"/>
          <w:sz w:val="52"/>
        </w:rPr>
      </w:pPr>
      <w:r>
        <w:rPr>
          <w:rFonts w:ascii="BancoDoBrasil Titulos Medium" w:hAnsi="BancoDoBrasil Titulos Medium"/>
          <w:b w:val="0"/>
          <w:color w:val="FFFFFF"/>
          <w:spacing w:val="14"/>
          <w:sz w:val="52"/>
        </w:rPr>
        <w:t>Administração</w:t>
      </w:r>
      <w:r>
        <w:rPr>
          <w:rFonts w:ascii="BancoDoBrasil Titulos Medium" w:hAnsi="BancoDoBrasil Titulos Medium"/>
          <w:b w:val="0"/>
          <w:color w:val="FFFFFF"/>
          <w:spacing w:val="40"/>
          <w:sz w:val="52"/>
        </w:rPr>
        <w:t> </w:t>
      </w:r>
      <w:r>
        <w:rPr>
          <w:rFonts w:ascii="BancoDoBrasil Textos Light" w:hAnsi="BancoDoBrasil Textos Light"/>
          <w:b w:val="0"/>
          <w:color w:val="FFFFFF"/>
          <w:sz w:val="52"/>
        </w:rPr>
        <w:t>|</w:t>
      </w:r>
      <w:r>
        <w:rPr>
          <w:rFonts w:ascii="BancoDoBrasil Textos Light" w:hAnsi="BancoDoBrasil Textos Light"/>
          <w:b w:val="0"/>
          <w:color w:val="FFFFFF"/>
          <w:spacing w:val="44"/>
          <w:sz w:val="52"/>
        </w:rPr>
        <w:t> </w:t>
      </w:r>
      <w:r>
        <w:rPr>
          <w:rFonts w:ascii="BancoDoBrasil Titulos Medium" w:hAnsi="BancoDoBrasil Titulos Medium"/>
          <w:b w:val="0"/>
          <w:color w:val="FFFFFF"/>
          <w:spacing w:val="10"/>
          <w:sz w:val="52"/>
        </w:rPr>
        <w:t>1S25</w:t>
      </w:r>
    </w:p>
    <w:p>
      <w:pPr>
        <w:pStyle w:val="BodyText"/>
        <w:rPr>
          <w:rFonts w:ascii="BancoDoBrasil Titulos Medium"/>
          <w:b w:val="0"/>
        </w:rPr>
      </w:pPr>
    </w:p>
    <w:p>
      <w:pPr>
        <w:pStyle w:val="BodyText"/>
        <w:rPr>
          <w:rFonts w:ascii="BancoDoBrasil Titulos Medium"/>
          <w:b w:val="0"/>
        </w:rPr>
      </w:pPr>
    </w:p>
    <w:p>
      <w:pPr>
        <w:pStyle w:val="BodyText"/>
        <w:rPr>
          <w:rFonts w:ascii="BancoDoBrasil Titulos Medium"/>
          <w:b w:val="0"/>
        </w:rPr>
      </w:pPr>
    </w:p>
    <w:p>
      <w:pPr>
        <w:pStyle w:val="BodyText"/>
        <w:rPr>
          <w:rFonts w:ascii="BancoDoBrasil Titulos Medium"/>
          <w:b w:val="0"/>
        </w:rPr>
      </w:pPr>
    </w:p>
    <w:p>
      <w:pPr>
        <w:pStyle w:val="BodyText"/>
        <w:spacing w:before="36"/>
        <w:rPr>
          <w:rFonts w:ascii="BancoDoBrasil Titulos Medium"/>
          <w:b w:val="0"/>
        </w:rPr>
      </w:pPr>
    </w:p>
    <w:p>
      <w:pPr>
        <w:pStyle w:val="BodyText"/>
        <w:spacing w:line="321" w:lineRule="auto" w:before="1"/>
        <w:ind w:left="5881" w:right="141"/>
        <w:jc w:val="both"/>
        <w:rPr>
          <w:rFonts w:ascii="BancoDoBrasil Textos Light" w:hAnsi="BancoDoBrasil Textos Light"/>
          <w:b w:val="0"/>
        </w:rPr>
      </w:pPr>
      <w:r>
        <w:rPr>
          <w:rFonts w:ascii="BancoDoBrasil Textos Light" w:hAnsi="BancoDoBrasil Textos Light"/>
          <w:b w:val="0"/>
          <w:color w:val="FFFFFF"/>
        </w:rPr>
        <w:t>Influenciadas pela nova dinâmica de constituição a partir da adoção da Resolução 4.966/21, as perdas esperadas refletiram, principalmente, o aumento da </w:t>
      </w:r>
      <w:r>
        <w:rPr>
          <w:rFonts w:ascii="BancoDoBrasil Textos Light" w:hAnsi="BancoDoBrasil Textos Light"/>
          <w:b w:val="0"/>
          <w:color w:val="FFFFFF"/>
          <w:spacing w:val="-2"/>
        </w:rPr>
        <w:t>inadimplência</w:t>
      </w:r>
      <w:r>
        <w:rPr>
          <w:rFonts w:ascii="BancoDoBrasil Textos Light" w:hAnsi="BancoDoBrasil Textos Light"/>
          <w:b w:val="0"/>
          <w:color w:val="FFFFFF"/>
          <w:spacing w:val="-3"/>
        </w:rPr>
        <w:t> </w:t>
      </w:r>
      <w:r>
        <w:rPr>
          <w:rFonts w:ascii="BancoDoBrasil Textos Light" w:hAnsi="BancoDoBrasil Textos Light"/>
          <w:b w:val="0"/>
          <w:color w:val="FFFFFF"/>
          <w:spacing w:val="-2"/>
        </w:rPr>
        <w:t>na</w:t>
      </w:r>
      <w:r>
        <w:rPr>
          <w:rFonts w:ascii="BancoDoBrasil Textos Light" w:hAnsi="BancoDoBrasil Textos Light"/>
          <w:b w:val="0"/>
          <w:color w:val="FFFFFF"/>
          <w:spacing w:val="-3"/>
        </w:rPr>
        <w:t> </w:t>
      </w:r>
      <w:r>
        <w:rPr>
          <w:rFonts w:ascii="BancoDoBrasil Textos Light" w:hAnsi="BancoDoBrasil Textos Light"/>
          <w:b w:val="0"/>
          <w:color w:val="FFFFFF"/>
          <w:spacing w:val="-2"/>
        </w:rPr>
        <w:t>carteira</w:t>
      </w:r>
      <w:r>
        <w:rPr>
          <w:rFonts w:ascii="BancoDoBrasil Textos Light" w:hAnsi="BancoDoBrasil Textos Light"/>
          <w:b w:val="0"/>
          <w:color w:val="FFFFFF"/>
          <w:spacing w:val="-3"/>
        </w:rPr>
        <w:t> </w:t>
      </w:r>
      <w:r>
        <w:rPr>
          <w:rFonts w:ascii="BancoDoBrasil Textos Light" w:hAnsi="BancoDoBrasil Textos Light"/>
          <w:b w:val="0"/>
          <w:color w:val="FFFFFF"/>
          <w:spacing w:val="-2"/>
        </w:rPr>
        <w:t>de</w:t>
      </w:r>
      <w:r>
        <w:rPr>
          <w:rFonts w:ascii="BancoDoBrasil Textos Light" w:hAnsi="BancoDoBrasil Textos Light"/>
          <w:b w:val="0"/>
          <w:color w:val="FFFFFF"/>
          <w:spacing w:val="-6"/>
        </w:rPr>
        <w:t> </w:t>
      </w:r>
      <w:r>
        <w:rPr>
          <w:rFonts w:ascii="BancoDoBrasil Textos Light" w:hAnsi="BancoDoBrasil Textos Light"/>
          <w:b w:val="0"/>
          <w:color w:val="FFFFFF"/>
          <w:spacing w:val="-2"/>
        </w:rPr>
        <w:t>agronegócios</w:t>
      </w:r>
      <w:r>
        <w:rPr>
          <w:rFonts w:ascii="BancoDoBrasil Textos Light" w:hAnsi="BancoDoBrasil Textos Light"/>
          <w:b w:val="0"/>
          <w:color w:val="FFFFFF"/>
          <w:spacing w:val="-3"/>
        </w:rPr>
        <w:t> </w:t>
      </w:r>
      <w:r>
        <w:rPr>
          <w:rFonts w:ascii="BancoDoBrasil Textos Light" w:hAnsi="BancoDoBrasil Textos Light"/>
          <w:b w:val="0"/>
          <w:color w:val="FFFFFF"/>
          <w:spacing w:val="-2"/>
        </w:rPr>
        <w:t>e</w:t>
      </w:r>
      <w:r>
        <w:rPr>
          <w:rFonts w:ascii="BancoDoBrasil Textos Light" w:hAnsi="BancoDoBrasil Textos Light"/>
          <w:b w:val="0"/>
          <w:color w:val="FFFFFF"/>
          <w:spacing w:val="-6"/>
        </w:rPr>
        <w:t> </w:t>
      </w:r>
      <w:r>
        <w:rPr>
          <w:rFonts w:ascii="BancoDoBrasil Textos Light" w:hAnsi="BancoDoBrasil Textos Light"/>
          <w:b w:val="0"/>
          <w:color w:val="FFFFFF"/>
          <w:spacing w:val="-2"/>
        </w:rPr>
        <w:t>de</w:t>
      </w:r>
      <w:r>
        <w:rPr>
          <w:rFonts w:ascii="BancoDoBrasil Textos Light" w:hAnsi="BancoDoBrasil Textos Light"/>
          <w:b w:val="0"/>
          <w:color w:val="FFFFFF"/>
          <w:spacing w:val="-4"/>
        </w:rPr>
        <w:t> </w:t>
      </w:r>
      <w:r>
        <w:rPr>
          <w:rFonts w:ascii="BancoDoBrasil Textos Light" w:hAnsi="BancoDoBrasil Textos Light"/>
          <w:b w:val="0"/>
          <w:color w:val="FFFFFF"/>
          <w:spacing w:val="-2"/>
        </w:rPr>
        <w:t>Micro, </w:t>
      </w:r>
      <w:r>
        <w:rPr>
          <w:rFonts w:ascii="BancoDoBrasil Textos Light" w:hAnsi="BancoDoBrasil Textos Light"/>
          <w:b w:val="0"/>
          <w:color w:val="FFFFFF"/>
        </w:rPr>
        <w:t>Pequenas e Médias Empresas, em menor escala. Diante</w:t>
      </w:r>
      <w:r>
        <w:rPr>
          <w:rFonts w:ascii="BancoDoBrasil Textos Light" w:hAnsi="BancoDoBrasil Textos Light"/>
          <w:b w:val="0"/>
          <w:color w:val="FFFFFF"/>
          <w:spacing w:val="-13"/>
        </w:rPr>
        <w:t> </w:t>
      </w:r>
      <w:r>
        <w:rPr>
          <w:rFonts w:ascii="BancoDoBrasil Textos Light" w:hAnsi="BancoDoBrasil Textos Light"/>
          <w:b w:val="0"/>
          <w:color w:val="FFFFFF"/>
        </w:rPr>
        <w:t>disso,</w:t>
      </w:r>
      <w:r>
        <w:rPr>
          <w:rFonts w:ascii="BancoDoBrasil Textos Light" w:hAnsi="BancoDoBrasil Textos Light"/>
          <w:b w:val="0"/>
          <w:color w:val="FFFFFF"/>
          <w:spacing w:val="-12"/>
        </w:rPr>
        <w:t> </w:t>
      </w:r>
      <w:r>
        <w:rPr>
          <w:rFonts w:ascii="BancoDoBrasil Textos Light" w:hAnsi="BancoDoBrasil Textos Light"/>
          <w:b w:val="0"/>
          <w:color w:val="FFFFFF"/>
        </w:rPr>
        <w:t>tomamos</w:t>
      </w:r>
      <w:r>
        <w:rPr>
          <w:rFonts w:ascii="BancoDoBrasil Textos Light" w:hAnsi="BancoDoBrasil Textos Light"/>
          <w:b w:val="0"/>
          <w:color w:val="FFFFFF"/>
          <w:spacing w:val="-12"/>
        </w:rPr>
        <w:t> </w:t>
      </w:r>
      <w:r>
        <w:rPr>
          <w:rFonts w:ascii="BancoDoBrasil Textos Light" w:hAnsi="BancoDoBrasil Textos Light"/>
          <w:b w:val="0"/>
          <w:color w:val="FFFFFF"/>
        </w:rPr>
        <w:t>ações</w:t>
      </w:r>
      <w:r>
        <w:rPr>
          <w:rFonts w:ascii="BancoDoBrasil Textos Light" w:hAnsi="BancoDoBrasil Textos Light"/>
          <w:b w:val="0"/>
          <w:color w:val="FFFFFF"/>
          <w:spacing w:val="-12"/>
        </w:rPr>
        <w:t> </w:t>
      </w:r>
      <w:r>
        <w:rPr>
          <w:rFonts w:ascii="BancoDoBrasil Textos Light" w:hAnsi="BancoDoBrasil Textos Light"/>
          <w:b w:val="0"/>
          <w:color w:val="FFFFFF"/>
        </w:rPr>
        <w:t>imediatas</w:t>
      </w:r>
      <w:r>
        <w:rPr>
          <w:rFonts w:ascii="BancoDoBrasil Textos Light" w:hAnsi="BancoDoBrasil Textos Light"/>
          <w:b w:val="0"/>
          <w:color w:val="FFFFFF"/>
          <w:spacing w:val="-13"/>
        </w:rPr>
        <w:t> </w:t>
      </w:r>
      <w:r>
        <w:rPr>
          <w:rFonts w:ascii="BancoDoBrasil Textos Light" w:hAnsi="BancoDoBrasil Textos Light"/>
          <w:b w:val="0"/>
          <w:color w:val="FFFFFF"/>
        </w:rPr>
        <w:t>que</w:t>
      </w:r>
      <w:r>
        <w:rPr>
          <w:rFonts w:ascii="BancoDoBrasil Textos Light" w:hAnsi="BancoDoBrasil Textos Light"/>
          <w:b w:val="0"/>
          <w:color w:val="FFFFFF"/>
          <w:spacing w:val="-12"/>
        </w:rPr>
        <w:t> </w:t>
      </w:r>
      <w:r>
        <w:rPr>
          <w:rFonts w:ascii="BancoDoBrasil Textos Light" w:hAnsi="BancoDoBrasil Textos Light"/>
          <w:b w:val="0"/>
          <w:color w:val="FFFFFF"/>
        </w:rPr>
        <w:t>incluem</w:t>
      </w:r>
      <w:r>
        <w:rPr>
          <w:rFonts w:ascii="BancoDoBrasil Textos Light" w:hAnsi="BancoDoBrasil Textos Light"/>
          <w:b w:val="0"/>
          <w:color w:val="FFFFFF"/>
          <w:spacing w:val="-12"/>
        </w:rPr>
        <w:t> </w:t>
      </w:r>
      <w:r>
        <w:rPr>
          <w:rFonts w:ascii="BancoDoBrasil Textos Light" w:hAnsi="BancoDoBrasil Textos Light"/>
          <w:b w:val="0"/>
          <w:color w:val="FFFFFF"/>
        </w:rPr>
        <w:t>a revisão dos fluxos de cobrança, priorização de desembolsos no contexto da matriz de resiliência, maior</w:t>
      </w:r>
      <w:r>
        <w:rPr>
          <w:rFonts w:ascii="BancoDoBrasil Textos Light" w:hAnsi="BancoDoBrasil Textos Light"/>
          <w:b w:val="0"/>
          <w:color w:val="FFFFFF"/>
          <w:spacing w:val="-8"/>
        </w:rPr>
        <w:t> </w:t>
      </w:r>
      <w:r>
        <w:rPr>
          <w:rFonts w:ascii="BancoDoBrasil Textos Light" w:hAnsi="BancoDoBrasil Textos Light"/>
          <w:b w:val="0"/>
          <w:color w:val="FFFFFF"/>
        </w:rPr>
        <w:t>concessão</w:t>
      </w:r>
      <w:r>
        <w:rPr>
          <w:rFonts w:ascii="BancoDoBrasil Textos Light" w:hAnsi="BancoDoBrasil Textos Light"/>
          <w:b w:val="0"/>
          <w:color w:val="FFFFFF"/>
          <w:spacing w:val="-9"/>
        </w:rPr>
        <w:t> </w:t>
      </w:r>
      <w:r>
        <w:rPr>
          <w:rFonts w:ascii="BancoDoBrasil Textos Light" w:hAnsi="BancoDoBrasil Textos Light"/>
          <w:b w:val="0"/>
          <w:color w:val="FFFFFF"/>
        </w:rPr>
        <w:t>em</w:t>
      </w:r>
      <w:r>
        <w:rPr>
          <w:rFonts w:ascii="BancoDoBrasil Textos Light" w:hAnsi="BancoDoBrasil Textos Light"/>
          <w:b w:val="0"/>
          <w:color w:val="FFFFFF"/>
          <w:spacing w:val="-8"/>
        </w:rPr>
        <w:t> </w:t>
      </w:r>
      <w:r>
        <w:rPr>
          <w:rFonts w:ascii="BancoDoBrasil Textos Light" w:hAnsi="BancoDoBrasil Textos Light"/>
          <w:b w:val="0"/>
          <w:color w:val="FFFFFF"/>
        </w:rPr>
        <w:t>linhas</w:t>
      </w:r>
      <w:r>
        <w:rPr>
          <w:rFonts w:ascii="BancoDoBrasil Textos Light" w:hAnsi="BancoDoBrasil Textos Light"/>
          <w:b w:val="0"/>
          <w:color w:val="FFFFFF"/>
          <w:spacing w:val="-7"/>
        </w:rPr>
        <w:t> </w:t>
      </w:r>
      <w:r>
        <w:rPr>
          <w:rFonts w:ascii="BancoDoBrasil Textos Light" w:hAnsi="BancoDoBrasil Textos Light"/>
          <w:b w:val="0"/>
          <w:color w:val="FFFFFF"/>
        </w:rPr>
        <w:t>que</w:t>
      </w:r>
      <w:r>
        <w:rPr>
          <w:rFonts w:ascii="BancoDoBrasil Textos Light" w:hAnsi="BancoDoBrasil Textos Light"/>
          <w:b w:val="0"/>
          <w:color w:val="FFFFFF"/>
          <w:spacing w:val="-8"/>
        </w:rPr>
        <w:t> </w:t>
      </w:r>
      <w:r>
        <w:rPr>
          <w:rFonts w:ascii="BancoDoBrasil Textos Light" w:hAnsi="BancoDoBrasil Textos Light"/>
          <w:b w:val="0"/>
          <w:color w:val="FFFFFF"/>
        </w:rPr>
        <w:t>possuem</w:t>
      </w:r>
      <w:r>
        <w:rPr>
          <w:rFonts w:ascii="BancoDoBrasil Textos Light" w:hAnsi="BancoDoBrasil Textos Light"/>
          <w:b w:val="0"/>
          <w:color w:val="FFFFFF"/>
          <w:spacing w:val="-8"/>
        </w:rPr>
        <w:t> </w:t>
      </w:r>
      <w:r>
        <w:rPr>
          <w:rFonts w:ascii="BancoDoBrasil Textos Light" w:hAnsi="BancoDoBrasil Textos Light"/>
          <w:b w:val="0"/>
          <w:color w:val="FFFFFF"/>
        </w:rPr>
        <w:t>mitigadores ou fundos garantidores e o reforço do relacionamento cada vez mais próximo e resolutivo junto aos clientes.</w:t>
      </w:r>
    </w:p>
    <w:p>
      <w:pPr>
        <w:pStyle w:val="BodyText"/>
        <w:spacing w:line="321" w:lineRule="auto" w:before="113"/>
        <w:ind w:left="5881" w:right="141"/>
        <w:jc w:val="both"/>
        <w:rPr>
          <w:rFonts w:ascii="BancoDoBrasil Textos Light" w:hAnsi="BancoDoBrasil Textos Light"/>
          <w:b w:val="0"/>
        </w:rPr>
      </w:pPr>
      <w:r>
        <w:rPr>
          <w:rFonts w:ascii="BancoDoBrasil Textos Light" w:hAnsi="BancoDoBrasil Textos Light"/>
          <w:b w:val="0"/>
          <w:color w:val="FFFFFF"/>
        </w:rPr>
        <w:t>Nas Receitas de Prestação de Serviços, os destaques foram as linhas de administração de fundos, consórcios e comissões de seguros, previdência e capitalização, que já representam 56,8% do total, demonstrando a complementariedade do portfólio junto à BB Asset, BB Consórcios e BB Seguridade.</w:t>
      </w:r>
    </w:p>
    <w:p>
      <w:pPr>
        <w:pStyle w:val="BodyText"/>
        <w:spacing w:line="321" w:lineRule="auto" w:before="116"/>
        <w:ind w:left="5881" w:right="142"/>
        <w:jc w:val="both"/>
        <w:rPr>
          <w:rFonts w:ascii="BancoDoBrasil Textos Light" w:hAnsi="BancoDoBrasil Textos Light"/>
          <w:b w:val="0"/>
        </w:rPr>
      </w:pPr>
      <w:r>
        <w:rPr>
          <w:rFonts w:ascii="BancoDoBrasil Textos Light" w:hAnsi="BancoDoBrasil Textos Light"/>
          <w:b w:val="0"/>
          <w:color w:val="FFFFFF"/>
        </w:rPr>
        <w:t>As Despesas Administrativas, por sua vez, apresentaram</w:t>
      </w:r>
      <w:r>
        <w:rPr>
          <w:rFonts w:ascii="BancoDoBrasil Textos Light" w:hAnsi="BancoDoBrasil Textos Light"/>
          <w:b w:val="0"/>
          <w:color w:val="FFFFFF"/>
          <w:spacing w:val="-13"/>
        </w:rPr>
        <w:t> </w:t>
      </w:r>
      <w:r>
        <w:rPr>
          <w:rFonts w:ascii="BancoDoBrasil Textos Light" w:hAnsi="BancoDoBrasil Textos Light"/>
          <w:b w:val="0"/>
          <w:color w:val="FFFFFF"/>
        </w:rPr>
        <w:t>crescimento</w:t>
      </w:r>
      <w:r>
        <w:rPr>
          <w:rFonts w:ascii="BancoDoBrasil Textos Light" w:hAnsi="BancoDoBrasil Textos Light"/>
          <w:b w:val="0"/>
          <w:color w:val="FFFFFF"/>
          <w:spacing w:val="-12"/>
        </w:rPr>
        <w:t> </w:t>
      </w:r>
      <w:r>
        <w:rPr>
          <w:rFonts w:ascii="BancoDoBrasil Textos Light" w:hAnsi="BancoDoBrasil Textos Light"/>
          <w:b w:val="0"/>
          <w:color w:val="FFFFFF"/>
        </w:rPr>
        <w:t>coerente</w:t>
      </w:r>
      <w:r>
        <w:rPr>
          <w:rFonts w:ascii="BancoDoBrasil Textos Light" w:hAnsi="BancoDoBrasil Textos Light"/>
          <w:b w:val="0"/>
          <w:color w:val="FFFFFF"/>
          <w:spacing w:val="-12"/>
        </w:rPr>
        <w:t> </w:t>
      </w:r>
      <w:r>
        <w:rPr>
          <w:rFonts w:ascii="BancoDoBrasil Textos Light" w:hAnsi="BancoDoBrasil Textos Light"/>
          <w:b w:val="0"/>
          <w:color w:val="FFFFFF"/>
        </w:rPr>
        <w:t>com</w:t>
      </w:r>
      <w:r>
        <w:rPr>
          <w:rFonts w:ascii="BancoDoBrasil Textos Light" w:hAnsi="BancoDoBrasil Textos Light"/>
          <w:b w:val="0"/>
          <w:color w:val="FFFFFF"/>
          <w:spacing w:val="-12"/>
        </w:rPr>
        <w:t> </w:t>
      </w:r>
      <w:r>
        <w:rPr>
          <w:rFonts w:ascii="BancoDoBrasil Textos Light" w:hAnsi="BancoDoBrasil Textos Light"/>
          <w:b w:val="0"/>
          <w:color w:val="FFFFFF"/>
        </w:rPr>
        <w:t>a</w:t>
      </w:r>
      <w:r>
        <w:rPr>
          <w:rFonts w:ascii="BancoDoBrasil Textos Light" w:hAnsi="BancoDoBrasil Textos Light"/>
          <w:b w:val="0"/>
          <w:color w:val="FFFFFF"/>
          <w:spacing w:val="-13"/>
        </w:rPr>
        <w:t> </w:t>
      </w:r>
      <w:r>
        <w:rPr>
          <w:rFonts w:ascii="BancoDoBrasil Textos Light" w:hAnsi="BancoDoBrasil Textos Light"/>
          <w:b w:val="0"/>
          <w:color w:val="FFFFFF"/>
        </w:rPr>
        <w:t>operação, alinhado a elevação dos salários dos funcionários e com os investimentos em tecnologia.</w:t>
      </w:r>
    </w:p>
    <w:p>
      <w:pPr>
        <w:pStyle w:val="BodyText"/>
        <w:spacing w:after="0" w:line="321" w:lineRule="auto"/>
        <w:jc w:val="both"/>
        <w:rPr>
          <w:rFonts w:ascii="BancoDoBrasil Textos Light" w:hAnsi="BancoDoBrasil Textos Light"/>
          <w:b w:val="0"/>
        </w:rPr>
        <w:sectPr>
          <w:pgSz w:w="11910" w:h="16850"/>
          <w:pgMar w:top="400" w:bottom="0" w:left="425" w:right="708"/>
        </w:sectPr>
      </w:pPr>
    </w:p>
    <w:p>
      <w:pPr>
        <w:pStyle w:val="BodyText"/>
        <w:spacing w:before="148"/>
        <w:rPr>
          <w:rFonts w:ascii="BancoDoBrasil Textos Light"/>
          <w:b w:val="0"/>
        </w:rPr>
      </w:pPr>
    </w:p>
    <w:p>
      <w:pPr>
        <w:pStyle w:val="BodyText"/>
        <w:spacing w:line="321" w:lineRule="auto" w:before="1"/>
        <w:ind w:left="426" w:right="38"/>
        <w:jc w:val="both"/>
        <w:rPr>
          <w:rFonts w:ascii="BancoDoBrasil Textos Light" w:hAnsi="BancoDoBrasil Textos Light"/>
          <w:b w:val="0"/>
        </w:rPr>
      </w:pPr>
      <w:r>
        <w:rPr>
          <w:rFonts w:ascii="BancoDoBrasil Textos Light" w:hAnsi="BancoDoBrasil Textos Light"/>
          <w:b w:val="0"/>
          <w:color w:val="FFFFFF"/>
        </w:rPr>
        <w:t>Em junho/25, nossos ativos alcançaram R$ 2,4 trilhões, a carteira de crédito superou R$ 1,2 trilhão, com</w:t>
      </w:r>
      <w:r>
        <w:rPr>
          <w:rFonts w:ascii="BancoDoBrasil Textos Light" w:hAnsi="BancoDoBrasil Textos Light"/>
          <w:b w:val="0"/>
          <w:color w:val="FFFFFF"/>
          <w:spacing w:val="-3"/>
        </w:rPr>
        <w:t> </w:t>
      </w:r>
      <w:r>
        <w:rPr>
          <w:rFonts w:ascii="BancoDoBrasil Textos Light" w:hAnsi="BancoDoBrasil Textos Light"/>
          <w:b w:val="0"/>
          <w:color w:val="FFFFFF"/>
        </w:rPr>
        <w:t>crescimento</w:t>
      </w:r>
      <w:r>
        <w:rPr>
          <w:rFonts w:ascii="BancoDoBrasil Textos Light" w:hAnsi="BancoDoBrasil Textos Light"/>
          <w:b w:val="0"/>
          <w:color w:val="FFFFFF"/>
          <w:spacing w:val="-3"/>
        </w:rPr>
        <w:t> </w:t>
      </w:r>
      <w:r>
        <w:rPr>
          <w:rFonts w:ascii="BancoDoBrasil Textos Light" w:hAnsi="BancoDoBrasil Textos Light"/>
          <w:b w:val="0"/>
          <w:color w:val="FFFFFF"/>
        </w:rPr>
        <w:t>em</w:t>
      </w:r>
      <w:r>
        <w:rPr>
          <w:rFonts w:ascii="BancoDoBrasil Textos Light" w:hAnsi="BancoDoBrasil Textos Light"/>
          <w:b w:val="0"/>
          <w:color w:val="FFFFFF"/>
          <w:spacing w:val="-3"/>
        </w:rPr>
        <w:t> </w:t>
      </w:r>
      <w:r>
        <w:rPr>
          <w:rFonts w:ascii="BancoDoBrasil Textos Light" w:hAnsi="BancoDoBrasil Textos Light"/>
          <w:b w:val="0"/>
          <w:color w:val="FFFFFF"/>
        </w:rPr>
        <w:t>todos</w:t>
      </w:r>
      <w:r>
        <w:rPr>
          <w:rFonts w:ascii="BancoDoBrasil Textos Light" w:hAnsi="BancoDoBrasil Textos Light"/>
          <w:b w:val="0"/>
          <w:color w:val="FFFFFF"/>
          <w:spacing w:val="-3"/>
        </w:rPr>
        <w:t> </w:t>
      </w:r>
      <w:r>
        <w:rPr>
          <w:rFonts w:ascii="BancoDoBrasil Textos Light" w:hAnsi="BancoDoBrasil Textos Light"/>
          <w:b w:val="0"/>
          <w:color w:val="FFFFFF"/>
        </w:rPr>
        <w:t>os</w:t>
      </w:r>
      <w:r>
        <w:rPr>
          <w:rFonts w:ascii="BancoDoBrasil Textos Light" w:hAnsi="BancoDoBrasil Textos Light"/>
          <w:b w:val="0"/>
          <w:color w:val="FFFFFF"/>
          <w:spacing w:val="-3"/>
        </w:rPr>
        <w:t> </w:t>
      </w:r>
      <w:r>
        <w:rPr>
          <w:rFonts w:ascii="BancoDoBrasil Textos Light" w:hAnsi="BancoDoBrasil Textos Light"/>
          <w:b w:val="0"/>
          <w:color w:val="FFFFFF"/>
        </w:rPr>
        <w:t>segmentos,</w:t>
      </w:r>
      <w:r>
        <w:rPr>
          <w:rFonts w:ascii="BancoDoBrasil Textos Light" w:hAnsi="BancoDoBrasil Textos Light"/>
          <w:b w:val="0"/>
          <w:color w:val="FFFFFF"/>
          <w:spacing w:val="-3"/>
        </w:rPr>
        <w:t> </w:t>
      </w:r>
      <w:r>
        <w:rPr>
          <w:rFonts w:ascii="BancoDoBrasil Textos Light" w:hAnsi="BancoDoBrasil Textos Light"/>
          <w:b w:val="0"/>
          <w:color w:val="FFFFFF"/>
        </w:rPr>
        <w:t>enquanto os</w:t>
      </w:r>
      <w:r>
        <w:rPr>
          <w:rFonts w:ascii="BancoDoBrasil Textos Light" w:hAnsi="BancoDoBrasil Textos Light"/>
          <w:b w:val="0"/>
          <w:color w:val="FFFFFF"/>
          <w:spacing w:val="-8"/>
        </w:rPr>
        <w:t> </w:t>
      </w:r>
      <w:r>
        <w:rPr>
          <w:rFonts w:ascii="BancoDoBrasil Textos Light" w:hAnsi="BancoDoBrasil Textos Light"/>
          <w:b w:val="0"/>
          <w:color w:val="FFFFFF"/>
        </w:rPr>
        <w:t>recursos</w:t>
      </w:r>
      <w:r>
        <w:rPr>
          <w:rFonts w:ascii="BancoDoBrasil Textos Light" w:hAnsi="BancoDoBrasil Textos Light"/>
          <w:b w:val="0"/>
          <w:color w:val="FFFFFF"/>
          <w:spacing w:val="-5"/>
        </w:rPr>
        <w:t> </w:t>
      </w:r>
      <w:r>
        <w:rPr>
          <w:rFonts w:ascii="BancoDoBrasil Textos Light" w:hAnsi="BancoDoBrasil Textos Light"/>
          <w:b w:val="0"/>
          <w:color w:val="FFFFFF"/>
        </w:rPr>
        <w:t>de</w:t>
      </w:r>
      <w:r>
        <w:rPr>
          <w:rFonts w:ascii="BancoDoBrasil Textos Light" w:hAnsi="BancoDoBrasil Textos Light"/>
          <w:b w:val="0"/>
          <w:color w:val="FFFFFF"/>
          <w:spacing w:val="-5"/>
        </w:rPr>
        <w:t> </w:t>
      </w:r>
      <w:r>
        <w:rPr>
          <w:rFonts w:ascii="BancoDoBrasil Textos Light" w:hAnsi="BancoDoBrasil Textos Light"/>
          <w:b w:val="0"/>
          <w:color w:val="FFFFFF"/>
        </w:rPr>
        <w:t>clientes</w:t>
      </w:r>
      <w:r>
        <w:rPr>
          <w:rFonts w:ascii="BancoDoBrasil Textos Light" w:hAnsi="BancoDoBrasil Textos Light"/>
          <w:b w:val="0"/>
          <w:color w:val="FFFFFF"/>
          <w:spacing w:val="-5"/>
        </w:rPr>
        <w:t> </w:t>
      </w:r>
      <w:r>
        <w:rPr>
          <w:rFonts w:ascii="BancoDoBrasil Textos Light" w:hAnsi="BancoDoBrasil Textos Light"/>
          <w:b w:val="0"/>
          <w:color w:val="FFFFFF"/>
        </w:rPr>
        <w:t>totalizaram</w:t>
      </w:r>
      <w:r>
        <w:rPr>
          <w:rFonts w:ascii="BancoDoBrasil Textos Light" w:hAnsi="BancoDoBrasil Textos Light"/>
          <w:b w:val="0"/>
          <w:color w:val="FFFFFF"/>
          <w:spacing w:val="-5"/>
        </w:rPr>
        <w:t> </w:t>
      </w:r>
      <w:r>
        <w:rPr>
          <w:rFonts w:ascii="BancoDoBrasil Textos Light" w:hAnsi="BancoDoBrasil Textos Light"/>
          <w:b w:val="0"/>
          <w:color w:val="FFFFFF"/>
        </w:rPr>
        <w:t>R$</w:t>
      </w:r>
      <w:r>
        <w:rPr>
          <w:rFonts w:ascii="BancoDoBrasil Textos Light" w:hAnsi="BancoDoBrasil Textos Light"/>
          <w:b w:val="0"/>
          <w:color w:val="FFFFFF"/>
          <w:spacing w:val="-6"/>
        </w:rPr>
        <w:t> </w:t>
      </w:r>
      <w:r>
        <w:rPr>
          <w:rFonts w:ascii="BancoDoBrasil Textos Light" w:hAnsi="BancoDoBrasil Textos Light"/>
          <w:b w:val="0"/>
          <w:color w:val="FFFFFF"/>
        </w:rPr>
        <w:t>880,4</w:t>
      </w:r>
      <w:r>
        <w:rPr>
          <w:rFonts w:ascii="BancoDoBrasil Textos Light" w:hAnsi="BancoDoBrasil Textos Light"/>
          <w:b w:val="0"/>
          <w:color w:val="FFFFFF"/>
          <w:spacing w:val="-6"/>
        </w:rPr>
        <w:t> </w:t>
      </w:r>
      <w:r>
        <w:rPr>
          <w:rFonts w:ascii="BancoDoBrasil Textos Light" w:hAnsi="BancoDoBrasil Textos Light"/>
          <w:b w:val="0"/>
          <w:color w:val="FFFFFF"/>
        </w:rPr>
        <w:t>bilhões.</w:t>
      </w:r>
    </w:p>
    <w:p>
      <w:pPr>
        <w:pStyle w:val="BodyText"/>
        <w:spacing w:line="321" w:lineRule="auto" w:before="116"/>
        <w:ind w:left="426" w:right="38"/>
        <w:jc w:val="both"/>
        <w:rPr>
          <w:rFonts w:ascii="BancoDoBrasil Textos Light" w:hAnsi="BancoDoBrasil Textos Light"/>
          <w:b w:val="0"/>
        </w:rPr>
      </w:pPr>
      <w:r>
        <w:rPr>
          <w:rFonts w:ascii="BancoDoBrasil Textos Light" w:hAnsi="BancoDoBrasil Textos Light"/>
          <w:b w:val="0"/>
          <w:color w:val="FFFFFF"/>
        </w:rPr>
        <w:t>O resultado da intermediação financeira foi impactado pelo aumento das despesas de captação dado o maior volume de depósitos e pelo aumento da Taxa Média Selic e da Taxa Referência, parcialmente compensado pelo crescimento da carteira de crédito que beneficiou as receitas.</w:t>
      </w:r>
    </w:p>
    <w:p>
      <w:pPr>
        <w:pStyle w:val="BodyText"/>
        <w:spacing w:line="321" w:lineRule="auto" w:before="116"/>
        <w:ind w:left="427" w:right="141"/>
        <w:jc w:val="both"/>
        <w:rPr>
          <w:rFonts w:ascii="BancoDoBrasil Textos Light" w:hAnsi="BancoDoBrasil Textos Light"/>
          <w:b w:val="0"/>
        </w:rPr>
      </w:pPr>
      <w:r>
        <w:rPr/>
        <w:br w:type="column"/>
      </w:r>
      <w:r>
        <w:rPr>
          <w:rFonts w:ascii="BancoDoBrasil Textos Light" w:hAnsi="BancoDoBrasil Textos Light"/>
          <w:b w:val="0"/>
          <w:color w:val="FFFFFF"/>
        </w:rPr>
        <w:t>Com</w:t>
      </w:r>
      <w:r>
        <w:rPr>
          <w:rFonts w:ascii="BancoDoBrasil Textos Light" w:hAnsi="BancoDoBrasil Textos Light"/>
          <w:b w:val="0"/>
          <w:color w:val="FFFFFF"/>
          <w:spacing w:val="-7"/>
        </w:rPr>
        <w:t> </w:t>
      </w:r>
      <w:r>
        <w:rPr>
          <w:rFonts w:ascii="BancoDoBrasil Textos Light" w:hAnsi="BancoDoBrasil Textos Light"/>
          <w:b w:val="0"/>
          <w:color w:val="FFFFFF"/>
        </w:rPr>
        <w:t>isso,</w:t>
      </w:r>
      <w:r>
        <w:rPr>
          <w:rFonts w:ascii="BancoDoBrasil Textos Light" w:hAnsi="BancoDoBrasil Textos Light"/>
          <w:b w:val="0"/>
          <w:color w:val="FFFFFF"/>
          <w:spacing w:val="-7"/>
        </w:rPr>
        <w:t> </w:t>
      </w:r>
      <w:r>
        <w:rPr>
          <w:rFonts w:ascii="BancoDoBrasil Textos Light" w:hAnsi="BancoDoBrasil Textos Light"/>
          <w:b w:val="0"/>
          <w:color w:val="FFFFFF"/>
        </w:rPr>
        <w:t>o</w:t>
      </w:r>
      <w:r>
        <w:rPr>
          <w:rFonts w:ascii="BancoDoBrasil Textos Light" w:hAnsi="BancoDoBrasil Textos Light"/>
          <w:b w:val="0"/>
          <w:color w:val="FFFFFF"/>
          <w:spacing w:val="-5"/>
        </w:rPr>
        <w:t> </w:t>
      </w:r>
      <w:r>
        <w:rPr>
          <w:rFonts w:ascii="BancoDoBrasil Textos Light" w:hAnsi="BancoDoBrasil Textos Light"/>
          <w:b w:val="0"/>
          <w:color w:val="FFFFFF"/>
        </w:rPr>
        <w:t>lucro</w:t>
      </w:r>
      <w:r>
        <w:rPr>
          <w:rFonts w:ascii="BancoDoBrasil Textos Light" w:hAnsi="BancoDoBrasil Textos Light"/>
          <w:b w:val="0"/>
          <w:color w:val="FFFFFF"/>
          <w:spacing w:val="-5"/>
        </w:rPr>
        <w:t> </w:t>
      </w:r>
      <w:r>
        <w:rPr>
          <w:rFonts w:ascii="BancoDoBrasil Textos Light" w:hAnsi="BancoDoBrasil Textos Light"/>
          <w:b w:val="0"/>
          <w:color w:val="FFFFFF"/>
        </w:rPr>
        <w:t>líquido</w:t>
      </w:r>
      <w:r>
        <w:rPr>
          <w:rFonts w:ascii="BancoDoBrasil Textos Light" w:hAnsi="BancoDoBrasil Textos Light"/>
          <w:b w:val="0"/>
          <w:color w:val="FFFFFF"/>
          <w:spacing w:val="-5"/>
        </w:rPr>
        <w:t> </w:t>
      </w:r>
      <w:r>
        <w:rPr>
          <w:rFonts w:ascii="BancoDoBrasil Textos Light" w:hAnsi="BancoDoBrasil Textos Light"/>
          <w:b w:val="0"/>
          <w:color w:val="FFFFFF"/>
        </w:rPr>
        <w:t>do</w:t>
      </w:r>
      <w:r>
        <w:rPr>
          <w:rFonts w:ascii="BancoDoBrasil Textos Light" w:hAnsi="BancoDoBrasil Textos Light"/>
          <w:b w:val="0"/>
          <w:color w:val="FFFFFF"/>
          <w:spacing w:val="-5"/>
        </w:rPr>
        <w:t> </w:t>
      </w:r>
      <w:r>
        <w:rPr>
          <w:rFonts w:ascii="BancoDoBrasil Textos Light" w:hAnsi="BancoDoBrasil Textos Light"/>
          <w:b w:val="0"/>
          <w:color w:val="FFFFFF"/>
        </w:rPr>
        <w:t>primeiro</w:t>
      </w:r>
      <w:r>
        <w:rPr>
          <w:rFonts w:ascii="BancoDoBrasil Textos Light" w:hAnsi="BancoDoBrasil Textos Light"/>
          <w:b w:val="0"/>
          <w:color w:val="FFFFFF"/>
          <w:spacing w:val="-8"/>
        </w:rPr>
        <w:t> </w:t>
      </w:r>
      <w:r>
        <w:rPr>
          <w:rFonts w:ascii="BancoDoBrasil Textos Light" w:hAnsi="BancoDoBrasil Textos Light"/>
          <w:b w:val="0"/>
          <w:color w:val="FFFFFF"/>
        </w:rPr>
        <w:t>semestre</w:t>
      </w:r>
      <w:r>
        <w:rPr>
          <w:rFonts w:ascii="BancoDoBrasil Textos Light" w:hAnsi="BancoDoBrasil Textos Light"/>
          <w:b w:val="0"/>
          <w:color w:val="FFFFFF"/>
          <w:spacing w:val="-5"/>
        </w:rPr>
        <w:t> </w:t>
      </w:r>
      <w:r>
        <w:rPr>
          <w:rFonts w:ascii="BancoDoBrasil Textos Light" w:hAnsi="BancoDoBrasil Textos Light"/>
          <w:b w:val="0"/>
          <w:color w:val="FFFFFF"/>
        </w:rPr>
        <w:t>foi</w:t>
      </w:r>
      <w:r>
        <w:rPr>
          <w:rFonts w:ascii="BancoDoBrasil Textos Light" w:hAnsi="BancoDoBrasil Textos Light"/>
          <w:b w:val="0"/>
          <w:color w:val="FFFFFF"/>
          <w:spacing w:val="-5"/>
        </w:rPr>
        <w:t> </w:t>
      </w:r>
      <w:r>
        <w:rPr>
          <w:rFonts w:ascii="BancoDoBrasil Textos Light" w:hAnsi="BancoDoBrasil Textos Light"/>
          <w:b w:val="0"/>
          <w:color w:val="FFFFFF"/>
        </w:rPr>
        <w:t>de </w:t>
      </w:r>
      <w:r>
        <w:rPr>
          <w:rFonts w:ascii="BancoDoBrasil Textos Light" w:hAnsi="BancoDoBrasil Textos Light"/>
          <w:b w:val="0"/>
          <w:color w:val="FFFFFF"/>
          <w:spacing w:val="-2"/>
        </w:rPr>
        <w:t>R$</w:t>
      </w:r>
      <w:r>
        <w:rPr>
          <w:rFonts w:ascii="BancoDoBrasil Textos Light" w:hAnsi="BancoDoBrasil Textos Light"/>
          <w:b w:val="0"/>
          <w:color w:val="FFFFFF"/>
          <w:spacing w:val="-11"/>
        </w:rPr>
        <w:t> </w:t>
      </w:r>
      <w:r>
        <w:rPr>
          <w:rFonts w:ascii="BancoDoBrasil Textos Light" w:hAnsi="BancoDoBrasil Textos Light"/>
          <w:b w:val="0"/>
          <w:color w:val="FFFFFF"/>
          <w:spacing w:val="-2"/>
        </w:rPr>
        <w:t>9,8</w:t>
      </w:r>
      <w:r>
        <w:rPr>
          <w:rFonts w:ascii="BancoDoBrasil Textos Light" w:hAnsi="BancoDoBrasil Textos Light"/>
          <w:b w:val="0"/>
          <w:color w:val="FFFFFF"/>
          <w:spacing w:val="-10"/>
        </w:rPr>
        <w:t> </w:t>
      </w:r>
      <w:r>
        <w:rPr>
          <w:rFonts w:ascii="BancoDoBrasil Textos Light" w:hAnsi="BancoDoBrasil Textos Light"/>
          <w:b w:val="0"/>
          <w:color w:val="FFFFFF"/>
          <w:spacing w:val="-2"/>
        </w:rPr>
        <w:t>bilhões</w:t>
      </w:r>
      <w:r>
        <w:rPr>
          <w:rFonts w:ascii="BancoDoBrasil Textos Light" w:hAnsi="BancoDoBrasil Textos Light"/>
          <w:b w:val="0"/>
          <w:color w:val="FFFFFF"/>
          <w:spacing w:val="-9"/>
        </w:rPr>
        <w:t> </w:t>
      </w:r>
      <w:r>
        <w:rPr>
          <w:rFonts w:ascii="BancoDoBrasil Textos Light" w:hAnsi="BancoDoBrasil Textos Light"/>
          <w:b w:val="0"/>
          <w:color w:val="FFFFFF"/>
          <w:spacing w:val="-2"/>
        </w:rPr>
        <w:t>e</w:t>
      </w:r>
      <w:r>
        <w:rPr>
          <w:rFonts w:ascii="BancoDoBrasil Textos Light" w:hAnsi="BancoDoBrasil Textos Light"/>
          <w:b w:val="0"/>
          <w:color w:val="FFFFFF"/>
          <w:spacing w:val="-9"/>
        </w:rPr>
        <w:t> </w:t>
      </w:r>
      <w:r>
        <w:rPr>
          <w:rFonts w:ascii="BancoDoBrasil Textos Light" w:hAnsi="BancoDoBrasil Textos Light"/>
          <w:b w:val="0"/>
          <w:color w:val="FFFFFF"/>
          <w:spacing w:val="-2"/>
        </w:rPr>
        <w:t>o</w:t>
      </w:r>
      <w:r>
        <w:rPr>
          <w:rFonts w:ascii="BancoDoBrasil Textos Light" w:hAnsi="BancoDoBrasil Textos Light"/>
          <w:b w:val="0"/>
          <w:color w:val="FFFFFF"/>
          <w:spacing w:val="-9"/>
        </w:rPr>
        <w:t> </w:t>
      </w:r>
      <w:r>
        <w:rPr>
          <w:rFonts w:ascii="BancoDoBrasil Textos Light" w:hAnsi="BancoDoBrasil Textos Light"/>
          <w:b w:val="0"/>
          <w:color w:val="FFFFFF"/>
          <w:spacing w:val="-2"/>
        </w:rPr>
        <w:t>banco</w:t>
      </w:r>
      <w:r>
        <w:rPr>
          <w:rFonts w:ascii="BancoDoBrasil Textos Light" w:hAnsi="BancoDoBrasil Textos Light"/>
          <w:b w:val="0"/>
          <w:color w:val="FFFFFF"/>
          <w:spacing w:val="-11"/>
        </w:rPr>
        <w:t> </w:t>
      </w:r>
      <w:r>
        <w:rPr>
          <w:rFonts w:ascii="BancoDoBrasil Textos Light" w:hAnsi="BancoDoBrasil Textos Light"/>
          <w:b w:val="0"/>
          <w:color w:val="FFFFFF"/>
          <w:spacing w:val="-2"/>
        </w:rPr>
        <w:t>entregou</w:t>
      </w:r>
      <w:r>
        <w:rPr>
          <w:rFonts w:ascii="BancoDoBrasil Textos Light" w:hAnsi="BancoDoBrasil Textos Light"/>
          <w:b w:val="0"/>
          <w:color w:val="FFFFFF"/>
          <w:spacing w:val="-10"/>
        </w:rPr>
        <w:t> </w:t>
      </w:r>
      <w:r>
        <w:rPr>
          <w:rFonts w:ascii="BancoDoBrasil Textos Light" w:hAnsi="BancoDoBrasil Textos Light"/>
          <w:b w:val="0"/>
          <w:color w:val="FFFFFF"/>
          <w:spacing w:val="-2"/>
        </w:rPr>
        <w:t>R$</w:t>
      </w:r>
      <w:r>
        <w:rPr>
          <w:rFonts w:ascii="BancoDoBrasil Textos Light" w:hAnsi="BancoDoBrasil Textos Light"/>
          <w:b w:val="0"/>
          <w:color w:val="FFFFFF"/>
          <w:spacing w:val="-9"/>
        </w:rPr>
        <w:t> </w:t>
      </w:r>
      <w:r>
        <w:rPr>
          <w:rFonts w:ascii="BancoDoBrasil Textos Light" w:hAnsi="BancoDoBrasil Textos Light"/>
          <w:b w:val="0"/>
          <w:color w:val="FFFFFF"/>
          <w:spacing w:val="-2"/>
        </w:rPr>
        <w:t>28,4</w:t>
      </w:r>
      <w:r>
        <w:rPr>
          <w:rFonts w:ascii="BancoDoBrasil Textos Light" w:hAnsi="BancoDoBrasil Textos Light"/>
          <w:b w:val="0"/>
          <w:color w:val="FFFFFF"/>
          <w:spacing w:val="-11"/>
        </w:rPr>
        <w:t> </w:t>
      </w:r>
      <w:r>
        <w:rPr>
          <w:rFonts w:ascii="BancoDoBrasil Textos Light" w:hAnsi="BancoDoBrasil Textos Light"/>
          <w:b w:val="0"/>
          <w:color w:val="FFFFFF"/>
          <w:spacing w:val="-2"/>
        </w:rPr>
        <w:t>bilhões</w:t>
      </w:r>
      <w:r>
        <w:rPr>
          <w:rFonts w:ascii="BancoDoBrasil Textos Light" w:hAnsi="BancoDoBrasil Textos Light"/>
          <w:b w:val="0"/>
          <w:color w:val="FFFFFF"/>
          <w:spacing w:val="-9"/>
        </w:rPr>
        <w:t> </w:t>
      </w:r>
      <w:r>
        <w:rPr>
          <w:rFonts w:ascii="BancoDoBrasil Textos Light" w:hAnsi="BancoDoBrasil Textos Light"/>
          <w:b w:val="0"/>
          <w:color w:val="FFFFFF"/>
          <w:spacing w:val="-2"/>
        </w:rPr>
        <w:t>em </w:t>
      </w:r>
      <w:r>
        <w:rPr>
          <w:rFonts w:ascii="BancoDoBrasil Textos Light" w:hAnsi="BancoDoBrasil Textos Light"/>
          <w:b w:val="0"/>
          <w:color w:val="FFFFFF"/>
        </w:rPr>
        <w:t>valor adicionado, considerando impostos, salários, dividendos e demais componentes.</w:t>
      </w:r>
    </w:p>
    <w:p>
      <w:pPr>
        <w:pStyle w:val="BodyText"/>
        <w:spacing w:line="321" w:lineRule="auto" w:before="118"/>
        <w:ind w:left="426" w:right="141"/>
        <w:jc w:val="both"/>
        <w:rPr>
          <w:rFonts w:ascii="BancoDoBrasil Textos Light" w:hAnsi="BancoDoBrasil Textos Light"/>
          <w:b w:val="0"/>
        </w:rPr>
      </w:pPr>
      <w:r>
        <w:rPr>
          <w:rFonts w:ascii="BancoDoBrasil Textos Light" w:hAnsi="BancoDoBrasil Textos Light"/>
          <w:b w:val="0"/>
          <w:color w:val="FFFFFF"/>
        </w:rPr>
        <w:t>O</w:t>
      </w:r>
      <w:r>
        <w:rPr>
          <w:rFonts w:ascii="BancoDoBrasil Textos Light" w:hAnsi="BancoDoBrasil Textos Light"/>
          <w:b w:val="0"/>
          <w:color w:val="FFFFFF"/>
          <w:spacing w:val="-10"/>
        </w:rPr>
        <w:t> </w:t>
      </w:r>
      <w:r>
        <w:rPr>
          <w:rFonts w:ascii="BancoDoBrasil Textos Light" w:hAnsi="BancoDoBrasil Textos Light"/>
          <w:b w:val="0"/>
          <w:color w:val="FFFFFF"/>
        </w:rPr>
        <w:t>BB</w:t>
      </w:r>
      <w:r>
        <w:rPr>
          <w:rFonts w:ascii="BancoDoBrasil Textos Light" w:hAnsi="BancoDoBrasil Textos Light"/>
          <w:b w:val="0"/>
          <w:color w:val="FFFFFF"/>
          <w:spacing w:val="-10"/>
        </w:rPr>
        <w:t> </w:t>
      </w:r>
      <w:r>
        <w:rPr>
          <w:rFonts w:ascii="BancoDoBrasil Textos Light" w:hAnsi="BancoDoBrasil Textos Light"/>
          <w:b w:val="0"/>
          <w:color w:val="FFFFFF"/>
        </w:rPr>
        <w:t>é</w:t>
      </w:r>
      <w:r>
        <w:rPr>
          <w:rFonts w:ascii="BancoDoBrasil Textos Light" w:hAnsi="BancoDoBrasil Textos Light"/>
          <w:b w:val="0"/>
          <w:color w:val="FFFFFF"/>
          <w:spacing w:val="-9"/>
        </w:rPr>
        <w:t> </w:t>
      </w:r>
      <w:r>
        <w:rPr>
          <w:rFonts w:ascii="BancoDoBrasil Textos Light" w:hAnsi="BancoDoBrasil Textos Light"/>
          <w:b w:val="0"/>
          <w:color w:val="FFFFFF"/>
        </w:rPr>
        <w:t>um</w:t>
      </w:r>
      <w:r>
        <w:rPr>
          <w:rFonts w:ascii="BancoDoBrasil Textos Light" w:hAnsi="BancoDoBrasil Textos Light"/>
          <w:b w:val="0"/>
          <w:color w:val="FFFFFF"/>
          <w:spacing w:val="-9"/>
        </w:rPr>
        <w:t> </w:t>
      </w:r>
      <w:r>
        <w:rPr>
          <w:rFonts w:ascii="BancoDoBrasil Textos Light" w:hAnsi="BancoDoBrasil Textos Light"/>
          <w:b w:val="0"/>
          <w:color w:val="FFFFFF"/>
        </w:rPr>
        <w:t>banco</w:t>
      </w:r>
      <w:r>
        <w:rPr>
          <w:rFonts w:ascii="BancoDoBrasil Textos Light" w:hAnsi="BancoDoBrasil Textos Light"/>
          <w:b w:val="0"/>
          <w:color w:val="FFFFFF"/>
          <w:spacing w:val="-11"/>
        </w:rPr>
        <w:t> </w:t>
      </w:r>
      <w:r>
        <w:rPr>
          <w:rFonts w:ascii="BancoDoBrasil Textos Light" w:hAnsi="BancoDoBrasil Textos Light"/>
          <w:b w:val="0"/>
          <w:color w:val="FFFFFF"/>
        </w:rPr>
        <w:t>sólido</w:t>
      </w:r>
      <w:r>
        <w:rPr>
          <w:rFonts w:ascii="BancoDoBrasil Textos Light" w:hAnsi="BancoDoBrasil Textos Light"/>
          <w:b w:val="0"/>
          <w:color w:val="FFFFFF"/>
          <w:spacing w:val="-9"/>
        </w:rPr>
        <w:t> </w:t>
      </w:r>
      <w:r>
        <w:rPr>
          <w:rFonts w:ascii="BancoDoBrasil Textos Light" w:hAnsi="BancoDoBrasil Textos Light"/>
          <w:b w:val="0"/>
          <w:color w:val="FFFFFF"/>
        </w:rPr>
        <w:t>e</w:t>
      </w:r>
      <w:r>
        <w:rPr>
          <w:rFonts w:ascii="BancoDoBrasil Textos Light" w:hAnsi="BancoDoBrasil Textos Light"/>
          <w:b w:val="0"/>
          <w:color w:val="FFFFFF"/>
          <w:spacing w:val="-10"/>
        </w:rPr>
        <w:t> </w:t>
      </w:r>
      <w:r>
        <w:rPr>
          <w:rFonts w:ascii="BancoDoBrasil Textos Light" w:hAnsi="BancoDoBrasil Textos Light"/>
          <w:b w:val="0"/>
          <w:color w:val="FFFFFF"/>
        </w:rPr>
        <w:t>resiliente,</w:t>
      </w:r>
      <w:r>
        <w:rPr>
          <w:rFonts w:ascii="BancoDoBrasil Textos Light" w:hAnsi="BancoDoBrasil Textos Light"/>
          <w:b w:val="0"/>
          <w:color w:val="FFFFFF"/>
          <w:spacing w:val="-10"/>
        </w:rPr>
        <w:t> </w:t>
      </w:r>
      <w:r>
        <w:rPr>
          <w:rFonts w:ascii="BancoDoBrasil Textos Light" w:hAnsi="BancoDoBrasil Textos Light"/>
          <w:b w:val="0"/>
          <w:color w:val="FFFFFF"/>
        </w:rPr>
        <w:t>com</w:t>
      </w:r>
      <w:r>
        <w:rPr>
          <w:rFonts w:ascii="BancoDoBrasil Textos Light" w:hAnsi="BancoDoBrasil Textos Light"/>
          <w:b w:val="0"/>
          <w:color w:val="FFFFFF"/>
          <w:spacing w:val="-9"/>
        </w:rPr>
        <w:t> </w:t>
      </w:r>
      <w:r>
        <w:rPr>
          <w:rFonts w:ascii="BancoDoBrasil Textos Light" w:hAnsi="BancoDoBrasil Textos Light"/>
          <w:b w:val="0"/>
          <w:color w:val="FFFFFF"/>
        </w:rPr>
        <w:t>mais</w:t>
      </w:r>
      <w:r>
        <w:rPr>
          <w:rFonts w:ascii="BancoDoBrasil Textos Light" w:hAnsi="BancoDoBrasil Textos Light"/>
          <w:b w:val="0"/>
          <w:color w:val="FFFFFF"/>
          <w:spacing w:val="-9"/>
        </w:rPr>
        <w:t> </w:t>
      </w:r>
      <w:r>
        <w:rPr>
          <w:rFonts w:ascii="BancoDoBrasil Textos Light" w:hAnsi="BancoDoBrasil Textos Light"/>
          <w:b w:val="0"/>
          <w:color w:val="FFFFFF"/>
        </w:rPr>
        <w:t>de</w:t>
      </w:r>
      <w:r>
        <w:rPr>
          <w:rFonts w:ascii="BancoDoBrasil Textos Light" w:hAnsi="BancoDoBrasil Textos Light"/>
          <w:b w:val="0"/>
          <w:color w:val="FFFFFF"/>
          <w:spacing w:val="-10"/>
        </w:rPr>
        <w:t> </w:t>
      </w:r>
      <w:r>
        <w:rPr>
          <w:rFonts w:ascii="BancoDoBrasil Textos Light" w:hAnsi="BancoDoBrasil Textos Light"/>
          <w:b w:val="0"/>
          <w:color w:val="FFFFFF"/>
        </w:rPr>
        <w:t>200 anos</w:t>
      </w:r>
      <w:r>
        <w:rPr>
          <w:rFonts w:ascii="BancoDoBrasil Textos Light" w:hAnsi="BancoDoBrasil Textos Light"/>
          <w:b w:val="0"/>
          <w:color w:val="FFFFFF"/>
          <w:spacing w:val="-11"/>
        </w:rPr>
        <w:t> </w:t>
      </w:r>
      <w:r>
        <w:rPr>
          <w:rFonts w:ascii="BancoDoBrasil Textos Light" w:hAnsi="BancoDoBrasil Textos Light"/>
          <w:b w:val="0"/>
          <w:color w:val="FFFFFF"/>
        </w:rPr>
        <w:t>de</w:t>
      </w:r>
      <w:r>
        <w:rPr>
          <w:rFonts w:ascii="BancoDoBrasil Textos Light" w:hAnsi="BancoDoBrasil Textos Light"/>
          <w:b w:val="0"/>
          <w:color w:val="FFFFFF"/>
          <w:spacing w:val="-9"/>
        </w:rPr>
        <w:t> </w:t>
      </w:r>
      <w:r>
        <w:rPr>
          <w:rFonts w:ascii="BancoDoBrasil Textos Light" w:hAnsi="BancoDoBrasil Textos Light"/>
          <w:b w:val="0"/>
          <w:color w:val="FFFFFF"/>
        </w:rPr>
        <w:t>história.</w:t>
      </w:r>
      <w:r>
        <w:rPr>
          <w:rFonts w:ascii="BancoDoBrasil Textos Light" w:hAnsi="BancoDoBrasil Textos Light"/>
          <w:b w:val="0"/>
          <w:color w:val="FFFFFF"/>
          <w:spacing w:val="-11"/>
        </w:rPr>
        <w:t> </w:t>
      </w:r>
      <w:r>
        <w:rPr>
          <w:rFonts w:ascii="BancoDoBrasil Textos Light" w:hAnsi="BancoDoBrasil Textos Light"/>
          <w:b w:val="0"/>
          <w:color w:val="FFFFFF"/>
        </w:rPr>
        <w:t>Sabemos</w:t>
      </w:r>
      <w:r>
        <w:rPr>
          <w:rFonts w:ascii="BancoDoBrasil Textos Light" w:hAnsi="BancoDoBrasil Textos Light"/>
          <w:b w:val="0"/>
          <w:color w:val="FFFFFF"/>
          <w:spacing w:val="-9"/>
        </w:rPr>
        <w:t> </w:t>
      </w:r>
      <w:r>
        <w:rPr>
          <w:rFonts w:ascii="BancoDoBrasil Textos Light" w:hAnsi="BancoDoBrasil Textos Light"/>
          <w:b w:val="0"/>
          <w:color w:val="FFFFFF"/>
        </w:rPr>
        <w:t>que</w:t>
      </w:r>
      <w:r>
        <w:rPr>
          <w:rFonts w:ascii="BancoDoBrasil Textos Light" w:hAnsi="BancoDoBrasil Textos Light"/>
          <w:b w:val="0"/>
          <w:color w:val="FFFFFF"/>
          <w:spacing w:val="-12"/>
        </w:rPr>
        <w:t> </w:t>
      </w:r>
      <w:r>
        <w:rPr>
          <w:rFonts w:ascii="BancoDoBrasil Textos Light" w:hAnsi="BancoDoBrasil Textos Light"/>
          <w:b w:val="0"/>
          <w:color w:val="FFFFFF"/>
        </w:rPr>
        <w:t>o</w:t>
      </w:r>
      <w:r>
        <w:rPr>
          <w:rFonts w:ascii="BancoDoBrasil Textos Light" w:hAnsi="BancoDoBrasil Textos Light"/>
          <w:b w:val="0"/>
          <w:color w:val="FFFFFF"/>
          <w:spacing w:val="-12"/>
        </w:rPr>
        <w:t> </w:t>
      </w:r>
      <w:r>
        <w:rPr>
          <w:rFonts w:ascii="BancoDoBrasil Textos Light" w:hAnsi="BancoDoBrasil Textos Light"/>
          <w:b w:val="0"/>
          <w:color w:val="FFFFFF"/>
        </w:rPr>
        <w:t>ano</w:t>
      </w:r>
      <w:r>
        <w:rPr>
          <w:rFonts w:ascii="BancoDoBrasil Textos Light" w:hAnsi="BancoDoBrasil Textos Light"/>
          <w:b w:val="0"/>
          <w:color w:val="FFFFFF"/>
          <w:spacing w:val="-12"/>
        </w:rPr>
        <w:t> </w:t>
      </w:r>
      <w:r>
        <w:rPr>
          <w:rFonts w:ascii="BancoDoBrasil Textos Light" w:hAnsi="BancoDoBrasil Textos Light"/>
          <w:b w:val="0"/>
          <w:color w:val="FFFFFF"/>
        </w:rPr>
        <w:t>de</w:t>
      </w:r>
      <w:r>
        <w:rPr>
          <w:rFonts w:ascii="BancoDoBrasil Textos Light" w:hAnsi="BancoDoBrasil Textos Light"/>
          <w:b w:val="0"/>
          <w:color w:val="FFFFFF"/>
          <w:spacing w:val="-12"/>
        </w:rPr>
        <w:t> </w:t>
      </w:r>
      <w:r>
        <w:rPr>
          <w:rFonts w:ascii="BancoDoBrasil Textos Light" w:hAnsi="BancoDoBrasil Textos Light"/>
          <w:b w:val="0"/>
          <w:color w:val="FFFFFF"/>
        </w:rPr>
        <w:t>2025</w:t>
      </w:r>
      <w:r>
        <w:rPr>
          <w:rFonts w:ascii="BancoDoBrasil Textos Light" w:hAnsi="BancoDoBrasil Textos Light"/>
          <w:b w:val="0"/>
          <w:color w:val="FFFFFF"/>
          <w:spacing w:val="-10"/>
        </w:rPr>
        <w:t> </w:t>
      </w:r>
      <w:r>
        <w:rPr>
          <w:rFonts w:ascii="BancoDoBrasil Textos Light" w:hAnsi="BancoDoBrasil Textos Light"/>
          <w:b w:val="0"/>
          <w:color w:val="FFFFFF"/>
        </w:rPr>
        <w:t>será</w:t>
      </w:r>
      <w:r>
        <w:rPr>
          <w:rFonts w:ascii="BancoDoBrasil Textos Light" w:hAnsi="BancoDoBrasil Textos Light"/>
          <w:b w:val="0"/>
          <w:color w:val="FFFFFF"/>
          <w:spacing w:val="-11"/>
        </w:rPr>
        <w:t> </w:t>
      </w:r>
      <w:r>
        <w:rPr>
          <w:rFonts w:ascii="BancoDoBrasil Textos Light" w:hAnsi="BancoDoBrasil Textos Light"/>
          <w:b w:val="0"/>
          <w:color w:val="FFFFFF"/>
        </w:rPr>
        <w:t>um ano</w:t>
      </w:r>
      <w:r>
        <w:rPr>
          <w:rFonts w:ascii="BancoDoBrasil Textos Light" w:hAnsi="BancoDoBrasil Textos Light"/>
          <w:b w:val="0"/>
          <w:color w:val="FFFFFF"/>
          <w:spacing w:val="-2"/>
        </w:rPr>
        <w:t> </w:t>
      </w:r>
      <w:r>
        <w:rPr>
          <w:rFonts w:ascii="BancoDoBrasil Textos Light" w:hAnsi="BancoDoBrasil Textos Light"/>
          <w:b w:val="0"/>
          <w:color w:val="FFFFFF"/>
        </w:rPr>
        <w:t>de ajuste.</w:t>
      </w:r>
      <w:r>
        <w:rPr>
          <w:rFonts w:ascii="BancoDoBrasil Textos Light" w:hAnsi="BancoDoBrasil Textos Light"/>
          <w:b w:val="0"/>
          <w:color w:val="FFFFFF"/>
          <w:spacing w:val="-1"/>
        </w:rPr>
        <w:t> </w:t>
      </w:r>
      <w:r>
        <w:rPr>
          <w:rFonts w:ascii="BancoDoBrasil Textos Light" w:hAnsi="BancoDoBrasil Textos Light"/>
          <w:b w:val="0"/>
          <w:color w:val="FFFFFF"/>
        </w:rPr>
        <w:t>Mais do que respostas de curto prazo, estamos reforçando as bases para um futuro </w:t>
      </w:r>
      <w:r>
        <w:rPr>
          <w:rFonts w:ascii="BancoDoBrasil Textos Light" w:hAnsi="BancoDoBrasil Textos Light"/>
          <w:b w:val="0"/>
          <w:color w:val="FFFFFF"/>
          <w:spacing w:val="-2"/>
        </w:rPr>
        <w:t>sustentável</w:t>
      </w:r>
      <w:r>
        <w:rPr>
          <w:rFonts w:ascii="BancoDoBrasil Textos Light" w:hAnsi="BancoDoBrasil Textos Light"/>
          <w:b w:val="0"/>
          <w:color w:val="FFFFFF"/>
          <w:spacing w:val="-5"/>
        </w:rPr>
        <w:t> </w:t>
      </w:r>
      <w:r>
        <w:rPr>
          <w:rFonts w:ascii="BancoDoBrasil Textos Light" w:hAnsi="BancoDoBrasil Textos Light"/>
          <w:b w:val="0"/>
          <w:color w:val="FFFFFF"/>
          <w:spacing w:val="-2"/>
        </w:rPr>
        <w:t>e</w:t>
      </w:r>
      <w:r>
        <w:rPr>
          <w:rFonts w:ascii="BancoDoBrasil Textos Light" w:hAnsi="BancoDoBrasil Textos Light"/>
          <w:b w:val="0"/>
          <w:color w:val="FFFFFF"/>
          <w:spacing w:val="-3"/>
        </w:rPr>
        <w:t> </w:t>
      </w:r>
      <w:r>
        <w:rPr>
          <w:rFonts w:ascii="BancoDoBrasil Textos Light" w:hAnsi="BancoDoBrasil Textos Light"/>
          <w:b w:val="0"/>
          <w:color w:val="FFFFFF"/>
          <w:spacing w:val="-2"/>
        </w:rPr>
        <w:t>geração</w:t>
      </w:r>
      <w:r>
        <w:rPr>
          <w:rFonts w:ascii="BancoDoBrasil Textos Light" w:hAnsi="BancoDoBrasil Textos Light"/>
          <w:b w:val="0"/>
          <w:color w:val="FFFFFF"/>
          <w:spacing w:val="-6"/>
        </w:rPr>
        <w:t> </w:t>
      </w:r>
      <w:r>
        <w:rPr>
          <w:rFonts w:ascii="BancoDoBrasil Textos Light" w:hAnsi="BancoDoBrasil Textos Light"/>
          <w:b w:val="0"/>
          <w:color w:val="FFFFFF"/>
          <w:spacing w:val="-2"/>
        </w:rPr>
        <w:t>de</w:t>
      </w:r>
      <w:r>
        <w:rPr>
          <w:rFonts w:ascii="BancoDoBrasil Textos Light" w:hAnsi="BancoDoBrasil Textos Light"/>
          <w:b w:val="0"/>
          <w:color w:val="FFFFFF"/>
          <w:spacing w:val="-3"/>
        </w:rPr>
        <w:t> </w:t>
      </w:r>
      <w:r>
        <w:rPr>
          <w:rFonts w:ascii="BancoDoBrasil Textos Light" w:hAnsi="BancoDoBrasil Textos Light"/>
          <w:b w:val="0"/>
          <w:color w:val="FFFFFF"/>
          <w:spacing w:val="-2"/>
        </w:rPr>
        <w:t>valor</w:t>
      </w:r>
      <w:r>
        <w:rPr>
          <w:rFonts w:ascii="BancoDoBrasil Textos Light" w:hAnsi="BancoDoBrasil Textos Light"/>
          <w:b w:val="0"/>
          <w:color w:val="FFFFFF"/>
          <w:spacing w:val="-5"/>
        </w:rPr>
        <w:t> </w:t>
      </w:r>
      <w:r>
        <w:rPr>
          <w:rFonts w:ascii="BancoDoBrasil Textos Light" w:hAnsi="BancoDoBrasil Textos Light"/>
          <w:b w:val="0"/>
          <w:color w:val="FFFFFF"/>
          <w:spacing w:val="-2"/>
        </w:rPr>
        <w:t>consistente</w:t>
      </w:r>
      <w:r>
        <w:rPr>
          <w:rFonts w:ascii="BancoDoBrasil Textos Light" w:hAnsi="BancoDoBrasil Textos Light"/>
          <w:b w:val="0"/>
          <w:color w:val="FFFFFF"/>
          <w:spacing w:val="-3"/>
        </w:rPr>
        <w:t> </w:t>
      </w:r>
      <w:r>
        <w:rPr>
          <w:rFonts w:ascii="BancoDoBrasil Textos Light" w:hAnsi="BancoDoBrasil Textos Light"/>
          <w:b w:val="0"/>
          <w:color w:val="FFFFFF"/>
          <w:spacing w:val="-2"/>
        </w:rPr>
        <w:t>para</w:t>
      </w:r>
      <w:r>
        <w:rPr>
          <w:rFonts w:ascii="BancoDoBrasil Textos Light" w:hAnsi="BancoDoBrasil Textos Light"/>
          <w:b w:val="0"/>
          <w:color w:val="FFFFFF"/>
          <w:spacing w:val="-5"/>
        </w:rPr>
        <w:t> </w:t>
      </w:r>
      <w:r>
        <w:rPr>
          <w:rFonts w:ascii="BancoDoBrasil Textos Light" w:hAnsi="BancoDoBrasil Textos Light"/>
          <w:b w:val="0"/>
          <w:color w:val="FFFFFF"/>
          <w:spacing w:val="-2"/>
        </w:rPr>
        <w:t>todos </w:t>
      </w:r>
      <w:r>
        <w:rPr>
          <w:rFonts w:ascii="BancoDoBrasil Textos Light" w:hAnsi="BancoDoBrasil Textos Light"/>
          <w:b w:val="0"/>
          <w:color w:val="FFFFFF"/>
        </w:rPr>
        <w:t>os nossos stakeholders.</w:t>
      </w:r>
    </w:p>
    <w:p>
      <w:pPr>
        <w:pStyle w:val="BodyText"/>
        <w:spacing w:after="0" w:line="321" w:lineRule="auto"/>
        <w:jc w:val="both"/>
        <w:rPr>
          <w:rFonts w:ascii="BancoDoBrasil Textos Light" w:hAnsi="BancoDoBrasil Textos Light"/>
          <w:b w:val="0"/>
        </w:rPr>
        <w:sectPr>
          <w:type w:val="continuous"/>
          <w:pgSz w:w="11910" w:h="16850"/>
          <w:pgMar w:top="1920" w:bottom="280" w:left="425" w:right="708"/>
          <w:cols w:num="2" w:equalWidth="0">
            <w:col w:w="5215" w:space="240"/>
            <w:col w:w="5322"/>
          </w:cols>
        </w:sectPr>
      </w:pPr>
    </w:p>
    <w:p>
      <w:pPr>
        <w:pStyle w:val="BodyText"/>
        <w:rPr>
          <w:rFonts w:ascii="BancoDoBrasil Textos Light"/>
          <w:b w:val="0"/>
          <w:sz w:val="14"/>
        </w:rPr>
      </w:pPr>
      <w:r>
        <w:rPr>
          <w:rFonts w:ascii="BancoDoBrasil Textos Light"/>
          <w:b w:val="0"/>
          <w:sz w:val="14"/>
        </w:rPr>
        <mc:AlternateContent>
          <mc:Choice Requires="wps">
            <w:drawing>
              <wp:anchor distT="0" distB="0" distL="0" distR="0" allowOverlap="1" layoutInCell="1" locked="0" behindDoc="1" simplePos="0" relativeHeight="487382528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0945" cy="10694035"/>
                <wp:effectExtent l="0" t="0" r="0" b="0"/>
                <wp:wrapNone/>
                <wp:docPr id="6" name="Group 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6" name="Group 6"/>
                      <wpg:cNvGrpSpPr/>
                      <wpg:grpSpPr>
                        <a:xfrm>
                          <a:off x="0" y="0"/>
                          <a:ext cx="7560945" cy="10694035"/>
                          <a:chExt cx="7560945" cy="10694035"/>
                        </a:xfrm>
                      </wpg:grpSpPr>
                      <pic:pic>
                        <pic:nvPicPr>
                          <pic:cNvPr id="7" name="Image 7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0564" cy="1069390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Graphic 8"/>
                        <wps:cNvSpPr/>
                        <wps:spPr>
                          <a:xfrm>
                            <a:off x="6413678" y="468311"/>
                            <a:ext cx="424815" cy="41655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4815" h="416559">
                                <a:moveTo>
                                  <a:pt x="86004" y="360565"/>
                                </a:moveTo>
                                <a:lnTo>
                                  <a:pt x="42087" y="330974"/>
                                </a:lnTo>
                                <a:lnTo>
                                  <a:pt x="0" y="357619"/>
                                </a:lnTo>
                                <a:lnTo>
                                  <a:pt x="0" y="416090"/>
                                </a:lnTo>
                                <a:lnTo>
                                  <a:pt x="86004" y="360565"/>
                                </a:lnTo>
                                <a:close/>
                              </a:path>
                              <a:path w="424815" h="416559">
                                <a:moveTo>
                                  <a:pt x="421284" y="276517"/>
                                </a:moveTo>
                                <a:lnTo>
                                  <a:pt x="334048" y="217919"/>
                                </a:lnTo>
                                <a:lnTo>
                                  <a:pt x="230797" y="287769"/>
                                </a:lnTo>
                                <a:lnTo>
                                  <a:pt x="274116" y="317004"/>
                                </a:lnTo>
                                <a:lnTo>
                                  <a:pt x="217144" y="356425"/>
                                </a:lnTo>
                                <a:lnTo>
                                  <a:pt x="91935" y="272376"/>
                                </a:lnTo>
                                <a:lnTo>
                                  <a:pt x="294881" y="140970"/>
                                </a:lnTo>
                                <a:lnTo>
                                  <a:pt x="249783" y="111379"/>
                                </a:lnTo>
                                <a:lnTo>
                                  <a:pt x="0" y="276517"/>
                                </a:lnTo>
                                <a:lnTo>
                                  <a:pt x="212178" y="416090"/>
                                </a:lnTo>
                                <a:lnTo>
                                  <a:pt x="421284" y="276517"/>
                                </a:lnTo>
                                <a:close/>
                              </a:path>
                              <a:path w="424815" h="416559">
                                <a:moveTo>
                                  <a:pt x="421284" y="138607"/>
                                </a:moveTo>
                                <a:lnTo>
                                  <a:pt x="212178" y="0"/>
                                </a:lnTo>
                                <a:lnTo>
                                  <a:pt x="0" y="136232"/>
                                </a:lnTo>
                                <a:lnTo>
                                  <a:pt x="88963" y="195427"/>
                                </a:lnTo>
                                <a:lnTo>
                                  <a:pt x="191033" y="127355"/>
                                </a:lnTo>
                                <a:lnTo>
                                  <a:pt x="148310" y="96583"/>
                                </a:lnTo>
                                <a:lnTo>
                                  <a:pt x="206463" y="58102"/>
                                </a:lnTo>
                                <a:lnTo>
                                  <a:pt x="329298" y="140385"/>
                                </a:lnTo>
                                <a:lnTo>
                                  <a:pt x="129908" y="274739"/>
                                </a:lnTo>
                                <a:lnTo>
                                  <a:pt x="172046" y="303149"/>
                                </a:lnTo>
                                <a:lnTo>
                                  <a:pt x="421284" y="138607"/>
                                </a:lnTo>
                                <a:close/>
                              </a:path>
                              <a:path w="424815" h="416559">
                                <a:moveTo>
                                  <a:pt x="424345" y="0"/>
                                </a:moveTo>
                                <a:lnTo>
                                  <a:pt x="338797" y="54559"/>
                                </a:lnTo>
                                <a:lnTo>
                                  <a:pt x="384492" y="86525"/>
                                </a:lnTo>
                                <a:lnTo>
                                  <a:pt x="424345" y="60477"/>
                                </a:lnTo>
                                <a:lnTo>
                                  <a:pt x="4243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FB2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9" name="Image 9" descr="Interface gráfica do usuário, Texto, Aplicativo  O conteúdo gerado por IA pode estar incorreto. 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40385" y="1908149"/>
                            <a:ext cx="3014979" cy="509523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0pt;width:595.35pt;height:842.05pt;mso-position-horizontal-relative:page;mso-position-vertical-relative:page;z-index:-15933952" id="docshapegroup6" coordorigin="0,0" coordsize="11907,16841">
                <v:shape style="position:absolute;left:0;top:0;width:11907;height:16841" type="#_x0000_t75" id="docshape7" stroked="false">
                  <v:imagedata r:id="rId6" o:title=""/>
                </v:shape>
                <v:shape style="position:absolute;left:10100;top:737;width:669;height:656" id="docshape8" coordorigin="10100,737" coordsize="669,656" path="m10236,1305l10167,1259,10100,1301,10100,1393,10236,1305xm10764,1173l10626,1081,10464,1191,10532,1237,10442,1299,10245,1166,10565,959,10494,913,10100,1173,10434,1393,10764,1173xm10764,956l10434,737,10100,952,10240,1045,10401,938,10334,890,10425,829,10619,959,10305,1170,10371,1215,10764,956xm10769,737l10634,823,10706,874,10769,833,10769,737xe" filled="true" fillcolor="#fbfb2f" stroked="false">
                  <v:path arrowok="t"/>
                  <v:fill type="solid"/>
                </v:shape>
                <v:shape style="position:absolute;left:851;top:3004;width:4748;height:8024" type="#_x0000_t75" id="docshape9" alt="Interface gráfica do usuário, Texto, Aplicativo  O conteúdo gerado por IA pode estar incorreto. " stroked="false">
                  <v:imagedata r:id="rId7" o:title=""/>
                </v:shape>
                <w10:wrap type="none"/>
              </v:group>
            </w:pict>
          </mc:Fallback>
        </mc:AlternateContent>
      </w:r>
    </w:p>
    <w:p>
      <w:pPr>
        <w:pStyle w:val="BodyText"/>
        <w:rPr>
          <w:rFonts w:ascii="BancoDoBrasil Textos Light"/>
          <w:b w:val="0"/>
          <w:sz w:val="14"/>
        </w:rPr>
      </w:pPr>
    </w:p>
    <w:p>
      <w:pPr>
        <w:pStyle w:val="BodyText"/>
        <w:rPr>
          <w:rFonts w:ascii="BancoDoBrasil Textos Light"/>
          <w:b w:val="0"/>
          <w:sz w:val="14"/>
        </w:rPr>
      </w:pPr>
    </w:p>
    <w:p>
      <w:pPr>
        <w:pStyle w:val="BodyText"/>
        <w:rPr>
          <w:rFonts w:ascii="BancoDoBrasil Textos Light"/>
          <w:b w:val="0"/>
          <w:sz w:val="14"/>
        </w:rPr>
      </w:pPr>
    </w:p>
    <w:p>
      <w:pPr>
        <w:pStyle w:val="BodyText"/>
        <w:rPr>
          <w:rFonts w:ascii="BancoDoBrasil Textos Light"/>
          <w:b w:val="0"/>
          <w:sz w:val="14"/>
        </w:rPr>
      </w:pPr>
    </w:p>
    <w:p>
      <w:pPr>
        <w:pStyle w:val="BodyText"/>
        <w:rPr>
          <w:rFonts w:ascii="BancoDoBrasil Textos Light"/>
          <w:b w:val="0"/>
          <w:sz w:val="14"/>
        </w:rPr>
      </w:pPr>
    </w:p>
    <w:p>
      <w:pPr>
        <w:pStyle w:val="BodyText"/>
        <w:rPr>
          <w:rFonts w:ascii="BancoDoBrasil Textos Light"/>
          <w:b w:val="0"/>
          <w:sz w:val="14"/>
        </w:rPr>
      </w:pPr>
    </w:p>
    <w:p>
      <w:pPr>
        <w:pStyle w:val="BodyText"/>
        <w:spacing w:before="103"/>
        <w:rPr>
          <w:rFonts w:ascii="BancoDoBrasil Textos Light"/>
          <w:b w:val="0"/>
          <w:sz w:val="14"/>
        </w:rPr>
      </w:pPr>
    </w:p>
    <w:p>
      <w:pPr>
        <w:spacing w:line="216" w:lineRule="auto" w:before="0"/>
        <w:ind w:left="427" w:right="138" w:firstLine="0"/>
        <w:jc w:val="both"/>
        <w:rPr>
          <w:sz w:val="14"/>
        </w:rPr>
      </w:pPr>
      <w:r>
        <w:rPr>
          <w:color w:val="FFFFFF"/>
          <w:sz w:val="14"/>
        </w:rPr>
        <w:t>A</w:t>
      </w:r>
      <w:r>
        <w:rPr>
          <w:color w:val="FFFFFF"/>
          <w:spacing w:val="-9"/>
          <w:sz w:val="14"/>
        </w:rPr>
        <w:t> </w:t>
      </w:r>
      <w:r>
        <w:rPr>
          <w:color w:val="FFFFFF"/>
          <w:sz w:val="14"/>
        </w:rPr>
        <w:t>partir</w:t>
      </w:r>
      <w:r>
        <w:rPr>
          <w:color w:val="FFFFFF"/>
          <w:spacing w:val="-6"/>
          <w:sz w:val="14"/>
        </w:rPr>
        <w:t> </w:t>
      </w:r>
      <w:r>
        <w:rPr>
          <w:color w:val="FFFFFF"/>
          <w:sz w:val="14"/>
        </w:rPr>
        <w:t>de</w:t>
      </w:r>
      <w:r>
        <w:rPr>
          <w:color w:val="FFFFFF"/>
          <w:spacing w:val="-8"/>
          <w:sz w:val="14"/>
        </w:rPr>
        <w:t> </w:t>
      </w:r>
      <w:r>
        <w:rPr>
          <w:color w:val="FFFFFF"/>
          <w:sz w:val="14"/>
        </w:rPr>
        <w:t>janeiro</w:t>
      </w:r>
      <w:r>
        <w:rPr>
          <w:color w:val="FFFFFF"/>
          <w:spacing w:val="-5"/>
          <w:sz w:val="14"/>
        </w:rPr>
        <w:t> </w:t>
      </w:r>
      <w:r>
        <w:rPr>
          <w:color w:val="FFFFFF"/>
          <w:sz w:val="14"/>
        </w:rPr>
        <w:t>de</w:t>
      </w:r>
      <w:r>
        <w:rPr>
          <w:color w:val="FFFFFF"/>
          <w:spacing w:val="-6"/>
          <w:sz w:val="14"/>
        </w:rPr>
        <w:t> </w:t>
      </w:r>
      <w:r>
        <w:rPr>
          <w:color w:val="FFFFFF"/>
          <w:sz w:val="14"/>
        </w:rPr>
        <w:t>2025,</w:t>
      </w:r>
      <w:r>
        <w:rPr>
          <w:color w:val="FFFFFF"/>
          <w:spacing w:val="-6"/>
          <w:sz w:val="14"/>
        </w:rPr>
        <w:t> </w:t>
      </w:r>
      <w:r>
        <w:rPr>
          <w:color w:val="FFFFFF"/>
          <w:sz w:val="14"/>
        </w:rPr>
        <w:t>os</w:t>
      </w:r>
      <w:r>
        <w:rPr>
          <w:color w:val="FFFFFF"/>
          <w:spacing w:val="-8"/>
          <w:sz w:val="14"/>
        </w:rPr>
        <w:t> </w:t>
      </w:r>
      <w:r>
        <w:rPr>
          <w:color w:val="FFFFFF"/>
          <w:sz w:val="14"/>
        </w:rPr>
        <w:t>resultados</w:t>
      </w:r>
      <w:r>
        <w:rPr>
          <w:color w:val="FFFFFF"/>
          <w:spacing w:val="-6"/>
          <w:sz w:val="14"/>
        </w:rPr>
        <w:t> </w:t>
      </w:r>
      <w:r>
        <w:rPr>
          <w:color w:val="FFFFFF"/>
          <w:sz w:val="14"/>
        </w:rPr>
        <w:t>passaram</w:t>
      </w:r>
      <w:r>
        <w:rPr>
          <w:color w:val="FFFFFF"/>
          <w:spacing w:val="-5"/>
          <w:sz w:val="14"/>
        </w:rPr>
        <w:t> </w:t>
      </w:r>
      <w:r>
        <w:rPr>
          <w:color w:val="FFFFFF"/>
          <w:sz w:val="14"/>
        </w:rPr>
        <w:t>a</w:t>
      </w:r>
      <w:r>
        <w:rPr>
          <w:color w:val="FFFFFF"/>
          <w:spacing w:val="-6"/>
          <w:sz w:val="14"/>
        </w:rPr>
        <w:t> </w:t>
      </w:r>
      <w:r>
        <w:rPr>
          <w:color w:val="FFFFFF"/>
          <w:sz w:val="14"/>
        </w:rPr>
        <w:t>incorporar</w:t>
      </w:r>
      <w:r>
        <w:rPr>
          <w:color w:val="FFFFFF"/>
          <w:spacing w:val="-6"/>
          <w:sz w:val="14"/>
        </w:rPr>
        <w:t> </w:t>
      </w:r>
      <w:r>
        <w:rPr>
          <w:color w:val="FFFFFF"/>
          <w:sz w:val="14"/>
        </w:rPr>
        <w:t>as</w:t>
      </w:r>
      <w:r>
        <w:rPr>
          <w:color w:val="FFFFFF"/>
          <w:spacing w:val="-8"/>
          <w:sz w:val="14"/>
        </w:rPr>
        <w:t> </w:t>
      </w:r>
      <w:r>
        <w:rPr>
          <w:color w:val="FFFFFF"/>
          <w:sz w:val="14"/>
        </w:rPr>
        <w:t>mudanças</w:t>
      </w:r>
      <w:r>
        <w:rPr>
          <w:color w:val="FFFFFF"/>
          <w:spacing w:val="-6"/>
          <w:sz w:val="14"/>
        </w:rPr>
        <w:t> </w:t>
      </w:r>
      <w:r>
        <w:rPr>
          <w:color w:val="FFFFFF"/>
          <w:sz w:val="14"/>
        </w:rPr>
        <w:t>da</w:t>
      </w:r>
      <w:r>
        <w:rPr>
          <w:color w:val="FFFFFF"/>
          <w:spacing w:val="-6"/>
          <w:sz w:val="14"/>
        </w:rPr>
        <w:t> </w:t>
      </w:r>
      <w:r>
        <w:rPr>
          <w:color w:val="FFFFFF"/>
          <w:sz w:val="14"/>
        </w:rPr>
        <w:t>Resolução</w:t>
      </w:r>
      <w:r>
        <w:rPr>
          <w:color w:val="FFFFFF"/>
          <w:spacing w:val="-5"/>
          <w:sz w:val="14"/>
        </w:rPr>
        <w:t> </w:t>
      </w:r>
      <w:r>
        <w:rPr>
          <w:color w:val="FFFFFF"/>
          <w:sz w:val="14"/>
        </w:rPr>
        <w:t>CMN</w:t>
      </w:r>
      <w:r>
        <w:rPr>
          <w:color w:val="FFFFFF"/>
          <w:spacing w:val="-8"/>
          <w:sz w:val="14"/>
        </w:rPr>
        <w:t> </w:t>
      </w:r>
      <w:r>
        <w:rPr>
          <w:color w:val="FFFFFF"/>
          <w:sz w:val="14"/>
        </w:rPr>
        <w:t>4.966/2021,</w:t>
      </w:r>
      <w:r>
        <w:rPr>
          <w:color w:val="FFFFFF"/>
          <w:spacing w:val="-6"/>
          <w:sz w:val="14"/>
        </w:rPr>
        <w:t> </w:t>
      </w:r>
      <w:r>
        <w:rPr>
          <w:color w:val="FFFFFF"/>
          <w:sz w:val="14"/>
        </w:rPr>
        <w:t>que</w:t>
      </w:r>
      <w:r>
        <w:rPr>
          <w:color w:val="FFFFFF"/>
          <w:spacing w:val="-6"/>
          <w:sz w:val="14"/>
        </w:rPr>
        <w:t> </w:t>
      </w:r>
      <w:r>
        <w:rPr>
          <w:color w:val="FFFFFF"/>
          <w:sz w:val="14"/>
        </w:rPr>
        <w:t>alterou</w:t>
      </w:r>
      <w:r>
        <w:rPr>
          <w:color w:val="FFFFFF"/>
          <w:spacing w:val="-6"/>
          <w:sz w:val="14"/>
        </w:rPr>
        <w:t> </w:t>
      </w:r>
      <w:r>
        <w:rPr>
          <w:color w:val="FFFFFF"/>
          <w:sz w:val="14"/>
        </w:rPr>
        <w:t>a</w:t>
      </w:r>
      <w:r>
        <w:rPr>
          <w:color w:val="FFFFFF"/>
          <w:spacing w:val="-6"/>
          <w:sz w:val="14"/>
        </w:rPr>
        <w:t> </w:t>
      </w:r>
      <w:r>
        <w:rPr>
          <w:color w:val="FFFFFF"/>
          <w:sz w:val="14"/>
        </w:rPr>
        <w:t>forma</w:t>
      </w:r>
      <w:r>
        <w:rPr>
          <w:color w:val="FFFFFF"/>
          <w:spacing w:val="-6"/>
          <w:sz w:val="14"/>
        </w:rPr>
        <w:t> </w:t>
      </w:r>
      <w:r>
        <w:rPr>
          <w:color w:val="FFFFFF"/>
          <w:sz w:val="14"/>
        </w:rPr>
        <w:t>de</w:t>
      </w:r>
      <w:r>
        <w:rPr>
          <w:color w:val="FFFFFF"/>
          <w:spacing w:val="-6"/>
          <w:sz w:val="14"/>
        </w:rPr>
        <w:t> </w:t>
      </w:r>
      <w:r>
        <w:rPr>
          <w:color w:val="FFFFFF"/>
          <w:sz w:val="14"/>
        </w:rPr>
        <w:t>contabilização</w:t>
      </w:r>
      <w:r>
        <w:rPr>
          <w:color w:val="FFFFFF"/>
          <w:spacing w:val="-5"/>
          <w:sz w:val="14"/>
        </w:rPr>
        <w:t> </w:t>
      </w:r>
      <w:r>
        <w:rPr>
          <w:color w:val="FFFFFF"/>
          <w:sz w:val="14"/>
        </w:rPr>
        <w:t>de</w:t>
      </w:r>
      <w:r>
        <w:rPr>
          <w:color w:val="FFFFFF"/>
          <w:spacing w:val="-8"/>
          <w:sz w:val="14"/>
        </w:rPr>
        <w:t> </w:t>
      </w:r>
      <w:r>
        <w:rPr>
          <w:color w:val="FFFFFF"/>
          <w:sz w:val="14"/>
        </w:rPr>
        <w:t>ativos</w:t>
      </w:r>
      <w:r>
        <w:rPr>
          <w:color w:val="FFFFFF"/>
          <w:spacing w:val="40"/>
          <w:sz w:val="14"/>
        </w:rPr>
        <w:t> </w:t>
      </w:r>
      <w:r>
        <w:rPr>
          <w:color w:val="FFFFFF"/>
          <w:sz w:val="14"/>
        </w:rPr>
        <w:t>financeiros</w:t>
      </w:r>
      <w:r>
        <w:rPr>
          <w:color w:val="FFFFFF"/>
          <w:spacing w:val="-6"/>
          <w:sz w:val="14"/>
        </w:rPr>
        <w:t> </w:t>
      </w:r>
      <w:r>
        <w:rPr>
          <w:color w:val="FFFFFF"/>
          <w:sz w:val="14"/>
        </w:rPr>
        <w:t>e</w:t>
      </w:r>
      <w:r>
        <w:rPr>
          <w:color w:val="FFFFFF"/>
          <w:spacing w:val="-6"/>
          <w:sz w:val="14"/>
        </w:rPr>
        <w:t> </w:t>
      </w:r>
      <w:r>
        <w:rPr>
          <w:color w:val="FFFFFF"/>
          <w:sz w:val="14"/>
        </w:rPr>
        <w:t>a</w:t>
      </w:r>
      <w:r>
        <w:rPr>
          <w:color w:val="FFFFFF"/>
          <w:spacing w:val="-6"/>
          <w:sz w:val="14"/>
        </w:rPr>
        <w:t> </w:t>
      </w:r>
      <w:r>
        <w:rPr>
          <w:color w:val="FFFFFF"/>
          <w:sz w:val="14"/>
        </w:rPr>
        <w:t>mensuração</w:t>
      </w:r>
      <w:r>
        <w:rPr>
          <w:color w:val="FFFFFF"/>
          <w:spacing w:val="-5"/>
          <w:sz w:val="14"/>
        </w:rPr>
        <w:t> </w:t>
      </w:r>
      <w:r>
        <w:rPr>
          <w:color w:val="FFFFFF"/>
          <w:sz w:val="14"/>
        </w:rPr>
        <w:t>de</w:t>
      </w:r>
      <w:r>
        <w:rPr>
          <w:color w:val="FFFFFF"/>
          <w:spacing w:val="-6"/>
          <w:sz w:val="14"/>
        </w:rPr>
        <w:t> </w:t>
      </w:r>
      <w:r>
        <w:rPr>
          <w:color w:val="FFFFFF"/>
          <w:sz w:val="14"/>
        </w:rPr>
        <w:t>perdas</w:t>
      </w:r>
      <w:r>
        <w:rPr>
          <w:color w:val="FFFFFF"/>
          <w:spacing w:val="-6"/>
          <w:sz w:val="14"/>
        </w:rPr>
        <w:t> </w:t>
      </w:r>
      <w:r>
        <w:rPr>
          <w:color w:val="FFFFFF"/>
          <w:sz w:val="14"/>
        </w:rPr>
        <w:t>esperadas.</w:t>
      </w:r>
      <w:r>
        <w:rPr>
          <w:color w:val="FFFFFF"/>
          <w:spacing w:val="-8"/>
          <w:sz w:val="14"/>
        </w:rPr>
        <w:t> </w:t>
      </w:r>
      <w:r>
        <w:rPr>
          <w:color w:val="FFFFFF"/>
          <w:sz w:val="14"/>
        </w:rPr>
        <w:t>As</w:t>
      </w:r>
      <w:r>
        <w:rPr>
          <w:color w:val="FFFFFF"/>
          <w:spacing w:val="-8"/>
          <w:sz w:val="14"/>
        </w:rPr>
        <w:t> </w:t>
      </w:r>
      <w:r>
        <w:rPr>
          <w:color w:val="FFFFFF"/>
          <w:sz w:val="14"/>
        </w:rPr>
        <w:t>comparações</w:t>
      </w:r>
      <w:r>
        <w:rPr>
          <w:color w:val="FFFFFF"/>
          <w:spacing w:val="-6"/>
          <w:sz w:val="14"/>
        </w:rPr>
        <w:t> </w:t>
      </w:r>
      <w:r>
        <w:rPr>
          <w:color w:val="FFFFFF"/>
          <w:sz w:val="14"/>
        </w:rPr>
        <w:t>neste</w:t>
      </w:r>
      <w:r>
        <w:rPr>
          <w:color w:val="FFFFFF"/>
          <w:spacing w:val="-4"/>
          <w:sz w:val="14"/>
        </w:rPr>
        <w:t> </w:t>
      </w:r>
      <w:r>
        <w:rPr>
          <w:color w:val="FFFFFF"/>
          <w:sz w:val="14"/>
        </w:rPr>
        <w:t>documento</w:t>
      </w:r>
      <w:r>
        <w:rPr>
          <w:color w:val="FFFFFF"/>
          <w:spacing w:val="-7"/>
          <w:sz w:val="14"/>
        </w:rPr>
        <w:t> </w:t>
      </w:r>
      <w:r>
        <w:rPr>
          <w:color w:val="FFFFFF"/>
          <w:sz w:val="14"/>
        </w:rPr>
        <w:t>consideram</w:t>
      </w:r>
      <w:r>
        <w:rPr>
          <w:color w:val="FFFFFF"/>
          <w:spacing w:val="-5"/>
          <w:sz w:val="14"/>
        </w:rPr>
        <w:t> </w:t>
      </w:r>
      <w:r>
        <w:rPr>
          <w:color w:val="FFFFFF"/>
          <w:sz w:val="14"/>
        </w:rPr>
        <w:t>os</w:t>
      </w:r>
      <w:r>
        <w:rPr>
          <w:color w:val="FFFFFF"/>
          <w:spacing w:val="-8"/>
          <w:sz w:val="14"/>
        </w:rPr>
        <w:t> </w:t>
      </w:r>
      <w:r>
        <w:rPr>
          <w:color w:val="FFFFFF"/>
          <w:sz w:val="14"/>
        </w:rPr>
        <w:t>normativos</w:t>
      </w:r>
      <w:r>
        <w:rPr>
          <w:color w:val="FFFFFF"/>
          <w:spacing w:val="-6"/>
          <w:sz w:val="14"/>
        </w:rPr>
        <w:t> </w:t>
      </w:r>
      <w:r>
        <w:rPr>
          <w:color w:val="FFFFFF"/>
          <w:sz w:val="14"/>
        </w:rPr>
        <w:t>vigentes</w:t>
      </w:r>
      <w:r>
        <w:rPr>
          <w:color w:val="FFFFFF"/>
          <w:spacing w:val="-6"/>
          <w:sz w:val="14"/>
        </w:rPr>
        <w:t> </w:t>
      </w:r>
      <w:r>
        <w:rPr>
          <w:color w:val="FFFFFF"/>
          <w:sz w:val="14"/>
        </w:rPr>
        <w:t>à</w:t>
      </w:r>
      <w:r>
        <w:rPr>
          <w:color w:val="FFFFFF"/>
          <w:spacing w:val="-6"/>
          <w:sz w:val="14"/>
        </w:rPr>
        <w:t> </w:t>
      </w:r>
      <w:r>
        <w:rPr>
          <w:color w:val="FFFFFF"/>
          <w:sz w:val="14"/>
        </w:rPr>
        <w:t>época</w:t>
      </w:r>
      <w:r>
        <w:rPr>
          <w:color w:val="FFFFFF"/>
          <w:spacing w:val="-6"/>
          <w:sz w:val="14"/>
        </w:rPr>
        <w:t> </w:t>
      </w:r>
      <w:r>
        <w:rPr>
          <w:color w:val="FFFFFF"/>
          <w:sz w:val="14"/>
        </w:rPr>
        <w:t>da</w:t>
      </w:r>
      <w:r>
        <w:rPr>
          <w:color w:val="FFFFFF"/>
          <w:spacing w:val="-5"/>
          <w:sz w:val="14"/>
        </w:rPr>
        <w:t> </w:t>
      </w:r>
      <w:r>
        <w:rPr>
          <w:color w:val="FFFFFF"/>
          <w:sz w:val="14"/>
        </w:rPr>
        <w:t>divulgação,</w:t>
      </w:r>
      <w:r>
        <w:rPr>
          <w:color w:val="FFFFFF"/>
          <w:spacing w:val="-6"/>
          <w:sz w:val="14"/>
        </w:rPr>
        <w:t> </w:t>
      </w:r>
      <w:r>
        <w:rPr>
          <w:color w:val="FFFFFF"/>
          <w:sz w:val="14"/>
        </w:rPr>
        <w:t>sem</w:t>
      </w:r>
      <w:r>
        <w:rPr>
          <w:color w:val="FFFFFF"/>
          <w:spacing w:val="-5"/>
          <w:sz w:val="14"/>
        </w:rPr>
        <w:t> </w:t>
      </w:r>
      <w:r>
        <w:rPr>
          <w:color w:val="FFFFFF"/>
          <w:sz w:val="14"/>
        </w:rPr>
        <w:t>retroagir</w:t>
      </w:r>
      <w:r>
        <w:rPr>
          <w:color w:val="FFFFFF"/>
          <w:spacing w:val="40"/>
          <w:sz w:val="14"/>
        </w:rPr>
        <w:t> </w:t>
      </w:r>
      <w:r>
        <w:rPr>
          <w:color w:val="FFFFFF"/>
          <w:sz w:val="14"/>
        </w:rPr>
        <w:t>os dados a 2024. Para saber mais sobre as principais mudanças entre os padrões, acesse as Demonstrações Contábeis.</w:t>
      </w:r>
    </w:p>
    <w:p>
      <w:pPr>
        <w:spacing w:after="0" w:line="216" w:lineRule="auto"/>
        <w:jc w:val="both"/>
        <w:rPr>
          <w:sz w:val="14"/>
        </w:rPr>
        <w:sectPr>
          <w:type w:val="continuous"/>
          <w:pgSz w:w="11910" w:h="16850"/>
          <w:pgMar w:top="1920" w:bottom="280" w:left="425" w:right="708"/>
        </w:sectPr>
      </w:pPr>
    </w:p>
    <w:p>
      <w:pPr>
        <w:pStyle w:val="Heading1"/>
        <w:spacing w:before="376"/>
      </w:pPr>
      <w:r>
        <w:rPr>
          <w:color w:val="465EFF"/>
          <w:spacing w:val="35"/>
        </w:rPr>
        <w:t>Principais</w:t>
      </w:r>
      <w:r>
        <w:rPr>
          <w:color w:val="465EFF"/>
          <w:spacing w:val="67"/>
        </w:rPr>
        <w:t> </w:t>
      </w:r>
      <w:r>
        <w:rPr>
          <w:color w:val="465EFF"/>
          <w:spacing w:val="34"/>
        </w:rPr>
        <w:t>destaques</w:t>
      </w:r>
      <w:r>
        <w:rPr>
          <w:color w:val="465EFF"/>
          <w:spacing w:val="69"/>
        </w:rPr>
        <w:t> </w:t>
      </w:r>
      <w:r>
        <w:rPr>
          <w:color w:val="465EFF"/>
          <w:spacing w:val="20"/>
        </w:rPr>
        <w:t>do</w:t>
      </w:r>
      <w:r>
        <w:rPr>
          <w:color w:val="465EFF"/>
          <w:spacing w:val="67"/>
        </w:rPr>
        <w:t> </w:t>
      </w:r>
      <w:r>
        <w:rPr>
          <w:color w:val="465EFF"/>
          <w:spacing w:val="32"/>
        </w:rPr>
        <w:t>período </w:t>
      </w:r>
    </w:p>
    <w:p>
      <w:pPr>
        <w:pStyle w:val="BodyText"/>
        <w:rPr>
          <w:rFonts w:ascii="BancoDoBrasil Titulos"/>
        </w:rPr>
      </w:pPr>
    </w:p>
    <w:p>
      <w:pPr>
        <w:pStyle w:val="BodyText"/>
        <w:spacing w:after="0"/>
        <w:rPr>
          <w:rFonts w:ascii="BancoDoBrasil Titulos"/>
        </w:rPr>
        <w:sectPr>
          <w:headerReference w:type="default" r:id="rId8"/>
          <w:footerReference w:type="default" r:id="rId9"/>
          <w:pgSz w:w="11910" w:h="16850"/>
          <w:pgMar w:header="152" w:footer="572" w:top="900" w:bottom="760" w:left="425" w:right="708"/>
          <w:pgNumType w:start="2"/>
        </w:sectPr>
      </w:pPr>
    </w:p>
    <w:p>
      <w:pPr>
        <w:pStyle w:val="Heading2"/>
        <w:spacing w:before="71"/>
        <w:ind w:left="427"/>
        <w:rPr>
          <w:b w:val="0"/>
        </w:rPr>
      </w:pPr>
      <w:r>
        <w:rPr>
          <w:b w:val="0"/>
          <w:color w:val="465EFF"/>
          <w:spacing w:val="17"/>
        </w:rPr>
        <w:t>Crédito</w:t>
      </w:r>
      <w:r>
        <w:rPr>
          <w:b w:val="0"/>
          <w:color w:val="465EFF"/>
          <w:spacing w:val="46"/>
        </w:rPr>
        <w:t> </w:t>
      </w:r>
      <w:r>
        <w:rPr>
          <w:b w:val="0"/>
          <w:color w:val="465EFF"/>
          <w:spacing w:val="11"/>
        </w:rPr>
        <w:t>do</w:t>
      </w:r>
      <w:r>
        <w:rPr>
          <w:b w:val="0"/>
          <w:color w:val="465EFF"/>
          <w:spacing w:val="49"/>
        </w:rPr>
        <w:t> </w:t>
      </w:r>
      <w:r>
        <w:rPr>
          <w:b w:val="0"/>
          <w:color w:val="465EFF"/>
          <w:spacing w:val="20"/>
        </w:rPr>
        <w:t>trabalhador</w:t>
      </w:r>
    </w:p>
    <w:p>
      <w:pPr>
        <w:pStyle w:val="BodyText"/>
        <w:spacing w:line="321" w:lineRule="auto" w:before="250"/>
        <w:ind w:left="426" w:right="38"/>
        <w:jc w:val="both"/>
      </w:pPr>
      <w:r>
        <w:rPr>
          <w:color w:val="1B1B22"/>
        </w:rPr>
        <w:t>Em</w:t>
      </w:r>
      <w:r>
        <w:rPr>
          <w:color w:val="1B1B22"/>
          <w:spacing w:val="-2"/>
        </w:rPr>
        <w:t> </w:t>
      </w:r>
      <w:r>
        <w:rPr>
          <w:color w:val="1B1B22"/>
        </w:rPr>
        <w:t>junho,</w:t>
      </w:r>
      <w:r>
        <w:rPr>
          <w:color w:val="1B1B22"/>
          <w:spacing w:val="-2"/>
        </w:rPr>
        <w:t> </w:t>
      </w:r>
      <w:r>
        <w:rPr>
          <w:color w:val="1B1B22"/>
        </w:rPr>
        <w:t>superamos</w:t>
      </w:r>
      <w:r>
        <w:rPr>
          <w:color w:val="1B1B22"/>
          <w:spacing w:val="-1"/>
        </w:rPr>
        <w:t> </w:t>
      </w:r>
      <w:r>
        <w:rPr>
          <w:color w:val="1B1B22"/>
        </w:rPr>
        <w:t>a</w:t>
      </w:r>
      <w:r>
        <w:rPr>
          <w:color w:val="1B1B22"/>
          <w:spacing w:val="-3"/>
        </w:rPr>
        <w:t> </w:t>
      </w:r>
      <w:r>
        <w:rPr>
          <w:color w:val="1B1B22"/>
        </w:rPr>
        <w:t>marca</w:t>
      </w:r>
      <w:r>
        <w:rPr>
          <w:color w:val="1B1B22"/>
          <w:spacing w:val="-3"/>
        </w:rPr>
        <w:t> </w:t>
      </w:r>
      <w:r>
        <w:rPr>
          <w:color w:val="1B1B22"/>
        </w:rPr>
        <w:t>de</w:t>
      </w:r>
      <w:r>
        <w:rPr>
          <w:color w:val="1B1B22"/>
          <w:spacing w:val="-2"/>
        </w:rPr>
        <w:t> </w:t>
      </w:r>
      <w:r>
        <w:rPr>
          <w:color w:val="1B1B22"/>
        </w:rPr>
        <w:t>R$</w:t>
      </w:r>
      <w:r>
        <w:rPr>
          <w:color w:val="1B1B22"/>
          <w:spacing w:val="-2"/>
        </w:rPr>
        <w:t> </w:t>
      </w:r>
      <w:r>
        <w:rPr>
          <w:color w:val="1B1B22"/>
        </w:rPr>
        <w:t>4,5</w:t>
      </w:r>
      <w:r>
        <w:rPr>
          <w:color w:val="1B1B22"/>
          <w:spacing w:val="-2"/>
        </w:rPr>
        <w:t> </w:t>
      </w:r>
      <w:r>
        <w:rPr>
          <w:color w:val="1B1B22"/>
        </w:rPr>
        <w:t>bilhões</w:t>
      </w:r>
      <w:r>
        <w:rPr>
          <w:color w:val="1B1B22"/>
          <w:spacing w:val="-1"/>
        </w:rPr>
        <w:t> </w:t>
      </w:r>
      <w:r>
        <w:rPr>
          <w:color w:val="1B1B22"/>
        </w:rPr>
        <w:t>de contratações</w:t>
      </w:r>
      <w:r>
        <w:rPr>
          <w:color w:val="1B1B22"/>
          <w:spacing w:val="-11"/>
        </w:rPr>
        <w:t> </w:t>
      </w:r>
      <w:r>
        <w:rPr>
          <w:color w:val="1B1B22"/>
        </w:rPr>
        <w:t>no</w:t>
      </w:r>
      <w:r>
        <w:rPr>
          <w:color w:val="1B1B22"/>
          <w:spacing w:val="-8"/>
        </w:rPr>
        <w:t> </w:t>
      </w:r>
      <w:r>
        <w:rPr>
          <w:color w:val="1B1B22"/>
        </w:rPr>
        <w:t>Crédito</w:t>
      </w:r>
      <w:r>
        <w:rPr>
          <w:color w:val="1B1B22"/>
          <w:spacing w:val="-8"/>
        </w:rPr>
        <w:t> </w:t>
      </w:r>
      <w:r>
        <w:rPr>
          <w:color w:val="1B1B22"/>
        </w:rPr>
        <w:t>do</w:t>
      </w:r>
      <w:r>
        <w:rPr>
          <w:color w:val="1B1B22"/>
          <w:spacing w:val="-13"/>
        </w:rPr>
        <w:t> </w:t>
      </w:r>
      <w:r>
        <w:rPr>
          <w:color w:val="1B1B22"/>
        </w:rPr>
        <w:t>Trabalhador,</w:t>
      </w:r>
      <w:r>
        <w:rPr>
          <w:color w:val="1B1B22"/>
          <w:spacing w:val="-7"/>
        </w:rPr>
        <w:t> </w:t>
      </w:r>
      <w:r>
        <w:rPr>
          <w:color w:val="1B1B22"/>
        </w:rPr>
        <w:t>com</w:t>
      </w:r>
      <w:r>
        <w:rPr>
          <w:color w:val="1B1B22"/>
          <w:spacing w:val="-8"/>
        </w:rPr>
        <w:t> </w:t>
      </w:r>
      <w:r>
        <w:rPr>
          <w:color w:val="1B1B22"/>
        </w:rPr>
        <w:t>mais de 433 mil operações em 5.094 municípios brasileiros desde seu lançamento em março deste ano.</w:t>
      </w:r>
      <w:r>
        <w:rPr>
          <w:color w:val="1B1B22"/>
          <w:spacing w:val="40"/>
        </w:rPr>
        <w:t> </w:t>
      </w:r>
      <w:r>
        <w:rPr>
          <w:color w:val="1B1B22"/>
        </w:rPr>
        <w:t>Com uma plataforma de análise que integra um amplo conjunto de dados e informações de relacionamento com empresas e trabalhadores, o BB oferece propostas personalizadas, seguras e eficientes, reforçando seu compromisso com uma atuação cada vez mais inclusiva e centrada no </w:t>
      </w:r>
      <w:r>
        <w:rPr>
          <w:color w:val="1B1B22"/>
          <w:spacing w:val="-2"/>
        </w:rPr>
        <w:t>cliente.</w:t>
      </w:r>
    </w:p>
    <w:p>
      <w:pPr>
        <w:pStyle w:val="Heading2"/>
        <w:spacing w:before="102"/>
        <w:ind w:left="427"/>
        <w:rPr>
          <w:b w:val="0"/>
        </w:rPr>
      </w:pPr>
      <w:r>
        <w:rPr>
          <w:b w:val="0"/>
          <w:color w:val="465EFF"/>
          <w:spacing w:val="18"/>
        </w:rPr>
        <w:t>Plano</w:t>
      </w:r>
      <w:r>
        <w:rPr>
          <w:b w:val="0"/>
          <w:color w:val="465EFF"/>
          <w:spacing w:val="46"/>
        </w:rPr>
        <w:t> </w:t>
      </w:r>
      <w:r>
        <w:rPr>
          <w:b w:val="0"/>
          <w:color w:val="465EFF"/>
          <w:spacing w:val="16"/>
        </w:rPr>
        <w:t>Safra</w:t>
      </w:r>
      <w:r>
        <w:rPr>
          <w:b w:val="0"/>
          <w:color w:val="465EFF"/>
          <w:spacing w:val="51"/>
        </w:rPr>
        <w:t> </w:t>
      </w:r>
      <w:r>
        <w:rPr>
          <w:b w:val="0"/>
          <w:color w:val="465EFF"/>
          <w:spacing w:val="16"/>
        </w:rPr>
        <w:t>2025/2026</w:t>
      </w:r>
    </w:p>
    <w:p>
      <w:pPr>
        <w:pStyle w:val="BodyText"/>
        <w:spacing w:line="321" w:lineRule="auto" w:before="250"/>
        <w:ind w:left="427" w:right="38"/>
        <w:jc w:val="both"/>
      </w:pPr>
      <w:r>
        <w:rPr>
          <w:color w:val="1B1B22"/>
        </w:rPr>
        <w:t>Anunciamos</w:t>
      </w:r>
      <w:r>
        <w:rPr>
          <w:color w:val="1B1B22"/>
          <w:spacing w:val="-1"/>
        </w:rPr>
        <w:t> </w:t>
      </w:r>
      <w:r>
        <w:rPr>
          <w:color w:val="1B1B22"/>
        </w:rPr>
        <w:t>a</w:t>
      </w:r>
      <w:r>
        <w:rPr>
          <w:color w:val="1B1B22"/>
          <w:spacing w:val="-4"/>
        </w:rPr>
        <w:t> </w:t>
      </w:r>
      <w:r>
        <w:rPr>
          <w:color w:val="1B1B22"/>
        </w:rPr>
        <w:t>destinação de</w:t>
      </w:r>
      <w:r>
        <w:rPr>
          <w:color w:val="1B1B22"/>
          <w:spacing w:val="-3"/>
        </w:rPr>
        <w:t> </w:t>
      </w:r>
      <w:r>
        <w:rPr>
          <w:color w:val="1B1B22"/>
        </w:rPr>
        <w:t>R$</w:t>
      </w:r>
      <w:r>
        <w:rPr>
          <w:color w:val="1B1B22"/>
          <w:spacing w:val="-3"/>
        </w:rPr>
        <w:t> </w:t>
      </w:r>
      <w:r>
        <w:rPr>
          <w:color w:val="1B1B22"/>
        </w:rPr>
        <w:t>230</w:t>
      </w:r>
      <w:r>
        <w:rPr>
          <w:color w:val="1B1B22"/>
          <w:spacing w:val="-2"/>
        </w:rPr>
        <w:t> </w:t>
      </w:r>
      <w:r>
        <w:rPr>
          <w:color w:val="1B1B22"/>
        </w:rPr>
        <w:t>bilhões</w:t>
      </w:r>
      <w:r>
        <w:rPr>
          <w:color w:val="1B1B22"/>
          <w:spacing w:val="-2"/>
        </w:rPr>
        <w:t> </w:t>
      </w:r>
      <w:r>
        <w:rPr>
          <w:color w:val="1B1B22"/>
        </w:rPr>
        <w:t>para</w:t>
      </w:r>
      <w:r>
        <w:rPr>
          <w:color w:val="1B1B22"/>
          <w:spacing w:val="-1"/>
        </w:rPr>
        <w:t> </w:t>
      </w:r>
      <w:r>
        <w:rPr>
          <w:color w:val="1B1B22"/>
        </w:rPr>
        <w:t>o segmento. Desse total, R$ 54 bilhões serão voltados a pequenos e médios produtores, enquanto R$ 106 bilhões atenderão a agricultura empresarial, incluindo grandes produtores, cooperativas</w:t>
      </w:r>
      <w:r>
        <w:rPr>
          <w:color w:val="1B1B22"/>
          <w:spacing w:val="-13"/>
        </w:rPr>
        <w:t> </w:t>
      </w:r>
      <w:r>
        <w:rPr>
          <w:color w:val="1B1B22"/>
        </w:rPr>
        <w:t>e</w:t>
      </w:r>
      <w:r>
        <w:rPr>
          <w:color w:val="1B1B22"/>
          <w:spacing w:val="-12"/>
        </w:rPr>
        <w:t> </w:t>
      </w:r>
      <w:r>
        <w:rPr>
          <w:color w:val="1B1B22"/>
        </w:rPr>
        <w:t>agroindústrias.</w:t>
      </w:r>
      <w:r>
        <w:rPr>
          <w:color w:val="1B1B22"/>
          <w:spacing w:val="-13"/>
        </w:rPr>
        <w:t> </w:t>
      </w:r>
      <w:r>
        <w:rPr>
          <w:color w:val="1B1B22"/>
        </w:rPr>
        <w:t>As</w:t>
      </w:r>
      <w:r>
        <w:rPr>
          <w:color w:val="1B1B22"/>
          <w:spacing w:val="-12"/>
        </w:rPr>
        <w:t> </w:t>
      </w:r>
      <w:r>
        <w:rPr>
          <w:color w:val="1B1B22"/>
        </w:rPr>
        <w:t>premissas</w:t>
      </w:r>
      <w:r>
        <w:rPr>
          <w:color w:val="1B1B22"/>
          <w:spacing w:val="-12"/>
        </w:rPr>
        <w:t> </w:t>
      </w:r>
      <w:r>
        <w:rPr>
          <w:color w:val="1B1B22"/>
        </w:rPr>
        <w:t>para</w:t>
      </w:r>
      <w:r>
        <w:rPr>
          <w:color w:val="1B1B22"/>
          <w:spacing w:val="-13"/>
        </w:rPr>
        <w:t> </w:t>
      </w:r>
      <w:r>
        <w:rPr>
          <w:color w:val="1B1B22"/>
        </w:rPr>
        <w:t>os desembolsos do novo Plano Safra foram alicerçadas observando-se os cenários externos, como clima, produtividade, endividamento e margens dos produtores, e internos, como exigibilidades, análise de risco de crédito e exigências de garantias com maiores efetividades no retorno dos financiamentos.</w:t>
      </w:r>
    </w:p>
    <w:p>
      <w:pPr>
        <w:pStyle w:val="Heading2"/>
        <w:spacing w:line="321" w:lineRule="auto" w:before="102"/>
        <w:ind w:right="59"/>
        <w:rPr>
          <w:b w:val="0"/>
        </w:rPr>
      </w:pPr>
      <w:r>
        <w:rPr>
          <w:b w:val="0"/>
          <w:color w:val="465EFF"/>
          <w:spacing w:val="20"/>
        </w:rPr>
        <w:t>Desembolsos</w:t>
      </w:r>
      <w:r>
        <w:rPr>
          <w:b w:val="0"/>
          <w:color w:val="465EFF"/>
          <w:spacing w:val="20"/>
        </w:rPr>
        <w:t> </w:t>
      </w:r>
      <w:r>
        <w:rPr>
          <w:b w:val="0"/>
          <w:color w:val="465EFF"/>
          <w:spacing w:val="13"/>
        </w:rPr>
        <w:t>com</w:t>
      </w:r>
      <w:r>
        <w:rPr>
          <w:b w:val="0"/>
          <w:color w:val="465EFF"/>
          <w:spacing w:val="13"/>
        </w:rPr>
        <w:t> PEAC</w:t>
      </w:r>
      <w:r>
        <w:rPr>
          <w:b w:val="0"/>
          <w:color w:val="465EFF"/>
          <w:spacing w:val="13"/>
        </w:rPr>
        <w:t> </w:t>
      </w:r>
      <w:r>
        <w:rPr>
          <w:b w:val="0"/>
          <w:color w:val="465EFF"/>
          <w:spacing w:val="14"/>
        </w:rPr>
        <w:t>FGI</w:t>
      </w:r>
      <w:r>
        <w:rPr>
          <w:b w:val="0"/>
          <w:color w:val="465EFF"/>
          <w:spacing w:val="14"/>
        </w:rPr>
        <w:t> </w:t>
      </w:r>
      <w:r>
        <w:rPr>
          <w:b w:val="0"/>
          <w:color w:val="465EFF"/>
        </w:rPr>
        <w:t>e </w:t>
      </w:r>
      <w:r>
        <w:rPr>
          <w:b w:val="0"/>
          <w:color w:val="465EFF"/>
          <w:spacing w:val="19"/>
        </w:rPr>
        <w:t>Pronampe</w:t>
      </w:r>
      <w:r>
        <w:rPr>
          <w:b w:val="0"/>
          <w:color w:val="465EFF"/>
          <w:spacing w:val="19"/>
        </w:rPr>
        <w:t> </w:t>
      </w:r>
      <w:r>
        <w:rPr>
          <w:b w:val="0"/>
          <w:color w:val="465EFF"/>
          <w:spacing w:val="18"/>
        </w:rPr>
        <w:t>superam</w:t>
      </w:r>
      <w:r>
        <w:rPr>
          <w:b w:val="0"/>
          <w:color w:val="465EFF"/>
          <w:spacing w:val="18"/>
        </w:rPr>
        <w:t> </w:t>
      </w:r>
      <w:r>
        <w:rPr>
          <w:b w:val="0"/>
          <w:color w:val="465EFF"/>
        </w:rPr>
        <w:t>R$ 30 </w:t>
      </w:r>
      <w:r>
        <w:rPr>
          <w:b w:val="0"/>
          <w:color w:val="465EFF"/>
          <w:spacing w:val="17"/>
        </w:rPr>
        <w:t>bilhões</w:t>
      </w:r>
    </w:p>
    <w:p>
      <w:pPr>
        <w:pStyle w:val="BodyText"/>
        <w:spacing w:line="321" w:lineRule="auto" w:before="126"/>
        <w:ind w:left="426" w:right="38"/>
        <w:jc w:val="both"/>
      </w:pPr>
      <w:r>
        <w:rPr>
          <w:color w:val="1B1B22"/>
        </w:rPr>
        <w:t>Considerando</w:t>
      </w:r>
      <w:r>
        <w:rPr>
          <w:color w:val="1B1B22"/>
          <w:spacing w:val="-5"/>
        </w:rPr>
        <w:t> </w:t>
      </w:r>
      <w:r>
        <w:rPr>
          <w:color w:val="1B1B22"/>
        </w:rPr>
        <w:t>a</w:t>
      </w:r>
      <w:r>
        <w:rPr>
          <w:color w:val="1B1B22"/>
          <w:spacing w:val="-5"/>
        </w:rPr>
        <w:t> </w:t>
      </w:r>
      <w:r>
        <w:rPr>
          <w:color w:val="1B1B22"/>
        </w:rPr>
        <w:t>melhor</w:t>
      </w:r>
      <w:r>
        <w:rPr>
          <w:color w:val="1B1B22"/>
          <w:spacing w:val="-5"/>
        </w:rPr>
        <w:t> </w:t>
      </w:r>
      <w:r>
        <w:rPr>
          <w:color w:val="1B1B22"/>
        </w:rPr>
        <w:t>condição</w:t>
      </w:r>
      <w:r>
        <w:rPr>
          <w:color w:val="1B1B22"/>
          <w:spacing w:val="-5"/>
        </w:rPr>
        <w:t> </w:t>
      </w:r>
      <w:r>
        <w:rPr>
          <w:color w:val="1B1B22"/>
        </w:rPr>
        <w:t>de</w:t>
      </w:r>
      <w:r>
        <w:rPr>
          <w:color w:val="1B1B22"/>
          <w:spacing w:val="-5"/>
        </w:rPr>
        <w:t> </w:t>
      </w:r>
      <w:r>
        <w:rPr>
          <w:color w:val="1B1B22"/>
        </w:rPr>
        <w:t>risco-retorno, os</w:t>
      </w:r>
      <w:r>
        <w:rPr>
          <w:color w:val="1B1B22"/>
          <w:spacing w:val="-13"/>
        </w:rPr>
        <w:t> </w:t>
      </w:r>
      <w:r>
        <w:rPr>
          <w:color w:val="1B1B22"/>
        </w:rPr>
        <w:t>desembolsos</w:t>
      </w:r>
      <w:r>
        <w:rPr>
          <w:color w:val="1B1B22"/>
          <w:spacing w:val="-12"/>
        </w:rPr>
        <w:t> </w:t>
      </w:r>
      <w:r>
        <w:rPr>
          <w:color w:val="1B1B22"/>
        </w:rPr>
        <w:t>de</w:t>
      </w:r>
      <w:r>
        <w:rPr>
          <w:color w:val="1B1B22"/>
          <w:spacing w:val="-13"/>
        </w:rPr>
        <w:t> </w:t>
      </w:r>
      <w:r>
        <w:rPr>
          <w:color w:val="1B1B22"/>
        </w:rPr>
        <w:t>crédito</w:t>
      </w:r>
      <w:r>
        <w:rPr>
          <w:color w:val="1B1B22"/>
          <w:spacing w:val="-12"/>
        </w:rPr>
        <w:t> </w:t>
      </w:r>
      <w:r>
        <w:rPr>
          <w:color w:val="1B1B22"/>
        </w:rPr>
        <w:t>para</w:t>
      </w:r>
      <w:r>
        <w:rPr>
          <w:color w:val="1B1B22"/>
          <w:spacing w:val="-12"/>
        </w:rPr>
        <w:t> </w:t>
      </w:r>
      <w:r>
        <w:rPr>
          <w:color w:val="1B1B22"/>
        </w:rPr>
        <w:t>as</w:t>
      </w:r>
      <w:r>
        <w:rPr>
          <w:color w:val="1B1B22"/>
          <w:spacing w:val="-13"/>
        </w:rPr>
        <w:t> </w:t>
      </w:r>
      <w:r>
        <w:rPr>
          <w:color w:val="1B1B22"/>
        </w:rPr>
        <w:t>micro,</w:t>
      </w:r>
      <w:r>
        <w:rPr>
          <w:color w:val="1B1B22"/>
          <w:spacing w:val="-12"/>
        </w:rPr>
        <w:t> </w:t>
      </w:r>
      <w:r>
        <w:rPr>
          <w:color w:val="1B1B22"/>
        </w:rPr>
        <w:t>pequenas e médias empresas com a utilização de fundos garantidores (PEAC FGI e Pronampe)</w:t>
      </w:r>
      <w:r>
        <w:rPr>
          <w:color w:val="1B1B22"/>
          <w:spacing w:val="40"/>
        </w:rPr>
        <w:t> </w:t>
      </w:r>
      <w:r>
        <w:rPr>
          <w:color w:val="1B1B22"/>
        </w:rPr>
        <w:t>alcançaram mais</w:t>
      </w:r>
      <w:r>
        <w:rPr>
          <w:color w:val="1B1B22"/>
          <w:spacing w:val="32"/>
        </w:rPr>
        <w:t> </w:t>
      </w:r>
      <w:r>
        <w:rPr>
          <w:color w:val="1B1B22"/>
        </w:rPr>
        <w:t>de</w:t>
      </w:r>
      <w:r>
        <w:rPr>
          <w:color w:val="1B1B22"/>
          <w:spacing w:val="32"/>
        </w:rPr>
        <w:t> </w:t>
      </w:r>
      <w:r>
        <w:rPr>
          <w:color w:val="1B1B22"/>
        </w:rPr>
        <w:t>R$</w:t>
      </w:r>
      <w:r>
        <w:rPr>
          <w:color w:val="1B1B22"/>
          <w:spacing w:val="32"/>
        </w:rPr>
        <w:t> </w:t>
      </w:r>
      <w:r>
        <w:rPr>
          <w:color w:val="1B1B22"/>
        </w:rPr>
        <w:t>30</w:t>
      </w:r>
      <w:r>
        <w:rPr>
          <w:color w:val="1B1B22"/>
          <w:spacing w:val="32"/>
        </w:rPr>
        <w:t> </w:t>
      </w:r>
      <w:r>
        <w:rPr>
          <w:color w:val="1B1B22"/>
        </w:rPr>
        <w:t>bilhões</w:t>
      </w:r>
      <w:r>
        <w:rPr>
          <w:color w:val="1B1B22"/>
          <w:spacing w:val="33"/>
        </w:rPr>
        <w:t> </w:t>
      </w:r>
      <w:r>
        <w:rPr>
          <w:color w:val="1B1B22"/>
        </w:rPr>
        <w:t>em</w:t>
      </w:r>
      <w:r>
        <w:rPr>
          <w:color w:val="1B1B22"/>
          <w:spacing w:val="32"/>
        </w:rPr>
        <w:t> </w:t>
      </w:r>
      <w:r>
        <w:rPr>
          <w:color w:val="1B1B22"/>
        </w:rPr>
        <w:t>junho/25.</w:t>
      </w:r>
      <w:r>
        <w:rPr>
          <w:color w:val="1B1B22"/>
          <w:spacing w:val="27"/>
        </w:rPr>
        <w:t> </w:t>
      </w:r>
      <w:r>
        <w:rPr>
          <w:color w:val="1B1B22"/>
        </w:rPr>
        <w:t>Além</w:t>
      </w:r>
      <w:r>
        <w:rPr>
          <w:color w:val="1B1B22"/>
          <w:spacing w:val="31"/>
        </w:rPr>
        <w:t> </w:t>
      </w:r>
      <w:r>
        <w:rPr>
          <w:color w:val="1B1B22"/>
          <w:spacing w:val="-2"/>
        </w:rPr>
        <w:t>disso,</w:t>
      </w:r>
    </w:p>
    <w:p>
      <w:pPr>
        <w:pStyle w:val="BodyText"/>
        <w:spacing w:before="80"/>
        <w:ind w:left="426"/>
        <w:jc w:val="both"/>
      </w:pPr>
      <w:r>
        <w:rPr/>
        <w:br w:type="column"/>
      </w:r>
      <w:r>
        <w:rPr>
          <w:color w:val="1B1B22"/>
        </w:rPr>
        <w:t>temos</w:t>
      </w:r>
      <w:r>
        <w:rPr>
          <w:color w:val="1B1B22"/>
          <w:spacing w:val="2"/>
        </w:rPr>
        <w:t> </w:t>
      </w:r>
      <w:r>
        <w:rPr>
          <w:color w:val="1B1B22"/>
        </w:rPr>
        <w:t>atuado</w:t>
      </w:r>
      <w:r>
        <w:rPr>
          <w:color w:val="1B1B22"/>
          <w:spacing w:val="1"/>
        </w:rPr>
        <w:t> </w:t>
      </w:r>
      <w:r>
        <w:rPr>
          <w:color w:val="1B1B22"/>
        </w:rPr>
        <w:t>no</w:t>
      </w:r>
      <w:r>
        <w:rPr>
          <w:color w:val="1B1B22"/>
          <w:spacing w:val="1"/>
        </w:rPr>
        <w:t> </w:t>
      </w:r>
      <w:r>
        <w:rPr>
          <w:color w:val="1B1B22"/>
        </w:rPr>
        <w:t>contexto da matriz</w:t>
      </w:r>
      <w:r>
        <w:rPr>
          <w:color w:val="1B1B22"/>
          <w:spacing w:val="1"/>
        </w:rPr>
        <w:t> </w:t>
      </w:r>
      <w:r>
        <w:rPr>
          <w:color w:val="1B1B22"/>
        </w:rPr>
        <w:t>de</w:t>
      </w:r>
      <w:r>
        <w:rPr>
          <w:color w:val="1B1B22"/>
          <w:spacing w:val="1"/>
        </w:rPr>
        <w:t> </w:t>
      </w:r>
      <w:r>
        <w:rPr>
          <w:color w:val="1B1B22"/>
          <w:spacing w:val="-2"/>
        </w:rPr>
        <w:t>resiliência</w:t>
      </w:r>
    </w:p>
    <w:p>
      <w:pPr>
        <w:pStyle w:val="BodyText"/>
        <w:spacing w:before="86"/>
        <w:ind w:left="426"/>
        <w:jc w:val="both"/>
      </w:pPr>
      <w:r>
        <w:rPr>
          <w:color w:val="1B1B22"/>
          <w:spacing w:val="-4"/>
        </w:rPr>
        <w:t>e</w:t>
      </w:r>
      <w:r>
        <w:rPr>
          <w:color w:val="1B1B22"/>
          <w:spacing w:val="-7"/>
        </w:rPr>
        <w:t> </w:t>
      </w:r>
      <w:r>
        <w:rPr>
          <w:color w:val="1B1B22"/>
          <w:spacing w:val="-4"/>
        </w:rPr>
        <w:t>ampliado</w:t>
      </w:r>
      <w:r>
        <w:rPr>
          <w:color w:val="1B1B22"/>
        </w:rPr>
        <w:t> </w:t>
      </w:r>
      <w:r>
        <w:rPr>
          <w:color w:val="1B1B22"/>
          <w:spacing w:val="-4"/>
        </w:rPr>
        <w:t>as</w:t>
      </w:r>
      <w:r>
        <w:rPr>
          <w:color w:val="1B1B22"/>
          <w:spacing w:val="-2"/>
        </w:rPr>
        <w:t> </w:t>
      </w:r>
      <w:r>
        <w:rPr>
          <w:color w:val="1B1B22"/>
          <w:spacing w:val="-4"/>
        </w:rPr>
        <w:t>operações</w:t>
      </w:r>
      <w:r>
        <w:rPr>
          <w:color w:val="1B1B22"/>
          <w:spacing w:val="-2"/>
        </w:rPr>
        <w:t> </w:t>
      </w:r>
      <w:r>
        <w:rPr>
          <w:color w:val="1B1B22"/>
          <w:spacing w:val="-4"/>
        </w:rPr>
        <w:t>com recebíveis</w:t>
      </w:r>
      <w:r>
        <w:rPr>
          <w:color w:val="1B1B22"/>
          <w:spacing w:val="-2"/>
        </w:rPr>
        <w:t> </w:t>
      </w:r>
      <w:r>
        <w:rPr>
          <w:color w:val="1B1B22"/>
          <w:spacing w:val="-4"/>
        </w:rPr>
        <w:t>e garantias.</w:t>
      </w:r>
    </w:p>
    <w:p>
      <w:pPr>
        <w:pStyle w:val="Heading2"/>
        <w:spacing w:line="321" w:lineRule="auto" w:before="198"/>
        <w:ind w:right="164"/>
        <w:rPr>
          <w:b w:val="0"/>
        </w:rPr>
      </w:pPr>
      <w:r>
        <w:rPr>
          <w:b w:val="0"/>
          <w:color w:val="465EFF"/>
          <w:spacing w:val="16"/>
        </w:rPr>
        <w:t>Alterações</w:t>
      </w:r>
      <w:r>
        <w:rPr>
          <w:b w:val="0"/>
          <w:color w:val="465EFF"/>
          <w:spacing w:val="16"/>
        </w:rPr>
        <w:t> </w:t>
      </w:r>
      <w:r>
        <w:rPr>
          <w:b w:val="0"/>
          <w:color w:val="465EFF"/>
          <w:spacing w:val="15"/>
        </w:rPr>
        <w:t>nas</w:t>
      </w:r>
      <w:r>
        <w:rPr>
          <w:b w:val="0"/>
          <w:color w:val="465EFF"/>
          <w:spacing w:val="15"/>
        </w:rPr>
        <w:t> </w:t>
      </w:r>
      <w:r>
        <w:rPr>
          <w:b w:val="0"/>
          <w:color w:val="465EFF"/>
          <w:spacing w:val="19"/>
        </w:rPr>
        <w:t>estruturas</w:t>
      </w:r>
      <w:r>
        <w:rPr>
          <w:b w:val="0"/>
          <w:color w:val="465EFF"/>
          <w:spacing w:val="19"/>
        </w:rPr>
        <w:t> </w:t>
      </w:r>
      <w:r>
        <w:rPr>
          <w:b w:val="0"/>
          <w:color w:val="465EFF"/>
        </w:rPr>
        <w:t>e </w:t>
      </w:r>
      <w:r>
        <w:rPr>
          <w:b w:val="0"/>
          <w:color w:val="465EFF"/>
          <w:spacing w:val="19"/>
        </w:rPr>
        <w:t>práticas</w:t>
      </w:r>
      <w:r>
        <w:rPr>
          <w:b w:val="0"/>
          <w:color w:val="465EFF"/>
          <w:spacing w:val="19"/>
        </w:rPr>
        <w:t> </w:t>
      </w:r>
      <w:r>
        <w:rPr>
          <w:b w:val="0"/>
          <w:color w:val="465EFF"/>
          <w:spacing w:val="11"/>
        </w:rPr>
        <w:t>de</w:t>
      </w:r>
      <w:r>
        <w:rPr>
          <w:b w:val="0"/>
          <w:color w:val="465EFF"/>
          <w:spacing w:val="11"/>
        </w:rPr>
        <w:t> </w:t>
      </w:r>
      <w:r>
        <w:rPr>
          <w:b w:val="0"/>
          <w:color w:val="465EFF"/>
          <w:spacing w:val="19"/>
        </w:rPr>
        <w:t>cobrança</w:t>
      </w:r>
      <w:r>
        <w:rPr>
          <w:b w:val="0"/>
          <w:color w:val="465EFF"/>
          <w:spacing w:val="19"/>
        </w:rPr>
        <w:t> </w:t>
      </w:r>
      <w:r>
        <w:rPr>
          <w:b w:val="0"/>
          <w:color w:val="465EFF"/>
        </w:rPr>
        <w:t>e </w:t>
      </w:r>
      <w:r>
        <w:rPr>
          <w:b w:val="0"/>
          <w:color w:val="465EFF"/>
          <w:spacing w:val="17"/>
        </w:rPr>
        <w:t>recuperação </w:t>
      </w:r>
    </w:p>
    <w:p>
      <w:pPr>
        <w:pStyle w:val="BodyText"/>
        <w:spacing w:line="321" w:lineRule="auto" w:before="126"/>
        <w:ind w:left="426" w:right="141"/>
        <w:jc w:val="both"/>
      </w:pPr>
      <w:r>
        <w:rPr>
          <w:color w:val="1B1B22"/>
        </w:rPr>
        <w:t>Buscando capturar melhores resultados nos processos de cobrança e recuperação de créditos, especialmente nas operações rurais e com empresas, realizamos melhorias em nossas estruturas e procedimentos, visando um atendimento mais próximo, tempestivo e resolutivo,</w:t>
      </w:r>
      <w:r>
        <w:rPr>
          <w:color w:val="1B1B22"/>
          <w:spacing w:val="-8"/>
        </w:rPr>
        <w:t> </w:t>
      </w:r>
      <w:r>
        <w:rPr>
          <w:color w:val="1B1B22"/>
        </w:rPr>
        <w:t>seja</w:t>
      </w:r>
      <w:r>
        <w:rPr>
          <w:color w:val="1B1B22"/>
          <w:spacing w:val="-9"/>
        </w:rPr>
        <w:t> </w:t>
      </w:r>
      <w:r>
        <w:rPr>
          <w:color w:val="1B1B22"/>
        </w:rPr>
        <w:t>para</w:t>
      </w:r>
      <w:r>
        <w:rPr>
          <w:color w:val="1B1B22"/>
          <w:spacing w:val="-9"/>
        </w:rPr>
        <w:t> </w:t>
      </w:r>
      <w:r>
        <w:rPr>
          <w:color w:val="1B1B22"/>
        </w:rPr>
        <w:t>a</w:t>
      </w:r>
      <w:r>
        <w:rPr>
          <w:color w:val="1B1B22"/>
          <w:spacing w:val="-9"/>
        </w:rPr>
        <w:t> </w:t>
      </w:r>
      <w:r>
        <w:rPr>
          <w:color w:val="1B1B22"/>
        </w:rPr>
        <w:t>solução</w:t>
      </w:r>
      <w:r>
        <w:rPr>
          <w:color w:val="1B1B22"/>
          <w:spacing w:val="-8"/>
        </w:rPr>
        <w:t> </w:t>
      </w:r>
      <w:r>
        <w:rPr>
          <w:color w:val="1B1B22"/>
        </w:rPr>
        <w:t>das</w:t>
      </w:r>
      <w:r>
        <w:rPr>
          <w:color w:val="1B1B22"/>
          <w:spacing w:val="-8"/>
        </w:rPr>
        <w:t> </w:t>
      </w:r>
      <w:r>
        <w:rPr>
          <w:color w:val="1B1B22"/>
        </w:rPr>
        <w:t>dívidas</w:t>
      </w:r>
      <w:r>
        <w:rPr>
          <w:color w:val="1B1B22"/>
          <w:spacing w:val="-8"/>
        </w:rPr>
        <w:t> </w:t>
      </w:r>
      <w:r>
        <w:rPr>
          <w:color w:val="1B1B22"/>
        </w:rPr>
        <w:t>por</w:t>
      </w:r>
      <w:r>
        <w:rPr>
          <w:color w:val="1B1B22"/>
          <w:spacing w:val="-8"/>
        </w:rPr>
        <w:t> </w:t>
      </w:r>
      <w:r>
        <w:rPr>
          <w:color w:val="1B1B22"/>
        </w:rPr>
        <w:t>meio de renegociações, ou para execução das garantias </w:t>
      </w:r>
      <w:r>
        <w:rPr>
          <w:color w:val="1B1B22"/>
          <w:spacing w:val="-2"/>
        </w:rPr>
        <w:t>contratuais.</w:t>
      </w:r>
    </w:p>
    <w:p>
      <w:pPr>
        <w:pStyle w:val="Heading2"/>
        <w:spacing w:line="319" w:lineRule="auto" w:before="105"/>
        <w:ind w:right="162"/>
        <w:rPr>
          <w:b w:val="0"/>
        </w:rPr>
      </w:pPr>
      <w:r>
        <w:rPr>
          <w:b w:val="0"/>
          <w:color w:val="465EFF"/>
          <w:spacing w:val="11"/>
        </w:rPr>
        <w:t>BB</w:t>
      </w:r>
      <w:r>
        <w:rPr>
          <w:b w:val="0"/>
          <w:color w:val="465EFF"/>
          <w:spacing w:val="11"/>
        </w:rPr>
        <w:t> no</w:t>
      </w:r>
      <w:r>
        <w:rPr>
          <w:b w:val="0"/>
          <w:color w:val="465EFF"/>
          <w:spacing w:val="11"/>
        </w:rPr>
        <w:t> </w:t>
      </w:r>
      <w:r>
        <w:rPr>
          <w:b w:val="0"/>
          <w:color w:val="465EFF"/>
          <w:spacing w:val="19"/>
        </w:rPr>
        <w:t>Ranking</w:t>
      </w:r>
      <w:r>
        <w:rPr>
          <w:b w:val="0"/>
          <w:color w:val="465EFF"/>
          <w:spacing w:val="19"/>
        </w:rPr>
        <w:t> </w:t>
      </w:r>
      <w:r>
        <w:rPr>
          <w:b w:val="0"/>
          <w:color w:val="465EFF"/>
          <w:spacing w:val="18"/>
        </w:rPr>
        <w:t>Bacen</w:t>
      </w:r>
      <w:r>
        <w:rPr>
          <w:b w:val="0"/>
          <w:color w:val="465EFF"/>
          <w:spacing w:val="18"/>
        </w:rPr>
        <w:t> </w:t>
      </w:r>
      <w:r>
        <w:rPr>
          <w:b w:val="0"/>
          <w:color w:val="465EFF"/>
          <w:spacing w:val="11"/>
        </w:rPr>
        <w:t>de </w:t>
      </w:r>
      <w:r>
        <w:rPr>
          <w:b w:val="0"/>
          <w:color w:val="465EFF"/>
          <w:spacing w:val="20"/>
        </w:rPr>
        <w:t>Reclamações</w:t>
      </w:r>
    </w:p>
    <w:p>
      <w:pPr>
        <w:pStyle w:val="BodyText"/>
        <w:spacing w:line="321" w:lineRule="auto" w:before="134"/>
        <w:ind w:left="426" w:right="140"/>
        <w:jc w:val="both"/>
      </w:pPr>
      <w:r>
        <w:rPr>
          <w:color w:val="1B1B22"/>
        </w:rPr>
        <w:t>Completamos 12 trimestres consecutivos na </w:t>
      </w:r>
      <w:r>
        <w:rPr>
          <w:color w:val="1B1B22"/>
          <w:spacing w:val="-2"/>
        </w:rPr>
        <w:t>melhor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posição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entre</w:t>
      </w:r>
      <w:r>
        <w:rPr>
          <w:color w:val="1B1B22"/>
          <w:spacing w:val="-4"/>
        </w:rPr>
        <w:t> </w:t>
      </w:r>
      <w:r>
        <w:rPr>
          <w:color w:val="1B1B22"/>
          <w:spacing w:val="-2"/>
        </w:rPr>
        <w:t>os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cinco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principais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bancos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dos </w:t>
      </w:r>
      <w:r>
        <w:rPr>
          <w:color w:val="1B1B22"/>
        </w:rPr>
        <w:t>conglomerados financeiros, reforçando o compromisso</w:t>
      </w:r>
      <w:r>
        <w:rPr>
          <w:color w:val="1B1B22"/>
          <w:spacing w:val="-1"/>
        </w:rPr>
        <w:t> </w:t>
      </w:r>
      <w:r>
        <w:rPr>
          <w:color w:val="1B1B22"/>
        </w:rPr>
        <w:t>com</w:t>
      </w:r>
      <w:r>
        <w:rPr>
          <w:color w:val="1B1B22"/>
          <w:spacing w:val="-1"/>
        </w:rPr>
        <w:t> </w:t>
      </w:r>
      <w:r>
        <w:rPr>
          <w:color w:val="1B1B22"/>
        </w:rPr>
        <w:t>a</w:t>
      </w:r>
      <w:r>
        <w:rPr>
          <w:color w:val="1B1B22"/>
          <w:spacing w:val="-1"/>
        </w:rPr>
        <w:t> </w:t>
      </w:r>
      <w:r>
        <w:rPr>
          <w:color w:val="1B1B22"/>
        </w:rPr>
        <w:t>excelência</w:t>
      </w:r>
      <w:r>
        <w:rPr>
          <w:color w:val="1B1B22"/>
          <w:spacing w:val="-1"/>
        </w:rPr>
        <w:t> </w:t>
      </w:r>
      <w:r>
        <w:rPr>
          <w:color w:val="1B1B22"/>
        </w:rPr>
        <w:t>no relacionamento com os clientes.</w:t>
      </w:r>
    </w:p>
    <w:p>
      <w:pPr>
        <w:pStyle w:val="Heading2"/>
        <w:spacing w:line="321" w:lineRule="auto"/>
        <w:ind w:right="162"/>
        <w:rPr>
          <w:b w:val="0"/>
        </w:rPr>
      </w:pPr>
      <w:r>
        <w:rPr>
          <w:b w:val="0"/>
          <w:color w:val="465EFF"/>
        </w:rPr>
        <w:t>O </w:t>
      </w:r>
      <w:r>
        <w:rPr>
          <w:b w:val="0"/>
          <w:color w:val="465EFF"/>
          <w:spacing w:val="17"/>
        </w:rPr>
        <w:t>banco</w:t>
      </w:r>
      <w:r>
        <w:rPr>
          <w:b w:val="0"/>
          <w:color w:val="465EFF"/>
          <w:spacing w:val="17"/>
        </w:rPr>
        <w:t> mais</w:t>
      </w:r>
      <w:r>
        <w:rPr>
          <w:b w:val="0"/>
          <w:color w:val="465EFF"/>
          <w:spacing w:val="17"/>
        </w:rPr>
        <w:t> sustentável</w:t>
      </w:r>
      <w:r>
        <w:rPr>
          <w:b w:val="0"/>
          <w:color w:val="465EFF"/>
          <w:spacing w:val="17"/>
        </w:rPr>
        <w:t> </w:t>
      </w:r>
      <w:r>
        <w:rPr>
          <w:b w:val="0"/>
          <w:color w:val="465EFF"/>
          <w:spacing w:val="11"/>
        </w:rPr>
        <w:t>do </w:t>
      </w:r>
      <w:r>
        <w:rPr>
          <w:b w:val="0"/>
          <w:color w:val="465EFF"/>
          <w:spacing w:val="19"/>
        </w:rPr>
        <w:t>planeta</w:t>
      </w:r>
      <w:r>
        <w:rPr>
          <w:b w:val="0"/>
          <w:color w:val="465EFF"/>
          <w:spacing w:val="19"/>
        </w:rPr>
        <w:t> </w:t>
      </w:r>
      <w:r>
        <w:rPr>
          <w:b w:val="0"/>
          <w:color w:val="465EFF"/>
          <w:spacing w:val="17"/>
        </w:rPr>
        <w:t>pela</w:t>
      </w:r>
      <w:r>
        <w:rPr>
          <w:b w:val="0"/>
          <w:color w:val="465EFF"/>
          <w:spacing w:val="17"/>
        </w:rPr>
        <w:t> </w:t>
      </w:r>
      <w:r>
        <w:rPr>
          <w:b w:val="0"/>
          <w:color w:val="465EFF"/>
          <w:spacing w:val="11"/>
        </w:rPr>
        <w:t>6ª</w:t>
      </w:r>
      <w:r>
        <w:rPr>
          <w:b w:val="0"/>
          <w:color w:val="465EFF"/>
          <w:spacing w:val="11"/>
        </w:rPr>
        <w:t> </w:t>
      </w:r>
      <w:r>
        <w:rPr>
          <w:b w:val="0"/>
          <w:color w:val="465EFF"/>
          <w:spacing w:val="12"/>
        </w:rPr>
        <w:t>vez</w:t>
      </w:r>
    </w:p>
    <w:p>
      <w:pPr>
        <w:pStyle w:val="BodyText"/>
        <w:spacing w:line="321" w:lineRule="auto" w:before="126"/>
        <w:ind w:left="426" w:right="140" w:hanging="1"/>
        <w:jc w:val="both"/>
      </w:pPr>
      <w:r>
        <w:rPr>
          <w:color w:val="1B1B22"/>
        </w:rPr>
        <w:t>Novamente fomos reconhecidos como o Banco mais sustentável do planeta no ranking das 100 Corporações Mais Sustentáveis do Mundo 2025 – Global</w:t>
      </w:r>
      <w:r>
        <w:rPr>
          <w:color w:val="1B1B22"/>
          <w:spacing w:val="-1"/>
        </w:rPr>
        <w:t> </w:t>
      </w:r>
      <w:r>
        <w:rPr>
          <w:color w:val="1B1B22"/>
        </w:rPr>
        <w:t>100, da</w:t>
      </w:r>
      <w:r>
        <w:rPr>
          <w:color w:val="1B1B22"/>
          <w:spacing w:val="-1"/>
        </w:rPr>
        <w:t> </w:t>
      </w:r>
      <w:r>
        <w:rPr>
          <w:color w:val="1B1B22"/>
        </w:rPr>
        <w:t>Corporate Knights. Fatores como o resultado financeiro, o volume da carteira de </w:t>
      </w:r>
      <w:r>
        <w:rPr>
          <w:color w:val="1B1B22"/>
          <w:spacing w:val="-2"/>
        </w:rPr>
        <w:t>crédito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sustentável, a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compensação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de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emissões</w:t>
      </w:r>
      <w:r>
        <w:rPr>
          <w:color w:val="1B1B22"/>
          <w:spacing w:val="-4"/>
        </w:rPr>
        <w:t> </w:t>
      </w:r>
      <w:r>
        <w:rPr>
          <w:color w:val="1B1B22"/>
          <w:spacing w:val="-2"/>
        </w:rPr>
        <w:t>de </w:t>
      </w:r>
      <w:r>
        <w:rPr>
          <w:color w:val="1B1B22"/>
        </w:rPr>
        <w:t>carbono, o uso de energia limpa, as práticas de governança e a diversidade do corpo funcional contribuíram para alcançarmos a posição 17 no ranking</w:t>
      </w:r>
      <w:r>
        <w:rPr>
          <w:color w:val="1B1B22"/>
          <w:spacing w:val="-11"/>
        </w:rPr>
        <w:t> </w:t>
      </w:r>
      <w:r>
        <w:rPr>
          <w:color w:val="1B1B22"/>
        </w:rPr>
        <w:t>geral</w:t>
      </w:r>
      <w:r>
        <w:rPr>
          <w:color w:val="1B1B22"/>
          <w:spacing w:val="-11"/>
        </w:rPr>
        <w:t> </w:t>
      </w:r>
      <w:r>
        <w:rPr>
          <w:color w:val="1B1B22"/>
        </w:rPr>
        <w:t>e</w:t>
      </w:r>
      <w:r>
        <w:rPr>
          <w:color w:val="1B1B22"/>
          <w:spacing w:val="-11"/>
        </w:rPr>
        <w:t> </w:t>
      </w:r>
      <w:r>
        <w:rPr>
          <w:color w:val="1B1B22"/>
        </w:rPr>
        <w:t>nos</w:t>
      </w:r>
      <w:r>
        <w:rPr>
          <w:color w:val="1B1B22"/>
          <w:spacing w:val="-11"/>
        </w:rPr>
        <w:t> </w:t>
      </w:r>
      <w:r>
        <w:rPr>
          <w:color w:val="1B1B22"/>
        </w:rPr>
        <w:t>mantermos</w:t>
      </w:r>
      <w:r>
        <w:rPr>
          <w:color w:val="1B1B22"/>
          <w:spacing w:val="-11"/>
        </w:rPr>
        <w:t> </w:t>
      </w:r>
      <w:r>
        <w:rPr>
          <w:color w:val="1B1B22"/>
        </w:rPr>
        <w:t>como</w:t>
      </w:r>
      <w:r>
        <w:rPr>
          <w:color w:val="1B1B22"/>
          <w:spacing w:val="-11"/>
        </w:rPr>
        <w:t> </w:t>
      </w:r>
      <w:r>
        <w:rPr>
          <w:color w:val="1B1B22"/>
        </w:rPr>
        <w:t>líder</w:t>
      </w:r>
      <w:r>
        <w:rPr>
          <w:color w:val="1B1B22"/>
          <w:spacing w:val="-11"/>
        </w:rPr>
        <w:t> </w:t>
      </w:r>
      <w:r>
        <w:rPr>
          <w:color w:val="1B1B22"/>
        </w:rPr>
        <w:t>entre</w:t>
      </w:r>
      <w:r>
        <w:rPr>
          <w:color w:val="1B1B22"/>
          <w:spacing w:val="-12"/>
        </w:rPr>
        <w:t> </w:t>
      </w:r>
      <w:r>
        <w:rPr>
          <w:color w:val="1B1B22"/>
        </w:rPr>
        <w:t>os bancos por seis vezes na última década.</w:t>
      </w:r>
    </w:p>
    <w:p>
      <w:pPr>
        <w:pStyle w:val="BodyText"/>
        <w:spacing w:after="0" w:line="321" w:lineRule="auto"/>
        <w:jc w:val="both"/>
        <w:sectPr>
          <w:type w:val="continuous"/>
          <w:pgSz w:w="11910" w:h="16850"/>
          <w:pgMar w:header="152" w:footer="572" w:top="1920" w:bottom="280" w:left="425" w:right="708"/>
          <w:cols w:num="2" w:equalWidth="0">
            <w:col w:w="5215" w:space="240"/>
            <w:col w:w="5322"/>
          </w:cols>
        </w:sectPr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after="0"/>
        <w:sectPr>
          <w:pgSz w:w="11910" w:h="16850"/>
          <w:pgMar w:header="152" w:footer="572" w:top="900" w:bottom="760" w:left="425" w:right="708"/>
        </w:sectPr>
      </w:pPr>
    </w:p>
    <w:p>
      <w:pPr>
        <w:pStyle w:val="Heading2"/>
        <w:spacing w:line="321" w:lineRule="auto" w:before="71"/>
        <w:ind w:left="427" w:right="38"/>
        <w:rPr>
          <w:b w:val="0"/>
        </w:rPr>
      </w:pPr>
      <w:r>
        <w:rPr>
          <w:b w:val="0"/>
          <w:color w:val="465EFF"/>
          <w:spacing w:val="18"/>
        </w:rPr>
        <w:t>Solução</w:t>
      </w:r>
      <w:r>
        <w:rPr>
          <w:b w:val="0"/>
          <w:color w:val="465EFF"/>
          <w:spacing w:val="18"/>
        </w:rPr>
        <w:t> </w:t>
      </w:r>
      <w:r>
        <w:rPr>
          <w:b w:val="0"/>
          <w:color w:val="465EFF"/>
          <w:spacing w:val="14"/>
        </w:rPr>
        <w:t>com</w:t>
      </w:r>
      <w:r>
        <w:rPr>
          <w:b w:val="0"/>
          <w:color w:val="465EFF"/>
          <w:spacing w:val="14"/>
        </w:rPr>
        <w:t> </w:t>
      </w:r>
      <w:r>
        <w:rPr>
          <w:b w:val="0"/>
          <w:color w:val="465EFF"/>
          <w:spacing w:val="11"/>
        </w:rPr>
        <w:t>IA</w:t>
      </w:r>
      <w:r>
        <w:rPr>
          <w:b w:val="0"/>
          <w:color w:val="465EFF"/>
          <w:spacing w:val="11"/>
        </w:rPr>
        <w:t> </w:t>
      </w:r>
      <w:r>
        <w:rPr>
          <w:b w:val="0"/>
          <w:color w:val="465EFF"/>
          <w:spacing w:val="15"/>
        </w:rPr>
        <w:t>para</w:t>
      </w:r>
      <w:r>
        <w:rPr>
          <w:b w:val="0"/>
          <w:color w:val="465EFF"/>
          <w:spacing w:val="15"/>
        </w:rPr>
        <w:t> </w:t>
      </w:r>
      <w:r>
        <w:rPr>
          <w:b w:val="0"/>
          <w:color w:val="465EFF"/>
        </w:rPr>
        <w:t>a PJ </w:t>
      </w:r>
      <w:r>
        <w:rPr>
          <w:b w:val="0"/>
          <w:color w:val="465EFF"/>
          <w:spacing w:val="15"/>
        </w:rPr>
        <w:t>gera </w:t>
      </w:r>
      <w:r>
        <w:rPr>
          <w:b w:val="0"/>
          <w:color w:val="465EFF"/>
          <w:spacing w:val="17"/>
        </w:rPr>
        <w:t>mais</w:t>
      </w:r>
      <w:r>
        <w:rPr>
          <w:b w:val="0"/>
          <w:color w:val="465EFF"/>
          <w:spacing w:val="17"/>
        </w:rPr>
        <w:t> </w:t>
      </w:r>
      <w:r>
        <w:rPr>
          <w:b w:val="0"/>
          <w:color w:val="465EFF"/>
          <w:spacing w:val="11"/>
        </w:rPr>
        <w:t>de</w:t>
      </w:r>
      <w:r>
        <w:rPr>
          <w:b w:val="0"/>
          <w:color w:val="465EFF"/>
          <w:spacing w:val="11"/>
        </w:rPr>
        <w:t> </w:t>
      </w:r>
      <w:r>
        <w:rPr>
          <w:b w:val="0"/>
          <w:color w:val="465EFF"/>
          <w:spacing w:val="10"/>
        </w:rPr>
        <w:t>60</w:t>
      </w:r>
      <w:r>
        <w:rPr>
          <w:b w:val="0"/>
          <w:color w:val="465EFF"/>
          <w:spacing w:val="10"/>
        </w:rPr>
        <w:t> </w:t>
      </w:r>
      <w:r>
        <w:rPr>
          <w:b w:val="0"/>
          <w:color w:val="465EFF"/>
          <w:spacing w:val="20"/>
        </w:rPr>
        <w:t>milhões</w:t>
      </w:r>
      <w:r>
        <w:rPr>
          <w:b w:val="0"/>
          <w:color w:val="465EFF"/>
          <w:spacing w:val="20"/>
        </w:rPr>
        <w:t> </w:t>
      </w:r>
      <w:r>
        <w:rPr>
          <w:b w:val="0"/>
          <w:color w:val="465EFF"/>
          <w:spacing w:val="23"/>
        </w:rPr>
        <w:t>de </w:t>
      </w:r>
      <w:r>
        <w:rPr>
          <w:b w:val="0"/>
          <w:color w:val="465EFF"/>
          <w:spacing w:val="18"/>
        </w:rPr>
        <w:t>recomendações</w:t>
      </w:r>
    </w:p>
    <w:p>
      <w:pPr>
        <w:pStyle w:val="BodyText"/>
        <w:spacing w:line="321" w:lineRule="auto" w:before="126"/>
        <w:ind w:left="427" w:right="38"/>
        <w:jc w:val="both"/>
      </w:pPr>
      <w:r>
        <w:rPr>
          <w:color w:val="1B1B22"/>
        </w:rPr>
        <w:t>Lançamos há um ano a ARI – Área de Recomendações Inteligentes que utiliza IA Generativa para apoiar a gestão de micro e pequenas empresas. Já foram geradas mais de 60 milhões de recomendações personalizadas, beneficiando 2,6 milhões de negócios em todo o país. Os insights traduzem dados complexos em orientações práticas e acessíveis, com curadoria humana para garantir segurança e relevância.</w:t>
      </w:r>
    </w:p>
    <w:p>
      <w:pPr>
        <w:pStyle w:val="BodyText"/>
        <w:spacing w:line="321" w:lineRule="auto" w:before="115"/>
        <w:ind w:left="427" w:right="39"/>
        <w:jc w:val="both"/>
      </w:pPr>
      <w:r>
        <w:rPr>
          <w:color w:val="1B1B22"/>
          <w:spacing w:val="-2"/>
        </w:rPr>
        <w:t>A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ferramenta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está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disponível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no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Painel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PJ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(web),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BB </w:t>
      </w:r>
      <w:r>
        <w:rPr>
          <w:color w:val="1B1B22"/>
        </w:rPr>
        <w:t>Digital PJ e app BB PJ. No 2T25, registrou 23 mil acessos únicos via mobile, e o NPS do Painel PJ atingiu 83,66, um dos maiores da categoria.</w:t>
      </w:r>
    </w:p>
    <w:p>
      <w:pPr>
        <w:pStyle w:val="Heading2"/>
        <w:spacing w:line="319" w:lineRule="auto" w:before="109"/>
        <w:ind w:right="61"/>
        <w:rPr>
          <w:b w:val="0"/>
        </w:rPr>
      </w:pPr>
      <w:r>
        <w:rPr>
          <w:b w:val="0"/>
          <w:color w:val="465EFF"/>
          <w:spacing w:val="11"/>
        </w:rPr>
        <w:t>IA</w:t>
      </w:r>
      <w:r>
        <w:rPr>
          <w:b w:val="0"/>
          <w:color w:val="465EFF"/>
          <w:spacing w:val="11"/>
        </w:rPr>
        <w:t> </w:t>
      </w:r>
      <w:r>
        <w:rPr>
          <w:b w:val="0"/>
          <w:color w:val="465EFF"/>
          <w:spacing w:val="19"/>
        </w:rPr>
        <w:t>generativa</w:t>
      </w:r>
      <w:r>
        <w:rPr>
          <w:b w:val="0"/>
          <w:color w:val="465EFF"/>
          <w:spacing w:val="19"/>
        </w:rPr>
        <w:t> </w:t>
      </w:r>
      <w:r>
        <w:rPr>
          <w:b w:val="0"/>
          <w:color w:val="465EFF"/>
          <w:spacing w:val="11"/>
        </w:rPr>
        <w:t>no</w:t>
      </w:r>
      <w:r>
        <w:rPr>
          <w:b w:val="0"/>
          <w:color w:val="465EFF"/>
          <w:spacing w:val="11"/>
        </w:rPr>
        <w:t> </w:t>
      </w:r>
      <w:r>
        <w:rPr>
          <w:b w:val="0"/>
          <w:color w:val="465EFF"/>
          <w:spacing w:val="20"/>
        </w:rPr>
        <w:t>gerenciador </w:t>
      </w:r>
      <w:r>
        <w:rPr>
          <w:b w:val="0"/>
          <w:color w:val="465EFF"/>
          <w:spacing w:val="19"/>
        </w:rPr>
        <w:t>financeiro</w:t>
      </w:r>
      <w:r>
        <w:rPr>
          <w:b w:val="0"/>
          <w:color w:val="465EFF"/>
          <w:spacing w:val="19"/>
        </w:rPr>
        <w:t> </w:t>
      </w:r>
      <w:r>
        <w:rPr>
          <w:b w:val="0"/>
          <w:color w:val="465EFF"/>
          <w:spacing w:val="18"/>
        </w:rPr>
        <w:t>pessoal</w:t>
      </w:r>
    </w:p>
    <w:p>
      <w:pPr>
        <w:pStyle w:val="BodyText"/>
        <w:spacing w:line="321" w:lineRule="auto" w:before="134"/>
        <w:ind w:left="426" w:right="38"/>
        <w:jc w:val="both"/>
      </w:pPr>
      <w:r>
        <w:rPr>
          <w:color w:val="1B1B22"/>
        </w:rPr>
        <w:t>O Minhas Finanças Multibanco, nossa ferramenta de gestão financeira, agora utiliza IA generativa para criar dicas personalizadas, auxiliando mensalmente mais de sete milhões de clientes pessoas</w:t>
      </w:r>
      <w:r>
        <w:rPr>
          <w:color w:val="1B1B22"/>
          <w:spacing w:val="-13"/>
        </w:rPr>
        <w:t> </w:t>
      </w:r>
      <w:r>
        <w:rPr>
          <w:color w:val="1B1B22"/>
        </w:rPr>
        <w:t>físicas.</w:t>
      </w:r>
      <w:r>
        <w:rPr>
          <w:color w:val="1B1B22"/>
          <w:spacing w:val="-12"/>
        </w:rPr>
        <w:t> </w:t>
      </w:r>
      <w:r>
        <w:rPr>
          <w:color w:val="1B1B22"/>
        </w:rPr>
        <w:t>Essas</w:t>
      </w:r>
      <w:r>
        <w:rPr>
          <w:color w:val="1B1B22"/>
          <w:spacing w:val="-13"/>
        </w:rPr>
        <w:t> </w:t>
      </w:r>
      <w:r>
        <w:rPr>
          <w:color w:val="1B1B22"/>
        </w:rPr>
        <w:t>dicas</w:t>
      </w:r>
      <w:r>
        <w:rPr>
          <w:color w:val="1B1B22"/>
          <w:spacing w:val="-12"/>
        </w:rPr>
        <w:t> </w:t>
      </w:r>
      <w:r>
        <w:rPr>
          <w:color w:val="1B1B22"/>
        </w:rPr>
        <w:t>passam</w:t>
      </w:r>
      <w:r>
        <w:rPr>
          <w:color w:val="1B1B22"/>
          <w:spacing w:val="-12"/>
        </w:rPr>
        <w:t> </w:t>
      </w:r>
      <w:r>
        <w:rPr>
          <w:color w:val="1B1B22"/>
        </w:rPr>
        <w:t>por</w:t>
      </w:r>
      <w:r>
        <w:rPr>
          <w:color w:val="1B1B22"/>
          <w:spacing w:val="-13"/>
        </w:rPr>
        <w:t> </w:t>
      </w:r>
      <w:r>
        <w:rPr>
          <w:color w:val="1B1B22"/>
        </w:rPr>
        <w:t>um</w:t>
      </w:r>
      <w:r>
        <w:rPr>
          <w:color w:val="1B1B22"/>
          <w:spacing w:val="-12"/>
        </w:rPr>
        <w:t> </w:t>
      </w:r>
      <w:r>
        <w:rPr>
          <w:color w:val="1B1B22"/>
        </w:rPr>
        <w:t>processo de curadoria humana, garantindo a qualidade das mensagens e</w:t>
      </w:r>
      <w:r>
        <w:rPr>
          <w:color w:val="1B1B22"/>
          <w:spacing w:val="-1"/>
        </w:rPr>
        <w:t> </w:t>
      </w:r>
      <w:r>
        <w:rPr>
          <w:color w:val="1B1B22"/>
        </w:rPr>
        <w:t>a</w:t>
      </w:r>
      <w:r>
        <w:rPr>
          <w:color w:val="1B1B22"/>
          <w:spacing w:val="-2"/>
        </w:rPr>
        <w:t> </w:t>
      </w:r>
      <w:r>
        <w:rPr>
          <w:color w:val="1B1B22"/>
        </w:rPr>
        <w:t>mitigação de</w:t>
      </w:r>
      <w:r>
        <w:rPr>
          <w:color w:val="1B1B22"/>
          <w:spacing w:val="-1"/>
        </w:rPr>
        <w:t> </w:t>
      </w:r>
      <w:r>
        <w:rPr>
          <w:color w:val="1B1B22"/>
        </w:rPr>
        <w:t>vieses indesejados.</w:t>
      </w:r>
      <w:r>
        <w:rPr>
          <w:color w:val="1B1B22"/>
          <w:spacing w:val="-5"/>
        </w:rPr>
        <w:t> </w:t>
      </w:r>
      <w:r>
        <w:rPr>
          <w:color w:val="1B1B22"/>
        </w:rPr>
        <w:t>As dicas são apresentadas de acordo com diferentes contextos e perfis financeiros dos clientes, abordando, por exemplo, a melhor condição de utilização de crédito ou até mesmo sugerindo o compartilhamento</w:t>
      </w:r>
      <w:r>
        <w:rPr>
          <w:color w:val="1B1B22"/>
          <w:spacing w:val="-11"/>
        </w:rPr>
        <w:t> </w:t>
      </w:r>
      <w:r>
        <w:rPr>
          <w:color w:val="1B1B22"/>
        </w:rPr>
        <w:t>de</w:t>
      </w:r>
      <w:r>
        <w:rPr>
          <w:color w:val="1B1B22"/>
          <w:spacing w:val="-11"/>
        </w:rPr>
        <w:t> </w:t>
      </w:r>
      <w:r>
        <w:rPr>
          <w:color w:val="1B1B22"/>
        </w:rPr>
        <w:t>dados</w:t>
      </w:r>
      <w:r>
        <w:rPr>
          <w:color w:val="1B1B22"/>
          <w:spacing w:val="-10"/>
        </w:rPr>
        <w:t> </w:t>
      </w:r>
      <w:r>
        <w:rPr>
          <w:color w:val="1B1B22"/>
        </w:rPr>
        <w:t>via</w:t>
      </w:r>
      <w:r>
        <w:rPr>
          <w:color w:val="1B1B22"/>
          <w:spacing w:val="-12"/>
        </w:rPr>
        <w:t> </w:t>
      </w:r>
      <w:r>
        <w:rPr>
          <w:color w:val="1B1B22"/>
        </w:rPr>
        <w:t>Open</w:t>
      </w:r>
      <w:r>
        <w:rPr>
          <w:color w:val="1B1B22"/>
          <w:spacing w:val="-11"/>
        </w:rPr>
        <w:t> </w:t>
      </w:r>
      <w:r>
        <w:rPr>
          <w:color w:val="1B1B22"/>
        </w:rPr>
        <w:t>Finance</w:t>
      </w:r>
      <w:r>
        <w:rPr>
          <w:color w:val="1B1B22"/>
          <w:spacing w:val="-11"/>
        </w:rPr>
        <w:t> </w:t>
      </w:r>
      <w:r>
        <w:rPr>
          <w:color w:val="1B1B22"/>
        </w:rPr>
        <w:t>para proporcionar condições negociais ainda mais </w:t>
      </w:r>
      <w:r>
        <w:rPr>
          <w:color w:val="1B1B22"/>
          <w:spacing w:val="-2"/>
        </w:rPr>
        <w:t>vantajosas.</w:t>
      </w:r>
    </w:p>
    <w:p>
      <w:pPr>
        <w:pStyle w:val="Heading2"/>
        <w:spacing w:before="71"/>
        <w:jc w:val="left"/>
        <w:rPr>
          <w:b w:val="0"/>
        </w:rPr>
      </w:pPr>
      <w:r>
        <w:rPr/>
        <w:br w:type="column"/>
      </w:r>
      <w:r>
        <w:rPr>
          <w:b w:val="0"/>
          <w:color w:val="465EFF"/>
          <w:spacing w:val="15"/>
        </w:rPr>
        <w:t>CRM</w:t>
      </w:r>
      <w:r>
        <w:rPr>
          <w:b w:val="0"/>
          <w:color w:val="465EFF"/>
          <w:spacing w:val="42"/>
        </w:rPr>
        <w:t> </w:t>
      </w:r>
      <w:r>
        <w:rPr>
          <w:b w:val="0"/>
          <w:color w:val="465EFF"/>
          <w:spacing w:val="14"/>
        </w:rPr>
        <w:t>com</w:t>
      </w:r>
      <w:r>
        <w:rPr>
          <w:b w:val="0"/>
          <w:color w:val="465EFF"/>
          <w:spacing w:val="43"/>
        </w:rPr>
        <w:t> </w:t>
      </w:r>
      <w:r>
        <w:rPr>
          <w:b w:val="0"/>
          <w:color w:val="465EFF"/>
          <w:spacing w:val="20"/>
        </w:rPr>
        <w:t>inteligência</w:t>
      </w:r>
      <w:r>
        <w:rPr>
          <w:b w:val="0"/>
          <w:color w:val="465EFF"/>
          <w:spacing w:val="44"/>
        </w:rPr>
        <w:t> </w:t>
      </w:r>
      <w:r>
        <w:rPr>
          <w:b w:val="0"/>
          <w:color w:val="465EFF"/>
          <w:spacing w:val="18"/>
        </w:rPr>
        <w:t>analítica</w:t>
      </w:r>
    </w:p>
    <w:p>
      <w:pPr>
        <w:pStyle w:val="BodyText"/>
        <w:spacing w:line="321" w:lineRule="auto" w:before="250"/>
        <w:ind w:left="426" w:right="140"/>
        <w:jc w:val="both"/>
      </w:pPr>
      <w:r>
        <w:rPr>
          <w:color w:val="1B1B22"/>
        </w:rPr>
        <w:t>Avançamos na atuação em CRM com inteligência analítica, automação e agilidade, conectando as necessidades dos clientes às soluções mais adequadas</w:t>
      </w:r>
      <w:r>
        <w:rPr>
          <w:color w:val="1B1B22"/>
          <w:spacing w:val="-13"/>
        </w:rPr>
        <w:t> </w:t>
      </w:r>
      <w:r>
        <w:rPr>
          <w:color w:val="1B1B22"/>
        </w:rPr>
        <w:t>em</w:t>
      </w:r>
      <w:r>
        <w:rPr>
          <w:color w:val="1B1B22"/>
          <w:spacing w:val="-12"/>
        </w:rPr>
        <w:t> </w:t>
      </w:r>
      <w:r>
        <w:rPr>
          <w:color w:val="1B1B22"/>
        </w:rPr>
        <w:t>todos</w:t>
      </w:r>
      <w:r>
        <w:rPr>
          <w:color w:val="1B1B22"/>
          <w:spacing w:val="-13"/>
        </w:rPr>
        <w:t> </w:t>
      </w:r>
      <w:r>
        <w:rPr>
          <w:color w:val="1B1B22"/>
        </w:rPr>
        <w:t>os</w:t>
      </w:r>
      <w:r>
        <w:rPr>
          <w:color w:val="1B1B22"/>
          <w:spacing w:val="-12"/>
        </w:rPr>
        <w:t> </w:t>
      </w:r>
      <w:r>
        <w:rPr>
          <w:color w:val="1B1B22"/>
        </w:rPr>
        <w:t>canais.</w:t>
      </w:r>
      <w:r>
        <w:rPr>
          <w:color w:val="1B1B22"/>
          <w:spacing w:val="-12"/>
        </w:rPr>
        <w:t> </w:t>
      </w:r>
      <w:r>
        <w:rPr>
          <w:color w:val="1B1B22"/>
        </w:rPr>
        <w:t>No</w:t>
      </w:r>
      <w:r>
        <w:rPr>
          <w:color w:val="1B1B22"/>
          <w:spacing w:val="-13"/>
        </w:rPr>
        <w:t> </w:t>
      </w:r>
      <w:r>
        <w:rPr>
          <w:color w:val="1B1B22"/>
        </w:rPr>
        <w:t>1S25,</w:t>
      </w:r>
      <w:r>
        <w:rPr>
          <w:color w:val="1B1B22"/>
          <w:spacing w:val="-12"/>
        </w:rPr>
        <w:t> </w:t>
      </w:r>
      <w:r>
        <w:rPr>
          <w:color w:val="1B1B22"/>
        </w:rPr>
        <w:t>realizamos mais de mil novas ações personalizadas de oferta, gerando 1,6 bilhão de abordagens dirigidas e 145 milhões de contatos efetivos com clientes.</w:t>
      </w:r>
    </w:p>
    <w:p>
      <w:pPr>
        <w:pStyle w:val="Heading2"/>
        <w:spacing w:before="106"/>
        <w:jc w:val="left"/>
        <w:rPr>
          <w:b w:val="0"/>
        </w:rPr>
      </w:pPr>
      <w:r>
        <w:rPr>
          <w:b w:val="0"/>
          <w:color w:val="465EFF"/>
          <w:spacing w:val="21"/>
        </w:rPr>
        <w:t>Empreendedorismo</w:t>
      </w:r>
      <w:r>
        <w:rPr>
          <w:b w:val="0"/>
          <w:color w:val="465EFF"/>
          <w:spacing w:val="46"/>
        </w:rPr>
        <w:t> </w:t>
      </w:r>
      <w:r>
        <w:rPr>
          <w:b w:val="0"/>
          <w:color w:val="465EFF"/>
          <w:spacing w:val="16"/>
        </w:rPr>
        <w:t>feminino</w:t>
      </w:r>
    </w:p>
    <w:p>
      <w:pPr>
        <w:pStyle w:val="BodyText"/>
        <w:spacing w:line="321" w:lineRule="auto" w:before="250"/>
        <w:ind w:left="426" w:right="141"/>
        <w:jc w:val="both"/>
      </w:pPr>
      <w:r>
        <w:rPr>
          <w:color w:val="1B1B22"/>
        </w:rPr>
        <w:t>Reafirmamos nosso compromisso com a equidade de gênero e o empreendedorismo feminino. No 2T25,</w:t>
      </w:r>
      <w:r>
        <w:rPr>
          <w:color w:val="1B1B22"/>
          <w:spacing w:val="-1"/>
        </w:rPr>
        <w:t> </w:t>
      </w:r>
      <w:r>
        <w:rPr>
          <w:color w:val="1B1B22"/>
        </w:rPr>
        <w:t>desembolsamos R$ 294,6</w:t>
      </w:r>
      <w:r>
        <w:rPr>
          <w:color w:val="1B1B22"/>
          <w:spacing w:val="-2"/>
        </w:rPr>
        <w:t> </w:t>
      </w:r>
      <w:r>
        <w:rPr>
          <w:color w:val="1B1B22"/>
        </w:rPr>
        <w:t>milhões em</w:t>
      </w:r>
      <w:r>
        <w:rPr>
          <w:color w:val="1B1B22"/>
          <w:spacing w:val="-2"/>
        </w:rPr>
        <w:t> </w:t>
      </w:r>
      <w:r>
        <w:rPr>
          <w:color w:val="1B1B22"/>
        </w:rPr>
        <w:t>linhas exclusivas para mulheres, como o GIRO e o FCO Mulher Empreendedora, beneficiando mais de 1,3 milhão de empresas lideradas por mulheres.</w:t>
      </w:r>
    </w:p>
    <w:p>
      <w:pPr>
        <w:pStyle w:val="BodyText"/>
        <w:spacing w:line="321" w:lineRule="auto" w:before="115"/>
        <w:ind w:left="426" w:right="139"/>
        <w:jc w:val="both"/>
      </w:pPr>
      <w:r>
        <w:rPr>
          <w:color w:val="1B1B22"/>
        </w:rPr>
        <w:t>No Comércio Exterior, promovemos a inserção internacional de MPEs femininas. O programa Primeira Exportação – Edição Mulheres no Mundo capacitou,</w:t>
      </w:r>
      <w:r>
        <w:rPr>
          <w:color w:val="1B1B22"/>
          <w:spacing w:val="-6"/>
        </w:rPr>
        <w:t> </w:t>
      </w:r>
      <w:r>
        <w:rPr>
          <w:color w:val="1B1B22"/>
        </w:rPr>
        <w:t>até</w:t>
      </w:r>
      <w:r>
        <w:rPr>
          <w:color w:val="1B1B22"/>
          <w:spacing w:val="-6"/>
        </w:rPr>
        <w:t> </w:t>
      </w:r>
      <w:r>
        <w:rPr>
          <w:color w:val="1B1B22"/>
        </w:rPr>
        <w:t>junho/25,</w:t>
      </w:r>
      <w:r>
        <w:rPr>
          <w:color w:val="1B1B22"/>
          <w:spacing w:val="-3"/>
        </w:rPr>
        <w:t> </w:t>
      </w:r>
      <w:r>
        <w:rPr>
          <w:color w:val="1B1B22"/>
        </w:rPr>
        <w:t>550</w:t>
      </w:r>
      <w:r>
        <w:rPr>
          <w:color w:val="1B1B22"/>
          <w:spacing w:val="-5"/>
        </w:rPr>
        <w:t> </w:t>
      </w:r>
      <w:r>
        <w:rPr>
          <w:color w:val="1B1B22"/>
        </w:rPr>
        <w:t>empreendedoras</w:t>
      </w:r>
      <w:r>
        <w:rPr>
          <w:color w:val="1B1B22"/>
          <w:spacing w:val="-5"/>
        </w:rPr>
        <w:t> </w:t>
      </w:r>
      <w:r>
        <w:rPr>
          <w:color w:val="1B1B22"/>
        </w:rPr>
        <w:t>que já exportam para mais de 50 países.</w:t>
      </w:r>
    </w:p>
    <w:p>
      <w:pPr>
        <w:pStyle w:val="Heading2"/>
        <w:jc w:val="left"/>
        <w:rPr>
          <w:b w:val="0"/>
        </w:rPr>
      </w:pPr>
      <w:r>
        <w:rPr>
          <w:b w:val="0"/>
          <w:color w:val="465EFF"/>
          <w:spacing w:val="18"/>
        </w:rPr>
        <w:t>Cofrinho</w:t>
      </w:r>
      <w:r>
        <w:rPr>
          <w:b w:val="0"/>
          <w:color w:val="465EFF"/>
          <w:spacing w:val="52"/>
        </w:rPr>
        <w:t> </w:t>
      </w:r>
      <w:r>
        <w:rPr>
          <w:b w:val="0"/>
          <w:color w:val="465EFF"/>
          <w:spacing w:val="17"/>
        </w:rPr>
        <w:t>BB</w:t>
      </w:r>
    </w:p>
    <w:p>
      <w:pPr>
        <w:pStyle w:val="BodyText"/>
        <w:spacing w:line="321" w:lineRule="auto" w:before="250"/>
        <w:ind w:left="426" w:right="141"/>
        <w:jc w:val="both"/>
      </w:pPr>
      <w:r>
        <w:rPr>
          <w:color w:val="1B1B22"/>
        </w:rPr>
        <w:t>Somando-se às soluções com foco em educação financeira, em maio/25, disponibilizamos o Cofrinho BB, nossa ferramenta de formação de reserva financeira, para todos os clientes pessoa física. Pelo app do BB, é possível criar metas, acompanhar a evolução financeira e personalizar cada</w:t>
      </w:r>
      <w:r>
        <w:rPr>
          <w:color w:val="1B1B22"/>
          <w:spacing w:val="-1"/>
        </w:rPr>
        <w:t> </w:t>
      </w:r>
      <w:r>
        <w:rPr>
          <w:color w:val="1B1B22"/>
        </w:rPr>
        <w:t>objetivo de forma</w:t>
      </w:r>
      <w:r>
        <w:rPr>
          <w:color w:val="1B1B22"/>
          <w:spacing w:val="-1"/>
        </w:rPr>
        <w:t> </w:t>
      </w:r>
      <w:r>
        <w:rPr>
          <w:color w:val="1B1B22"/>
        </w:rPr>
        <w:t>simples, intuitiva</w:t>
      </w:r>
      <w:r>
        <w:rPr>
          <w:color w:val="1B1B22"/>
          <w:spacing w:val="-1"/>
        </w:rPr>
        <w:t> </w:t>
      </w:r>
      <w:r>
        <w:rPr>
          <w:color w:val="1B1B22"/>
        </w:rPr>
        <w:t>e segura. A solução, lançada em 2024 inicialmente para uso </w:t>
      </w:r>
      <w:r>
        <w:rPr>
          <w:color w:val="1B1B22"/>
          <w:spacing w:val="-2"/>
        </w:rPr>
        <w:t>exclusivo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do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público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jovem,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fechou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o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semestre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com mais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de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90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mil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clientes,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sendo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que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65%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dos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clientes </w:t>
      </w:r>
      <w:r>
        <w:rPr>
          <w:color w:val="1B1B22"/>
        </w:rPr>
        <w:t>tem até 40 anos, e o volume de investimentos supera R$ 145 milhões.</w:t>
      </w:r>
    </w:p>
    <w:p>
      <w:pPr>
        <w:pStyle w:val="BodyText"/>
        <w:spacing w:after="0" w:line="321" w:lineRule="auto"/>
        <w:jc w:val="both"/>
        <w:sectPr>
          <w:type w:val="continuous"/>
          <w:pgSz w:w="11910" w:h="16850"/>
          <w:pgMar w:header="152" w:footer="572" w:top="1920" w:bottom="280" w:left="425" w:right="708"/>
          <w:cols w:num="2" w:equalWidth="0">
            <w:col w:w="5216" w:space="240"/>
            <w:col w:w="5321"/>
          </w:cols>
        </w:sectPr>
      </w:pPr>
    </w:p>
    <w:p>
      <w:pPr>
        <w:pStyle w:val="Heading1"/>
        <w:spacing w:before="184"/>
        <w:jc w:val="both"/>
      </w:pPr>
      <w:r>
        <w:rPr>
          <w:color w:val="465EFF"/>
          <w:spacing w:val="31"/>
        </w:rPr>
        <w:t>Acionistas</w:t>
      </w:r>
    </w:p>
    <w:p>
      <w:pPr>
        <w:pStyle w:val="BodyText"/>
        <w:spacing w:line="321" w:lineRule="auto" w:before="334"/>
        <w:ind w:left="427" w:right="137"/>
        <w:jc w:val="both"/>
      </w:pPr>
      <w:r>
        <w:rPr>
          <w:color w:val="1B1B22"/>
        </w:rPr>
        <w:t>Contamos</w:t>
      </w:r>
      <w:r>
        <w:rPr>
          <w:color w:val="1B1B22"/>
          <w:spacing w:val="-4"/>
        </w:rPr>
        <w:t> </w:t>
      </w:r>
      <w:r>
        <w:rPr>
          <w:color w:val="1B1B22"/>
        </w:rPr>
        <w:t>com</w:t>
      </w:r>
      <w:r>
        <w:rPr>
          <w:color w:val="1B1B22"/>
          <w:spacing w:val="-3"/>
        </w:rPr>
        <w:t> </w:t>
      </w:r>
      <w:r>
        <w:rPr>
          <w:color w:val="1B1B22"/>
        </w:rPr>
        <w:t>uma</w:t>
      </w:r>
      <w:r>
        <w:rPr>
          <w:color w:val="1B1B22"/>
          <w:spacing w:val="-6"/>
        </w:rPr>
        <w:t> </w:t>
      </w:r>
      <w:r>
        <w:rPr>
          <w:color w:val="1B1B22"/>
        </w:rPr>
        <w:t>base</w:t>
      </w:r>
      <w:r>
        <w:rPr>
          <w:color w:val="1B1B22"/>
          <w:spacing w:val="-3"/>
        </w:rPr>
        <w:t> </w:t>
      </w:r>
      <w:r>
        <w:rPr>
          <w:color w:val="1B1B22"/>
        </w:rPr>
        <w:t>de</w:t>
      </w:r>
      <w:r>
        <w:rPr>
          <w:color w:val="1B1B22"/>
          <w:spacing w:val="-5"/>
        </w:rPr>
        <w:t> </w:t>
      </w:r>
      <w:r>
        <w:rPr>
          <w:color w:val="1B1B22"/>
        </w:rPr>
        <w:t>1,6</w:t>
      </w:r>
      <w:r>
        <w:rPr>
          <w:color w:val="1B1B22"/>
          <w:spacing w:val="-6"/>
        </w:rPr>
        <w:t> </w:t>
      </w:r>
      <w:r>
        <w:rPr>
          <w:color w:val="1B1B22"/>
        </w:rPr>
        <w:t>milhão</w:t>
      </w:r>
      <w:r>
        <w:rPr>
          <w:color w:val="1B1B22"/>
          <w:spacing w:val="-5"/>
        </w:rPr>
        <w:t> </w:t>
      </w:r>
      <w:r>
        <w:rPr>
          <w:color w:val="1B1B22"/>
        </w:rPr>
        <w:t>de</w:t>
      </w:r>
      <w:r>
        <w:rPr>
          <w:color w:val="1B1B22"/>
          <w:spacing w:val="-5"/>
        </w:rPr>
        <w:t> </w:t>
      </w:r>
      <w:r>
        <w:rPr>
          <w:color w:val="1B1B22"/>
        </w:rPr>
        <w:t>acionistas,</w:t>
      </w:r>
      <w:r>
        <w:rPr>
          <w:color w:val="1B1B22"/>
          <w:spacing w:val="-5"/>
        </w:rPr>
        <w:t> </w:t>
      </w:r>
      <w:r>
        <w:rPr>
          <w:color w:val="1B1B22"/>
        </w:rPr>
        <w:t>sendo</w:t>
      </w:r>
      <w:r>
        <w:rPr>
          <w:color w:val="1B1B22"/>
          <w:spacing w:val="-5"/>
        </w:rPr>
        <w:t> </w:t>
      </w:r>
      <w:r>
        <w:rPr>
          <w:color w:val="1B1B22"/>
        </w:rPr>
        <w:t>99,0%</w:t>
      </w:r>
      <w:r>
        <w:rPr>
          <w:color w:val="1B1B22"/>
          <w:spacing w:val="-6"/>
        </w:rPr>
        <w:t> </w:t>
      </w:r>
      <w:r>
        <w:rPr>
          <w:color w:val="1B1B22"/>
        </w:rPr>
        <w:t>de</w:t>
      </w:r>
      <w:r>
        <w:rPr>
          <w:color w:val="1B1B22"/>
          <w:spacing w:val="-5"/>
        </w:rPr>
        <w:t> </w:t>
      </w:r>
      <w:r>
        <w:rPr>
          <w:color w:val="1B1B22"/>
        </w:rPr>
        <w:t>pessoas</w:t>
      </w:r>
      <w:r>
        <w:rPr>
          <w:color w:val="1B1B22"/>
          <w:spacing w:val="-4"/>
        </w:rPr>
        <w:t> </w:t>
      </w:r>
      <w:r>
        <w:rPr>
          <w:color w:val="1B1B22"/>
        </w:rPr>
        <w:t>físicas</w:t>
      </w:r>
      <w:r>
        <w:rPr>
          <w:color w:val="1B1B22"/>
          <w:spacing w:val="-4"/>
        </w:rPr>
        <w:t> </w:t>
      </w:r>
      <w:r>
        <w:rPr>
          <w:color w:val="1B1B22"/>
        </w:rPr>
        <w:t>locais.</w:t>
      </w:r>
      <w:r>
        <w:rPr>
          <w:color w:val="1B1B22"/>
          <w:spacing w:val="-9"/>
        </w:rPr>
        <w:t> </w:t>
      </w:r>
      <w:r>
        <w:rPr>
          <w:color w:val="1B1B22"/>
        </w:rPr>
        <w:t>Ao</w:t>
      </w:r>
      <w:r>
        <w:rPr>
          <w:color w:val="1B1B22"/>
          <w:spacing w:val="-5"/>
        </w:rPr>
        <w:t> </w:t>
      </w:r>
      <w:r>
        <w:rPr>
          <w:color w:val="1B1B22"/>
        </w:rPr>
        <w:t>final</w:t>
      </w:r>
      <w:r>
        <w:rPr>
          <w:color w:val="1B1B22"/>
          <w:spacing w:val="-6"/>
        </w:rPr>
        <w:t> </w:t>
      </w:r>
      <w:r>
        <w:rPr>
          <w:color w:val="1B1B22"/>
        </w:rPr>
        <w:t>de</w:t>
      </w:r>
      <w:r>
        <w:rPr>
          <w:color w:val="1B1B22"/>
          <w:spacing w:val="-3"/>
        </w:rPr>
        <w:t> </w:t>
      </w:r>
      <w:r>
        <w:rPr>
          <w:color w:val="1B1B22"/>
        </w:rPr>
        <w:t>junho, nossa</w:t>
      </w:r>
      <w:r>
        <w:rPr>
          <w:color w:val="1B1B22"/>
          <w:spacing w:val="-8"/>
        </w:rPr>
        <w:t> </w:t>
      </w:r>
      <w:r>
        <w:rPr>
          <w:color w:val="1B1B22"/>
        </w:rPr>
        <w:t>composição</w:t>
      </w:r>
      <w:r>
        <w:rPr>
          <w:color w:val="1B1B22"/>
          <w:spacing w:val="-5"/>
        </w:rPr>
        <w:t> </w:t>
      </w:r>
      <w:r>
        <w:rPr>
          <w:color w:val="1B1B22"/>
        </w:rPr>
        <w:t>acionária</w:t>
      </w:r>
      <w:r>
        <w:rPr>
          <w:color w:val="1B1B22"/>
          <w:spacing w:val="-8"/>
        </w:rPr>
        <w:t> </w:t>
      </w:r>
      <w:r>
        <w:rPr>
          <w:color w:val="1B1B22"/>
        </w:rPr>
        <w:t>estava</w:t>
      </w:r>
      <w:r>
        <w:rPr>
          <w:color w:val="1B1B22"/>
          <w:spacing w:val="-8"/>
        </w:rPr>
        <w:t> </w:t>
      </w:r>
      <w:r>
        <w:rPr>
          <w:color w:val="1B1B22"/>
        </w:rPr>
        <w:t>distribuída</w:t>
      </w:r>
      <w:r>
        <w:rPr>
          <w:color w:val="1B1B22"/>
          <w:spacing w:val="-8"/>
        </w:rPr>
        <w:t> </w:t>
      </w:r>
      <w:r>
        <w:rPr>
          <w:color w:val="1B1B22"/>
        </w:rPr>
        <w:t>entre</w:t>
      </w:r>
      <w:r>
        <w:rPr>
          <w:color w:val="1B1B22"/>
          <w:spacing w:val="-8"/>
        </w:rPr>
        <w:t> </w:t>
      </w:r>
      <w:r>
        <w:rPr>
          <w:color w:val="1B1B22"/>
        </w:rPr>
        <w:t>50%</w:t>
      </w:r>
      <w:r>
        <w:rPr>
          <w:color w:val="1B1B22"/>
          <w:spacing w:val="-8"/>
        </w:rPr>
        <w:t> </w:t>
      </w:r>
      <w:r>
        <w:rPr>
          <w:color w:val="1B1B22"/>
        </w:rPr>
        <w:t>de</w:t>
      </w:r>
      <w:r>
        <w:rPr>
          <w:color w:val="1B1B22"/>
          <w:spacing w:val="-8"/>
        </w:rPr>
        <w:t> </w:t>
      </w:r>
      <w:r>
        <w:rPr>
          <w:color w:val="1B1B22"/>
        </w:rPr>
        <w:t>ações</w:t>
      </w:r>
      <w:r>
        <w:rPr>
          <w:color w:val="1B1B22"/>
          <w:spacing w:val="-6"/>
        </w:rPr>
        <w:t> </w:t>
      </w:r>
      <w:r>
        <w:rPr>
          <w:color w:val="1B1B22"/>
        </w:rPr>
        <w:t>em</w:t>
      </w:r>
      <w:r>
        <w:rPr>
          <w:color w:val="1B1B22"/>
          <w:spacing w:val="-8"/>
        </w:rPr>
        <w:t> </w:t>
      </w:r>
      <w:r>
        <w:rPr>
          <w:color w:val="1B1B22"/>
        </w:rPr>
        <w:t>poder</w:t>
      </w:r>
      <w:r>
        <w:rPr>
          <w:color w:val="1B1B22"/>
          <w:spacing w:val="-8"/>
        </w:rPr>
        <w:t> </w:t>
      </w:r>
      <w:r>
        <w:rPr>
          <w:color w:val="1B1B22"/>
        </w:rPr>
        <w:t>da</w:t>
      </w:r>
      <w:r>
        <w:rPr>
          <w:color w:val="1B1B22"/>
          <w:spacing w:val="-8"/>
        </w:rPr>
        <w:t> </w:t>
      </w:r>
      <w:r>
        <w:rPr>
          <w:color w:val="1B1B22"/>
        </w:rPr>
        <w:t>União</w:t>
      </w:r>
      <w:r>
        <w:rPr>
          <w:color w:val="1B1B22"/>
          <w:spacing w:val="-8"/>
        </w:rPr>
        <w:t> </w:t>
      </w:r>
      <w:r>
        <w:rPr>
          <w:color w:val="1B1B22"/>
        </w:rPr>
        <w:t>Federal,</w:t>
      </w:r>
      <w:r>
        <w:rPr>
          <w:color w:val="1B1B22"/>
          <w:spacing w:val="-8"/>
        </w:rPr>
        <w:t> </w:t>
      </w:r>
      <w:r>
        <w:rPr>
          <w:color w:val="1B1B22"/>
        </w:rPr>
        <w:t>49,6%</w:t>
      </w:r>
      <w:r>
        <w:rPr>
          <w:color w:val="1B1B22"/>
          <w:spacing w:val="-8"/>
        </w:rPr>
        <w:t> </w:t>
      </w:r>
      <w:r>
        <w:rPr>
          <w:color w:val="1B1B22"/>
        </w:rPr>
        <w:t>em</w:t>
      </w:r>
      <w:r>
        <w:rPr>
          <w:color w:val="1B1B22"/>
          <w:spacing w:val="-8"/>
        </w:rPr>
        <w:t> </w:t>
      </w:r>
      <w:r>
        <w:rPr>
          <w:i/>
          <w:color w:val="1B1B22"/>
        </w:rPr>
        <w:t>free</w:t>
      </w:r>
      <w:r>
        <w:rPr>
          <w:i/>
          <w:color w:val="1B1B22"/>
        </w:rPr>
        <w:t> float </w:t>
      </w:r>
      <w:r>
        <w:rPr>
          <w:color w:val="1B1B22"/>
        </w:rPr>
        <w:t>e 0,4% em tesouraria. Do total de ações, 77,6% são detidas por investidores locais e 22,4% por investidores residentes no exterior. Nossas ações (BBAS3) representaram 2,55% do Ibovespa no último quadrimestre. No último pregão do mês de junho, as BBAS3 estavam cotadas a</w:t>
      </w:r>
      <w:r>
        <w:rPr>
          <w:color w:val="1B1B22"/>
          <w:spacing w:val="-1"/>
        </w:rPr>
        <w:t> </w:t>
      </w:r>
      <w:r>
        <w:rPr>
          <w:color w:val="1B1B22"/>
        </w:rPr>
        <w:t>R$ 22,09.</w:t>
      </w:r>
    </w:p>
    <w:p>
      <w:pPr>
        <w:pStyle w:val="Heading1"/>
        <w:spacing w:before="90"/>
        <w:jc w:val="both"/>
      </w:pPr>
      <w:r>
        <w:rPr>
          <w:color w:val="465EFF"/>
          <w:spacing w:val="32"/>
        </w:rPr>
        <w:t>Estratégia</w:t>
      </w:r>
      <w:r>
        <w:rPr>
          <w:color w:val="465EFF"/>
          <w:spacing w:val="67"/>
        </w:rPr>
        <w:t> </w:t>
      </w:r>
      <w:r>
        <w:rPr>
          <w:color w:val="465EFF"/>
        </w:rPr>
        <w:t>e</w:t>
      </w:r>
      <w:r>
        <w:rPr>
          <w:color w:val="465EFF"/>
          <w:spacing w:val="69"/>
        </w:rPr>
        <w:t> </w:t>
      </w:r>
      <w:r>
        <w:rPr>
          <w:color w:val="465EFF"/>
          <w:spacing w:val="32"/>
        </w:rPr>
        <w:t>Governança</w:t>
      </w:r>
      <w:r>
        <w:rPr>
          <w:color w:val="465EFF"/>
          <w:spacing w:val="66"/>
        </w:rPr>
        <w:t> </w:t>
      </w:r>
      <w:r>
        <w:rPr>
          <w:color w:val="465EFF"/>
          <w:spacing w:val="31"/>
        </w:rPr>
        <w:t>Corporativa</w:t>
      </w:r>
    </w:p>
    <w:p>
      <w:pPr>
        <w:pStyle w:val="BodyText"/>
        <w:spacing w:before="3"/>
        <w:rPr>
          <w:rFonts w:ascii="BancoDoBrasil Titulos"/>
        </w:rPr>
      </w:pPr>
    </w:p>
    <w:p>
      <w:pPr>
        <w:pStyle w:val="BodyText"/>
        <w:spacing w:after="0"/>
        <w:rPr>
          <w:rFonts w:ascii="BancoDoBrasil Titulos"/>
        </w:rPr>
        <w:sectPr>
          <w:pgSz w:w="11910" w:h="16850"/>
          <w:pgMar w:header="152" w:footer="572" w:top="900" w:bottom="760" w:left="425" w:right="708"/>
        </w:sectPr>
      </w:pPr>
    </w:p>
    <w:p>
      <w:pPr>
        <w:pStyle w:val="BodyText"/>
        <w:rPr>
          <w:rFonts w:ascii="BancoDoBrasil Titulos"/>
        </w:rPr>
      </w:pPr>
    </w:p>
    <w:p>
      <w:pPr>
        <w:pStyle w:val="BodyText"/>
        <w:rPr>
          <w:rFonts w:ascii="BancoDoBrasil Titulos"/>
        </w:rPr>
      </w:pPr>
    </w:p>
    <w:p>
      <w:pPr>
        <w:pStyle w:val="BodyText"/>
        <w:rPr>
          <w:rFonts w:ascii="BancoDoBrasil Titulos"/>
        </w:rPr>
      </w:pPr>
    </w:p>
    <w:p>
      <w:pPr>
        <w:pStyle w:val="BodyText"/>
        <w:rPr>
          <w:rFonts w:ascii="BancoDoBrasil Titulos"/>
        </w:rPr>
      </w:pPr>
    </w:p>
    <w:p>
      <w:pPr>
        <w:pStyle w:val="BodyText"/>
        <w:rPr>
          <w:rFonts w:ascii="BancoDoBrasil Titulos"/>
        </w:rPr>
      </w:pPr>
    </w:p>
    <w:p>
      <w:pPr>
        <w:pStyle w:val="BodyText"/>
        <w:rPr>
          <w:rFonts w:ascii="BancoDoBrasil Titulos"/>
        </w:rPr>
      </w:pPr>
    </w:p>
    <w:p>
      <w:pPr>
        <w:pStyle w:val="BodyText"/>
        <w:rPr>
          <w:rFonts w:ascii="BancoDoBrasil Titulos"/>
        </w:rPr>
      </w:pPr>
    </w:p>
    <w:p>
      <w:pPr>
        <w:pStyle w:val="BodyText"/>
        <w:rPr>
          <w:rFonts w:ascii="BancoDoBrasil Titulos"/>
        </w:rPr>
      </w:pPr>
    </w:p>
    <w:p>
      <w:pPr>
        <w:pStyle w:val="BodyText"/>
        <w:rPr>
          <w:rFonts w:ascii="BancoDoBrasil Titulos"/>
        </w:rPr>
      </w:pPr>
    </w:p>
    <w:p>
      <w:pPr>
        <w:pStyle w:val="BodyText"/>
        <w:rPr>
          <w:rFonts w:ascii="BancoDoBrasil Titulos"/>
        </w:rPr>
      </w:pPr>
    </w:p>
    <w:p>
      <w:pPr>
        <w:pStyle w:val="BodyText"/>
        <w:rPr>
          <w:rFonts w:ascii="BancoDoBrasil Titulos"/>
        </w:rPr>
      </w:pPr>
    </w:p>
    <w:p>
      <w:pPr>
        <w:pStyle w:val="BodyText"/>
        <w:rPr>
          <w:rFonts w:ascii="BancoDoBrasil Titulos"/>
        </w:rPr>
      </w:pPr>
    </w:p>
    <w:p>
      <w:pPr>
        <w:pStyle w:val="BodyText"/>
        <w:rPr>
          <w:rFonts w:ascii="BancoDoBrasil Titulos"/>
        </w:rPr>
      </w:pPr>
    </w:p>
    <w:p>
      <w:pPr>
        <w:pStyle w:val="BodyText"/>
        <w:rPr>
          <w:rFonts w:ascii="BancoDoBrasil Titulos"/>
        </w:rPr>
      </w:pPr>
    </w:p>
    <w:p>
      <w:pPr>
        <w:pStyle w:val="BodyText"/>
        <w:rPr>
          <w:rFonts w:ascii="BancoDoBrasil Titulos"/>
        </w:rPr>
      </w:pPr>
    </w:p>
    <w:p>
      <w:pPr>
        <w:pStyle w:val="BodyText"/>
        <w:rPr>
          <w:rFonts w:ascii="BancoDoBrasil Titulos"/>
        </w:rPr>
      </w:pPr>
    </w:p>
    <w:p>
      <w:pPr>
        <w:pStyle w:val="BodyText"/>
        <w:rPr>
          <w:rFonts w:ascii="BancoDoBrasil Titulos"/>
        </w:rPr>
      </w:pPr>
    </w:p>
    <w:p>
      <w:pPr>
        <w:pStyle w:val="BodyText"/>
        <w:rPr>
          <w:rFonts w:ascii="BancoDoBrasil Titulos"/>
        </w:rPr>
      </w:pPr>
    </w:p>
    <w:p>
      <w:pPr>
        <w:pStyle w:val="BodyText"/>
        <w:rPr>
          <w:rFonts w:ascii="BancoDoBrasil Titulos"/>
        </w:rPr>
      </w:pPr>
    </w:p>
    <w:p>
      <w:pPr>
        <w:pStyle w:val="BodyText"/>
        <w:rPr>
          <w:rFonts w:ascii="BancoDoBrasil Titulos"/>
        </w:rPr>
      </w:pPr>
    </w:p>
    <w:p>
      <w:pPr>
        <w:pStyle w:val="BodyText"/>
        <w:rPr>
          <w:rFonts w:ascii="BancoDoBrasil Titulos"/>
        </w:rPr>
      </w:pPr>
    </w:p>
    <w:p>
      <w:pPr>
        <w:pStyle w:val="BodyText"/>
        <w:rPr>
          <w:rFonts w:ascii="BancoDoBrasil Titulos"/>
        </w:rPr>
      </w:pPr>
    </w:p>
    <w:p>
      <w:pPr>
        <w:pStyle w:val="BodyText"/>
        <w:rPr>
          <w:rFonts w:ascii="BancoDoBrasil Titulos"/>
        </w:rPr>
      </w:pPr>
    </w:p>
    <w:p>
      <w:pPr>
        <w:pStyle w:val="BodyText"/>
        <w:rPr>
          <w:rFonts w:ascii="BancoDoBrasil Titulos"/>
        </w:rPr>
      </w:pPr>
    </w:p>
    <w:p>
      <w:pPr>
        <w:pStyle w:val="BodyText"/>
        <w:rPr>
          <w:rFonts w:ascii="BancoDoBrasil Titulos"/>
        </w:rPr>
      </w:pPr>
    </w:p>
    <w:p>
      <w:pPr>
        <w:pStyle w:val="BodyText"/>
        <w:rPr>
          <w:rFonts w:ascii="BancoDoBrasil Titulos"/>
        </w:rPr>
      </w:pPr>
    </w:p>
    <w:p>
      <w:pPr>
        <w:pStyle w:val="BodyText"/>
        <w:rPr>
          <w:rFonts w:ascii="BancoDoBrasil Titulos"/>
        </w:rPr>
      </w:pPr>
    </w:p>
    <w:p>
      <w:pPr>
        <w:pStyle w:val="BodyText"/>
        <w:rPr>
          <w:rFonts w:ascii="BancoDoBrasil Titulos"/>
        </w:rPr>
      </w:pPr>
    </w:p>
    <w:p>
      <w:pPr>
        <w:pStyle w:val="BodyText"/>
        <w:rPr>
          <w:rFonts w:ascii="BancoDoBrasil Titulos"/>
        </w:rPr>
      </w:pPr>
    </w:p>
    <w:p>
      <w:pPr>
        <w:pStyle w:val="BodyText"/>
        <w:rPr>
          <w:rFonts w:ascii="BancoDoBrasil Titulos"/>
        </w:rPr>
      </w:pPr>
    </w:p>
    <w:p>
      <w:pPr>
        <w:pStyle w:val="BodyText"/>
        <w:rPr>
          <w:rFonts w:ascii="BancoDoBrasil Titulos"/>
        </w:rPr>
      </w:pPr>
    </w:p>
    <w:p>
      <w:pPr>
        <w:pStyle w:val="BodyText"/>
        <w:rPr>
          <w:rFonts w:ascii="BancoDoBrasil Titulos"/>
        </w:rPr>
      </w:pPr>
    </w:p>
    <w:p>
      <w:pPr>
        <w:pStyle w:val="BodyText"/>
        <w:spacing w:before="208"/>
        <w:rPr>
          <w:rFonts w:ascii="BancoDoBrasil Titulos"/>
        </w:rPr>
      </w:pPr>
    </w:p>
    <w:p>
      <w:pPr>
        <w:pStyle w:val="BodyText"/>
        <w:spacing w:line="321" w:lineRule="auto"/>
        <w:ind w:left="426" w:right="38"/>
        <w:jc w:val="both"/>
      </w:pPr>
      <w:r>
        <w:rPr>
          <w:color w:val="1B1B22"/>
        </w:rPr>
        <w:t>Nossa estrutura de governança é composta pela Assembleia Geral de Acionistas; pelo Conselho de Administração (CA) e seus comitês de assessoramento – Comitê de Auditoria (Coaud); Comitê de Pessoas, Elegibilidade, Sucessão e Remuneração (Corem); Comitê de Riscos e de Capital</w:t>
      </w:r>
      <w:r>
        <w:rPr>
          <w:color w:val="1B1B22"/>
          <w:spacing w:val="31"/>
        </w:rPr>
        <w:t> </w:t>
      </w:r>
      <w:r>
        <w:rPr>
          <w:color w:val="1B1B22"/>
        </w:rPr>
        <w:t>(Coris),</w:t>
      </w:r>
      <w:r>
        <w:rPr>
          <w:color w:val="1B1B22"/>
          <w:spacing w:val="31"/>
        </w:rPr>
        <w:t> </w:t>
      </w:r>
      <w:r>
        <w:rPr>
          <w:color w:val="1B1B22"/>
        </w:rPr>
        <w:t>Comitê</w:t>
      </w:r>
      <w:r>
        <w:rPr>
          <w:color w:val="1B1B22"/>
          <w:spacing w:val="31"/>
        </w:rPr>
        <w:t> </w:t>
      </w:r>
      <w:r>
        <w:rPr>
          <w:color w:val="1B1B22"/>
        </w:rPr>
        <w:t>de</w:t>
      </w:r>
      <w:r>
        <w:rPr>
          <w:color w:val="1B1B22"/>
          <w:spacing w:val="17"/>
        </w:rPr>
        <w:t> </w:t>
      </w:r>
      <w:r>
        <w:rPr>
          <w:color w:val="1B1B22"/>
        </w:rPr>
        <w:t>Tecnologia</w:t>
      </w:r>
      <w:r>
        <w:rPr>
          <w:color w:val="1B1B22"/>
          <w:spacing w:val="30"/>
        </w:rPr>
        <w:t> </w:t>
      </w:r>
      <w:r>
        <w:rPr>
          <w:color w:val="1B1B22"/>
        </w:rPr>
        <w:t>e</w:t>
      </w:r>
      <w:r>
        <w:rPr>
          <w:color w:val="1B1B22"/>
          <w:spacing w:val="31"/>
        </w:rPr>
        <w:t> </w:t>
      </w:r>
      <w:r>
        <w:rPr>
          <w:color w:val="1B1B22"/>
          <w:spacing w:val="-2"/>
        </w:rPr>
        <w:t>Inovação</w:t>
      </w:r>
    </w:p>
    <w:p>
      <w:pPr>
        <w:pStyle w:val="BodyText"/>
        <w:spacing w:line="321" w:lineRule="auto" w:before="78"/>
        <w:ind w:left="426" w:right="144"/>
        <w:jc w:val="both"/>
      </w:pPr>
      <w:r>
        <w:rPr/>
        <w:br w:type="column"/>
      </w:r>
      <w:r>
        <w:rPr>
          <w:color w:val="1B1B22"/>
        </w:rPr>
        <w:t>(Cotei) e Comitê de Sustentabilidade Empresarial (Cosem); pela Diretoria Executiva; e pelo CF.</w:t>
      </w:r>
    </w:p>
    <w:p>
      <w:pPr>
        <w:pStyle w:val="BodyText"/>
        <w:spacing w:line="321" w:lineRule="auto" w:before="119"/>
        <w:ind w:left="426" w:right="142"/>
        <w:jc w:val="both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0176">
                <wp:simplePos x="0" y="0"/>
                <wp:positionH relativeFrom="page">
                  <wp:posOffset>298450</wp:posOffset>
                </wp:positionH>
                <wp:positionV relativeFrom="paragraph">
                  <wp:posOffset>-531487</wp:posOffset>
                </wp:positionV>
                <wp:extent cx="3559175" cy="5440680"/>
                <wp:effectExtent l="0" t="0" r="0" b="0"/>
                <wp:wrapNone/>
                <wp:docPr id="16" name="Textbox 16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6" name="Textbox 16"/>
                      <wps:cNvSpPr txBox="1"/>
                      <wps:spPr>
                        <a:xfrm>
                          <a:off x="0" y="0"/>
                          <a:ext cx="3559175" cy="5440680"/>
                        </a:xfrm>
                        <a:prstGeom prst="rect">
                          <a:avLst/>
                        </a:prstGeom>
                        <a:solidFill>
                          <a:srgbClr val="FFB7AB"/>
                        </a:solidFill>
                      </wps:spPr>
                      <wps:txbx>
                        <w:txbxContent>
                          <w:p>
                            <w:pPr>
                              <w:pStyle w:val="BodyText"/>
                              <w:spacing w:line="321" w:lineRule="auto" w:before="154"/>
                              <w:ind w:left="382" w:right="471"/>
                              <w:jc w:val="both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1B1B22"/>
                              </w:rPr>
                              <w:t>A Estratégia Corporativa (ECBB) é o documento que traduz a essência da nossa empresa, nossa visão de futuro e onde queremos chegar. Ela é resultado das escolhas e renúncias que fazemos para posicionar estrategicamente o BB frente aos cenários e desafios do mercado. A partir desse posicionamento, avaliamos nossas capacidades e necessidades e definimos nossa atuação por meio de um processo estruturado, participativo e com uso de metodologias consolidadas.</w:t>
                            </w:r>
                          </w:p>
                          <w:p>
                            <w:pPr>
                              <w:pStyle w:val="BodyText"/>
                              <w:tabs>
                                <w:tab w:pos="2697" w:val="left" w:leader="none"/>
                                <w:tab w:pos="4903" w:val="left" w:leader="none"/>
                              </w:tabs>
                              <w:spacing w:line="321" w:lineRule="auto" w:before="114"/>
                              <w:ind w:left="381" w:right="472"/>
                              <w:jc w:val="both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1B1B22"/>
                              </w:rPr>
                              <w:t>Apesar</w:t>
                            </w:r>
                            <w:r>
                              <w:rPr>
                                <w:color w:val="1B1B22"/>
                                <w:spacing w:val="-13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do</w:t>
                            </w:r>
                            <w:r>
                              <w:rPr>
                                <w:color w:val="1B1B22"/>
                                <w:spacing w:val="-12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horizonte</w:t>
                            </w:r>
                            <w:r>
                              <w:rPr>
                                <w:color w:val="1B1B22"/>
                                <w:spacing w:val="-13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temporal</w:t>
                            </w:r>
                            <w:r>
                              <w:rPr>
                                <w:color w:val="1B1B22"/>
                                <w:spacing w:val="-12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da</w:t>
                            </w:r>
                            <w:r>
                              <w:rPr>
                                <w:color w:val="1B1B22"/>
                                <w:spacing w:val="-12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ECBB</w:t>
                            </w:r>
                            <w:r>
                              <w:rPr>
                                <w:color w:val="1B1B22"/>
                                <w:spacing w:val="-13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ser</w:t>
                            </w:r>
                            <w:r>
                              <w:rPr>
                                <w:color w:val="1B1B22"/>
                                <w:spacing w:val="-12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de</w:t>
                            </w:r>
                            <w:r>
                              <w:rPr>
                                <w:color w:val="1B1B22"/>
                                <w:spacing w:val="-12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cinco anos,</w:t>
                            </w:r>
                            <w:r>
                              <w:rPr>
                                <w:color w:val="1B1B22"/>
                                <w:spacing w:val="-9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ela</w:t>
                            </w:r>
                            <w:r>
                              <w:rPr>
                                <w:color w:val="1B1B22"/>
                                <w:spacing w:val="-10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é</w:t>
                            </w:r>
                            <w:r>
                              <w:rPr>
                                <w:color w:val="1B1B22"/>
                                <w:spacing w:val="-9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revisada</w:t>
                            </w:r>
                            <w:r>
                              <w:rPr>
                                <w:color w:val="1B1B22"/>
                                <w:spacing w:val="-8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anualmente.</w:t>
                            </w:r>
                            <w:r>
                              <w:rPr>
                                <w:color w:val="1B1B22"/>
                                <w:spacing w:val="-9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Na</w:t>
                            </w:r>
                            <w:r>
                              <w:rPr>
                                <w:color w:val="1B1B22"/>
                                <w:spacing w:val="-8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última</w:t>
                            </w:r>
                            <w:r>
                              <w:rPr>
                                <w:color w:val="1B1B22"/>
                                <w:spacing w:val="-10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revisão, para o ciclo de 2025-2029, ratificamos nosso propósito e nossos valores e reforçamos nosso compromisso de gerar valor para nossos clientes, acionistas e para a sociedade, com foco na </w:t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responsabilidade</w:t>
                            </w:r>
                            <w:r>
                              <w:rPr>
                                <w:color w:val="1B1B22"/>
                              </w:rPr>
                              <w:tab/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socioambiental,</w:t>
                            </w:r>
                            <w:r>
                              <w:rPr>
                                <w:color w:val="1B1B22"/>
                              </w:rPr>
                              <w:tab/>
                            </w:r>
                            <w:r>
                              <w:rPr>
                                <w:color w:val="1B1B22"/>
                                <w:spacing w:val="-6"/>
                              </w:rPr>
                              <w:t>na </w:t>
                            </w:r>
                            <w:r>
                              <w:rPr>
                                <w:color w:val="1B1B22"/>
                              </w:rPr>
                              <w:t>transformação digital e na inovação.</w:t>
                            </w:r>
                          </w:p>
                          <w:p>
                            <w:pPr>
                              <w:pStyle w:val="BodyText"/>
                              <w:spacing w:line="321" w:lineRule="auto" w:before="112"/>
                              <w:ind w:left="381" w:right="471"/>
                              <w:jc w:val="both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1B1B22"/>
                              </w:rPr>
                              <w:t>O nosso Jeito BB é único, é o que nos move e orienta, e está presente em cada um dos nossos funcionários e colaboradores, que possibilitam atingirmos nossos objetivos. Por isso, promover o </w:t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aprendizado</w:t>
                            </w:r>
                            <w:r>
                              <w:rPr>
                                <w:color w:val="1B1B22"/>
                                <w:spacing w:val="-6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contínuo</w:t>
                            </w:r>
                            <w:r>
                              <w:rPr>
                                <w:color w:val="1B1B22"/>
                                <w:spacing w:val="-6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e</w:t>
                            </w:r>
                            <w:r>
                              <w:rPr>
                                <w:color w:val="1B1B22"/>
                                <w:spacing w:val="-6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um</w:t>
                            </w:r>
                            <w:r>
                              <w:rPr>
                                <w:color w:val="1B1B22"/>
                                <w:spacing w:val="-6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ambiente</w:t>
                            </w:r>
                            <w:r>
                              <w:rPr>
                                <w:color w:val="1B1B22"/>
                                <w:spacing w:val="-6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cada</w:t>
                            </w:r>
                            <w:r>
                              <w:rPr>
                                <w:color w:val="1B1B22"/>
                                <w:spacing w:val="-7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vez</w:t>
                            </w:r>
                            <w:r>
                              <w:rPr>
                                <w:color w:val="1B1B22"/>
                                <w:spacing w:val="-7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mais </w:t>
                            </w:r>
                            <w:r>
                              <w:rPr>
                                <w:color w:val="1B1B22"/>
                              </w:rPr>
                              <w:t>seguro e inclusivo faz parte de nossa cultura.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3.5pt;margin-top:-41.8494pt;width:280.25pt;height:428.4pt;mso-position-horizontal-relative:page;mso-position-vertical-relative:paragraph;z-index:15730176" type="#_x0000_t202" id="docshape16" filled="true" fillcolor="#ffb7ab" stroked="false">
                <v:textbox inset="0,0,0,0">
                  <w:txbxContent>
                    <w:p>
                      <w:pPr>
                        <w:pStyle w:val="BodyText"/>
                        <w:spacing w:line="321" w:lineRule="auto" w:before="154"/>
                        <w:ind w:left="382" w:right="471"/>
                        <w:jc w:val="both"/>
                        <w:rPr>
                          <w:color w:val="000000"/>
                        </w:rPr>
                      </w:pPr>
                      <w:r>
                        <w:rPr>
                          <w:color w:val="1B1B22"/>
                        </w:rPr>
                        <w:t>A Estratégia Corporativa (ECBB) é o documento que traduz a essência da nossa empresa, nossa visão de futuro e onde queremos chegar. Ela é resultado das escolhas e renúncias que fazemos para posicionar estrategicamente o BB frente aos cenários e desafios do mercado. A partir desse posicionamento, avaliamos nossas capacidades e necessidades e definimos nossa atuação por meio de um processo estruturado, participativo e com uso de metodologias consolidadas.</w:t>
                      </w:r>
                    </w:p>
                    <w:p>
                      <w:pPr>
                        <w:pStyle w:val="BodyText"/>
                        <w:tabs>
                          <w:tab w:pos="2697" w:val="left" w:leader="none"/>
                          <w:tab w:pos="4903" w:val="left" w:leader="none"/>
                        </w:tabs>
                        <w:spacing w:line="321" w:lineRule="auto" w:before="114"/>
                        <w:ind w:left="381" w:right="472"/>
                        <w:jc w:val="both"/>
                        <w:rPr>
                          <w:color w:val="000000"/>
                        </w:rPr>
                      </w:pPr>
                      <w:r>
                        <w:rPr>
                          <w:color w:val="1B1B22"/>
                        </w:rPr>
                        <w:t>Apesar</w:t>
                      </w:r>
                      <w:r>
                        <w:rPr>
                          <w:color w:val="1B1B22"/>
                          <w:spacing w:val="-13"/>
                        </w:rPr>
                        <w:t> </w:t>
                      </w:r>
                      <w:r>
                        <w:rPr>
                          <w:color w:val="1B1B22"/>
                        </w:rPr>
                        <w:t>do</w:t>
                      </w:r>
                      <w:r>
                        <w:rPr>
                          <w:color w:val="1B1B22"/>
                          <w:spacing w:val="-12"/>
                        </w:rPr>
                        <w:t> </w:t>
                      </w:r>
                      <w:r>
                        <w:rPr>
                          <w:color w:val="1B1B22"/>
                        </w:rPr>
                        <w:t>horizonte</w:t>
                      </w:r>
                      <w:r>
                        <w:rPr>
                          <w:color w:val="1B1B22"/>
                          <w:spacing w:val="-13"/>
                        </w:rPr>
                        <w:t> </w:t>
                      </w:r>
                      <w:r>
                        <w:rPr>
                          <w:color w:val="1B1B22"/>
                        </w:rPr>
                        <w:t>temporal</w:t>
                      </w:r>
                      <w:r>
                        <w:rPr>
                          <w:color w:val="1B1B22"/>
                          <w:spacing w:val="-12"/>
                        </w:rPr>
                        <w:t> </w:t>
                      </w:r>
                      <w:r>
                        <w:rPr>
                          <w:color w:val="1B1B22"/>
                        </w:rPr>
                        <w:t>da</w:t>
                      </w:r>
                      <w:r>
                        <w:rPr>
                          <w:color w:val="1B1B22"/>
                          <w:spacing w:val="-12"/>
                        </w:rPr>
                        <w:t> </w:t>
                      </w:r>
                      <w:r>
                        <w:rPr>
                          <w:color w:val="1B1B22"/>
                        </w:rPr>
                        <w:t>ECBB</w:t>
                      </w:r>
                      <w:r>
                        <w:rPr>
                          <w:color w:val="1B1B22"/>
                          <w:spacing w:val="-13"/>
                        </w:rPr>
                        <w:t> </w:t>
                      </w:r>
                      <w:r>
                        <w:rPr>
                          <w:color w:val="1B1B22"/>
                        </w:rPr>
                        <w:t>ser</w:t>
                      </w:r>
                      <w:r>
                        <w:rPr>
                          <w:color w:val="1B1B22"/>
                          <w:spacing w:val="-12"/>
                        </w:rPr>
                        <w:t> </w:t>
                      </w:r>
                      <w:r>
                        <w:rPr>
                          <w:color w:val="1B1B22"/>
                        </w:rPr>
                        <w:t>de</w:t>
                      </w:r>
                      <w:r>
                        <w:rPr>
                          <w:color w:val="1B1B22"/>
                          <w:spacing w:val="-12"/>
                        </w:rPr>
                        <w:t> </w:t>
                      </w:r>
                      <w:r>
                        <w:rPr>
                          <w:color w:val="1B1B22"/>
                        </w:rPr>
                        <w:t>cinco anos,</w:t>
                      </w:r>
                      <w:r>
                        <w:rPr>
                          <w:color w:val="1B1B22"/>
                          <w:spacing w:val="-9"/>
                        </w:rPr>
                        <w:t> </w:t>
                      </w:r>
                      <w:r>
                        <w:rPr>
                          <w:color w:val="1B1B22"/>
                        </w:rPr>
                        <w:t>ela</w:t>
                      </w:r>
                      <w:r>
                        <w:rPr>
                          <w:color w:val="1B1B22"/>
                          <w:spacing w:val="-10"/>
                        </w:rPr>
                        <w:t> </w:t>
                      </w:r>
                      <w:r>
                        <w:rPr>
                          <w:color w:val="1B1B22"/>
                        </w:rPr>
                        <w:t>é</w:t>
                      </w:r>
                      <w:r>
                        <w:rPr>
                          <w:color w:val="1B1B22"/>
                          <w:spacing w:val="-9"/>
                        </w:rPr>
                        <w:t> </w:t>
                      </w:r>
                      <w:r>
                        <w:rPr>
                          <w:color w:val="1B1B22"/>
                        </w:rPr>
                        <w:t>revisada</w:t>
                      </w:r>
                      <w:r>
                        <w:rPr>
                          <w:color w:val="1B1B22"/>
                          <w:spacing w:val="-8"/>
                        </w:rPr>
                        <w:t> </w:t>
                      </w:r>
                      <w:r>
                        <w:rPr>
                          <w:color w:val="1B1B22"/>
                        </w:rPr>
                        <w:t>anualmente.</w:t>
                      </w:r>
                      <w:r>
                        <w:rPr>
                          <w:color w:val="1B1B22"/>
                          <w:spacing w:val="-9"/>
                        </w:rPr>
                        <w:t> </w:t>
                      </w:r>
                      <w:r>
                        <w:rPr>
                          <w:color w:val="1B1B22"/>
                        </w:rPr>
                        <w:t>Na</w:t>
                      </w:r>
                      <w:r>
                        <w:rPr>
                          <w:color w:val="1B1B22"/>
                          <w:spacing w:val="-8"/>
                        </w:rPr>
                        <w:t> </w:t>
                      </w:r>
                      <w:r>
                        <w:rPr>
                          <w:color w:val="1B1B22"/>
                        </w:rPr>
                        <w:t>última</w:t>
                      </w:r>
                      <w:r>
                        <w:rPr>
                          <w:color w:val="1B1B22"/>
                          <w:spacing w:val="-10"/>
                        </w:rPr>
                        <w:t> </w:t>
                      </w:r>
                      <w:r>
                        <w:rPr>
                          <w:color w:val="1B1B22"/>
                        </w:rPr>
                        <w:t>revisão, para o ciclo de 2025-2029, ratificamos nosso propósito e nossos valores e reforçamos nosso compromisso de gerar valor para nossos clientes, acionistas e para a sociedade, com foco na </w:t>
                      </w:r>
                      <w:r>
                        <w:rPr>
                          <w:color w:val="1B1B22"/>
                          <w:spacing w:val="-2"/>
                        </w:rPr>
                        <w:t>responsabilidade</w:t>
                      </w:r>
                      <w:r>
                        <w:rPr>
                          <w:color w:val="1B1B22"/>
                        </w:rPr>
                        <w:tab/>
                      </w:r>
                      <w:r>
                        <w:rPr>
                          <w:color w:val="1B1B22"/>
                          <w:spacing w:val="-2"/>
                        </w:rPr>
                        <w:t>socioambiental,</w:t>
                      </w:r>
                      <w:r>
                        <w:rPr>
                          <w:color w:val="1B1B22"/>
                        </w:rPr>
                        <w:tab/>
                      </w:r>
                      <w:r>
                        <w:rPr>
                          <w:color w:val="1B1B22"/>
                          <w:spacing w:val="-6"/>
                        </w:rPr>
                        <w:t>na </w:t>
                      </w:r>
                      <w:r>
                        <w:rPr>
                          <w:color w:val="1B1B22"/>
                        </w:rPr>
                        <w:t>transformação digital e na inovação.</w:t>
                      </w:r>
                    </w:p>
                    <w:p>
                      <w:pPr>
                        <w:pStyle w:val="BodyText"/>
                        <w:spacing w:line="321" w:lineRule="auto" w:before="112"/>
                        <w:ind w:left="381" w:right="471"/>
                        <w:jc w:val="both"/>
                        <w:rPr>
                          <w:color w:val="000000"/>
                        </w:rPr>
                      </w:pPr>
                      <w:r>
                        <w:rPr>
                          <w:color w:val="1B1B22"/>
                        </w:rPr>
                        <w:t>O nosso Jeito BB é único, é o que nos move e orienta, e está presente em cada um dos nossos funcionários e colaboradores, que possibilitam atingirmos nossos objetivos. Por isso, promover o </w:t>
                      </w:r>
                      <w:r>
                        <w:rPr>
                          <w:color w:val="1B1B22"/>
                          <w:spacing w:val="-2"/>
                        </w:rPr>
                        <w:t>aprendizado</w:t>
                      </w:r>
                      <w:r>
                        <w:rPr>
                          <w:color w:val="1B1B22"/>
                          <w:spacing w:val="-6"/>
                        </w:rPr>
                        <w:t> </w:t>
                      </w:r>
                      <w:r>
                        <w:rPr>
                          <w:color w:val="1B1B22"/>
                          <w:spacing w:val="-2"/>
                        </w:rPr>
                        <w:t>contínuo</w:t>
                      </w:r>
                      <w:r>
                        <w:rPr>
                          <w:color w:val="1B1B22"/>
                          <w:spacing w:val="-6"/>
                        </w:rPr>
                        <w:t> </w:t>
                      </w:r>
                      <w:r>
                        <w:rPr>
                          <w:color w:val="1B1B22"/>
                          <w:spacing w:val="-2"/>
                        </w:rPr>
                        <w:t>e</w:t>
                      </w:r>
                      <w:r>
                        <w:rPr>
                          <w:color w:val="1B1B22"/>
                          <w:spacing w:val="-6"/>
                        </w:rPr>
                        <w:t> </w:t>
                      </w:r>
                      <w:r>
                        <w:rPr>
                          <w:color w:val="1B1B22"/>
                          <w:spacing w:val="-2"/>
                        </w:rPr>
                        <w:t>um</w:t>
                      </w:r>
                      <w:r>
                        <w:rPr>
                          <w:color w:val="1B1B22"/>
                          <w:spacing w:val="-6"/>
                        </w:rPr>
                        <w:t> </w:t>
                      </w:r>
                      <w:r>
                        <w:rPr>
                          <w:color w:val="1B1B22"/>
                          <w:spacing w:val="-2"/>
                        </w:rPr>
                        <w:t>ambiente</w:t>
                      </w:r>
                      <w:r>
                        <w:rPr>
                          <w:color w:val="1B1B22"/>
                          <w:spacing w:val="-6"/>
                        </w:rPr>
                        <w:t> </w:t>
                      </w:r>
                      <w:r>
                        <w:rPr>
                          <w:color w:val="1B1B22"/>
                          <w:spacing w:val="-2"/>
                        </w:rPr>
                        <w:t>cada</w:t>
                      </w:r>
                      <w:r>
                        <w:rPr>
                          <w:color w:val="1B1B22"/>
                          <w:spacing w:val="-7"/>
                        </w:rPr>
                        <w:t> </w:t>
                      </w:r>
                      <w:r>
                        <w:rPr>
                          <w:color w:val="1B1B22"/>
                          <w:spacing w:val="-2"/>
                        </w:rPr>
                        <w:t>vez</w:t>
                      </w:r>
                      <w:r>
                        <w:rPr>
                          <w:color w:val="1B1B22"/>
                          <w:spacing w:val="-7"/>
                        </w:rPr>
                        <w:t> </w:t>
                      </w:r>
                      <w:r>
                        <w:rPr>
                          <w:color w:val="1B1B22"/>
                          <w:spacing w:val="-2"/>
                        </w:rPr>
                        <w:t>mais </w:t>
                      </w:r>
                      <w:r>
                        <w:rPr>
                          <w:color w:val="1B1B22"/>
                        </w:rPr>
                        <w:t>seguro e inclusivo faz parte de nossa cultura.</w:t>
                      </w:r>
                    </w:p>
                  </w:txbxContent>
                </v:textbox>
                <v:fill type="solid"/>
                <w10:wrap type="none"/>
              </v:shape>
            </w:pict>
          </mc:Fallback>
        </mc:AlternateContent>
      </w:r>
      <w:r>
        <w:rPr>
          <w:color w:val="1B1B22"/>
        </w:rPr>
        <w:t>O CA, possui, no mínimo 30% de membros independentes, observado o disposto no Estatuto Social, na legislação e no Regulamento do Novo Mercado da B3.</w:t>
      </w:r>
    </w:p>
    <w:p>
      <w:pPr>
        <w:pStyle w:val="BodyText"/>
        <w:tabs>
          <w:tab w:pos="2053" w:val="left" w:leader="none"/>
          <w:tab w:pos="2925" w:val="left" w:leader="none"/>
          <w:tab w:pos="4538" w:val="left" w:leader="none"/>
        </w:tabs>
        <w:spacing w:line="321" w:lineRule="auto" w:before="119"/>
        <w:ind w:left="426" w:right="141"/>
        <w:jc w:val="both"/>
      </w:pPr>
      <w:r>
        <w:rPr>
          <w:color w:val="1B1B22"/>
        </w:rPr>
        <w:t>No</w:t>
      </w:r>
      <w:r>
        <w:rPr>
          <w:color w:val="1B1B22"/>
          <w:spacing w:val="-8"/>
        </w:rPr>
        <w:t> </w:t>
      </w:r>
      <w:r>
        <w:rPr>
          <w:color w:val="1B1B22"/>
        </w:rPr>
        <w:t>dia</w:t>
      </w:r>
      <w:r>
        <w:rPr>
          <w:color w:val="1B1B22"/>
          <w:spacing w:val="-9"/>
        </w:rPr>
        <w:t> </w:t>
      </w:r>
      <w:r>
        <w:rPr>
          <w:color w:val="1B1B22"/>
        </w:rPr>
        <w:t>30</w:t>
      </w:r>
      <w:r>
        <w:rPr>
          <w:color w:val="1B1B22"/>
          <w:spacing w:val="-7"/>
        </w:rPr>
        <w:t> </w:t>
      </w:r>
      <w:r>
        <w:rPr>
          <w:color w:val="1B1B22"/>
        </w:rPr>
        <w:t>de</w:t>
      </w:r>
      <w:r>
        <w:rPr>
          <w:color w:val="1B1B22"/>
          <w:spacing w:val="-8"/>
        </w:rPr>
        <w:t> </w:t>
      </w:r>
      <w:r>
        <w:rPr>
          <w:color w:val="1B1B22"/>
        </w:rPr>
        <w:t>abril,</w:t>
      </w:r>
      <w:r>
        <w:rPr>
          <w:color w:val="1B1B22"/>
          <w:spacing w:val="-7"/>
        </w:rPr>
        <w:t> </w:t>
      </w:r>
      <w:r>
        <w:rPr>
          <w:color w:val="1B1B22"/>
        </w:rPr>
        <w:t>foram</w:t>
      </w:r>
      <w:r>
        <w:rPr>
          <w:color w:val="1B1B22"/>
          <w:spacing w:val="-8"/>
        </w:rPr>
        <w:t> </w:t>
      </w:r>
      <w:r>
        <w:rPr>
          <w:color w:val="1B1B22"/>
        </w:rPr>
        <w:t>realizadas</w:t>
      </w:r>
      <w:r>
        <w:rPr>
          <w:color w:val="1B1B22"/>
          <w:spacing w:val="-7"/>
        </w:rPr>
        <w:t> </w:t>
      </w:r>
      <w:r>
        <w:rPr>
          <w:color w:val="1B1B22"/>
        </w:rPr>
        <w:t>as</w:t>
      </w:r>
      <w:r>
        <w:rPr>
          <w:color w:val="1B1B22"/>
          <w:spacing w:val="-9"/>
        </w:rPr>
        <w:t> </w:t>
      </w:r>
      <w:r>
        <w:rPr>
          <w:color w:val="1B1B22"/>
        </w:rPr>
        <w:t>Assembleias Gerais</w:t>
      </w:r>
      <w:r>
        <w:rPr>
          <w:color w:val="1B1B22"/>
          <w:spacing w:val="-8"/>
        </w:rPr>
        <w:t> </w:t>
      </w:r>
      <w:r>
        <w:rPr>
          <w:color w:val="1B1B22"/>
        </w:rPr>
        <w:t>Ordinária</w:t>
      </w:r>
      <w:r>
        <w:rPr>
          <w:color w:val="1B1B22"/>
          <w:spacing w:val="-10"/>
        </w:rPr>
        <w:t> </w:t>
      </w:r>
      <w:r>
        <w:rPr>
          <w:color w:val="1B1B22"/>
        </w:rPr>
        <w:t>e</w:t>
      </w:r>
      <w:r>
        <w:rPr>
          <w:color w:val="1B1B22"/>
          <w:spacing w:val="-9"/>
        </w:rPr>
        <w:t> </w:t>
      </w:r>
      <w:r>
        <w:rPr>
          <w:color w:val="1B1B22"/>
        </w:rPr>
        <w:t>Extraordinária</w:t>
      </w:r>
      <w:r>
        <w:rPr>
          <w:color w:val="1B1B22"/>
          <w:spacing w:val="-10"/>
        </w:rPr>
        <w:t> </w:t>
      </w:r>
      <w:r>
        <w:rPr>
          <w:color w:val="1B1B22"/>
        </w:rPr>
        <w:t>que</w:t>
      </w:r>
      <w:r>
        <w:rPr>
          <w:color w:val="1B1B22"/>
          <w:spacing w:val="-8"/>
        </w:rPr>
        <w:t> </w:t>
      </w:r>
      <w:r>
        <w:rPr>
          <w:color w:val="1B1B22"/>
        </w:rPr>
        <w:t>aprovaram</w:t>
      </w:r>
      <w:r>
        <w:rPr>
          <w:color w:val="1B1B22"/>
          <w:spacing w:val="-9"/>
        </w:rPr>
        <w:t> </w:t>
      </w:r>
      <w:r>
        <w:rPr>
          <w:color w:val="1B1B22"/>
        </w:rPr>
        <w:t>as contas dos Administradores e as Demonstrações Financeiras relativas ao ano de 2024, bem como a destinação do lucro líquido e a respectiva </w:t>
      </w:r>
      <w:r>
        <w:rPr>
          <w:color w:val="1B1B22"/>
          <w:spacing w:val="-2"/>
        </w:rPr>
        <w:t>distribuição</w:t>
      </w:r>
      <w:r>
        <w:rPr>
          <w:color w:val="1B1B22"/>
        </w:rPr>
        <w:tab/>
      </w:r>
      <w:r>
        <w:rPr>
          <w:color w:val="1B1B22"/>
          <w:spacing w:val="-4"/>
        </w:rPr>
        <w:t>dos</w:t>
      </w:r>
      <w:r>
        <w:rPr>
          <w:color w:val="1B1B22"/>
        </w:rPr>
        <w:tab/>
      </w:r>
      <w:r>
        <w:rPr>
          <w:color w:val="1B1B22"/>
          <w:spacing w:val="-2"/>
        </w:rPr>
        <w:t>dividendos;</w:t>
      </w:r>
      <w:r>
        <w:rPr>
          <w:color w:val="1B1B22"/>
        </w:rPr>
        <w:tab/>
      </w:r>
      <w:r>
        <w:rPr>
          <w:color w:val="1B1B22"/>
          <w:spacing w:val="-2"/>
        </w:rPr>
        <w:t>elegeu </w:t>
      </w:r>
      <w:r>
        <w:rPr>
          <w:color w:val="1B1B22"/>
        </w:rPr>
        <w:t>administradores e fixou o montante global anual para a remuneração dos Administradores, dos Conselhos</w:t>
      </w:r>
      <w:r>
        <w:rPr>
          <w:color w:val="1B1B22"/>
          <w:spacing w:val="-2"/>
        </w:rPr>
        <w:t> </w:t>
      </w:r>
      <w:r>
        <w:rPr>
          <w:color w:val="1B1B22"/>
        </w:rPr>
        <w:t>e</w:t>
      </w:r>
      <w:r>
        <w:rPr>
          <w:color w:val="1B1B22"/>
          <w:spacing w:val="-3"/>
        </w:rPr>
        <w:t> </w:t>
      </w:r>
      <w:r>
        <w:rPr>
          <w:color w:val="1B1B22"/>
        </w:rPr>
        <w:t>Comitês.</w:t>
      </w:r>
      <w:r>
        <w:rPr>
          <w:color w:val="1B1B22"/>
          <w:spacing w:val="-7"/>
        </w:rPr>
        <w:t> </w:t>
      </w:r>
      <w:r>
        <w:rPr>
          <w:color w:val="1B1B22"/>
        </w:rPr>
        <w:t>Além</w:t>
      </w:r>
      <w:r>
        <w:rPr>
          <w:color w:val="1B1B22"/>
          <w:spacing w:val="-4"/>
        </w:rPr>
        <w:t> </w:t>
      </w:r>
      <w:r>
        <w:rPr>
          <w:color w:val="1B1B22"/>
        </w:rPr>
        <w:t>disso,</w:t>
      </w:r>
      <w:r>
        <w:rPr>
          <w:color w:val="1B1B22"/>
          <w:spacing w:val="40"/>
        </w:rPr>
        <w:t> </w:t>
      </w:r>
      <w:r>
        <w:rPr>
          <w:color w:val="1B1B22"/>
        </w:rPr>
        <w:t>aprovou</w:t>
      </w:r>
      <w:r>
        <w:rPr>
          <w:color w:val="1B1B22"/>
          <w:spacing w:val="-3"/>
        </w:rPr>
        <w:t> </w:t>
      </w:r>
      <w:r>
        <w:rPr>
          <w:color w:val="1B1B22"/>
        </w:rPr>
        <w:t>revisão do Estatuto Social.</w:t>
      </w:r>
    </w:p>
    <w:p>
      <w:pPr>
        <w:pStyle w:val="BodyText"/>
        <w:spacing w:line="321" w:lineRule="auto" w:before="112"/>
        <w:ind w:left="426" w:right="139"/>
        <w:jc w:val="both"/>
      </w:pPr>
      <w:r>
        <w:rPr>
          <w:color w:val="1B1B22"/>
        </w:rPr>
        <w:t>Ainda</w:t>
      </w:r>
      <w:r>
        <w:rPr>
          <w:color w:val="1B1B22"/>
          <w:spacing w:val="-9"/>
        </w:rPr>
        <w:t> </w:t>
      </w:r>
      <w:r>
        <w:rPr>
          <w:color w:val="1B1B22"/>
        </w:rPr>
        <w:t>no</w:t>
      </w:r>
      <w:r>
        <w:rPr>
          <w:color w:val="1B1B22"/>
          <w:spacing w:val="-8"/>
        </w:rPr>
        <w:t> </w:t>
      </w:r>
      <w:r>
        <w:rPr>
          <w:color w:val="1B1B22"/>
        </w:rPr>
        <w:t>2T25,</w:t>
      </w:r>
      <w:r>
        <w:rPr>
          <w:color w:val="1B1B22"/>
          <w:spacing w:val="-8"/>
        </w:rPr>
        <w:t> </w:t>
      </w:r>
      <w:r>
        <w:rPr>
          <w:color w:val="1B1B22"/>
        </w:rPr>
        <w:t>elaboramos</w:t>
      </w:r>
      <w:r>
        <w:rPr>
          <w:color w:val="1B1B22"/>
          <w:spacing w:val="-7"/>
        </w:rPr>
        <w:t> </w:t>
      </w:r>
      <w:r>
        <w:rPr>
          <w:color w:val="1B1B22"/>
        </w:rPr>
        <w:t>uma</w:t>
      </w:r>
      <w:r>
        <w:rPr>
          <w:color w:val="1B1B22"/>
          <w:spacing w:val="-7"/>
        </w:rPr>
        <w:t> </w:t>
      </w:r>
      <w:r>
        <w:rPr>
          <w:color w:val="1B1B22"/>
        </w:rPr>
        <w:t>ampla</w:t>
      </w:r>
      <w:r>
        <w:rPr>
          <w:color w:val="1B1B22"/>
          <w:spacing w:val="-9"/>
        </w:rPr>
        <w:t> </w:t>
      </w:r>
      <w:r>
        <w:rPr>
          <w:color w:val="1B1B22"/>
        </w:rPr>
        <w:t>atualização dos Regimentos Internos dos órgãos da administração (CA, CD e</w:t>
      </w:r>
      <w:r>
        <w:rPr>
          <w:color w:val="1B1B22"/>
          <w:spacing w:val="-2"/>
        </w:rPr>
        <w:t> </w:t>
      </w:r>
      <w:r>
        <w:rPr>
          <w:color w:val="1B1B22"/>
        </w:rPr>
        <w:t>Diretoria</w:t>
      </w:r>
      <w:r>
        <w:rPr>
          <w:color w:val="1B1B22"/>
          <w:spacing w:val="-1"/>
        </w:rPr>
        <w:t> </w:t>
      </w:r>
      <w:r>
        <w:rPr>
          <w:color w:val="1B1B22"/>
        </w:rPr>
        <w:t>Executiva) e dos comitês de assessoramento ao CA, objetivando o contínuo alinhamento às melhores práticas de governança corporativa e às normas aplicáveis.</w:t>
      </w:r>
    </w:p>
    <w:p>
      <w:pPr>
        <w:pStyle w:val="BodyText"/>
        <w:spacing w:line="321" w:lineRule="auto" w:before="118"/>
        <w:ind w:left="427" w:right="139"/>
        <w:jc w:val="both"/>
      </w:pPr>
      <w:r>
        <w:rPr>
          <w:color w:val="1B1B22"/>
        </w:rPr>
        <w:t>Por fim, no 2T25, o CA aprovou a Carta Anual de Políticas Públicas e Governança Corporativa, unificada</w:t>
      </w:r>
      <w:r>
        <w:rPr>
          <w:color w:val="1B1B22"/>
          <w:spacing w:val="-9"/>
        </w:rPr>
        <w:t> </w:t>
      </w:r>
      <w:r>
        <w:rPr>
          <w:color w:val="1B1B22"/>
        </w:rPr>
        <w:t>para</w:t>
      </w:r>
      <w:r>
        <w:rPr>
          <w:color w:val="1B1B22"/>
          <w:spacing w:val="-9"/>
        </w:rPr>
        <w:t> </w:t>
      </w:r>
      <w:r>
        <w:rPr>
          <w:color w:val="1B1B22"/>
        </w:rPr>
        <w:t>o</w:t>
      </w:r>
      <w:r>
        <w:rPr>
          <w:color w:val="1B1B22"/>
          <w:spacing w:val="-8"/>
        </w:rPr>
        <w:t> </w:t>
      </w:r>
      <w:r>
        <w:rPr>
          <w:color w:val="1B1B22"/>
        </w:rPr>
        <w:t>Conglomerado</w:t>
      </w:r>
      <w:r>
        <w:rPr>
          <w:color w:val="1B1B22"/>
          <w:spacing w:val="-8"/>
        </w:rPr>
        <w:t> </w:t>
      </w:r>
      <w:r>
        <w:rPr>
          <w:color w:val="1B1B22"/>
        </w:rPr>
        <w:t>Prudencial</w:t>
      </w:r>
      <w:r>
        <w:rPr>
          <w:color w:val="1B1B22"/>
          <w:spacing w:val="-8"/>
        </w:rPr>
        <w:t> </w:t>
      </w:r>
      <w:r>
        <w:rPr>
          <w:color w:val="1B1B22"/>
        </w:rPr>
        <w:t>(CPBB), contemplando as Entidades Ligadas sediadas no Brasil,</w:t>
      </w:r>
      <w:r>
        <w:rPr>
          <w:color w:val="1B1B22"/>
          <w:spacing w:val="-11"/>
        </w:rPr>
        <w:t> </w:t>
      </w:r>
      <w:r>
        <w:rPr>
          <w:color w:val="1B1B22"/>
        </w:rPr>
        <w:t>que</w:t>
      </w:r>
      <w:r>
        <w:rPr>
          <w:color w:val="1B1B22"/>
          <w:spacing w:val="-12"/>
        </w:rPr>
        <w:t> </w:t>
      </w:r>
      <w:r>
        <w:rPr>
          <w:color w:val="1B1B22"/>
        </w:rPr>
        <w:t>compõem</w:t>
      </w:r>
      <w:r>
        <w:rPr>
          <w:color w:val="1B1B22"/>
          <w:spacing w:val="-12"/>
        </w:rPr>
        <w:t> </w:t>
      </w:r>
      <w:r>
        <w:rPr>
          <w:color w:val="1B1B22"/>
        </w:rPr>
        <w:t>o</w:t>
      </w:r>
      <w:r>
        <w:rPr>
          <w:color w:val="1B1B22"/>
          <w:spacing w:val="-11"/>
        </w:rPr>
        <w:t> </w:t>
      </w:r>
      <w:r>
        <w:rPr>
          <w:color w:val="1B1B22"/>
        </w:rPr>
        <w:t>CPBB,</w:t>
      </w:r>
      <w:r>
        <w:rPr>
          <w:color w:val="1B1B22"/>
          <w:spacing w:val="-11"/>
        </w:rPr>
        <w:t> </w:t>
      </w:r>
      <w:r>
        <w:rPr>
          <w:color w:val="1B1B22"/>
        </w:rPr>
        <w:t>e</w:t>
      </w:r>
      <w:r>
        <w:rPr>
          <w:color w:val="1B1B22"/>
          <w:spacing w:val="-12"/>
        </w:rPr>
        <w:t> </w:t>
      </w:r>
      <w:r>
        <w:rPr>
          <w:color w:val="1B1B22"/>
        </w:rPr>
        <w:t>que</w:t>
      </w:r>
      <w:r>
        <w:rPr>
          <w:color w:val="1B1B22"/>
          <w:spacing w:val="-12"/>
        </w:rPr>
        <w:t> </w:t>
      </w:r>
      <w:r>
        <w:rPr>
          <w:color w:val="1B1B22"/>
        </w:rPr>
        <w:t>manifestaram</w:t>
      </w:r>
      <w:r>
        <w:rPr>
          <w:color w:val="1B1B22"/>
          <w:spacing w:val="-12"/>
        </w:rPr>
        <w:t> </w:t>
      </w:r>
      <w:r>
        <w:rPr>
          <w:color w:val="1B1B22"/>
        </w:rPr>
        <w:t>a adesão à Carta Anual unificada. Os documentos acima referenciados estão disponíveis no site </w:t>
      </w:r>
      <w:hyperlink r:id="rId10">
        <w:r>
          <w:rPr>
            <w:color w:val="0562C1"/>
            <w:u w:val="single" w:color="0562C1"/>
          </w:rPr>
          <w:t>https://ri.bb.com.br/</w:t>
        </w:r>
      </w:hyperlink>
      <w:r>
        <w:rPr>
          <w:color w:val="0562C1"/>
          <w:u w:val="none"/>
        </w:rPr>
        <w:t> </w:t>
      </w:r>
      <w:r>
        <w:rPr>
          <w:color w:val="1B1B22"/>
          <w:u w:val="none"/>
        </w:rPr>
        <w:t>&gt; aba Governança e </w:t>
      </w:r>
      <w:r>
        <w:rPr>
          <w:color w:val="1B1B22"/>
          <w:spacing w:val="-2"/>
          <w:u w:val="none"/>
        </w:rPr>
        <w:t>Sustentabilidade.</w:t>
      </w:r>
    </w:p>
    <w:p>
      <w:pPr>
        <w:pStyle w:val="BodyText"/>
        <w:spacing w:after="0" w:line="321" w:lineRule="auto"/>
        <w:jc w:val="both"/>
        <w:sectPr>
          <w:type w:val="continuous"/>
          <w:pgSz w:w="11910" w:h="16850"/>
          <w:pgMar w:header="152" w:footer="572" w:top="1920" w:bottom="280" w:left="425" w:right="708"/>
          <w:cols w:num="2" w:equalWidth="0">
            <w:col w:w="5216" w:space="239"/>
            <w:col w:w="5322"/>
          </w:cols>
        </w:sectPr>
      </w:pPr>
    </w:p>
    <w:p>
      <w:pPr>
        <w:pStyle w:val="BodyText"/>
        <w:rPr>
          <w:sz w:val="44"/>
        </w:rPr>
      </w:pPr>
    </w:p>
    <w:p>
      <w:pPr>
        <w:pStyle w:val="BodyText"/>
        <w:spacing w:before="239"/>
        <w:rPr>
          <w:sz w:val="44"/>
        </w:rPr>
      </w:pPr>
    </w:p>
    <w:p>
      <w:pPr>
        <w:pStyle w:val="Heading1"/>
        <w:spacing w:before="1"/>
      </w:pPr>
      <w:r>
        <w:rPr>
          <w:color w:val="465EFF"/>
          <w:spacing w:val="29"/>
        </w:rPr>
        <w:t>Tecnologia</w:t>
      </w:r>
      <w:r>
        <w:rPr>
          <w:color w:val="465EFF"/>
          <w:spacing w:val="68"/>
        </w:rPr>
        <w:t> </w:t>
      </w:r>
      <w:r>
        <w:rPr>
          <w:color w:val="465EFF"/>
          <w:spacing w:val="27"/>
        </w:rPr>
        <w:t>que</w:t>
      </w:r>
      <w:r>
        <w:rPr>
          <w:color w:val="465EFF"/>
          <w:spacing w:val="42"/>
        </w:rPr>
        <w:t> </w:t>
      </w:r>
      <w:r>
        <w:rPr>
          <w:color w:val="465EFF"/>
          <w:spacing w:val="28"/>
        </w:rPr>
        <w:t>Transforma</w:t>
      </w:r>
    </w:p>
    <w:p>
      <w:pPr>
        <w:pStyle w:val="BodyText"/>
        <w:spacing w:before="2"/>
        <w:rPr>
          <w:rFonts w:ascii="BancoDoBrasil Titulos"/>
        </w:rPr>
      </w:pPr>
    </w:p>
    <w:p>
      <w:pPr>
        <w:pStyle w:val="BodyText"/>
        <w:spacing w:after="0"/>
        <w:rPr>
          <w:rFonts w:ascii="BancoDoBrasil Titulos"/>
        </w:rPr>
        <w:sectPr>
          <w:pgSz w:w="11910" w:h="16850"/>
          <w:pgMar w:header="152" w:footer="572" w:top="900" w:bottom="780" w:left="425" w:right="708"/>
        </w:sectPr>
      </w:pPr>
    </w:p>
    <w:p>
      <w:pPr>
        <w:pStyle w:val="BodyText"/>
        <w:spacing w:line="321" w:lineRule="auto" w:before="78"/>
        <w:ind w:left="427" w:right="39"/>
        <w:jc w:val="both"/>
      </w:pPr>
      <w:r>
        <w:rPr>
          <w:color w:val="1B1B22"/>
        </w:rPr>
        <w:t>A nossa Estratégia Digital é focada na transformação digital e cultural, com inovações </w:t>
      </w:r>
      <w:r>
        <w:rPr>
          <w:color w:val="1B1B22"/>
          <w:spacing w:val="-2"/>
        </w:rPr>
        <w:t>constantes,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tecnologia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de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ponta,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novos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modelos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de negócio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e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maior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agilidade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para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encantar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os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clientes.</w:t>
      </w:r>
    </w:p>
    <w:p>
      <w:pPr>
        <w:pStyle w:val="BodyText"/>
        <w:spacing w:line="321" w:lineRule="auto" w:before="116"/>
        <w:ind w:left="427" w:right="38"/>
        <w:jc w:val="both"/>
      </w:pPr>
      <w:r>
        <w:rPr>
          <w:color w:val="1B1B22"/>
        </w:rPr>
        <w:t>A</w:t>
      </w:r>
      <w:r>
        <w:rPr>
          <w:color w:val="1B1B22"/>
          <w:spacing w:val="-1"/>
        </w:rPr>
        <w:t> </w:t>
      </w:r>
      <w:r>
        <w:rPr>
          <w:color w:val="1B1B22"/>
        </w:rPr>
        <w:t>aplicação estratégica de inteligência analítica de dados e Inteligência Artificial (IA) tem gerado resultados expressivos: aumento da eficiência operacional, impulsão de negócios e experiências personalizadas.</w:t>
      </w:r>
      <w:r>
        <w:rPr>
          <w:color w:val="1B1B22"/>
          <w:spacing w:val="-13"/>
        </w:rPr>
        <w:t> </w:t>
      </w:r>
      <w:r>
        <w:rPr>
          <w:color w:val="1B1B22"/>
        </w:rPr>
        <w:t>Um</w:t>
      </w:r>
      <w:r>
        <w:rPr>
          <w:color w:val="1B1B22"/>
          <w:spacing w:val="-12"/>
        </w:rPr>
        <w:t> </w:t>
      </w:r>
      <w:r>
        <w:rPr>
          <w:color w:val="1B1B22"/>
        </w:rPr>
        <w:t>exemplo</w:t>
      </w:r>
      <w:r>
        <w:rPr>
          <w:color w:val="1B1B22"/>
          <w:spacing w:val="-13"/>
        </w:rPr>
        <w:t> </w:t>
      </w:r>
      <w:r>
        <w:rPr>
          <w:color w:val="1B1B22"/>
        </w:rPr>
        <w:t>é</w:t>
      </w:r>
      <w:r>
        <w:rPr>
          <w:color w:val="1B1B22"/>
          <w:spacing w:val="-12"/>
        </w:rPr>
        <w:t> </w:t>
      </w:r>
      <w:r>
        <w:rPr>
          <w:color w:val="1B1B22"/>
        </w:rPr>
        <w:t>a</w:t>
      </w:r>
      <w:r>
        <w:rPr>
          <w:color w:val="1B1B22"/>
          <w:spacing w:val="-12"/>
        </w:rPr>
        <w:t> </w:t>
      </w:r>
      <w:r>
        <w:rPr>
          <w:color w:val="1B1B22"/>
        </w:rPr>
        <w:t>solução</w:t>
      </w:r>
      <w:r>
        <w:rPr>
          <w:color w:val="1B1B22"/>
          <w:spacing w:val="-13"/>
        </w:rPr>
        <w:t> </w:t>
      </w:r>
      <w:r>
        <w:rPr>
          <w:color w:val="1B1B22"/>
        </w:rPr>
        <w:t>“Potencial Crédito</w:t>
      </w:r>
      <w:r>
        <w:rPr>
          <w:color w:val="1B1B22"/>
          <w:spacing w:val="-13"/>
        </w:rPr>
        <w:t> </w:t>
      </w:r>
      <w:r>
        <w:rPr>
          <w:color w:val="1B1B22"/>
        </w:rPr>
        <w:t>Carbono</w:t>
      </w:r>
      <w:r>
        <w:rPr>
          <w:color w:val="1B1B22"/>
          <w:spacing w:val="-12"/>
        </w:rPr>
        <w:t> </w:t>
      </w:r>
      <w:r>
        <w:rPr>
          <w:color w:val="1B1B22"/>
        </w:rPr>
        <w:t>–</w:t>
      </w:r>
      <w:r>
        <w:rPr>
          <w:color w:val="1B1B22"/>
          <w:spacing w:val="-13"/>
        </w:rPr>
        <w:t> </w:t>
      </w:r>
      <w:r>
        <w:rPr>
          <w:color w:val="1B1B22"/>
        </w:rPr>
        <w:t>Agricultura</w:t>
      </w:r>
      <w:r>
        <w:rPr>
          <w:color w:val="1B1B22"/>
          <w:spacing w:val="-12"/>
        </w:rPr>
        <w:t> </w:t>
      </w:r>
      <w:r>
        <w:rPr>
          <w:color w:val="1B1B22"/>
        </w:rPr>
        <w:t>Baixo</w:t>
      </w:r>
      <w:r>
        <w:rPr>
          <w:color w:val="1B1B22"/>
          <w:spacing w:val="-12"/>
        </w:rPr>
        <w:t> </w:t>
      </w:r>
      <w:r>
        <w:rPr>
          <w:color w:val="1B1B22"/>
        </w:rPr>
        <w:t>Carbono”,</w:t>
      </w:r>
      <w:r>
        <w:rPr>
          <w:color w:val="1B1B22"/>
          <w:spacing w:val="-13"/>
        </w:rPr>
        <w:t> </w:t>
      </w:r>
      <w:r>
        <w:rPr>
          <w:color w:val="1B1B22"/>
        </w:rPr>
        <w:t>que identifica propriedades com maior retenção de Gases de Efeito Estufa. Reconhecida pelo Prêmio MapBiomas em julho/25, a solução gera cinco índices estatísticos que otimizam a prospecção de </w:t>
      </w:r>
      <w:r>
        <w:rPr>
          <w:color w:val="1B1B22"/>
          <w:spacing w:val="-2"/>
        </w:rPr>
        <w:t>clientes.</w:t>
      </w:r>
    </w:p>
    <w:p>
      <w:pPr>
        <w:pStyle w:val="BodyText"/>
        <w:spacing w:line="321" w:lineRule="auto" w:before="114"/>
        <w:ind w:left="427" w:right="39"/>
        <w:jc w:val="both"/>
      </w:pPr>
      <w:r>
        <w:rPr>
          <w:color w:val="1B1B22"/>
        </w:rPr>
        <w:t>A IA também está presente nas ofertas de investimentos personalizadas, alinhadas ao perfil suitability do cliente, com mais de R$ 260 milhões </w:t>
      </w:r>
      <w:r>
        <w:rPr>
          <w:color w:val="1B1B22"/>
          <w:spacing w:val="-2"/>
        </w:rPr>
        <w:t>contratados.</w:t>
      </w:r>
    </w:p>
    <w:p>
      <w:pPr>
        <w:pStyle w:val="BodyText"/>
        <w:spacing w:line="321" w:lineRule="auto" w:before="116"/>
        <w:ind w:left="427" w:right="38"/>
        <w:jc w:val="both"/>
      </w:pPr>
      <w:r>
        <w:rPr>
          <w:color w:val="1B1B22"/>
        </w:rPr>
        <w:t>No campo dos pagamentos, o BB Pay permite receber por aproximação diretamente no App BB, com a função Tap on Phone, transformando o celular em uma maquininha. No acumulado do semestre,</w:t>
      </w:r>
      <w:r>
        <w:rPr>
          <w:color w:val="1B1B22"/>
          <w:spacing w:val="-13"/>
        </w:rPr>
        <w:t> </w:t>
      </w:r>
      <w:r>
        <w:rPr>
          <w:color w:val="1B1B22"/>
        </w:rPr>
        <w:t>a</w:t>
      </w:r>
      <w:r>
        <w:rPr>
          <w:color w:val="1B1B22"/>
          <w:spacing w:val="-12"/>
        </w:rPr>
        <w:t> </w:t>
      </w:r>
      <w:r>
        <w:rPr>
          <w:color w:val="1B1B22"/>
        </w:rPr>
        <w:t>solução</w:t>
      </w:r>
      <w:r>
        <w:rPr>
          <w:color w:val="1B1B22"/>
          <w:spacing w:val="-13"/>
        </w:rPr>
        <w:t> </w:t>
      </w:r>
      <w:r>
        <w:rPr>
          <w:color w:val="1B1B22"/>
        </w:rPr>
        <w:t>movimentou</w:t>
      </w:r>
      <w:r>
        <w:rPr>
          <w:color w:val="1B1B22"/>
          <w:spacing w:val="-12"/>
        </w:rPr>
        <w:t> </w:t>
      </w:r>
      <w:r>
        <w:rPr>
          <w:color w:val="1B1B22"/>
        </w:rPr>
        <w:t>R$</w:t>
      </w:r>
      <w:r>
        <w:rPr>
          <w:color w:val="1B1B22"/>
          <w:spacing w:val="-12"/>
        </w:rPr>
        <w:t> </w:t>
      </w:r>
      <w:r>
        <w:rPr>
          <w:color w:val="1B1B22"/>
        </w:rPr>
        <w:t>7,8</w:t>
      </w:r>
      <w:r>
        <w:rPr>
          <w:color w:val="1B1B22"/>
          <w:spacing w:val="-13"/>
        </w:rPr>
        <w:t> </w:t>
      </w:r>
      <w:r>
        <w:rPr>
          <w:color w:val="1B1B22"/>
        </w:rPr>
        <w:t>bilhões</w:t>
      </w:r>
      <w:r>
        <w:rPr>
          <w:color w:val="1B1B22"/>
          <w:spacing w:val="-12"/>
        </w:rPr>
        <w:t> </w:t>
      </w:r>
      <w:r>
        <w:rPr>
          <w:color w:val="1B1B22"/>
        </w:rPr>
        <w:t>em 8,9 milhões de pagamentos, evidenciando a crescente adesão.</w:t>
      </w:r>
    </w:p>
    <w:p>
      <w:pPr>
        <w:pStyle w:val="BodyText"/>
        <w:spacing w:line="321" w:lineRule="auto" w:before="117"/>
        <w:ind w:left="426" w:right="41"/>
        <w:jc w:val="both"/>
      </w:pPr>
      <w:r>
        <w:rPr>
          <w:color w:val="1B1B22"/>
        </w:rPr>
        <w:t>Inovamos</w:t>
      </w:r>
      <w:r>
        <w:rPr>
          <w:color w:val="1B1B22"/>
          <w:spacing w:val="-6"/>
        </w:rPr>
        <w:t> </w:t>
      </w:r>
      <w:r>
        <w:rPr>
          <w:color w:val="1B1B22"/>
        </w:rPr>
        <w:t>também</w:t>
      </w:r>
      <w:r>
        <w:rPr>
          <w:color w:val="1B1B22"/>
          <w:spacing w:val="-5"/>
        </w:rPr>
        <w:t> </w:t>
      </w:r>
      <w:r>
        <w:rPr>
          <w:color w:val="1B1B22"/>
        </w:rPr>
        <w:t>lançando</w:t>
      </w:r>
      <w:r>
        <w:rPr>
          <w:color w:val="1B1B22"/>
          <w:spacing w:val="-7"/>
        </w:rPr>
        <w:t> </w:t>
      </w:r>
      <w:r>
        <w:rPr>
          <w:color w:val="1B1B22"/>
        </w:rPr>
        <w:t>a</w:t>
      </w:r>
      <w:r>
        <w:rPr>
          <w:color w:val="1B1B22"/>
          <w:spacing w:val="-8"/>
        </w:rPr>
        <w:t> </w:t>
      </w:r>
      <w:r>
        <w:rPr>
          <w:color w:val="1B1B22"/>
        </w:rPr>
        <w:t>nossa</w:t>
      </w:r>
      <w:r>
        <w:rPr>
          <w:color w:val="1B1B22"/>
          <w:spacing w:val="-8"/>
        </w:rPr>
        <w:t> </w:t>
      </w:r>
      <w:r>
        <w:rPr>
          <w:color w:val="1B1B22"/>
        </w:rPr>
        <w:t>marca</w:t>
      </w:r>
      <w:r>
        <w:rPr>
          <w:color w:val="1B1B22"/>
          <w:spacing w:val="-8"/>
        </w:rPr>
        <w:t> </w:t>
      </w:r>
      <w:r>
        <w:rPr>
          <w:color w:val="1B1B22"/>
        </w:rPr>
        <w:t>própria de</w:t>
      </w:r>
      <w:r>
        <w:rPr>
          <w:color w:val="1B1B22"/>
          <w:spacing w:val="-13"/>
        </w:rPr>
        <w:t> </w:t>
      </w:r>
      <w:r>
        <w:rPr>
          <w:color w:val="1B1B22"/>
        </w:rPr>
        <w:t>Banco</w:t>
      </w:r>
      <w:r>
        <w:rPr>
          <w:color w:val="1B1B22"/>
          <w:spacing w:val="-12"/>
        </w:rPr>
        <w:t> </w:t>
      </w:r>
      <w:r>
        <w:rPr>
          <w:color w:val="1B1B22"/>
        </w:rPr>
        <w:t>como</w:t>
      </w:r>
      <w:r>
        <w:rPr>
          <w:color w:val="1B1B22"/>
          <w:spacing w:val="-13"/>
        </w:rPr>
        <w:t> </w:t>
      </w:r>
      <w:r>
        <w:rPr>
          <w:color w:val="1B1B22"/>
        </w:rPr>
        <w:t>Serviço</w:t>
      </w:r>
      <w:r>
        <w:rPr>
          <w:color w:val="1B1B22"/>
          <w:spacing w:val="-12"/>
        </w:rPr>
        <w:t> </w:t>
      </w:r>
      <w:r>
        <w:rPr>
          <w:color w:val="1B1B22"/>
        </w:rPr>
        <w:t>(BBaaS),</w:t>
      </w:r>
      <w:r>
        <w:rPr>
          <w:color w:val="1B1B22"/>
          <w:spacing w:val="-12"/>
        </w:rPr>
        <w:t> </w:t>
      </w:r>
      <w:r>
        <w:rPr>
          <w:color w:val="1B1B22"/>
        </w:rPr>
        <w:t>o</w:t>
      </w:r>
      <w:r>
        <w:rPr>
          <w:color w:val="1B1B22"/>
          <w:spacing w:val="-13"/>
        </w:rPr>
        <w:t> </w:t>
      </w:r>
      <w:r>
        <w:rPr>
          <w:color w:val="1B1B22"/>
        </w:rPr>
        <w:t>BB</w:t>
      </w:r>
      <w:r>
        <w:rPr>
          <w:color w:val="1B1B22"/>
          <w:spacing w:val="-12"/>
        </w:rPr>
        <w:t> </w:t>
      </w:r>
      <w:r>
        <w:rPr>
          <w:color w:val="1B1B22"/>
        </w:rPr>
        <w:t>como</w:t>
      </w:r>
      <w:r>
        <w:rPr>
          <w:color w:val="1B1B22"/>
          <w:spacing w:val="-12"/>
        </w:rPr>
        <w:t> </w:t>
      </w:r>
      <w:r>
        <w:rPr>
          <w:color w:val="1B1B22"/>
        </w:rPr>
        <w:t>Serviço, com</w:t>
      </w:r>
      <w:r>
        <w:rPr>
          <w:color w:val="1B1B22"/>
          <w:spacing w:val="-4"/>
        </w:rPr>
        <w:t> </w:t>
      </w:r>
      <w:r>
        <w:rPr>
          <w:color w:val="1B1B22"/>
        </w:rPr>
        <w:t>mais</w:t>
      </w:r>
      <w:r>
        <w:rPr>
          <w:color w:val="1B1B22"/>
          <w:spacing w:val="-3"/>
        </w:rPr>
        <w:t> </w:t>
      </w:r>
      <w:r>
        <w:rPr>
          <w:color w:val="1B1B22"/>
        </w:rPr>
        <w:t>de</w:t>
      </w:r>
      <w:r>
        <w:rPr>
          <w:color w:val="1B1B22"/>
          <w:spacing w:val="-2"/>
        </w:rPr>
        <w:t> </w:t>
      </w:r>
      <w:r>
        <w:rPr>
          <w:color w:val="1B1B22"/>
        </w:rPr>
        <w:t>30</w:t>
      </w:r>
      <w:r>
        <w:rPr>
          <w:color w:val="1B1B22"/>
          <w:spacing w:val="-3"/>
        </w:rPr>
        <w:t> </w:t>
      </w:r>
      <w:r>
        <w:rPr>
          <w:color w:val="1B1B22"/>
        </w:rPr>
        <w:t>soluções</w:t>
      </w:r>
      <w:r>
        <w:rPr>
          <w:color w:val="1B1B22"/>
          <w:spacing w:val="-3"/>
        </w:rPr>
        <w:t> </w:t>
      </w:r>
      <w:r>
        <w:rPr>
          <w:color w:val="1B1B22"/>
        </w:rPr>
        <w:t>em</w:t>
      </w:r>
      <w:r>
        <w:rPr>
          <w:color w:val="1B1B22"/>
          <w:spacing w:val="-4"/>
        </w:rPr>
        <w:t> </w:t>
      </w:r>
      <w:r>
        <w:rPr>
          <w:color w:val="1B1B22"/>
        </w:rPr>
        <w:t>pagamentos,</w:t>
      </w:r>
      <w:r>
        <w:rPr>
          <w:color w:val="1B1B22"/>
          <w:spacing w:val="-4"/>
        </w:rPr>
        <w:t> </w:t>
      </w:r>
      <w:r>
        <w:rPr>
          <w:color w:val="1B1B22"/>
        </w:rPr>
        <w:t>crédito, seguros e consultas.</w:t>
      </w:r>
    </w:p>
    <w:p>
      <w:pPr>
        <w:pStyle w:val="BodyText"/>
        <w:spacing w:before="117"/>
        <w:ind w:left="426"/>
        <w:jc w:val="both"/>
      </w:pPr>
      <w:r>
        <w:rPr>
          <w:color w:val="1B1B22"/>
        </w:rPr>
        <w:t>Viabilizamos</w:t>
      </w:r>
      <w:r>
        <w:rPr>
          <w:color w:val="1B1B22"/>
          <w:spacing w:val="18"/>
        </w:rPr>
        <w:t> </w:t>
      </w:r>
      <w:r>
        <w:rPr>
          <w:color w:val="1B1B22"/>
        </w:rPr>
        <w:t>negócios</w:t>
      </w:r>
      <w:r>
        <w:rPr>
          <w:color w:val="1B1B22"/>
          <w:spacing w:val="19"/>
        </w:rPr>
        <w:t> </w:t>
      </w:r>
      <w:r>
        <w:rPr>
          <w:color w:val="1B1B22"/>
        </w:rPr>
        <w:t>e</w:t>
      </w:r>
      <w:r>
        <w:rPr>
          <w:color w:val="1B1B22"/>
          <w:spacing w:val="18"/>
        </w:rPr>
        <w:t> </w:t>
      </w:r>
      <w:r>
        <w:rPr>
          <w:color w:val="1B1B22"/>
        </w:rPr>
        <w:t>promovemos</w:t>
      </w:r>
      <w:r>
        <w:rPr>
          <w:color w:val="1B1B22"/>
          <w:spacing w:val="19"/>
        </w:rPr>
        <w:t> </w:t>
      </w:r>
      <w:r>
        <w:rPr>
          <w:color w:val="1B1B22"/>
        </w:rPr>
        <w:t>a</w:t>
      </w:r>
      <w:r>
        <w:rPr>
          <w:color w:val="1B1B22"/>
          <w:spacing w:val="16"/>
        </w:rPr>
        <w:t> </w:t>
      </w:r>
      <w:r>
        <w:rPr>
          <w:color w:val="1B1B22"/>
          <w:spacing w:val="-2"/>
        </w:rPr>
        <w:t>educação</w:t>
      </w:r>
    </w:p>
    <w:p>
      <w:pPr>
        <w:pStyle w:val="BodyText"/>
        <w:spacing w:before="86"/>
        <w:ind w:left="426"/>
        <w:jc w:val="both"/>
      </w:pPr>
      <w:r>
        <w:rPr>
          <w:color w:val="1B1B22"/>
        </w:rPr>
        <w:t>financeira.</w:t>
      </w:r>
      <w:r>
        <w:rPr>
          <w:color w:val="1B1B22"/>
          <w:spacing w:val="50"/>
        </w:rPr>
        <w:t>  </w:t>
      </w:r>
      <w:r>
        <w:rPr>
          <w:color w:val="1B1B22"/>
        </w:rPr>
        <w:t>No</w:t>
      </w:r>
      <w:r>
        <w:rPr>
          <w:color w:val="1B1B22"/>
          <w:spacing w:val="51"/>
        </w:rPr>
        <w:t>  </w:t>
      </w:r>
      <w:r>
        <w:rPr>
          <w:color w:val="1B1B22"/>
        </w:rPr>
        <w:t>Open</w:t>
      </w:r>
      <w:r>
        <w:rPr>
          <w:color w:val="1B1B22"/>
          <w:spacing w:val="53"/>
        </w:rPr>
        <w:t>  </w:t>
      </w:r>
      <w:r>
        <w:rPr>
          <w:color w:val="1B1B22"/>
        </w:rPr>
        <w:t>Finance,</w:t>
      </w:r>
      <w:r>
        <w:rPr>
          <w:color w:val="1B1B22"/>
          <w:spacing w:val="52"/>
        </w:rPr>
        <w:t>  </w:t>
      </w:r>
      <w:r>
        <w:rPr>
          <w:color w:val="1B1B22"/>
        </w:rPr>
        <w:t>por</w:t>
      </w:r>
      <w:r>
        <w:rPr>
          <w:color w:val="1B1B22"/>
          <w:spacing w:val="51"/>
        </w:rPr>
        <w:t>  </w:t>
      </w:r>
      <w:r>
        <w:rPr>
          <w:color w:val="1B1B22"/>
          <w:spacing w:val="-2"/>
        </w:rPr>
        <w:t>exemplo,</w:t>
      </w:r>
    </w:p>
    <w:p>
      <w:pPr>
        <w:pStyle w:val="BodyText"/>
        <w:spacing w:line="321" w:lineRule="auto" w:before="78"/>
        <w:ind w:left="427" w:right="141"/>
        <w:jc w:val="both"/>
      </w:pPr>
      <w:r>
        <w:rPr/>
        <w:br w:type="column"/>
      </w:r>
      <w:r>
        <w:rPr>
          <w:color w:val="1B1B22"/>
        </w:rPr>
        <w:t>atingimos três milhões de clientes com consentimento ativo, crescimento de 17% comparando</w:t>
      </w:r>
      <w:r>
        <w:rPr>
          <w:color w:val="1B1B22"/>
          <w:spacing w:val="40"/>
        </w:rPr>
        <w:t>  </w:t>
      </w:r>
      <w:r>
        <w:rPr>
          <w:color w:val="1B1B22"/>
        </w:rPr>
        <w:t>com</w:t>
      </w:r>
      <w:r>
        <w:rPr>
          <w:color w:val="1B1B22"/>
          <w:spacing w:val="80"/>
          <w:w w:val="150"/>
        </w:rPr>
        <w:t> </w:t>
      </w:r>
      <w:r>
        <w:rPr>
          <w:color w:val="1B1B22"/>
        </w:rPr>
        <w:t>o</w:t>
      </w:r>
      <w:r>
        <w:rPr>
          <w:color w:val="1B1B22"/>
          <w:spacing w:val="40"/>
        </w:rPr>
        <w:t>  </w:t>
      </w:r>
      <w:r>
        <w:rPr>
          <w:color w:val="1B1B22"/>
        </w:rPr>
        <w:t>1S24</w:t>
      </w:r>
      <w:r>
        <w:rPr>
          <w:color w:val="1B1B22"/>
          <w:spacing w:val="80"/>
          <w:w w:val="150"/>
        </w:rPr>
        <w:t> </w:t>
      </w:r>
      <w:r>
        <w:rPr>
          <w:color w:val="1B1B22"/>
        </w:rPr>
        <w:t>e</w:t>
      </w:r>
      <w:r>
        <w:rPr>
          <w:color w:val="1B1B22"/>
          <w:spacing w:val="40"/>
        </w:rPr>
        <w:t>  </w:t>
      </w:r>
      <w:r>
        <w:rPr>
          <w:color w:val="1B1B22"/>
        </w:rPr>
        <w:t>ultrapassamos</w:t>
      </w:r>
      <w:r>
        <w:rPr>
          <w:color w:val="1B1B22"/>
          <w:spacing w:val="40"/>
        </w:rPr>
        <w:t> </w:t>
      </w:r>
      <w:r>
        <w:rPr>
          <w:color w:val="1B1B22"/>
        </w:rPr>
        <w:t>R$ 2 bilhões em portabilidade de crédito, com 57 mil clientes transferindo suas operações ao BB.</w:t>
      </w:r>
    </w:p>
    <w:p>
      <w:pPr>
        <w:pStyle w:val="BodyText"/>
        <w:spacing w:line="321" w:lineRule="auto" w:before="116"/>
        <w:ind w:left="427" w:right="142"/>
        <w:jc w:val="both"/>
      </w:pPr>
      <w:r>
        <w:rPr>
          <w:color w:val="1B1B22"/>
        </w:rPr>
        <w:t>No</w:t>
      </w:r>
      <w:r>
        <w:rPr>
          <w:color w:val="1B1B22"/>
          <w:spacing w:val="-6"/>
        </w:rPr>
        <w:t> </w:t>
      </w:r>
      <w:r>
        <w:rPr>
          <w:color w:val="1B1B22"/>
        </w:rPr>
        <w:t>1S25,</w:t>
      </w:r>
      <w:r>
        <w:rPr>
          <w:color w:val="1B1B22"/>
          <w:spacing w:val="-6"/>
        </w:rPr>
        <w:t> </w:t>
      </w:r>
      <w:r>
        <w:rPr>
          <w:color w:val="1B1B22"/>
        </w:rPr>
        <w:t>realizamos</w:t>
      </w:r>
      <w:r>
        <w:rPr>
          <w:color w:val="1B1B22"/>
          <w:spacing w:val="-6"/>
        </w:rPr>
        <w:t> </w:t>
      </w:r>
      <w:r>
        <w:rPr>
          <w:color w:val="1B1B22"/>
        </w:rPr>
        <w:t>mais</w:t>
      </w:r>
      <w:r>
        <w:rPr>
          <w:color w:val="1B1B22"/>
          <w:spacing w:val="-6"/>
        </w:rPr>
        <w:t> </w:t>
      </w:r>
      <w:r>
        <w:rPr>
          <w:color w:val="1B1B22"/>
        </w:rPr>
        <w:t>de</w:t>
      </w:r>
      <w:r>
        <w:rPr>
          <w:color w:val="1B1B22"/>
          <w:spacing w:val="-6"/>
        </w:rPr>
        <w:t> </w:t>
      </w:r>
      <w:r>
        <w:rPr>
          <w:color w:val="1B1B22"/>
        </w:rPr>
        <w:t>920</w:t>
      </w:r>
      <w:r>
        <w:rPr>
          <w:color w:val="1B1B22"/>
          <w:spacing w:val="-6"/>
        </w:rPr>
        <w:t> </w:t>
      </w:r>
      <w:r>
        <w:rPr>
          <w:color w:val="1B1B22"/>
        </w:rPr>
        <w:t>mil</w:t>
      </w:r>
      <w:r>
        <w:rPr>
          <w:color w:val="1B1B22"/>
          <w:spacing w:val="-6"/>
        </w:rPr>
        <w:t> </w:t>
      </w:r>
      <w:r>
        <w:rPr>
          <w:color w:val="1B1B22"/>
        </w:rPr>
        <w:t>atendimentos na central Minha Privacidade, canal de serviços sobre</w:t>
      </w:r>
      <w:r>
        <w:rPr>
          <w:color w:val="1B1B22"/>
          <w:spacing w:val="-11"/>
        </w:rPr>
        <w:t> </w:t>
      </w:r>
      <w:r>
        <w:rPr>
          <w:color w:val="1B1B22"/>
        </w:rPr>
        <w:t>dados</w:t>
      </w:r>
      <w:r>
        <w:rPr>
          <w:color w:val="1B1B22"/>
          <w:spacing w:val="-8"/>
        </w:rPr>
        <w:t> </w:t>
      </w:r>
      <w:r>
        <w:rPr>
          <w:color w:val="1B1B22"/>
        </w:rPr>
        <w:t>pessoais,</w:t>
      </w:r>
      <w:r>
        <w:rPr>
          <w:color w:val="1B1B22"/>
          <w:spacing w:val="-10"/>
        </w:rPr>
        <w:t> </w:t>
      </w:r>
      <w:r>
        <w:rPr>
          <w:color w:val="1B1B22"/>
        </w:rPr>
        <w:t>sendo</w:t>
      </w:r>
      <w:r>
        <w:rPr>
          <w:color w:val="1B1B22"/>
          <w:spacing w:val="-10"/>
        </w:rPr>
        <w:t> </w:t>
      </w:r>
      <w:r>
        <w:rPr>
          <w:color w:val="1B1B22"/>
        </w:rPr>
        <w:t>95%</w:t>
      </w:r>
      <w:r>
        <w:rPr>
          <w:color w:val="1B1B22"/>
          <w:spacing w:val="-10"/>
        </w:rPr>
        <w:t> </w:t>
      </w:r>
      <w:r>
        <w:rPr>
          <w:color w:val="1B1B22"/>
        </w:rPr>
        <w:t>deles</w:t>
      </w:r>
      <w:r>
        <w:rPr>
          <w:color w:val="1B1B22"/>
          <w:spacing w:val="-8"/>
        </w:rPr>
        <w:t> </w:t>
      </w:r>
      <w:r>
        <w:rPr>
          <w:color w:val="1B1B22"/>
        </w:rPr>
        <w:t>via</w:t>
      </w:r>
      <w:r>
        <w:rPr>
          <w:color w:val="1B1B22"/>
          <w:spacing w:val="-13"/>
        </w:rPr>
        <w:t> </w:t>
      </w:r>
      <w:r>
        <w:rPr>
          <w:color w:val="1B1B22"/>
        </w:rPr>
        <w:t>App</w:t>
      </w:r>
      <w:r>
        <w:rPr>
          <w:color w:val="1B1B22"/>
          <w:spacing w:val="-9"/>
        </w:rPr>
        <w:t> </w:t>
      </w:r>
      <w:r>
        <w:rPr>
          <w:color w:val="1B1B22"/>
        </w:rPr>
        <w:t>BB. As melhorias aplicadas elevaram à qualidade da experiência digital, com interações mais ágeis e </w:t>
      </w:r>
      <w:r>
        <w:rPr>
          <w:color w:val="1B1B22"/>
          <w:spacing w:val="-2"/>
        </w:rPr>
        <w:t>seguras.</w:t>
      </w:r>
    </w:p>
    <w:p>
      <w:pPr>
        <w:pStyle w:val="BodyText"/>
        <w:spacing w:line="321" w:lineRule="auto" w:before="116"/>
        <w:ind w:left="427" w:right="142"/>
        <w:jc w:val="both"/>
      </w:pPr>
      <w:r>
        <w:rPr>
          <w:color w:val="1B1B22"/>
        </w:rPr>
        <w:t>Além disso, mantivemos excelente avaliação do App</w:t>
      </w:r>
      <w:r>
        <w:rPr>
          <w:color w:val="1B1B22"/>
          <w:spacing w:val="-8"/>
        </w:rPr>
        <w:t> </w:t>
      </w:r>
      <w:r>
        <w:rPr>
          <w:color w:val="1B1B22"/>
        </w:rPr>
        <w:t>BB</w:t>
      </w:r>
      <w:r>
        <w:rPr>
          <w:color w:val="1B1B22"/>
          <w:spacing w:val="-8"/>
        </w:rPr>
        <w:t> </w:t>
      </w:r>
      <w:r>
        <w:rPr>
          <w:color w:val="1B1B22"/>
        </w:rPr>
        <w:t>(4,7</w:t>
      </w:r>
      <w:r>
        <w:rPr>
          <w:color w:val="1B1B22"/>
          <w:spacing w:val="-8"/>
        </w:rPr>
        <w:t> </w:t>
      </w:r>
      <w:r>
        <w:rPr>
          <w:color w:val="1B1B22"/>
        </w:rPr>
        <w:t>na</w:t>
      </w:r>
      <w:r>
        <w:rPr>
          <w:color w:val="1B1B22"/>
          <w:spacing w:val="-9"/>
        </w:rPr>
        <w:t> </w:t>
      </w:r>
      <w:r>
        <w:rPr>
          <w:color w:val="1B1B22"/>
        </w:rPr>
        <w:t>Google</w:t>
      </w:r>
      <w:r>
        <w:rPr>
          <w:color w:val="1B1B22"/>
          <w:spacing w:val="-8"/>
        </w:rPr>
        <w:t> </w:t>
      </w:r>
      <w:r>
        <w:rPr>
          <w:color w:val="1B1B22"/>
        </w:rPr>
        <w:t>Play</w:t>
      </w:r>
      <w:r>
        <w:rPr>
          <w:color w:val="1B1B22"/>
          <w:spacing w:val="-8"/>
        </w:rPr>
        <w:t> </w:t>
      </w:r>
      <w:r>
        <w:rPr>
          <w:color w:val="1B1B22"/>
        </w:rPr>
        <w:t>e</w:t>
      </w:r>
      <w:r>
        <w:rPr>
          <w:color w:val="1B1B22"/>
          <w:spacing w:val="-8"/>
        </w:rPr>
        <w:t> </w:t>
      </w:r>
      <w:r>
        <w:rPr>
          <w:color w:val="1B1B22"/>
        </w:rPr>
        <w:t>4,8</w:t>
      </w:r>
      <w:r>
        <w:rPr>
          <w:color w:val="1B1B22"/>
          <w:spacing w:val="-9"/>
        </w:rPr>
        <w:t> </w:t>
      </w:r>
      <w:r>
        <w:rPr>
          <w:color w:val="1B1B22"/>
        </w:rPr>
        <w:t>na</w:t>
      </w:r>
      <w:r>
        <w:rPr>
          <w:color w:val="1B1B22"/>
          <w:spacing w:val="-13"/>
        </w:rPr>
        <w:t> </w:t>
      </w:r>
      <w:r>
        <w:rPr>
          <w:color w:val="1B1B22"/>
        </w:rPr>
        <w:t>Apple</w:t>
      </w:r>
      <w:r>
        <w:rPr>
          <w:color w:val="1B1B22"/>
          <w:spacing w:val="-7"/>
        </w:rPr>
        <w:t> </w:t>
      </w:r>
      <w:r>
        <w:rPr>
          <w:color w:val="1B1B22"/>
        </w:rPr>
        <w:t>Store)</w:t>
      </w:r>
      <w:r>
        <w:rPr>
          <w:color w:val="1B1B22"/>
          <w:spacing w:val="-8"/>
        </w:rPr>
        <w:t> </w:t>
      </w:r>
      <w:r>
        <w:rPr>
          <w:color w:val="1B1B22"/>
        </w:rPr>
        <w:t>e chegamos</w:t>
      </w:r>
      <w:r>
        <w:rPr>
          <w:color w:val="1B1B22"/>
          <w:spacing w:val="-7"/>
        </w:rPr>
        <w:t> </w:t>
      </w:r>
      <w:r>
        <w:rPr>
          <w:color w:val="1B1B22"/>
        </w:rPr>
        <w:t>a</w:t>
      </w:r>
      <w:r>
        <w:rPr>
          <w:color w:val="1B1B22"/>
          <w:spacing w:val="-10"/>
        </w:rPr>
        <w:t> </w:t>
      </w:r>
      <w:r>
        <w:rPr>
          <w:color w:val="1B1B22"/>
        </w:rPr>
        <w:t>27,2</w:t>
      </w:r>
      <w:r>
        <w:rPr>
          <w:color w:val="1B1B22"/>
          <w:spacing w:val="-10"/>
        </w:rPr>
        <w:t> </w:t>
      </w:r>
      <w:r>
        <w:rPr>
          <w:color w:val="1B1B22"/>
        </w:rPr>
        <w:t>milhões</w:t>
      </w:r>
      <w:r>
        <w:rPr>
          <w:color w:val="1B1B22"/>
          <w:spacing w:val="-7"/>
        </w:rPr>
        <w:t> </w:t>
      </w:r>
      <w:r>
        <w:rPr>
          <w:color w:val="1B1B22"/>
        </w:rPr>
        <w:t>de</w:t>
      </w:r>
      <w:r>
        <w:rPr>
          <w:color w:val="1B1B22"/>
          <w:spacing w:val="-9"/>
        </w:rPr>
        <w:t> </w:t>
      </w:r>
      <w:r>
        <w:rPr>
          <w:color w:val="1B1B22"/>
        </w:rPr>
        <w:t>usuários</w:t>
      </w:r>
      <w:r>
        <w:rPr>
          <w:color w:val="1B1B22"/>
          <w:spacing w:val="-7"/>
        </w:rPr>
        <w:t> </w:t>
      </w:r>
      <w:r>
        <w:rPr>
          <w:color w:val="1B1B22"/>
        </w:rPr>
        <w:t>no</w:t>
      </w:r>
      <w:r>
        <w:rPr>
          <w:color w:val="1B1B22"/>
          <w:spacing w:val="-9"/>
        </w:rPr>
        <w:t> </w:t>
      </w:r>
      <w:r>
        <w:rPr>
          <w:color w:val="1B1B22"/>
        </w:rPr>
        <w:t>2T25.</w:t>
      </w:r>
      <w:r>
        <w:rPr>
          <w:color w:val="1B1B22"/>
          <w:spacing w:val="-9"/>
        </w:rPr>
        <w:t> </w:t>
      </w:r>
      <w:r>
        <w:rPr>
          <w:color w:val="1B1B22"/>
        </w:rPr>
        <w:t>E</w:t>
      </w:r>
      <w:r>
        <w:rPr>
          <w:color w:val="1B1B22"/>
          <w:spacing w:val="-9"/>
        </w:rPr>
        <w:t> </w:t>
      </w:r>
      <w:r>
        <w:rPr>
          <w:color w:val="1B1B22"/>
        </w:rPr>
        <w:t>no App BB Investimentos, dedicado aos clientes </w:t>
      </w:r>
      <w:r>
        <w:rPr>
          <w:color w:val="1B1B22"/>
          <w:spacing w:val="-2"/>
        </w:rPr>
        <w:t>investidores,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obtivemos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nota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de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4,6,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tanto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na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Apple </w:t>
      </w:r>
      <w:r>
        <w:rPr>
          <w:color w:val="1B1B22"/>
        </w:rPr>
        <w:t>Store quanto na Google Play.</w:t>
      </w:r>
    </w:p>
    <w:p>
      <w:pPr>
        <w:pStyle w:val="BodyText"/>
        <w:spacing w:before="117"/>
        <w:ind w:left="427"/>
      </w:pPr>
      <w:r>
        <w:rPr>
          <w:color w:val="1B1B22"/>
        </w:rPr>
        <w:t>Hoje,</w:t>
      </w:r>
      <w:r>
        <w:rPr>
          <w:color w:val="1B1B22"/>
          <w:spacing w:val="-8"/>
        </w:rPr>
        <w:t> </w:t>
      </w:r>
      <w:r>
        <w:rPr>
          <w:color w:val="1B1B22"/>
        </w:rPr>
        <w:t>94%</w:t>
      </w:r>
      <w:r>
        <w:rPr>
          <w:color w:val="1B1B22"/>
          <w:spacing w:val="-7"/>
        </w:rPr>
        <w:t> </w:t>
      </w:r>
      <w:r>
        <w:rPr>
          <w:color w:val="1B1B22"/>
        </w:rPr>
        <w:t>das</w:t>
      </w:r>
      <w:r>
        <w:rPr>
          <w:color w:val="1B1B22"/>
          <w:spacing w:val="-7"/>
        </w:rPr>
        <w:t> </w:t>
      </w:r>
      <w:r>
        <w:rPr>
          <w:color w:val="1B1B22"/>
        </w:rPr>
        <w:t>transações</w:t>
      </w:r>
      <w:r>
        <w:rPr>
          <w:color w:val="1B1B22"/>
          <w:spacing w:val="-4"/>
        </w:rPr>
        <w:t> </w:t>
      </w:r>
      <w:r>
        <w:rPr>
          <w:color w:val="1B1B22"/>
        </w:rPr>
        <w:t>são</w:t>
      </w:r>
      <w:r>
        <w:rPr>
          <w:color w:val="1B1B22"/>
          <w:spacing w:val="-8"/>
        </w:rPr>
        <w:t> </w:t>
      </w:r>
      <w:r>
        <w:rPr>
          <w:color w:val="1B1B22"/>
        </w:rPr>
        <w:t>realizadas</w:t>
      </w:r>
      <w:r>
        <w:rPr>
          <w:color w:val="1B1B22"/>
          <w:spacing w:val="-6"/>
        </w:rPr>
        <w:t> </w:t>
      </w:r>
      <w:r>
        <w:rPr>
          <w:color w:val="1B1B22"/>
        </w:rPr>
        <w:t>por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canais</w:t>
      </w:r>
    </w:p>
    <w:p>
      <w:pPr>
        <w:pStyle w:val="BodyText"/>
        <w:spacing w:before="87"/>
        <w:ind w:left="427"/>
      </w:pPr>
      <w:r>
        <w:rPr>
          <w:color w:val="1B1B22"/>
          <w:spacing w:val="-2"/>
        </w:rPr>
        <w:t>digitais.</w:t>
      </w:r>
    </w:p>
    <w:p>
      <w:pPr>
        <w:pStyle w:val="BodyText"/>
        <w:spacing w:line="321" w:lineRule="auto" w:before="203"/>
        <w:ind w:left="427" w:right="141" w:hanging="1"/>
        <w:jc w:val="both"/>
      </w:pPr>
      <w:r>
        <w:rPr>
          <w:color w:val="1B1B22"/>
        </w:rPr>
        <w:t>Estamos atentos ao futuro e ao que acontece no mercado. Temos um Radar de Tendências Tecnológicas,</w:t>
      </w:r>
      <w:r>
        <w:rPr>
          <w:color w:val="1B1B22"/>
          <w:spacing w:val="-13"/>
        </w:rPr>
        <w:t> </w:t>
      </w:r>
      <w:r>
        <w:rPr>
          <w:color w:val="1B1B22"/>
        </w:rPr>
        <w:t>disponível</w:t>
      </w:r>
      <w:r>
        <w:rPr>
          <w:color w:val="1B1B22"/>
          <w:spacing w:val="-12"/>
        </w:rPr>
        <w:t> </w:t>
      </w:r>
      <w:r>
        <w:rPr>
          <w:color w:val="1B1B22"/>
        </w:rPr>
        <w:t>em</w:t>
      </w:r>
      <w:r>
        <w:rPr>
          <w:color w:val="1B1B22"/>
          <w:spacing w:val="-13"/>
        </w:rPr>
        <w:t> </w:t>
      </w:r>
      <w:r>
        <w:rPr>
          <w:color w:val="1B1B22"/>
        </w:rPr>
        <w:t>bb.com.br/tendencias por meio do qual monitoramos tendências e tecnologias, experimentando e adotando as que forem pertinentes.</w:t>
      </w:r>
    </w:p>
    <w:p>
      <w:pPr>
        <w:pStyle w:val="BodyText"/>
        <w:spacing w:line="321" w:lineRule="auto" w:before="117"/>
        <w:ind w:left="427" w:right="141"/>
        <w:jc w:val="both"/>
      </w:pPr>
      <w:r>
        <w:rPr>
          <w:color w:val="1B1B22"/>
        </w:rPr>
        <w:t>Para</w:t>
      </w:r>
      <w:r>
        <w:rPr>
          <w:color w:val="1B1B22"/>
          <w:spacing w:val="-4"/>
        </w:rPr>
        <w:t> </w:t>
      </w:r>
      <w:r>
        <w:rPr>
          <w:color w:val="1B1B22"/>
        </w:rPr>
        <w:t>garantir</w:t>
      </w:r>
      <w:r>
        <w:rPr>
          <w:color w:val="1B1B22"/>
          <w:spacing w:val="-3"/>
        </w:rPr>
        <w:t> </w:t>
      </w:r>
      <w:r>
        <w:rPr>
          <w:color w:val="1B1B22"/>
        </w:rPr>
        <w:t>crescimento</w:t>
      </w:r>
      <w:r>
        <w:rPr>
          <w:color w:val="1B1B22"/>
          <w:spacing w:val="-1"/>
        </w:rPr>
        <w:t> </w:t>
      </w:r>
      <w:r>
        <w:rPr>
          <w:color w:val="1B1B22"/>
        </w:rPr>
        <w:t>orgânico</w:t>
      </w:r>
      <w:r>
        <w:rPr>
          <w:color w:val="1B1B22"/>
          <w:spacing w:val="-3"/>
        </w:rPr>
        <w:t> </w:t>
      </w:r>
      <w:r>
        <w:rPr>
          <w:color w:val="1B1B22"/>
        </w:rPr>
        <w:t>e</w:t>
      </w:r>
      <w:r>
        <w:rPr>
          <w:color w:val="1B1B22"/>
          <w:spacing w:val="-4"/>
        </w:rPr>
        <w:t> </w:t>
      </w:r>
      <w:r>
        <w:rPr>
          <w:color w:val="1B1B22"/>
        </w:rPr>
        <w:t>continuidade dos negócios, seguimos investindo em tecnologia: foram R$ 3,2 bilhões no 1S25, reforçando nosso compromisso com uma experiência digital de </w:t>
      </w:r>
      <w:r>
        <w:rPr>
          <w:color w:val="1B1B22"/>
          <w:spacing w:val="-2"/>
        </w:rPr>
        <w:t>excelência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—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onde,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quando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e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como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o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cliente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quiser.</w:t>
      </w:r>
    </w:p>
    <w:p>
      <w:pPr>
        <w:pStyle w:val="BodyText"/>
        <w:spacing w:after="0" w:line="321" w:lineRule="auto"/>
        <w:jc w:val="both"/>
        <w:sectPr>
          <w:type w:val="continuous"/>
          <w:pgSz w:w="11910" w:h="16850"/>
          <w:pgMar w:header="152" w:footer="572" w:top="1920" w:bottom="280" w:left="425" w:right="708"/>
          <w:cols w:num="2" w:equalWidth="0">
            <w:col w:w="5216" w:space="238"/>
            <w:col w:w="5323"/>
          </w:cols>
        </w:sectPr>
      </w:pPr>
    </w:p>
    <w:p>
      <w:pPr>
        <w:pStyle w:val="BodyText"/>
        <w:rPr>
          <w:sz w:val="44"/>
        </w:rPr>
      </w:pPr>
    </w:p>
    <w:p>
      <w:pPr>
        <w:pStyle w:val="BodyText"/>
        <w:spacing w:before="26"/>
        <w:rPr>
          <w:sz w:val="44"/>
        </w:rPr>
      </w:pPr>
    </w:p>
    <w:p>
      <w:pPr>
        <w:pStyle w:val="Heading1"/>
        <w:tabs>
          <w:tab w:pos="2654" w:val="left" w:leader="none"/>
          <w:tab w:pos="4074" w:val="left" w:leader="none"/>
          <w:tab w:pos="7410" w:val="left" w:leader="none"/>
          <w:tab w:pos="9318" w:val="left" w:leader="none"/>
          <w:tab w:pos="10048" w:val="left" w:leader="none"/>
        </w:tabs>
        <w:spacing w:line="321" w:lineRule="auto"/>
        <w:ind w:left="426" w:right="177"/>
      </w:pPr>
      <w:r>
        <w:rPr>
          <w:color w:val="465EFF"/>
          <w:spacing w:val="28"/>
        </w:rPr>
        <w:t>Agenda</w:t>
      </w:r>
      <w:r>
        <w:rPr>
          <w:color w:val="465EFF"/>
        </w:rPr>
        <w:tab/>
      </w:r>
      <w:r>
        <w:rPr>
          <w:color w:val="465EFF"/>
          <w:spacing w:val="20"/>
        </w:rPr>
        <w:t>ASG</w:t>
      </w:r>
      <w:r>
        <w:rPr>
          <w:color w:val="465EFF"/>
        </w:rPr>
        <w:tab/>
      </w:r>
      <w:r>
        <w:rPr>
          <w:color w:val="465EFF"/>
          <w:spacing w:val="33"/>
        </w:rPr>
        <w:t>(Ambiental,</w:t>
      </w:r>
      <w:r>
        <w:rPr>
          <w:color w:val="465EFF"/>
        </w:rPr>
        <w:tab/>
      </w:r>
      <w:r>
        <w:rPr>
          <w:color w:val="465EFF"/>
          <w:spacing w:val="31"/>
        </w:rPr>
        <w:t>Social</w:t>
      </w:r>
      <w:r>
        <w:rPr>
          <w:color w:val="465EFF"/>
        </w:rPr>
        <w:tab/>
      </w:r>
      <w:r>
        <w:rPr>
          <w:color w:val="465EFF"/>
          <w:spacing w:val="-10"/>
        </w:rPr>
        <w:t>e</w:t>
      </w:r>
      <w:r>
        <w:rPr>
          <w:color w:val="465EFF"/>
        </w:rPr>
        <w:tab/>
      </w:r>
      <w:r>
        <w:rPr>
          <w:color w:val="465EFF"/>
          <w:spacing w:val="6"/>
        </w:rPr>
        <w:t>de </w:t>
      </w:r>
      <w:r>
        <w:rPr>
          <w:color w:val="465EFF"/>
          <w:spacing w:val="31"/>
        </w:rPr>
        <w:t>Governança)</w:t>
      </w:r>
    </w:p>
    <w:p>
      <w:pPr>
        <w:pStyle w:val="Heading1"/>
        <w:spacing w:after="0" w:line="321" w:lineRule="auto"/>
        <w:sectPr>
          <w:pgSz w:w="11910" w:h="16850"/>
          <w:pgMar w:header="152" w:footer="572" w:top="900" w:bottom="780" w:left="425" w:right="708"/>
        </w:sectPr>
      </w:pPr>
    </w:p>
    <w:p>
      <w:pPr>
        <w:pStyle w:val="BodyText"/>
        <w:spacing w:line="321" w:lineRule="auto" w:before="142"/>
        <w:ind w:left="427" w:right="40"/>
        <w:jc w:val="both"/>
      </w:pPr>
      <w:r>
        <w:rPr>
          <w:color w:val="1B1B22"/>
        </w:rPr>
        <w:t>Somos</w:t>
      </w:r>
      <w:r>
        <w:rPr>
          <w:color w:val="1B1B22"/>
          <w:spacing w:val="-7"/>
        </w:rPr>
        <w:t> </w:t>
      </w:r>
      <w:r>
        <w:rPr>
          <w:color w:val="1B1B22"/>
        </w:rPr>
        <w:t>referência</w:t>
      </w:r>
      <w:r>
        <w:rPr>
          <w:color w:val="1B1B22"/>
          <w:spacing w:val="-8"/>
        </w:rPr>
        <w:t> </w:t>
      </w:r>
      <w:r>
        <w:rPr>
          <w:color w:val="1B1B22"/>
        </w:rPr>
        <w:t>em</w:t>
      </w:r>
      <w:r>
        <w:rPr>
          <w:color w:val="1B1B22"/>
          <w:spacing w:val="-8"/>
        </w:rPr>
        <w:t> </w:t>
      </w:r>
      <w:r>
        <w:rPr>
          <w:color w:val="1B1B22"/>
        </w:rPr>
        <w:t>práticas</w:t>
      </w:r>
      <w:r>
        <w:rPr>
          <w:color w:val="1B1B22"/>
          <w:spacing w:val="-10"/>
        </w:rPr>
        <w:t> </w:t>
      </w:r>
      <w:r>
        <w:rPr>
          <w:color w:val="1B1B22"/>
        </w:rPr>
        <w:t>Ambientais,</w:t>
      </w:r>
      <w:r>
        <w:rPr>
          <w:color w:val="1B1B22"/>
          <w:spacing w:val="-7"/>
        </w:rPr>
        <w:t> </w:t>
      </w:r>
      <w:r>
        <w:rPr>
          <w:color w:val="1B1B22"/>
        </w:rPr>
        <w:t>Sociais</w:t>
      </w:r>
      <w:r>
        <w:rPr>
          <w:color w:val="1B1B22"/>
          <w:spacing w:val="-7"/>
        </w:rPr>
        <w:t> </w:t>
      </w:r>
      <w:r>
        <w:rPr>
          <w:color w:val="1B1B22"/>
        </w:rPr>
        <w:t>e </w:t>
      </w:r>
      <w:r>
        <w:rPr>
          <w:color w:val="1B1B22"/>
          <w:spacing w:val="-2"/>
        </w:rPr>
        <w:t>de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Governança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(ASG),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com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ações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de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gerenciamento </w:t>
      </w:r>
      <w:r>
        <w:rPr>
          <w:color w:val="1B1B22"/>
        </w:rPr>
        <w:t>de riscos e oportunidades. Nosso Plano de </w:t>
      </w:r>
      <w:r>
        <w:rPr>
          <w:color w:val="1B1B22"/>
          <w:spacing w:val="-2"/>
        </w:rPr>
        <w:t>Sustentabilidade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-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Agenda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30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BB,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alinhado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aos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ODS </w:t>
      </w:r>
      <w:r>
        <w:rPr>
          <w:color w:val="1B1B22"/>
        </w:rPr>
        <w:t>da ONU e ao Acordo de Paris, é nosso principal instrumento, incluindo 47 ações e 100 indicadores para 2023-2025.</w:t>
      </w:r>
      <w:r>
        <w:rPr>
          <w:color w:val="1B1B22"/>
          <w:spacing w:val="-3"/>
        </w:rPr>
        <w:t> </w:t>
      </w:r>
      <w:r>
        <w:rPr>
          <w:color w:val="1B1B22"/>
        </w:rPr>
        <w:t>Além disso, os Compromissos BB 2030 para um Mundo +Sustentável estabelecem objetivos em quatro frentes de atuação: crédito </w:t>
      </w:r>
      <w:r>
        <w:rPr>
          <w:color w:val="1B1B22"/>
          <w:spacing w:val="-2"/>
        </w:rPr>
        <w:t>sustentável,</w:t>
      </w:r>
      <w:r>
        <w:rPr>
          <w:color w:val="1B1B22"/>
          <w:spacing w:val="-3"/>
        </w:rPr>
        <w:t> </w:t>
      </w:r>
      <w:r>
        <w:rPr>
          <w:color w:val="1B1B22"/>
          <w:spacing w:val="-2"/>
        </w:rPr>
        <w:t>investimento</w:t>
      </w:r>
      <w:r>
        <w:rPr>
          <w:color w:val="1B1B22"/>
          <w:spacing w:val="-3"/>
        </w:rPr>
        <w:t> </w:t>
      </w:r>
      <w:r>
        <w:rPr>
          <w:color w:val="1B1B22"/>
          <w:spacing w:val="-2"/>
        </w:rPr>
        <w:t>responsável,</w:t>
      </w:r>
      <w:r>
        <w:rPr>
          <w:color w:val="1B1B22"/>
          <w:spacing w:val="-3"/>
        </w:rPr>
        <w:t> </w:t>
      </w:r>
      <w:r>
        <w:rPr>
          <w:color w:val="1B1B22"/>
          <w:spacing w:val="-2"/>
        </w:rPr>
        <w:t>gestão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ASG </w:t>
      </w:r>
      <w:r>
        <w:rPr>
          <w:color w:val="1B1B22"/>
        </w:rPr>
        <w:t>e climática, visando gerar impactos positivos na cadeia de valor.</w:t>
      </w:r>
    </w:p>
    <w:p>
      <w:pPr>
        <w:pStyle w:val="Heading2"/>
        <w:spacing w:before="105"/>
        <w:ind w:left="427"/>
        <w:rPr>
          <w:b w:val="0"/>
        </w:rPr>
      </w:pPr>
      <w:r>
        <w:rPr>
          <w:b w:val="0"/>
          <w:color w:val="465EFF"/>
          <w:spacing w:val="19"/>
        </w:rPr>
        <w:t>Captações</w:t>
      </w:r>
      <w:r>
        <w:rPr>
          <w:b w:val="0"/>
          <w:color w:val="465EFF"/>
          <w:spacing w:val="53"/>
        </w:rPr>
        <w:t> </w:t>
      </w:r>
      <w:r>
        <w:rPr>
          <w:b w:val="0"/>
          <w:color w:val="465EFF"/>
          <w:spacing w:val="16"/>
        </w:rPr>
        <w:t>Sustentáveis</w:t>
      </w:r>
    </w:p>
    <w:p>
      <w:pPr>
        <w:pStyle w:val="BodyText"/>
        <w:spacing w:line="321" w:lineRule="auto" w:before="250"/>
        <w:ind w:left="426" w:right="41"/>
        <w:jc w:val="both"/>
      </w:pPr>
      <w:r>
        <w:rPr>
          <w:color w:val="1B1B22"/>
        </w:rPr>
        <w:t>Captamos R$ 39,8 bilhões destinados a investimentos em iniciativas ASG. Os recursos foram obtidos por meio da emissão de Bonds com perfil ASG, além de captações junto a instituições multilaterais, bancos de investimento e bancos comerciais internacionais.</w:t>
      </w:r>
    </w:p>
    <w:p>
      <w:pPr>
        <w:pStyle w:val="BodyText"/>
        <w:spacing w:line="321" w:lineRule="auto" w:before="115"/>
        <w:ind w:left="426" w:right="39"/>
        <w:jc w:val="both"/>
      </w:pPr>
      <w:r>
        <w:rPr>
          <w:color w:val="1B1B22"/>
        </w:rPr>
        <w:t>Como destaque para junho/25, realizamos uma nova captação denominada SmartClimate-Smart Agriculture Repurchase Agreement com o Banco Natixis,</w:t>
      </w:r>
      <w:r>
        <w:rPr>
          <w:color w:val="1B1B22"/>
          <w:spacing w:val="-3"/>
        </w:rPr>
        <w:t> </w:t>
      </w:r>
      <w:r>
        <w:rPr>
          <w:color w:val="1B1B22"/>
        </w:rPr>
        <w:t>no</w:t>
      </w:r>
      <w:r>
        <w:rPr>
          <w:color w:val="1B1B22"/>
          <w:spacing w:val="-3"/>
        </w:rPr>
        <w:t> </w:t>
      </w:r>
      <w:r>
        <w:rPr>
          <w:color w:val="1B1B22"/>
        </w:rPr>
        <w:t>valor</w:t>
      </w:r>
      <w:r>
        <w:rPr>
          <w:color w:val="1B1B22"/>
          <w:spacing w:val="-3"/>
        </w:rPr>
        <w:t> </w:t>
      </w:r>
      <w:r>
        <w:rPr>
          <w:color w:val="1B1B22"/>
        </w:rPr>
        <w:t>de</w:t>
      </w:r>
      <w:r>
        <w:rPr>
          <w:color w:val="1B1B22"/>
          <w:spacing w:val="-3"/>
        </w:rPr>
        <w:t> </w:t>
      </w:r>
      <w:r>
        <w:rPr>
          <w:color w:val="1B1B22"/>
        </w:rPr>
        <w:t>US$</w:t>
      </w:r>
      <w:r>
        <w:rPr>
          <w:color w:val="1B1B22"/>
          <w:spacing w:val="-3"/>
        </w:rPr>
        <w:t> </w:t>
      </w:r>
      <w:r>
        <w:rPr>
          <w:color w:val="1B1B22"/>
        </w:rPr>
        <w:t>100</w:t>
      </w:r>
      <w:r>
        <w:rPr>
          <w:color w:val="1B1B22"/>
          <w:spacing w:val="-3"/>
        </w:rPr>
        <w:t> </w:t>
      </w:r>
      <w:r>
        <w:rPr>
          <w:color w:val="1B1B22"/>
        </w:rPr>
        <w:t>milhões,</w:t>
      </w:r>
      <w:r>
        <w:rPr>
          <w:color w:val="1B1B22"/>
          <w:spacing w:val="-3"/>
        </w:rPr>
        <w:t> </w:t>
      </w:r>
      <w:r>
        <w:rPr>
          <w:color w:val="1B1B22"/>
        </w:rPr>
        <w:t>cujo</w:t>
      </w:r>
      <w:r>
        <w:rPr>
          <w:color w:val="1B1B22"/>
          <w:spacing w:val="-3"/>
        </w:rPr>
        <w:t> </w:t>
      </w:r>
      <w:r>
        <w:rPr>
          <w:color w:val="1B1B22"/>
        </w:rPr>
        <w:t>objetivo é impulsionar a agricultura sustentável, assegurando suporte à produção responsável.</w:t>
      </w:r>
    </w:p>
    <w:p>
      <w:pPr>
        <w:pStyle w:val="BodyText"/>
        <w:spacing w:line="321" w:lineRule="auto" w:before="116"/>
        <w:ind w:left="426" w:right="38"/>
        <w:jc w:val="both"/>
      </w:pPr>
      <w:r>
        <w:rPr>
          <w:color w:val="1B1B22"/>
        </w:rPr>
        <w:t>Destacamos as primeiras liberações de recursos referentes ao primeiro leilão da sublinha de blended finance, do programa ecoinvest, uma iniciativa que combina capital público e privado para fomentar projetos sustentáveis no país. A iniciativa</w:t>
      </w:r>
      <w:r>
        <w:rPr>
          <w:color w:val="1B1B22"/>
          <w:spacing w:val="43"/>
        </w:rPr>
        <w:t> </w:t>
      </w:r>
      <w:r>
        <w:rPr>
          <w:color w:val="1B1B22"/>
        </w:rPr>
        <w:t>deverá</w:t>
      </w:r>
      <w:r>
        <w:rPr>
          <w:color w:val="1B1B22"/>
          <w:spacing w:val="45"/>
        </w:rPr>
        <w:t> </w:t>
      </w:r>
      <w:r>
        <w:rPr>
          <w:color w:val="1B1B22"/>
        </w:rPr>
        <w:t>gerar</w:t>
      </w:r>
      <w:r>
        <w:rPr>
          <w:color w:val="1B1B22"/>
          <w:spacing w:val="46"/>
        </w:rPr>
        <w:t> </w:t>
      </w:r>
      <w:r>
        <w:rPr>
          <w:color w:val="1B1B22"/>
        </w:rPr>
        <w:t>R$</w:t>
      </w:r>
      <w:r>
        <w:rPr>
          <w:color w:val="1B1B22"/>
          <w:spacing w:val="45"/>
        </w:rPr>
        <w:t> </w:t>
      </w:r>
      <w:r>
        <w:rPr>
          <w:color w:val="1B1B22"/>
        </w:rPr>
        <w:t>4,8</w:t>
      </w:r>
      <w:r>
        <w:rPr>
          <w:color w:val="1B1B22"/>
          <w:spacing w:val="47"/>
        </w:rPr>
        <w:t> </w:t>
      </w:r>
      <w:r>
        <w:rPr>
          <w:color w:val="1B1B22"/>
        </w:rPr>
        <w:t>bilhões</w:t>
      </w:r>
      <w:r>
        <w:rPr>
          <w:color w:val="1B1B22"/>
          <w:spacing w:val="47"/>
        </w:rPr>
        <w:t> </w:t>
      </w:r>
      <w:r>
        <w:rPr>
          <w:color w:val="1B1B22"/>
        </w:rPr>
        <w:t>em</w:t>
      </w:r>
      <w:r>
        <w:rPr>
          <w:color w:val="1B1B22"/>
          <w:spacing w:val="46"/>
        </w:rPr>
        <w:t> </w:t>
      </w:r>
      <w:r>
        <w:rPr>
          <w:color w:val="1B1B22"/>
          <w:spacing w:val="-2"/>
        </w:rPr>
        <w:t>novas</w:t>
      </w:r>
    </w:p>
    <w:p>
      <w:pPr>
        <w:pStyle w:val="BodyText"/>
        <w:spacing w:line="321" w:lineRule="auto" w:before="143"/>
        <w:ind w:left="427" w:right="143"/>
        <w:jc w:val="both"/>
      </w:pPr>
      <w:r>
        <w:rPr/>
        <w:br w:type="column"/>
      </w:r>
      <w:r>
        <w:rPr>
          <w:color w:val="1B1B22"/>
        </w:rPr>
        <w:t>operações sustentáveis, alavancando os recursos </w:t>
      </w:r>
      <w:r>
        <w:rPr>
          <w:color w:val="1B1B22"/>
          <w:spacing w:val="-2"/>
        </w:rPr>
        <w:t>captados,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gerando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alto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impacto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no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mundo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real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com </w:t>
      </w:r>
      <w:r>
        <w:rPr>
          <w:color w:val="1B1B22"/>
        </w:rPr>
        <w:t>as temáticas sustentáveis direcionadas pelo </w:t>
      </w:r>
      <w:r>
        <w:rPr>
          <w:color w:val="1B1B22"/>
          <w:spacing w:val="-2"/>
        </w:rPr>
        <w:t>programa.</w:t>
      </w:r>
    </w:p>
    <w:p>
      <w:pPr>
        <w:pStyle w:val="BodyText"/>
        <w:spacing w:before="24"/>
      </w:pPr>
    </w:p>
    <w:p>
      <w:pPr>
        <w:pStyle w:val="BodyText"/>
        <w:spacing w:line="321" w:lineRule="auto"/>
        <w:ind w:left="426" w:right="143"/>
        <w:jc w:val="both"/>
      </w:pPr>
      <w:r>
        <w:rPr>
          <w:color w:val="1B1B22"/>
        </w:rPr>
        <w:t>Somos um dos principais atores na execução dos investimentos sustentáveis no Brasil, com a aplicação</w:t>
      </w:r>
      <w:r>
        <w:rPr>
          <w:color w:val="1B1B22"/>
          <w:spacing w:val="-4"/>
        </w:rPr>
        <w:t> </w:t>
      </w:r>
      <w:r>
        <w:rPr>
          <w:color w:val="1B1B22"/>
        </w:rPr>
        <w:t>da</w:t>
      </w:r>
      <w:r>
        <w:rPr>
          <w:color w:val="1B1B22"/>
          <w:spacing w:val="-6"/>
        </w:rPr>
        <w:t> </w:t>
      </w:r>
      <w:r>
        <w:rPr>
          <w:color w:val="1B1B22"/>
        </w:rPr>
        <w:t>sustentabilidade</w:t>
      </w:r>
      <w:r>
        <w:rPr>
          <w:color w:val="1B1B22"/>
          <w:spacing w:val="-5"/>
        </w:rPr>
        <w:t> </w:t>
      </w:r>
      <w:r>
        <w:rPr>
          <w:color w:val="1B1B22"/>
        </w:rPr>
        <w:t>na</w:t>
      </w:r>
      <w:r>
        <w:rPr>
          <w:color w:val="1B1B22"/>
          <w:spacing w:val="-6"/>
        </w:rPr>
        <w:t> </w:t>
      </w:r>
      <w:r>
        <w:rPr>
          <w:color w:val="1B1B22"/>
        </w:rPr>
        <w:t>forma</w:t>
      </w:r>
      <w:r>
        <w:rPr>
          <w:color w:val="1B1B22"/>
          <w:spacing w:val="-6"/>
        </w:rPr>
        <w:t> </w:t>
      </w:r>
      <w:r>
        <w:rPr>
          <w:color w:val="1B1B22"/>
        </w:rPr>
        <w:t>dos</w:t>
      </w:r>
      <w:r>
        <w:rPr>
          <w:color w:val="1B1B22"/>
          <w:spacing w:val="-3"/>
        </w:rPr>
        <w:t> </w:t>
      </w:r>
      <w:r>
        <w:rPr>
          <w:color w:val="1B1B22"/>
        </w:rPr>
        <w:t>nossos Frameworks divulgados ao mercado.</w:t>
      </w:r>
    </w:p>
    <w:p>
      <w:pPr>
        <w:pStyle w:val="BodyText"/>
        <w:spacing w:before="16"/>
      </w:pPr>
      <w:r>
        <w:rPr/>
        <w:drawing>
          <wp:anchor distT="0" distB="0" distL="0" distR="0" allowOverlap="1" layoutInCell="1" locked="0" behindDoc="1" simplePos="0" relativeHeight="487589888">
            <wp:simplePos x="0" y="0"/>
            <wp:positionH relativeFrom="page">
              <wp:posOffset>4005581</wp:posOffset>
            </wp:positionH>
            <wp:positionV relativeFrom="paragraph">
              <wp:posOffset>187202</wp:posOffset>
            </wp:positionV>
            <wp:extent cx="3039595" cy="1709927"/>
            <wp:effectExtent l="0" t="0" r="0" b="0"/>
            <wp:wrapTopAndBottom/>
            <wp:docPr id="17" name="Image 17" descr="Homem em pé na grama  O conteúdo gerado por IA pode estar incorreto. 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7" name="Image 17" descr="Homem em pé na grama  O conteúdo gerado por IA pode estar incorreto. 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39595" cy="17099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Heading2"/>
        <w:spacing w:before="142"/>
        <w:ind w:left="427"/>
        <w:rPr>
          <w:b w:val="0"/>
        </w:rPr>
      </w:pPr>
      <w:r>
        <w:rPr>
          <w:b w:val="0"/>
          <w:color w:val="465EFF"/>
          <w:spacing w:val="20"/>
        </w:rPr>
        <w:t>Bioeconomia</w:t>
      </w:r>
      <w:r>
        <w:rPr>
          <w:b w:val="0"/>
          <w:color w:val="465EFF"/>
          <w:spacing w:val="48"/>
        </w:rPr>
        <w:t> </w:t>
      </w:r>
      <w:r>
        <w:rPr>
          <w:b w:val="0"/>
          <w:color w:val="465EFF"/>
        </w:rPr>
        <w:t>e</w:t>
      </w:r>
      <w:r>
        <w:rPr>
          <w:b w:val="0"/>
          <w:color w:val="465EFF"/>
          <w:spacing w:val="48"/>
        </w:rPr>
        <w:t> </w:t>
      </w:r>
      <w:r>
        <w:rPr>
          <w:b w:val="0"/>
          <w:color w:val="465EFF"/>
          <w:spacing w:val="19"/>
        </w:rPr>
        <w:t>Cadeia</w:t>
      </w:r>
      <w:r>
        <w:rPr>
          <w:b w:val="0"/>
          <w:color w:val="465EFF"/>
          <w:spacing w:val="51"/>
        </w:rPr>
        <w:t> </w:t>
      </w:r>
      <w:r>
        <w:rPr>
          <w:b w:val="0"/>
          <w:color w:val="465EFF"/>
          <w:spacing w:val="11"/>
        </w:rPr>
        <w:t>de</w:t>
      </w:r>
      <w:r>
        <w:rPr>
          <w:b w:val="0"/>
          <w:color w:val="465EFF"/>
          <w:spacing w:val="39"/>
        </w:rPr>
        <w:t> </w:t>
      </w:r>
      <w:r>
        <w:rPr>
          <w:b w:val="0"/>
          <w:color w:val="465EFF"/>
          <w:spacing w:val="11"/>
        </w:rPr>
        <w:t>Valor</w:t>
      </w:r>
    </w:p>
    <w:p>
      <w:pPr>
        <w:pStyle w:val="BodyText"/>
        <w:spacing w:line="321" w:lineRule="auto" w:before="247"/>
        <w:ind w:left="427" w:right="141"/>
        <w:jc w:val="both"/>
      </w:pPr>
      <w:r>
        <w:rPr>
          <w:color w:val="1B1B22"/>
        </w:rPr>
        <w:t>Temos contribuído com o desenvolvimento da biodiversidade no país, disponibilizando recursos financeiros, atendimento especializado, linhas de crédito com condições atrativas e serviços de consultoria financeira para auxiliar produtores familiares quilombolas e povos indígenas que atuam com bioeconomia. Atualmente, somos um dos principais financiadores de produtos compatíveis com a floresta, com R$ 1,9 bilhão em projetos de bioeconomia e cadeia de valor na Amazônia</w:t>
      </w:r>
      <w:r>
        <w:rPr>
          <w:color w:val="1B1B22"/>
          <w:spacing w:val="-13"/>
        </w:rPr>
        <w:t> </w:t>
      </w:r>
      <w:r>
        <w:rPr>
          <w:color w:val="1B1B22"/>
        </w:rPr>
        <w:t>legal,</w:t>
      </w:r>
      <w:r>
        <w:rPr>
          <w:color w:val="1B1B22"/>
          <w:spacing w:val="-12"/>
        </w:rPr>
        <w:t> </w:t>
      </w:r>
      <w:r>
        <w:rPr>
          <w:color w:val="1B1B22"/>
        </w:rPr>
        <w:t>representando</w:t>
      </w:r>
      <w:r>
        <w:rPr>
          <w:color w:val="1B1B22"/>
          <w:spacing w:val="-13"/>
        </w:rPr>
        <w:t> </w:t>
      </w:r>
      <w:r>
        <w:rPr>
          <w:color w:val="1B1B22"/>
        </w:rPr>
        <w:t>um</w:t>
      </w:r>
      <w:r>
        <w:rPr>
          <w:color w:val="1B1B22"/>
          <w:spacing w:val="-12"/>
        </w:rPr>
        <w:t> </w:t>
      </w:r>
      <w:r>
        <w:rPr>
          <w:color w:val="1B1B22"/>
        </w:rPr>
        <w:t>crescimento</w:t>
      </w:r>
      <w:r>
        <w:rPr>
          <w:color w:val="1B1B22"/>
          <w:spacing w:val="-12"/>
        </w:rPr>
        <w:t> </w:t>
      </w:r>
      <w:r>
        <w:rPr>
          <w:color w:val="1B1B22"/>
        </w:rPr>
        <w:t>de 39% nos últimos 12 meses.</w:t>
      </w:r>
    </w:p>
    <w:p>
      <w:pPr>
        <w:pStyle w:val="BodyText"/>
        <w:spacing w:after="0" w:line="321" w:lineRule="auto"/>
        <w:jc w:val="both"/>
        <w:sectPr>
          <w:type w:val="continuous"/>
          <w:pgSz w:w="11910" w:h="16850"/>
          <w:pgMar w:header="152" w:footer="572" w:top="1920" w:bottom="280" w:left="425" w:right="708"/>
          <w:cols w:num="2" w:equalWidth="0">
            <w:col w:w="5218" w:space="237"/>
            <w:col w:w="5322"/>
          </w:cols>
        </w:sectPr>
      </w:pPr>
    </w:p>
    <w:p>
      <w:pPr>
        <w:pStyle w:val="BodyText"/>
        <w:spacing w:before="88"/>
      </w:pPr>
    </w:p>
    <w:p>
      <w:pPr>
        <w:pStyle w:val="BodyText"/>
        <w:spacing w:line="88" w:lineRule="exact"/>
        <w:ind w:left="398"/>
        <w:rPr>
          <w:position w:val="-1"/>
          <w:sz w:val="8"/>
        </w:rPr>
      </w:pPr>
      <w:r>
        <w:rPr>
          <w:position w:val="-1"/>
          <w:sz w:val="8"/>
        </w:rPr>
        <mc:AlternateContent>
          <mc:Choice Requires="wps">
            <w:drawing>
              <wp:inline distT="0" distB="0" distL="0" distR="0">
                <wp:extent cx="6517005" cy="56515"/>
                <wp:effectExtent l="0" t="0" r="0" b="0"/>
                <wp:docPr id="18" name="Group 18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8" name="Group 18"/>
                      <wpg:cNvGrpSpPr/>
                      <wpg:grpSpPr>
                        <a:xfrm>
                          <a:off x="0" y="0"/>
                          <a:ext cx="6517005" cy="56515"/>
                          <a:chExt cx="6517005" cy="56515"/>
                        </a:xfrm>
                      </wpg:grpSpPr>
                      <wps:wsp>
                        <wps:cNvPr id="19" name="Graphic 19"/>
                        <wps:cNvSpPr/>
                        <wps:spPr>
                          <a:xfrm>
                            <a:off x="0" y="0"/>
                            <a:ext cx="6517005" cy="565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17005" h="56515">
                                <a:moveTo>
                                  <a:pt x="651662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6388"/>
                                </a:lnTo>
                                <a:lnTo>
                                  <a:pt x="6516624" y="56388"/>
                                </a:lnTo>
                                <a:lnTo>
                                  <a:pt x="65166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ADE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513.15pt;height:4.45pt;mso-position-horizontal-relative:char;mso-position-vertical-relative:line" id="docshapegroup17" coordorigin="0,0" coordsize="10263,89">
                <v:rect style="position:absolute;left:0;top:0;width:10263;height:89" id="docshape18" filled="true" fillcolor="#dadeff" stroked="false">
                  <v:fill type="solid"/>
                </v:rect>
              </v:group>
            </w:pict>
          </mc:Fallback>
        </mc:AlternateContent>
      </w:r>
      <w:r>
        <w:rPr>
          <w:position w:val="-1"/>
          <w:sz w:val="8"/>
        </w:rPr>
      </w:r>
    </w:p>
    <w:p>
      <w:pPr>
        <w:pStyle w:val="BodyText"/>
        <w:spacing w:before="3"/>
        <w:rPr>
          <w:sz w:val="7"/>
        </w:rPr>
      </w:pPr>
      <w:r>
        <w:rPr>
          <w:sz w:val="7"/>
        </w:rPr>
        <w:drawing>
          <wp:anchor distT="0" distB="0" distL="0" distR="0" allowOverlap="1" layoutInCell="1" locked="0" behindDoc="1" simplePos="0" relativeHeight="487590912">
            <wp:simplePos x="0" y="0"/>
            <wp:positionH relativeFrom="page">
              <wp:posOffset>540385</wp:posOffset>
            </wp:positionH>
            <wp:positionV relativeFrom="paragraph">
              <wp:posOffset>73813</wp:posOffset>
            </wp:positionV>
            <wp:extent cx="6484758" cy="3584924"/>
            <wp:effectExtent l="0" t="0" r="0" b="0"/>
            <wp:wrapTopAndBottom/>
            <wp:docPr id="20" name="Image 20" descr="Interface gráfica do usuário, Texto, Site  O conteúdo gerado por IA pode estar incorreto. 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0" name="Image 20" descr="Interface gráfica do usuário, Texto, Site  O conteúdo gerado por IA pode estar incorreto. 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84758" cy="35849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6"/>
        <w:rPr>
          <w:sz w:val="10"/>
        </w:rPr>
      </w:pPr>
    </w:p>
    <w:p>
      <w:pPr>
        <w:pStyle w:val="BodyText"/>
        <w:spacing w:line="88" w:lineRule="exact"/>
        <w:ind w:left="398"/>
        <w:rPr>
          <w:position w:val="-1"/>
          <w:sz w:val="8"/>
        </w:rPr>
      </w:pPr>
      <w:r>
        <w:rPr>
          <w:position w:val="-1"/>
          <w:sz w:val="8"/>
        </w:rPr>
        <mc:AlternateContent>
          <mc:Choice Requires="wps">
            <w:drawing>
              <wp:inline distT="0" distB="0" distL="0" distR="0">
                <wp:extent cx="6517005" cy="56515"/>
                <wp:effectExtent l="0" t="0" r="0" b="0"/>
                <wp:docPr id="21" name="Group 2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1" name="Group 21"/>
                      <wpg:cNvGrpSpPr/>
                      <wpg:grpSpPr>
                        <a:xfrm>
                          <a:off x="0" y="0"/>
                          <a:ext cx="6517005" cy="56515"/>
                          <a:chExt cx="6517005" cy="56515"/>
                        </a:xfrm>
                      </wpg:grpSpPr>
                      <wps:wsp>
                        <wps:cNvPr id="22" name="Graphic 22"/>
                        <wps:cNvSpPr/>
                        <wps:spPr>
                          <a:xfrm>
                            <a:off x="0" y="0"/>
                            <a:ext cx="6517005" cy="565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17005" h="56515">
                                <a:moveTo>
                                  <a:pt x="651662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6387"/>
                                </a:lnTo>
                                <a:lnTo>
                                  <a:pt x="6516624" y="56387"/>
                                </a:lnTo>
                                <a:lnTo>
                                  <a:pt x="65166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ADE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513.15pt;height:4.45pt;mso-position-horizontal-relative:char;mso-position-vertical-relative:line" id="docshapegroup19" coordorigin="0,0" coordsize="10263,89">
                <v:rect style="position:absolute;left:0;top:0;width:10263;height:89" id="docshape20" filled="true" fillcolor="#dadeff" stroked="false">
                  <v:fill type="solid"/>
                </v:rect>
              </v:group>
            </w:pict>
          </mc:Fallback>
        </mc:AlternateContent>
      </w:r>
      <w:r>
        <w:rPr>
          <w:position w:val="-1"/>
          <w:sz w:val="8"/>
        </w:rPr>
      </w:r>
    </w:p>
    <w:p>
      <w:pPr>
        <w:pStyle w:val="BodyText"/>
        <w:spacing w:after="0" w:line="88" w:lineRule="exact"/>
        <w:rPr>
          <w:position w:val="-1"/>
          <w:sz w:val="8"/>
        </w:rPr>
        <w:sectPr>
          <w:pgSz w:w="11910" w:h="16850"/>
          <w:pgMar w:header="152" w:footer="572" w:top="900" w:bottom="780" w:left="425" w:right="708"/>
        </w:sectPr>
      </w:pPr>
    </w:p>
    <w:p>
      <w:pPr>
        <w:pStyle w:val="Heading2"/>
        <w:spacing w:before="96"/>
        <w:ind w:left="427"/>
        <w:rPr>
          <w:b w:val="0"/>
        </w:rPr>
      </w:pPr>
      <w:r>
        <w:rPr>
          <w:b w:val="0"/>
          <w:color w:val="465EFF"/>
          <w:spacing w:val="20"/>
        </w:rPr>
        <w:t>Negócios</w:t>
      </w:r>
      <w:r>
        <w:rPr>
          <w:b w:val="0"/>
          <w:color w:val="465EFF"/>
          <w:spacing w:val="47"/>
        </w:rPr>
        <w:t> </w:t>
      </w:r>
      <w:r>
        <w:rPr>
          <w:b w:val="0"/>
          <w:color w:val="465EFF"/>
          <w:spacing w:val="16"/>
        </w:rPr>
        <w:t>Sustentáveis</w:t>
      </w:r>
    </w:p>
    <w:p>
      <w:pPr>
        <w:pStyle w:val="BodyText"/>
        <w:spacing w:line="321" w:lineRule="auto" w:before="171"/>
        <w:ind w:left="426" w:right="38"/>
        <w:jc w:val="both"/>
      </w:pPr>
      <w:r>
        <w:rPr>
          <w:color w:val="1B1B22"/>
        </w:rPr>
        <w:t>No</w:t>
      </w:r>
      <w:r>
        <w:rPr>
          <w:color w:val="1B1B22"/>
          <w:spacing w:val="-9"/>
        </w:rPr>
        <w:t> </w:t>
      </w:r>
      <w:r>
        <w:rPr>
          <w:color w:val="1B1B22"/>
        </w:rPr>
        <w:t>2T25,</w:t>
      </w:r>
      <w:r>
        <w:rPr>
          <w:color w:val="1B1B22"/>
          <w:spacing w:val="-9"/>
        </w:rPr>
        <w:t> </w:t>
      </w:r>
      <w:r>
        <w:rPr>
          <w:color w:val="1B1B22"/>
        </w:rPr>
        <w:t>o</w:t>
      </w:r>
      <w:r>
        <w:rPr>
          <w:color w:val="1B1B22"/>
          <w:spacing w:val="-9"/>
        </w:rPr>
        <w:t> </w:t>
      </w:r>
      <w:r>
        <w:rPr>
          <w:color w:val="1B1B22"/>
        </w:rPr>
        <w:t>saldo</w:t>
      </w:r>
      <w:r>
        <w:rPr>
          <w:color w:val="1B1B22"/>
          <w:spacing w:val="-7"/>
        </w:rPr>
        <w:t> </w:t>
      </w:r>
      <w:r>
        <w:rPr>
          <w:color w:val="1B1B22"/>
        </w:rPr>
        <w:t>da</w:t>
      </w:r>
      <w:r>
        <w:rPr>
          <w:color w:val="1B1B22"/>
          <w:spacing w:val="-10"/>
        </w:rPr>
        <w:t> </w:t>
      </w:r>
      <w:r>
        <w:rPr>
          <w:color w:val="1B1B22"/>
        </w:rPr>
        <w:t>carteira</w:t>
      </w:r>
      <w:r>
        <w:rPr>
          <w:color w:val="1B1B22"/>
          <w:spacing w:val="-10"/>
        </w:rPr>
        <w:t> </w:t>
      </w:r>
      <w:r>
        <w:rPr>
          <w:color w:val="1B1B22"/>
        </w:rPr>
        <w:t>de</w:t>
      </w:r>
      <w:r>
        <w:rPr>
          <w:color w:val="1B1B22"/>
          <w:spacing w:val="-9"/>
        </w:rPr>
        <w:t> </w:t>
      </w:r>
      <w:r>
        <w:rPr>
          <w:color w:val="1B1B22"/>
        </w:rPr>
        <w:t>crédito</w:t>
      </w:r>
      <w:r>
        <w:rPr>
          <w:color w:val="1B1B22"/>
          <w:spacing w:val="-9"/>
        </w:rPr>
        <w:t> </w:t>
      </w:r>
      <w:r>
        <w:rPr>
          <w:color w:val="1B1B22"/>
        </w:rPr>
        <w:t>sustentável </w:t>
      </w:r>
      <w:r>
        <w:rPr>
          <w:color w:val="1B1B22"/>
          <w:spacing w:val="-2"/>
        </w:rPr>
        <w:t>atingiu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R$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396,5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bilhões,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com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crescimento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de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10,6% </w:t>
      </w:r>
      <w:r>
        <w:rPr>
          <w:color w:val="1B1B22"/>
        </w:rPr>
        <w:t>em</w:t>
      </w:r>
      <w:r>
        <w:rPr>
          <w:color w:val="1B1B22"/>
          <w:spacing w:val="-9"/>
        </w:rPr>
        <w:t> </w:t>
      </w:r>
      <w:r>
        <w:rPr>
          <w:color w:val="1B1B22"/>
        </w:rPr>
        <w:t>12</w:t>
      </w:r>
      <w:r>
        <w:rPr>
          <w:color w:val="1B1B22"/>
          <w:spacing w:val="-9"/>
        </w:rPr>
        <w:t> </w:t>
      </w:r>
      <w:r>
        <w:rPr>
          <w:color w:val="1B1B22"/>
        </w:rPr>
        <w:t>meses,</w:t>
      </w:r>
      <w:r>
        <w:rPr>
          <w:color w:val="1B1B22"/>
          <w:spacing w:val="-9"/>
        </w:rPr>
        <w:t> </w:t>
      </w:r>
      <w:r>
        <w:rPr>
          <w:color w:val="1B1B22"/>
        </w:rPr>
        <w:t>refletindo</w:t>
      </w:r>
      <w:r>
        <w:rPr>
          <w:color w:val="1B1B22"/>
          <w:spacing w:val="-9"/>
        </w:rPr>
        <w:t> </w:t>
      </w:r>
      <w:r>
        <w:rPr>
          <w:color w:val="1B1B22"/>
        </w:rPr>
        <w:t>nosso</w:t>
      </w:r>
      <w:r>
        <w:rPr>
          <w:color w:val="1B1B22"/>
          <w:spacing w:val="-9"/>
        </w:rPr>
        <w:t> </w:t>
      </w:r>
      <w:r>
        <w:rPr>
          <w:color w:val="1B1B22"/>
        </w:rPr>
        <w:t>compromisso</w:t>
      </w:r>
      <w:r>
        <w:rPr>
          <w:color w:val="1B1B22"/>
          <w:spacing w:val="-9"/>
        </w:rPr>
        <w:t> </w:t>
      </w:r>
      <w:r>
        <w:rPr>
          <w:color w:val="1B1B22"/>
        </w:rPr>
        <w:t>com</w:t>
      </w:r>
      <w:r>
        <w:rPr>
          <w:color w:val="1B1B22"/>
          <w:spacing w:val="-9"/>
        </w:rPr>
        <w:t> </w:t>
      </w:r>
      <w:r>
        <w:rPr>
          <w:color w:val="1B1B22"/>
        </w:rPr>
        <w:t>a transição</w:t>
      </w:r>
      <w:r>
        <w:rPr>
          <w:color w:val="1B1B22"/>
          <w:spacing w:val="-1"/>
        </w:rPr>
        <w:t> </w:t>
      </w:r>
      <w:r>
        <w:rPr>
          <w:color w:val="1B1B22"/>
        </w:rPr>
        <w:t>para</w:t>
      </w:r>
      <w:r>
        <w:rPr>
          <w:color w:val="1B1B22"/>
          <w:spacing w:val="-2"/>
        </w:rPr>
        <w:t> </w:t>
      </w:r>
      <w:r>
        <w:rPr>
          <w:color w:val="1B1B22"/>
        </w:rPr>
        <w:t>uma</w:t>
      </w:r>
      <w:r>
        <w:rPr>
          <w:color w:val="1B1B22"/>
          <w:spacing w:val="-2"/>
        </w:rPr>
        <w:t> </w:t>
      </w:r>
      <w:r>
        <w:rPr>
          <w:color w:val="1B1B22"/>
        </w:rPr>
        <w:t>economia mais sustentável. Os recursos foram destinados a setores com impacto </w:t>
      </w:r>
      <w:r>
        <w:rPr>
          <w:color w:val="1B1B22"/>
          <w:spacing w:val="-2"/>
        </w:rPr>
        <w:t>socioambiental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positivo,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como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energias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renováveis, </w:t>
      </w:r>
      <w:r>
        <w:rPr>
          <w:color w:val="1B1B22"/>
        </w:rPr>
        <w:t>agricultura sustentável, saúde e educação.</w:t>
      </w:r>
    </w:p>
    <w:p>
      <w:pPr>
        <w:pStyle w:val="BodyText"/>
        <w:spacing w:line="321" w:lineRule="auto" w:before="115"/>
        <w:ind w:left="426" w:right="39"/>
        <w:jc w:val="both"/>
      </w:pPr>
      <w:r>
        <w:rPr>
          <w:color w:val="1B1B22"/>
        </w:rPr>
        <w:t>A Carteira de Crédito Sustentável passa por avaliação independente, baseada em taxonomias ASG nacionais e internacionais. A metodologia é continuamente atualizada para incorporar boas práticas e incluir novos produtos com atributos </w:t>
      </w:r>
      <w:r>
        <w:rPr>
          <w:color w:val="1B1B22"/>
          <w:spacing w:val="-4"/>
        </w:rPr>
        <w:t>ASG.</w:t>
      </w:r>
    </w:p>
    <w:p>
      <w:pPr>
        <w:pStyle w:val="Heading2"/>
        <w:ind w:left="427"/>
        <w:rPr>
          <w:b w:val="0"/>
        </w:rPr>
      </w:pPr>
      <w:r>
        <w:rPr>
          <w:b w:val="0"/>
          <w:color w:val="465EFF"/>
          <w:spacing w:val="17"/>
        </w:rPr>
        <w:t>Mercado</w:t>
      </w:r>
      <w:r>
        <w:rPr>
          <w:b w:val="0"/>
          <w:color w:val="465EFF"/>
          <w:spacing w:val="48"/>
        </w:rPr>
        <w:t> </w:t>
      </w:r>
      <w:r>
        <w:rPr>
          <w:b w:val="0"/>
          <w:color w:val="465EFF"/>
          <w:spacing w:val="11"/>
        </w:rPr>
        <w:t>de</w:t>
      </w:r>
      <w:r>
        <w:rPr>
          <w:b w:val="0"/>
          <w:color w:val="465EFF"/>
          <w:spacing w:val="52"/>
        </w:rPr>
        <w:t> </w:t>
      </w:r>
      <w:r>
        <w:rPr>
          <w:b w:val="0"/>
          <w:color w:val="465EFF"/>
          <w:spacing w:val="17"/>
        </w:rPr>
        <w:t>Carbono</w:t>
      </w:r>
    </w:p>
    <w:p>
      <w:pPr>
        <w:pStyle w:val="BodyText"/>
        <w:spacing w:line="321" w:lineRule="auto" w:before="249"/>
        <w:ind w:left="426" w:right="38"/>
        <w:jc w:val="both"/>
      </w:pPr>
      <w:r>
        <w:rPr>
          <w:color w:val="1B1B22"/>
          <w:spacing w:val="-2"/>
        </w:rPr>
        <w:t>Reforçamos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a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nossa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atuação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no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mercado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voluntário </w:t>
      </w:r>
      <w:r>
        <w:rPr>
          <w:color w:val="1B1B22"/>
        </w:rPr>
        <w:t>de carbono, apoiando clientes na criação de projetos com alta adicionalidade ambiental, inventários de emissões de GEE, planos de descarbonização</w:t>
      </w:r>
      <w:r>
        <w:rPr>
          <w:color w:val="1B1B22"/>
          <w:spacing w:val="22"/>
        </w:rPr>
        <w:t> </w:t>
      </w:r>
      <w:r>
        <w:rPr>
          <w:color w:val="1B1B22"/>
        </w:rPr>
        <w:t>e</w:t>
      </w:r>
      <w:r>
        <w:rPr>
          <w:color w:val="1B1B22"/>
          <w:spacing w:val="20"/>
        </w:rPr>
        <w:t> </w:t>
      </w:r>
      <w:r>
        <w:rPr>
          <w:color w:val="1B1B22"/>
        </w:rPr>
        <w:t>oferta</w:t>
      </w:r>
      <w:r>
        <w:rPr>
          <w:color w:val="1B1B22"/>
          <w:spacing w:val="22"/>
        </w:rPr>
        <w:t> </w:t>
      </w:r>
      <w:r>
        <w:rPr>
          <w:color w:val="1B1B22"/>
        </w:rPr>
        <w:t>de</w:t>
      </w:r>
      <w:r>
        <w:rPr>
          <w:color w:val="1B1B22"/>
          <w:spacing w:val="20"/>
        </w:rPr>
        <w:t> </w:t>
      </w:r>
      <w:r>
        <w:rPr>
          <w:color w:val="1B1B22"/>
        </w:rPr>
        <w:t>créditos</w:t>
      </w:r>
      <w:r>
        <w:rPr>
          <w:color w:val="1B1B22"/>
          <w:spacing w:val="22"/>
        </w:rPr>
        <w:t> </w:t>
      </w:r>
      <w:r>
        <w:rPr>
          <w:color w:val="1B1B22"/>
        </w:rPr>
        <w:t>de</w:t>
      </w:r>
      <w:r>
        <w:rPr>
          <w:color w:val="1B1B22"/>
          <w:spacing w:val="20"/>
        </w:rPr>
        <w:t> </w:t>
      </w:r>
      <w:r>
        <w:rPr>
          <w:color w:val="1B1B22"/>
          <w:spacing w:val="-2"/>
        </w:rPr>
        <w:t>carbono</w:t>
      </w:r>
    </w:p>
    <w:p>
      <w:pPr>
        <w:pStyle w:val="BodyText"/>
        <w:spacing w:line="321" w:lineRule="auto" w:before="64"/>
        <w:ind w:left="426" w:right="141"/>
        <w:jc w:val="both"/>
      </w:pPr>
      <w:r>
        <w:rPr/>
        <w:br w:type="column"/>
      </w:r>
      <w:r>
        <w:rPr>
          <w:color w:val="1B1B22"/>
        </w:rPr>
        <w:t>para compensação de emissões não mitigadas. Também promove a intermediação entre compradores e vendedores de créditos e oferece linhas específicas para projetos de energia renovável e eficiência energética.</w:t>
      </w:r>
    </w:p>
    <w:p>
      <w:pPr>
        <w:pStyle w:val="BodyText"/>
        <w:spacing w:line="321" w:lineRule="auto" w:before="119"/>
        <w:ind w:left="426" w:right="141"/>
        <w:jc w:val="both"/>
      </w:pPr>
      <w:r>
        <w:rPr>
          <w:color w:val="1B1B22"/>
        </w:rPr>
        <w:t>Até junho de 2025, o Banco apoiou a preservação ou reflorestamento de mais de 850 mil hectares por meio de projetos de carbono e operações de crédito. Os projetos de conservação florestal (REDD+)</w:t>
      </w:r>
      <w:r>
        <w:rPr>
          <w:color w:val="1B1B22"/>
          <w:spacing w:val="-13"/>
        </w:rPr>
        <w:t> </w:t>
      </w:r>
      <w:r>
        <w:rPr>
          <w:color w:val="1B1B22"/>
        </w:rPr>
        <w:t>aliam</w:t>
      </w:r>
      <w:r>
        <w:rPr>
          <w:color w:val="1B1B22"/>
          <w:spacing w:val="-12"/>
        </w:rPr>
        <w:t> </w:t>
      </w:r>
      <w:r>
        <w:rPr>
          <w:color w:val="1B1B22"/>
        </w:rPr>
        <w:t>preservação</w:t>
      </w:r>
      <w:r>
        <w:rPr>
          <w:color w:val="1B1B22"/>
          <w:spacing w:val="-13"/>
        </w:rPr>
        <w:t> </w:t>
      </w:r>
      <w:r>
        <w:rPr>
          <w:color w:val="1B1B22"/>
        </w:rPr>
        <w:t>ambiental</w:t>
      </w:r>
      <w:r>
        <w:rPr>
          <w:color w:val="1B1B22"/>
          <w:spacing w:val="-12"/>
        </w:rPr>
        <w:t> </w:t>
      </w:r>
      <w:r>
        <w:rPr>
          <w:color w:val="1B1B22"/>
        </w:rPr>
        <w:t>à</w:t>
      </w:r>
      <w:r>
        <w:rPr>
          <w:color w:val="1B1B22"/>
          <w:spacing w:val="-12"/>
        </w:rPr>
        <w:t> </w:t>
      </w:r>
      <w:r>
        <w:rPr>
          <w:color w:val="1B1B22"/>
        </w:rPr>
        <w:t>geração</w:t>
      </w:r>
      <w:r>
        <w:rPr>
          <w:color w:val="1B1B22"/>
          <w:spacing w:val="-13"/>
        </w:rPr>
        <w:t> </w:t>
      </w:r>
      <w:r>
        <w:rPr>
          <w:color w:val="1B1B22"/>
        </w:rPr>
        <w:t>de </w:t>
      </w:r>
      <w:r>
        <w:rPr>
          <w:color w:val="1B1B22"/>
          <w:spacing w:val="-2"/>
        </w:rPr>
        <w:t>renda.</w:t>
      </w:r>
    </w:p>
    <w:p>
      <w:pPr>
        <w:pStyle w:val="BodyText"/>
        <w:spacing w:line="321" w:lineRule="auto" w:before="115"/>
        <w:ind w:left="426" w:right="141"/>
        <w:jc w:val="both"/>
      </w:pPr>
      <w:r>
        <w:rPr>
          <w:color w:val="1B1B22"/>
        </w:rPr>
        <w:t>Para</w:t>
      </w:r>
      <w:r>
        <w:rPr>
          <w:color w:val="1B1B22"/>
          <w:spacing w:val="-12"/>
        </w:rPr>
        <w:t> </w:t>
      </w:r>
      <w:r>
        <w:rPr>
          <w:color w:val="1B1B22"/>
        </w:rPr>
        <w:t>diversificar</w:t>
      </w:r>
      <w:r>
        <w:rPr>
          <w:color w:val="1B1B22"/>
          <w:spacing w:val="-11"/>
        </w:rPr>
        <w:t> </w:t>
      </w:r>
      <w:r>
        <w:rPr>
          <w:color w:val="1B1B22"/>
        </w:rPr>
        <w:t>a</w:t>
      </w:r>
      <w:r>
        <w:rPr>
          <w:color w:val="1B1B22"/>
          <w:spacing w:val="-13"/>
        </w:rPr>
        <w:t> </w:t>
      </w:r>
      <w:r>
        <w:rPr>
          <w:color w:val="1B1B22"/>
        </w:rPr>
        <w:t>geração</w:t>
      </w:r>
      <w:r>
        <w:rPr>
          <w:color w:val="1B1B22"/>
          <w:spacing w:val="-10"/>
        </w:rPr>
        <w:t> </w:t>
      </w:r>
      <w:r>
        <w:rPr>
          <w:color w:val="1B1B22"/>
        </w:rPr>
        <w:t>de</w:t>
      </w:r>
      <w:r>
        <w:rPr>
          <w:color w:val="1B1B22"/>
          <w:spacing w:val="-12"/>
        </w:rPr>
        <w:t> </w:t>
      </w:r>
      <w:r>
        <w:rPr>
          <w:color w:val="1B1B22"/>
        </w:rPr>
        <w:t>créditos,</w:t>
      </w:r>
      <w:r>
        <w:rPr>
          <w:color w:val="1B1B22"/>
          <w:spacing w:val="-12"/>
        </w:rPr>
        <w:t> </w:t>
      </w:r>
      <w:r>
        <w:rPr>
          <w:color w:val="1B1B22"/>
        </w:rPr>
        <w:t>o</w:t>
      </w:r>
      <w:r>
        <w:rPr>
          <w:color w:val="1B1B22"/>
          <w:spacing w:val="-12"/>
        </w:rPr>
        <w:t> </w:t>
      </w:r>
      <w:r>
        <w:rPr>
          <w:color w:val="1B1B22"/>
        </w:rPr>
        <w:t>BB</w:t>
      </w:r>
      <w:r>
        <w:rPr>
          <w:color w:val="1B1B22"/>
          <w:spacing w:val="-12"/>
        </w:rPr>
        <w:t> </w:t>
      </w:r>
      <w:r>
        <w:rPr>
          <w:color w:val="1B1B22"/>
        </w:rPr>
        <w:t>lançou, em</w:t>
      </w:r>
      <w:r>
        <w:rPr>
          <w:color w:val="1B1B22"/>
          <w:spacing w:val="-13"/>
        </w:rPr>
        <w:t> </w:t>
      </w:r>
      <w:r>
        <w:rPr>
          <w:color w:val="1B1B22"/>
        </w:rPr>
        <w:t>junho</w:t>
      </w:r>
      <w:r>
        <w:rPr>
          <w:color w:val="1B1B22"/>
          <w:spacing w:val="-12"/>
        </w:rPr>
        <w:t> </w:t>
      </w:r>
      <w:r>
        <w:rPr>
          <w:color w:val="1B1B22"/>
        </w:rPr>
        <w:t>de</w:t>
      </w:r>
      <w:r>
        <w:rPr>
          <w:color w:val="1B1B22"/>
          <w:spacing w:val="-13"/>
        </w:rPr>
        <w:t> </w:t>
      </w:r>
      <w:r>
        <w:rPr>
          <w:color w:val="1B1B22"/>
        </w:rPr>
        <w:t>2024,</w:t>
      </w:r>
      <w:r>
        <w:rPr>
          <w:color w:val="1B1B22"/>
          <w:spacing w:val="-12"/>
        </w:rPr>
        <w:t> </w:t>
      </w:r>
      <w:r>
        <w:rPr>
          <w:color w:val="1B1B22"/>
        </w:rPr>
        <w:t>o</w:t>
      </w:r>
      <w:r>
        <w:rPr>
          <w:color w:val="1B1B22"/>
          <w:spacing w:val="-12"/>
        </w:rPr>
        <w:t> </w:t>
      </w:r>
      <w:r>
        <w:rPr>
          <w:color w:val="1B1B22"/>
        </w:rPr>
        <w:t>Programa</w:t>
      </w:r>
      <w:r>
        <w:rPr>
          <w:color w:val="1B1B22"/>
          <w:spacing w:val="-13"/>
        </w:rPr>
        <w:t> </w:t>
      </w:r>
      <w:r>
        <w:rPr>
          <w:color w:val="1B1B22"/>
        </w:rPr>
        <w:t>de</w:t>
      </w:r>
      <w:r>
        <w:rPr>
          <w:color w:val="1B1B22"/>
          <w:spacing w:val="-12"/>
        </w:rPr>
        <w:t> </w:t>
      </w:r>
      <w:r>
        <w:rPr>
          <w:color w:val="1B1B22"/>
        </w:rPr>
        <w:t>Biogás,</w:t>
      </w:r>
      <w:r>
        <w:rPr>
          <w:color w:val="1B1B22"/>
          <w:spacing w:val="-12"/>
        </w:rPr>
        <w:t> </w:t>
      </w:r>
      <w:r>
        <w:rPr>
          <w:color w:val="1B1B22"/>
        </w:rPr>
        <w:t>voltado</w:t>
      </w:r>
      <w:r>
        <w:rPr>
          <w:color w:val="1B1B22"/>
          <w:spacing w:val="-13"/>
        </w:rPr>
        <w:t> </w:t>
      </w:r>
      <w:r>
        <w:rPr>
          <w:color w:val="1B1B22"/>
        </w:rPr>
        <w:t>à produção de biogás e biometano na agropecuária.</w:t>
      </w:r>
    </w:p>
    <w:p>
      <w:pPr>
        <w:pStyle w:val="BodyText"/>
        <w:spacing w:line="321" w:lineRule="auto" w:before="119"/>
        <w:ind w:left="426" w:right="141"/>
        <w:jc w:val="both"/>
      </w:pPr>
      <w:r>
        <w:rPr>
          <w:color w:val="1B1B22"/>
        </w:rPr>
        <w:t>Rumo à COP30, o BB também fortalece a descarbonização com a emissão de mais de R$ 729 milhões em CPRs lastreadas em Créditos de Descarbonização</w:t>
      </w:r>
      <w:r>
        <w:rPr>
          <w:color w:val="1B1B22"/>
          <w:spacing w:val="-12"/>
        </w:rPr>
        <w:t> </w:t>
      </w:r>
      <w:r>
        <w:rPr>
          <w:color w:val="1B1B22"/>
        </w:rPr>
        <w:t>(CBIOs),</w:t>
      </w:r>
      <w:r>
        <w:rPr>
          <w:color w:val="1B1B22"/>
          <w:spacing w:val="-10"/>
        </w:rPr>
        <w:t> </w:t>
      </w:r>
      <w:r>
        <w:rPr>
          <w:color w:val="1B1B22"/>
        </w:rPr>
        <w:t>incentivando</w:t>
      </w:r>
      <w:r>
        <w:rPr>
          <w:color w:val="1B1B22"/>
          <w:spacing w:val="-12"/>
        </w:rPr>
        <w:t> </w:t>
      </w:r>
      <w:r>
        <w:rPr>
          <w:color w:val="1B1B22"/>
        </w:rPr>
        <w:t>a</w:t>
      </w:r>
      <w:r>
        <w:rPr>
          <w:color w:val="1B1B22"/>
          <w:spacing w:val="-13"/>
        </w:rPr>
        <w:t> </w:t>
      </w:r>
      <w:r>
        <w:rPr>
          <w:color w:val="1B1B22"/>
        </w:rPr>
        <w:t>produção de biocombustíveis e a adesão ao programa RenovaBio, que contribui para a segurança energética</w:t>
      </w:r>
      <w:r>
        <w:rPr>
          <w:color w:val="1B1B22"/>
          <w:spacing w:val="-6"/>
        </w:rPr>
        <w:t> </w:t>
      </w:r>
      <w:r>
        <w:rPr>
          <w:color w:val="1B1B22"/>
        </w:rPr>
        <w:t>e</w:t>
      </w:r>
      <w:r>
        <w:rPr>
          <w:color w:val="1B1B22"/>
          <w:spacing w:val="-5"/>
        </w:rPr>
        <w:t> </w:t>
      </w:r>
      <w:r>
        <w:rPr>
          <w:color w:val="1B1B22"/>
        </w:rPr>
        <w:t>os</w:t>
      </w:r>
      <w:r>
        <w:rPr>
          <w:color w:val="1B1B22"/>
          <w:spacing w:val="-3"/>
        </w:rPr>
        <w:t> </w:t>
      </w:r>
      <w:r>
        <w:rPr>
          <w:color w:val="1B1B22"/>
        </w:rPr>
        <w:t>compromissos</w:t>
      </w:r>
      <w:r>
        <w:rPr>
          <w:color w:val="1B1B22"/>
          <w:spacing w:val="-3"/>
        </w:rPr>
        <w:t> </w:t>
      </w:r>
      <w:r>
        <w:rPr>
          <w:color w:val="1B1B22"/>
        </w:rPr>
        <w:t>climáticos</w:t>
      </w:r>
      <w:r>
        <w:rPr>
          <w:color w:val="1B1B22"/>
          <w:spacing w:val="-3"/>
        </w:rPr>
        <w:t> </w:t>
      </w:r>
      <w:r>
        <w:rPr>
          <w:color w:val="1B1B22"/>
        </w:rPr>
        <w:t>do</w:t>
      </w:r>
      <w:r>
        <w:rPr>
          <w:color w:val="1B1B22"/>
          <w:spacing w:val="-5"/>
        </w:rPr>
        <w:t> </w:t>
      </w:r>
      <w:r>
        <w:rPr>
          <w:color w:val="1B1B22"/>
        </w:rPr>
        <w:t>Brasil.</w:t>
      </w:r>
    </w:p>
    <w:p>
      <w:pPr>
        <w:pStyle w:val="BodyText"/>
        <w:spacing w:after="0" w:line="321" w:lineRule="auto"/>
        <w:jc w:val="both"/>
        <w:sectPr>
          <w:type w:val="continuous"/>
          <w:pgSz w:w="11910" w:h="16850"/>
          <w:pgMar w:header="152" w:footer="572" w:top="1920" w:bottom="280" w:left="425" w:right="708"/>
          <w:cols w:num="2" w:equalWidth="0">
            <w:col w:w="5215" w:space="240"/>
            <w:col w:w="5322"/>
          </w:cols>
        </w:sectPr>
      </w:pPr>
    </w:p>
    <w:p>
      <w:pPr>
        <w:pStyle w:val="BodyText"/>
        <w:spacing w:before="425"/>
        <w:rPr>
          <w:sz w:val="44"/>
        </w:rPr>
      </w:pPr>
    </w:p>
    <w:p>
      <w:pPr>
        <w:pStyle w:val="Heading1"/>
      </w:pPr>
      <w:r>
        <w:rPr>
          <w:color w:val="465EFF"/>
          <w:spacing w:val="34"/>
        </w:rPr>
        <w:t>Diversidade,</w:t>
      </w:r>
      <w:r>
        <w:rPr>
          <w:color w:val="465EFF"/>
          <w:spacing w:val="-26"/>
        </w:rPr>
        <w:t> </w:t>
      </w:r>
      <w:r>
        <w:rPr>
          <w:color w:val="465EFF"/>
          <w:spacing w:val="34"/>
        </w:rPr>
        <w:t>Equidade</w:t>
      </w:r>
      <w:r>
        <w:rPr>
          <w:color w:val="465EFF"/>
          <w:spacing w:val="63"/>
        </w:rPr>
        <w:t> </w:t>
      </w:r>
      <w:r>
        <w:rPr>
          <w:color w:val="465EFF"/>
        </w:rPr>
        <w:t>e</w:t>
      </w:r>
      <w:r>
        <w:rPr>
          <w:color w:val="465EFF"/>
          <w:spacing w:val="63"/>
        </w:rPr>
        <w:t> </w:t>
      </w:r>
      <w:r>
        <w:rPr>
          <w:color w:val="465EFF"/>
          <w:spacing w:val="30"/>
        </w:rPr>
        <w:t>Inclusão</w:t>
      </w:r>
    </w:p>
    <w:p>
      <w:pPr>
        <w:pStyle w:val="BodyText"/>
        <w:spacing w:before="2"/>
        <w:rPr>
          <w:rFonts w:ascii="BancoDoBrasil Titulos"/>
        </w:rPr>
      </w:pPr>
    </w:p>
    <w:p>
      <w:pPr>
        <w:pStyle w:val="BodyText"/>
        <w:spacing w:after="0"/>
        <w:rPr>
          <w:rFonts w:ascii="BancoDoBrasil Titulos"/>
        </w:rPr>
        <w:sectPr>
          <w:pgSz w:w="11910" w:h="16850"/>
          <w:pgMar w:header="152" w:footer="572" w:top="900" w:bottom="780" w:left="425" w:right="708"/>
        </w:sectPr>
      </w:pPr>
    </w:p>
    <w:p>
      <w:pPr>
        <w:pStyle w:val="BodyText"/>
        <w:spacing w:line="321" w:lineRule="auto" w:before="78"/>
        <w:ind w:left="426" w:right="38"/>
        <w:jc w:val="both"/>
      </w:pPr>
      <w:r>
        <w:rPr>
          <w:color w:val="1B1B22"/>
        </w:rPr>
        <w:t>Continuamos engajados com a Diversidade. Atualmente, as mulheres representam 44% do Conselho Diretor (CD) e 50% do Conselho de Administração (CA). Além disso, dois membros se autodeclaram negros tanto no CD quanto no CA. Dois membros do CD e um do CA</w:t>
      </w:r>
      <w:r>
        <w:rPr>
          <w:color w:val="1B1B22"/>
          <w:spacing w:val="-1"/>
        </w:rPr>
        <w:t> </w:t>
      </w:r>
      <w:r>
        <w:rPr>
          <w:color w:val="1B1B22"/>
        </w:rPr>
        <w:t>se autodeclaram pertencentes</w:t>
      </w:r>
      <w:r>
        <w:rPr>
          <w:color w:val="1B1B22"/>
          <w:spacing w:val="-5"/>
        </w:rPr>
        <w:t> </w:t>
      </w:r>
      <w:r>
        <w:rPr>
          <w:color w:val="1B1B22"/>
        </w:rPr>
        <w:t>à</w:t>
      </w:r>
      <w:r>
        <w:rPr>
          <w:color w:val="1B1B22"/>
          <w:spacing w:val="-7"/>
        </w:rPr>
        <w:t> </w:t>
      </w:r>
      <w:r>
        <w:rPr>
          <w:color w:val="1B1B22"/>
        </w:rPr>
        <w:t>comunidade</w:t>
      </w:r>
      <w:r>
        <w:rPr>
          <w:color w:val="1B1B22"/>
          <w:spacing w:val="-6"/>
        </w:rPr>
        <w:t> </w:t>
      </w:r>
      <w:r>
        <w:rPr>
          <w:color w:val="1B1B22"/>
        </w:rPr>
        <w:t>LGBTQIAPN+.</w:t>
      </w:r>
      <w:r>
        <w:rPr>
          <w:color w:val="1B1B22"/>
          <w:spacing w:val="-6"/>
        </w:rPr>
        <w:t> </w:t>
      </w:r>
      <w:r>
        <w:rPr>
          <w:color w:val="1B1B22"/>
        </w:rPr>
        <w:t>Por</w:t>
      </w:r>
      <w:r>
        <w:rPr>
          <w:color w:val="1B1B22"/>
          <w:spacing w:val="-6"/>
        </w:rPr>
        <w:t> </w:t>
      </w:r>
      <w:r>
        <w:rPr>
          <w:color w:val="1B1B22"/>
        </w:rPr>
        <w:t>fim, o CA também inclui um membro autodeclarado como pessoa com deficiência (PCD).</w:t>
      </w:r>
    </w:p>
    <w:p>
      <w:pPr>
        <w:pStyle w:val="BodyText"/>
        <w:spacing w:line="319" w:lineRule="auto" w:before="115"/>
        <w:ind w:left="426" w:right="39"/>
        <w:jc w:val="both"/>
      </w:pPr>
      <w:r>
        <w:rPr>
          <w:color w:val="1B1B22"/>
        </w:rPr>
        <w:t>Possuímos um dos quadros de funcionários mais diversos</w:t>
      </w:r>
      <w:r>
        <w:rPr>
          <w:color w:val="1B1B22"/>
          <w:spacing w:val="-13"/>
        </w:rPr>
        <w:t> </w:t>
      </w:r>
      <w:r>
        <w:rPr>
          <w:color w:val="1B1B22"/>
        </w:rPr>
        <w:t>do</w:t>
      </w:r>
      <w:r>
        <w:rPr>
          <w:color w:val="1B1B22"/>
          <w:spacing w:val="-12"/>
        </w:rPr>
        <w:t> </w:t>
      </w:r>
      <w:r>
        <w:rPr>
          <w:color w:val="1B1B22"/>
        </w:rPr>
        <w:t>mercado,</w:t>
      </w:r>
      <w:r>
        <w:rPr>
          <w:color w:val="1B1B22"/>
          <w:spacing w:val="-13"/>
        </w:rPr>
        <w:t> </w:t>
      </w:r>
      <w:r>
        <w:rPr>
          <w:color w:val="1B1B22"/>
        </w:rPr>
        <w:t>chancelado</w:t>
      </w:r>
      <w:r>
        <w:rPr>
          <w:color w:val="1B1B22"/>
          <w:spacing w:val="-12"/>
        </w:rPr>
        <w:t> </w:t>
      </w:r>
      <w:r>
        <w:rPr>
          <w:color w:val="1B1B22"/>
        </w:rPr>
        <w:t>pela</w:t>
      </w:r>
      <w:r>
        <w:rPr>
          <w:color w:val="1B1B22"/>
          <w:spacing w:val="-12"/>
        </w:rPr>
        <w:t> </w:t>
      </w:r>
      <w:r>
        <w:rPr>
          <w:color w:val="1B1B22"/>
        </w:rPr>
        <w:t>B3,</w:t>
      </w:r>
      <w:r>
        <w:rPr>
          <w:color w:val="1B1B22"/>
          <w:spacing w:val="-13"/>
        </w:rPr>
        <w:t> </w:t>
      </w:r>
      <w:r>
        <w:rPr>
          <w:color w:val="1B1B22"/>
        </w:rPr>
        <w:t>por</w:t>
      </w:r>
      <w:r>
        <w:rPr>
          <w:color w:val="1B1B22"/>
          <w:spacing w:val="-12"/>
        </w:rPr>
        <w:t> </w:t>
      </w:r>
      <w:r>
        <w:rPr>
          <w:color w:val="1B1B22"/>
        </w:rPr>
        <w:t>meio do iDiversa.</w:t>
      </w:r>
    </w:p>
    <w:p>
      <w:pPr>
        <w:pStyle w:val="BodyText"/>
        <w:spacing w:line="321" w:lineRule="auto" w:before="124"/>
        <w:ind w:left="426" w:right="39"/>
        <w:jc w:val="both"/>
      </w:pPr>
      <w:r>
        <w:rPr>
          <w:color w:val="1B1B22"/>
        </w:rPr>
        <w:t>Em abril, realizamos diálogos com lideranças indígenas sobre a preservação dos territórios e da cultura, resultando em propostas de parcerias e ações</w:t>
      </w:r>
      <w:r>
        <w:rPr>
          <w:color w:val="1B1B22"/>
          <w:spacing w:val="-8"/>
        </w:rPr>
        <w:t> </w:t>
      </w:r>
      <w:r>
        <w:rPr>
          <w:color w:val="1B1B22"/>
        </w:rPr>
        <w:t>conjuntas.</w:t>
      </w:r>
      <w:r>
        <w:rPr>
          <w:color w:val="1B1B22"/>
          <w:spacing w:val="-9"/>
        </w:rPr>
        <w:t> </w:t>
      </w:r>
      <w:r>
        <w:rPr>
          <w:color w:val="1B1B22"/>
        </w:rPr>
        <w:t>Foram</w:t>
      </w:r>
      <w:r>
        <w:rPr>
          <w:color w:val="1B1B22"/>
          <w:spacing w:val="-10"/>
        </w:rPr>
        <w:t> </w:t>
      </w:r>
      <w:r>
        <w:rPr>
          <w:color w:val="1B1B22"/>
        </w:rPr>
        <w:t>discutidas</w:t>
      </w:r>
      <w:r>
        <w:rPr>
          <w:color w:val="1B1B22"/>
          <w:spacing w:val="-8"/>
        </w:rPr>
        <w:t> </w:t>
      </w:r>
      <w:r>
        <w:rPr>
          <w:color w:val="1B1B22"/>
        </w:rPr>
        <w:t>iniciativas</w:t>
      </w:r>
      <w:r>
        <w:rPr>
          <w:color w:val="1B1B22"/>
          <w:spacing w:val="-8"/>
        </w:rPr>
        <w:t> </w:t>
      </w:r>
      <w:r>
        <w:rPr>
          <w:color w:val="1B1B22"/>
        </w:rPr>
        <w:t>com</w:t>
      </w:r>
      <w:r>
        <w:rPr>
          <w:color w:val="1B1B22"/>
          <w:spacing w:val="-10"/>
        </w:rPr>
        <w:t> </w:t>
      </w:r>
      <w:r>
        <w:rPr>
          <w:color w:val="1B1B22"/>
        </w:rPr>
        <w:t>o povo Kayapó nas áreas de crédito de carbono, agricultura familiar, recuperação de áreas degradadas,</w:t>
      </w:r>
      <w:r>
        <w:rPr>
          <w:color w:val="1B1B22"/>
          <w:spacing w:val="-5"/>
        </w:rPr>
        <w:t> </w:t>
      </w:r>
      <w:r>
        <w:rPr>
          <w:color w:val="1B1B22"/>
        </w:rPr>
        <w:t>crédito,</w:t>
      </w:r>
      <w:r>
        <w:rPr>
          <w:color w:val="1B1B22"/>
          <w:spacing w:val="-5"/>
        </w:rPr>
        <w:t> </w:t>
      </w:r>
      <w:r>
        <w:rPr>
          <w:color w:val="1B1B22"/>
        </w:rPr>
        <w:t>tecnologias</w:t>
      </w:r>
      <w:r>
        <w:rPr>
          <w:color w:val="1B1B22"/>
          <w:spacing w:val="-4"/>
        </w:rPr>
        <w:t> </w:t>
      </w:r>
      <w:r>
        <w:rPr>
          <w:color w:val="1B1B22"/>
        </w:rPr>
        <w:t>sociais</w:t>
      </w:r>
      <w:r>
        <w:rPr>
          <w:color w:val="1B1B22"/>
          <w:spacing w:val="-4"/>
        </w:rPr>
        <w:t> </w:t>
      </w:r>
      <w:r>
        <w:rPr>
          <w:color w:val="1B1B22"/>
        </w:rPr>
        <w:t>e</w:t>
      </w:r>
      <w:r>
        <w:rPr>
          <w:color w:val="1B1B22"/>
          <w:spacing w:val="-6"/>
        </w:rPr>
        <w:t> </w:t>
      </w:r>
      <w:r>
        <w:rPr>
          <w:color w:val="1B1B22"/>
        </w:rPr>
        <w:t>projetos </w:t>
      </w:r>
      <w:r>
        <w:rPr>
          <w:color w:val="1B1B22"/>
          <w:spacing w:val="-2"/>
        </w:rPr>
        <w:t>sustentáveis.</w:t>
      </w:r>
    </w:p>
    <w:p>
      <w:pPr>
        <w:pStyle w:val="BodyText"/>
        <w:spacing w:line="321" w:lineRule="auto" w:before="115"/>
        <w:ind w:left="426" w:right="38"/>
        <w:jc w:val="both"/>
      </w:pPr>
      <w:r>
        <w:rPr>
          <w:color w:val="1B1B22"/>
        </w:rPr>
        <w:t>Em maio, anunciamos a parceria com o LinkedIn com</w:t>
      </w:r>
      <w:r>
        <w:rPr>
          <w:color w:val="1B1B22"/>
          <w:spacing w:val="-8"/>
        </w:rPr>
        <w:t> </w:t>
      </w:r>
      <w:r>
        <w:rPr>
          <w:color w:val="1B1B22"/>
        </w:rPr>
        <w:t>o</w:t>
      </w:r>
      <w:r>
        <w:rPr>
          <w:color w:val="1B1B22"/>
          <w:spacing w:val="-8"/>
        </w:rPr>
        <w:t> </w:t>
      </w:r>
      <w:r>
        <w:rPr>
          <w:color w:val="1B1B22"/>
        </w:rPr>
        <w:t>objetivo</w:t>
      </w:r>
      <w:r>
        <w:rPr>
          <w:color w:val="1B1B22"/>
          <w:spacing w:val="-8"/>
        </w:rPr>
        <w:t> </w:t>
      </w:r>
      <w:r>
        <w:rPr>
          <w:color w:val="1B1B22"/>
        </w:rPr>
        <w:t>de</w:t>
      </w:r>
      <w:r>
        <w:rPr>
          <w:color w:val="1B1B22"/>
          <w:spacing w:val="-8"/>
        </w:rPr>
        <w:t> </w:t>
      </w:r>
      <w:r>
        <w:rPr>
          <w:color w:val="1B1B22"/>
        </w:rPr>
        <w:t>fortalecer</w:t>
      </w:r>
      <w:r>
        <w:rPr>
          <w:color w:val="1B1B22"/>
          <w:spacing w:val="-8"/>
        </w:rPr>
        <w:t> </w:t>
      </w:r>
      <w:r>
        <w:rPr>
          <w:color w:val="1B1B22"/>
        </w:rPr>
        <w:t>o</w:t>
      </w:r>
      <w:r>
        <w:rPr>
          <w:color w:val="1B1B22"/>
          <w:spacing w:val="-8"/>
        </w:rPr>
        <w:t> </w:t>
      </w:r>
      <w:r>
        <w:rPr>
          <w:color w:val="1B1B22"/>
        </w:rPr>
        <w:t>programa</w:t>
      </w:r>
      <w:r>
        <w:rPr>
          <w:color w:val="1B1B22"/>
          <w:spacing w:val="-9"/>
        </w:rPr>
        <w:t> </w:t>
      </w:r>
      <w:r>
        <w:rPr>
          <w:color w:val="1B1B22"/>
        </w:rPr>
        <w:t>Mulheres no</w:t>
      </w:r>
      <w:r>
        <w:rPr>
          <w:color w:val="1B1B22"/>
          <w:spacing w:val="-13"/>
        </w:rPr>
        <w:t> </w:t>
      </w:r>
      <w:r>
        <w:rPr>
          <w:color w:val="1B1B22"/>
        </w:rPr>
        <w:t>Topo,</w:t>
      </w:r>
      <w:r>
        <w:rPr>
          <w:color w:val="1B1B22"/>
          <w:spacing w:val="-1"/>
        </w:rPr>
        <w:t> </w:t>
      </w:r>
      <w:r>
        <w:rPr>
          <w:color w:val="1B1B22"/>
        </w:rPr>
        <w:t>ampliando</w:t>
      </w:r>
      <w:r>
        <w:rPr>
          <w:color w:val="1B1B22"/>
          <w:spacing w:val="-1"/>
        </w:rPr>
        <w:t> </w:t>
      </w:r>
      <w:r>
        <w:rPr>
          <w:color w:val="1B1B22"/>
        </w:rPr>
        <w:t>o</w:t>
      </w:r>
      <w:r>
        <w:rPr>
          <w:color w:val="1B1B22"/>
          <w:spacing w:val="-1"/>
        </w:rPr>
        <w:t> </w:t>
      </w:r>
      <w:r>
        <w:rPr>
          <w:color w:val="1B1B22"/>
        </w:rPr>
        <w:t>alcance</w:t>
      </w:r>
      <w:r>
        <w:rPr>
          <w:color w:val="1B1B22"/>
          <w:spacing w:val="-1"/>
        </w:rPr>
        <w:t> </w:t>
      </w:r>
      <w:r>
        <w:rPr>
          <w:color w:val="1B1B22"/>
        </w:rPr>
        <w:t>e</w:t>
      </w:r>
      <w:r>
        <w:rPr>
          <w:color w:val="1B1B22"/>
          <w:spacing w:val="-1"/>
        </w:rPr>
        <w:t> </w:t>
      </w:r>
      <w:r>
        <w:rPr>
          <w:color w:val="1B1B22"/>
        </w:rPr>
        <w:t>promovendo</w:t>
      </w:r>
      <w:r>
        <w:rPr>
          <w:color w:val="1B1B22"/>
          <w:spacing w:val="-1"/>
        </w:rPr>
        <w:t> </w:t>
      </w:r>
      <w:r>
        <w:rPr>
          <w:color w:val="1B1B22"/>
        </w:rPr>
        <w:t>cada vez mais o empoderamento feminino.</w:t>
      </w:r>
      <w:r>
        <w:rPr>
          <w:color w:val="1B1B22"/>
          <w:spacing w:val="-2"/>
        </w:rPr>
        <w:t> </w:t>
      </w:r>
      <w:r>
        <w:rPr>
          <w:color w:val="1B1B22"/>
        </w:rPr>
        <w:t>A</w:t>
      </w:r>
      <w:r>
        <w:rPr>
          <w:color w:val="1B1B22"/>
          <w:spacing w:val="-1"/>
        </w:rPr>
        <w:t> </w:t>
      </w:r>
      <w:r>
        <w:rPr>
          <w:color w:val="1B1B22"/>
        </w:rPr>
        <w:t>Showcase Mulheres no Topo no LinkedIn foi desenvolvida </w:t>
      </w:r>
      <w:r>
        <w:rPr>
          <w:color w:val="1B1B22"/>
          <w:spacing w:val="-2"/>
        </w:rPr>
        <w:t>como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um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centro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de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conteúdos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exclusivos,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podcasts inspiradores,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posts</w:t>
      </w:r>
      <w:r>
        <w:rPr>
          <w:color w:val="1B1B22"/>
          <w:spacing w:val="-4"/>
        </w:rPr>
        <w:t> </w:t>
      </w:r>
      <w:r>
        <w:rPr>
          <w:color w:val="1B1B22"/>
          <w:spacing w:val="-2"/>
        </w:rPr>
        <w:t>de</w:t>
      </w:r>
      <w:r>
        <w:rPr>
          <w:color w:val="1B1B22"/>
          <w:spacing w:val="-3"/>
        </w:rPr>
        <w:t> </w:t>
      </w:r>
      <w:r>
        <w:rPr>
          <w:color w:val="1B1B22"/>
          <w:spacing w:val="-2"/>
        </w:rPr>
        <w:t>mulheres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Top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Voice,</w:t>
      </w:r>
      <w:r>
        <w:rPr>
          <w:color w:val="1B1B22"/>
          <w:spacing w:val="-4"/>
        </w:rPr>
        <w:t> </w:t>
      </w:r>
      <w:r>
        <w:rPr>
          <w:color w:val="1B1B22"/>
          <w:spacing w:val="-2"/>
        </w:rPr>
        <w:t>dicas</w:t>
      </w:r>
      <w:r>
        <w:rPr>
          <w:color w:val="1B1B22"/>
          <w:spacing w:val="-4"/>
        </w:rPr>
        <w:t> </w:t>
      </w:r>
      <w:r>
        <w:rPr>
          <w:color w:val="1B1B22"/>
          <w:spacing w:val="-2"/>
        </w:rPr>
        <w:t>de </w:t>
      </w:r>
      <w:r>
        <w:rPr>
          <w:color w:val="1B1B22"/>
        </w:rPr>
        <w:t>carreira, trilha de treinamentos, artigos e dados sobre economia e mercado, histórias reais e </w:t>
      </w:r>
      <w:r>
        <w:rPr>
          <w:color w:val="1B1B22"/>
          <w:spacing w:val="-2"/>
        </w:rPr>
        <w:t>oportunidades.</w:t>
      </w:r>
    </w:p>
    <w:p>
      <w:pPr>
        <w:pStyle w:val="BodyText"/>
        <w:spacing w:line="321" w:lineRule="auto" w:before="114"/>
        <w:ind w:left="426" w:right="41"/>
        <w:jc w:val="both"/>
      </w:pPr>
      <w:r>
        <w:rPr>
          <w:color w:val="1B1B22"/>
        </w:rPr>
        <w:t>Em junho, a nossa presidenta Tarciana Medeiros participou</w:t>
      </w:r>
      <w:r>
        <w:rPr>
          <w:color w:val="1B1B22"/>
          <w:spacing w:val="-6"/>
        </w:rPr>
        <w:t> </w:t>
      </w:r>
      <w:r>
        <w:rPr>
          <w:color w:val="1B1B22"/>
        </w:rPr>
        <w:t>como</w:t>
      </w:r>
      <w:r>
        <w:rPr>
          <w:color w:val="1B1B22"/>
          <w:spacing w:val="-1"/>
        </w:rPr>
        <w:t> </w:t>
      </w:r>
      <w:r>
        <w:rPr>
          <w:color w:val="1B1B22"/>
        </w:rPr>
        <w:t>palestrante</w:t>
      </w:r>
      <w:r>
        <w:rPr>
          <w:color w:val="1B1B22"/>
          <w:spacing w:val="-4"/>
        </w:rPr>
        <w:t> </w:t>
      </w:r>
      <w:r>
        <w:rPr>
          <w:color w:val="1B1B22"/>
        </w:rPr>
        <w:t>do</w:t>
      </w:r>
      <w:r>
        <w:rPr>
          <w:color w:val="1B1B22"/>
          <w:spacing w:val="-13"/>
        </w:rPr>
        <w:t> </w:t>
      </w:r>
      <w:r>
        <w:rPr>
          <w:color w:val="1B1B22"/>
        </w:rPr>
        <w:t>Tempo</w:t>
      </w:r>
      <w:r>
        <w:rPr>
          <w:color w:val="1B1B22"/>
          <w:spacing w:val="-3"/>
        </w:rPr>
        <w:t> </w:t>
      </w:r>
      <w:r>
        <w:rPr>
          <w:color w:val="1B1B22"/>
        </w:rPr>
        <w:t>de</w:t>
      </w:r>
      <w:r>
        <w:rPr>
          <w:color w:val="1B1B22"/>
          <w:spacing w:val="-2"/>
        </w:rPr>
        <w:t> Mulher,</w:t>
      </w:r>
    </w:p>
    <w:p>
      <w:pPr>
        <w:pStyle w:val="BodyText"/>
        <w:spacing w:line="321" w:lineRule="auto" w:before="79"/>
        <w:ind w:left="426" w:right="142"/>
        <w:jc w:val="both"/>
      </w:pPr>
      <w:r>
        <w:rPr/>
        <w:br w:type="column"/>
      </w:r>
      <w:r>
        <w:rPr>
          <w:color w:val="1B1B22"/>
        </w:rPr>
        <w:t>primeira rede brasileira que apoia e conecta as principais executivas e lideranças C-Level e do empreendedorismo no país. Em sua 5ª edição, o evento busca promover um ambiente de troca e inspiração, onde mulheres possam compartilhar suas</w:t>
      </w:r>
      <w:r>
        <w:rPr>
          <w:color w:val="1B1B22"/>
          <w:spacing w:val="-13"/>
        </w:rPr>
        <w:t> </w:t>
      </w:r>
      <w:r>
        <w:rPr>
          <w:color w:val="1B1B22"/>
        </w:rPr>
        <w:t>trajetórias</w:t>
      </w:r>
      <w:r>
        <w:rPr>
          <w:color w:val="1B1B22"/>
          <w:spacing w:val="-12"/>
        </w:rPr>
        <w:t> </w:t>
      </w:r>
      <w:r>
        <w:rPr>
          <w:color w:val="1B1B22"/>
        </w:rPr>
        <w:t>profissionais,</w:t>
      </w:r>
      <w:r>
        <w:rPr>
          <w:color w:val="1B1B22"/>
          <w:spacing w:val="-13"/>
        </w:rPr>
        <w:t> </w:t>
      </w:r>
      <w:r>
        <w:rPr>
          <w:color w:val="1B1B22"/>
        </w:rPr>
        <w:t>estratégias</w:t>
      </w:r>
      <w:r>
        <w:rPr>
          <w:color w:val="1B1B22"/>
          <w:spacing w:val="-12"/>
        </w:rPr>
        <w:t> </w:t>
      </w:r>
      <w:r>
        <w:rPr>
          <w:color w:val="1B1B22"/>
        </w:rPr>
        <w:t>de</w:t>
      </w:r>
      <w:r>
        <w:rPr>
          <w:color w:val="1B1B22"/>
          <w:spacing w:val="-12"/>
        </w:rPr>
        <w:t> </w:t>
      </w:r>
      <w:r>
        <w:rPr>
          <w:color w:val="1B1B22"/>
        </w:rPr>
        <w:t>gestão e caminhos seguros para o crescimento dentro do mercado corporativo.</w:t>
      </w:r>
    </w:p>
    <w:p>
      <w:pPr>
        <w:pStyle w:val="BodyText"/>
        <w:spacing w:line="321" w:lineRule="auto" w:before="115"/>
        <w:ind w:left="426" w:right="141"/>
        <w:jc w:val="both"/>
      </w:pPr>
      <w:r>
        <w:rPr>
          <w:color w:val="1B1B22"/>
          <w:spacing w:val="-2"/>
        </w:rPr>
        <w:t>Também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em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junho,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apoiamos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o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Inovahack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MBM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São </w:t>
      </w:r>
      <w:r>
        <w:rPr>
          <w:color w:val="1B1B22"/>
        </w:rPr>
        <w:t>Paulo, evento idealizado pelo Movimento Black Money, com foco em soluções tecnológicas de impacto social para comunidades periféricas. O evento promoveu o diálogo entre líderes e empreendedores,</w:t>
      </w:r>
      <w:r>
        <w:rPr>
          <w:color w:val="1B1B22"/>
          <w:spacing w:val="-6"/>
        </w:rPr>
        <w:t> </w:t>
      </w:r>
      <w:r>
        <w:rPr>
          <w:color w:val="1B1B22"/>
        </w:rPr>
        <w:t>com</w:t>
      </w:r>
      <w:r>
        <w:rPr>
          <w:color w:val="1B1B22"/>
          <w:spacing w:val="-7"/>
        </w:rPr>
        <w:t> </w:t>
      </w:r>
      <w:r>
        <w:rPr>
          <w:color w:val="1B1B22"/>
        </w:rPr>
        <w:t>o</w:t>
      </w:r>
      <w:r>
        <w:rPr>
          <w:color w:val="1B1B22"/>
          <w:spacing w:val="-6"/>
        </w:rPr>
        <w:t> </w:t>
      </w:r>
      <w:r>
        <w:rPr>
          <w:color w:val="1B1B22"/>
        </w:rPr>
        <w:t>tema</w:t>
      </w:r>
      <w:r>
        <w:rPr>
          <w:color w:val="1B1B22"/>
          <w:spacing w:val="-7"/>
        </w:rPr>
        <w:t> </w:t>
      </w:r>
      <w:r>
        <w:rPr>
          <w:color w:val="1B1B22"/>
        </w:rPr>
        <w:t>“Periferias</w:t>
      </w:r>
      <w:r>
        <w:rPr>
          <w:color w:val="1B1B22"/>
          <w:spacing w:val="-5"/>
        </w:rPr>
        <w:t> </w:t>
      </w:r>
      <w:r>
        <w:rPr>
          <w:color w:val="1B1B22"/>
        </w:rPr>
        <w:t>em</w:t>
      </w:r>
      <w:r>
        <w:rPr>
          <w:color w:val="1B1B22"/>
          <w:spacing w:val="-7"/>
        </w:rPr>
        <w:t> </w:t>
      </w:r>
      <w:r>
        <w:rPr>
          <w:color w:val="1B1B22"/>
        </w:rPr>
        <w:t>Foco: Inovação para Transformação”, visando o empoderamento econômico das comunidades </w:t>
      </w:r>
      <w:r>
        <w:rPr>
          <w:color w:val="1B1B22"/>
          <w:spacing w:val="-2"/>
        </w:rPr>
        <w:t>negras.</w:t>
      </w:r>
    </w:p>
    <w:p>
      <w:pPr>
        <w:pStyle w:val="BodyText"/>
        <w:tabs>
          <w:tab w:pos="2168" w:val="left" w:leader="none"/>
          <w:tab w:pos="2864" w:val="left" w:leader="none"/>
          <w:tab w:pos="3570" w:val="left" w:leader="none"/>
          <w:tab w:pos="3611" w:val="left" w:leader="none"/>
          <w:tab w:pos="4945" w:val="left" w:leader="none"/>
        </w:tabs>
        <w:spacing w:line="321" w:lineRule="auto" w:before="114"/>
        <w:ind w:left="426" w:right="141"/>
        <w:jc w:val="both"/>
      </w:pPr>
      <w:r>
        <w:rPr>
          <w:color w:val="1B1B22"/>
        </w:rPr>
        <w:t>No mesmo período, participamos de mais uma edição da Feira Cultural da Diversidade LGBT+, realizada no Memorial da América Latina, em São Paulo.</w:t>
      </w:r>
      <w:r>
        <w:rPr>
          <w:color w:val="1B1B22"/>
          <w:spacing w:val="-10"/>
        </w:rPr>
        <w:t> </w:t>
      </w:r>
      <w:r>
        <w:rPr>
          <w:color w:val="1B1B22"/>
        </w:rPr>
        <w:t>A</w:t>
      </w:r>
      <w:r>
        <w:rPr>
          <w:color w:val="1B1B22"/>
          <w:spacing w:val="-7"/>
        </w:rPr>
        <w:t> </w:t>
      </w:r>
      <w:r>
        <w:rPr>
          <w:color w:val="1B1B22"/>
        </w:rPr>
        <w:t>ação</w:t>
      </w:r>
      <w:r>
        <w:rPr>
          <w:color w:val="1B1B22"/>
          <w:spacing w:val="-6"/>
        </w:rPr>
        <w:t> </w:t>
      </w:r>
      <w:r>
        <w:rPr>
          <w:color w:val="1B1B22"/>
        </w:rPr>
        <w:t>reafirmou</w:t>
      </w:r>
      <w:r>
        <w:rPr>
          <w:color w:val="1B1B22"/>
          <w:spacing w:val="-7"/>
        </w:rPr>
        <w:t> </w:t>
      </w:r>
      <w:r>
        <w:rPr>
          <w:color w:val="1B1B22"/>
        </w:rPr>
        <w:t>nosso</w:t>
      </w:r>
      <w:r>
        <w:rPr>
          <w:color w:val="1B1B22"/>
          <w:spacing w:val="-6"/>
        </w:rPr>
        <w:t> </w:t>
      </w:r>
      <w:r>
        <w:rPr>
          <w:color w:val="1B1B22"/>
        </w:rPr>
        <w:t>compromisso</w:t>
      </w:r>
      <w:r>
        <w:rPr>
          <w:color w:val="1B1B22"/>
          <w:spacing w:val="-6"/>
        </w:rPr>
        <w:t> </w:t>
      </w:r>
      <w:r>
        <w:rPr>
          <w:color w:val="1B1B22"/>
        </w:rPr>
        <w:t>com</w:t>
      </w:r>
      <w:r>
        <w:rPr>
          <w:color w:val="1B1B22"/>
          <w:spacing w:val="-5"/>
        </w:rPr>
        <w:t> </w:t>
      </w:r>
      <w:r>
        <w:rPr>
          <w:color w:val="1B1B22"/>
        </w:rPr>
        <w:t>a </w:t>
      </w:r>
      <w:r>
        <w:rPr>
          <w:color w:val="1B1B22"/>
          <w:spacing w:val="-2"/>
        </w:rPr>
        <w:t>equidade, inclusão e desenvolvimento sustentável, promovendo</w:t>
      </w:r>
      <w:r>
        <w:rPr>
          <w:color w:val="1B1B22"/>
        </w:rPr>
        <w:tab/>
      </w:r>
      <w:r>
        <w:rPr>
          <w:color w:val="1B1B22"/>
          <w:spacing w:val="-2"/>
        </w:rPr>
        <w:t>iniciativas</w:t>
      </w:r>
      <w:r>
        <w:rPr>
          <w:color w:val="1B1B22"/>
        </w:rPr>
        <w:tab/>
        <w:tab/>
      </w:r>
      <w:r>
        <w:rPr>
          <w:color w:val="1B1B22"/>
          <w:spacing w:val="-2"/>
        </w:rPr>
        <w:t>voltadas</w:t>
      </w:r>
      <w:r>
        <w:rPr>
          <w:color w:val="1B1B22"/>
        </w:rPr>
        <w:tab/>
      </w:r>
      <w:r>
        <w:rPr>
          <w:color w:val="1B1B22"/>
          <w:spacing w:val="-6"/>
        </w:rPr>
        <w:t>ao </w:t>
      </w:r>
      <w:r>
        <w:rPr>
          <w:color w:val="1B1B22"/>
          <w:spacing w:val="-2"/>
        </w:rPr>
        <w:t>empreendedorismo</w:t>
      </w:r>
      <w:r>
        <w:rPr>
          <w:color w:val="1B1B22"/>
        </w:rPr>
        <w:tab/>
      </w:r>
      <w:r>
        <w:rPr>
          <w:color w:val="1B1B22"/>
          <w:spacing w:val="-10"/>
        </w:rPr>
        <w:t>e</w:t>
      </w:r>
      <w:r>
        <w:rPr>
          <w:color w:val="1B1B22"/>
        </w:rPr>
        <w:tab/>
      </w:r>
      <w:r>
        <w:rPr>
          <w:color w:val="1B1B22"/>
          <w:spacing w:val="-4"/>
        </w:rPr>
        <w:t>desenvolvimento </w:t>
      </w:r>
      <w:r>
        <w:rPr>
          <w:color w:val="1B1B22"/>
        </w:rPr>
        <w:t>profissional da comunidade LGBTQIAPN+.</w:t>
      </w:r>
    </w:p>
    <w:p>
      <w:pPr>
        <w:pStyle w:val="BodyText"/>
        <w:spacing w:line="321" w:lineRule="auto" w:before="115"/>
        <w:ind w:left="426" w:right="140"/>
        <w:jc w:val="both"/>
      </w:pPr>
      <w:r>
        <w:rPr>
          <w:color w:val="1B1B22"/>
        </w:rPr>
        <w:t>A Fundação BB e o Distrito Drag lançaram oficialmente a plataforma Empregando Orgulho (empregandoorgulho.com.br), uma iniciativa voltada para a empregabilidade, ao empreendedorismo e à inclusão econômica da população LGBTQIA+ no DF.</w:t>
      </w:r>
    </w:p>
    <w:p>
      <w:pPr>
        <w:pStyle w:val="BodyText"/>
        <w:spacing w:after="0" w:line="321" w:lineRule="auto"/>
        <w:jc w:val="both"/>
        <w:sectPr>
          <w:type w:val="continuous"/>
          <w:pgSz w:w="11910" w:h="16850"/>
          <w:pgMar w:header="152" w:footer="572" w:top="1920" w:bottom="280" w:left="425" w:right="708"/>
          <w:cols w:num="2" w:equalWidth="0">
            <w:col w:w="5216" w:space="240"/>
            <w:col w:w="5321"/>
          </w:cols>
        </w:sectPr>
      </w:pPr>
    </w:p>
    <w:p>
      <w:pPr>
        <w:pStyle w:val="Heading1"/>
        <w:spacing w:before="529"/>
      </w:pPr>
      <w:r>
        <w:rPr>
          <w:color w:val="465EFF"/>
          <w:spacing w:val="35"/>
        </w:rPr>
        <w:t>Principais</w:t>
      </w:r>
      <w:r>
        <w:rPr>
          <w:color w:val="465EFF"/>
          <w:spacing w:val="68"/>
        </w:rPr>
        <w:t> </w:t>
      </w:r>
      <w:r>
        <w:rPr>
          <w:color w:val="465EFF"/>
          <w:spacing w:val="31"/>
        </w:rPr>
        <w:t>Prêmios</w:t>
      </w:r>
      <w:r>
        <w:rPr>
          <w:color w:val="465EFF"/>
          <w:spacing w:val="65"/>
        </w:rPr>
        <w:t> </w:t>
      </w:r>
      <w:r>
        <w:rPr>
          <w:color w:val="465EFF"/>
        </w:rPr>
        <w:t>e</w:t>
      </w:r>
      <w:r>
        <w:rPr>
          <w:color w:val="465EFF"/>
          <w:spacing w:val="69"/>
        </w:rPr>
        <w:t> </w:t>
      </w:r>
      <w:r>
        <w:rPr>
          <w:color w:val="465EFF"/>
          <w:spacing w:val="32"/>
        </w:rPr>
        <w:t>Reconhecimentos</w:t>
      </w:r>
    </w:p>
    <w:p>
      <w:pPr>
        <w:pStyle w:val="BodyText"/>
        <w:spacing w:before="3"/>
        <w:rPr>
          <w:rFonts w:ascii="BancoDoBrasil Titulos"/>
        </w:rPr>
      </w:pPr>
    </w:p>
    <w:p>
      <w:pPr>
        <w:pStyle w:val="BodyText"/>
        <w:spacing w:after="0"/>
        <w:rPr>
          <w:rFonts w:ascii="BancoDoBrasil Titulos"/>
        </w:rPr>
        <w:sectPr>
          <w:pgSz w:w="11910" w:h="16850"/>
          <w:pgMar w:header="152" w:footer="572" w:top="900" w:bottom="780" w:left="425" w:right="708"/>
        </w:sectPr>
      </w:pPr>
    </w:p>
    <w:p>
      <w:pPr>
        <w:pStyle w:val="Heading2"/>
        <w:spacing w:before="71"/>
        <w:ind w:left="427"/>
        <w:rPr>
          <w:rFonts w:ascii="BancoDoBrasil Titulos" w:hAnsi="BancoDoBrasil Titulos"/>
        </w:rPr>
      </w:pPr>
      <w:r>
        <w:rPr>
          <w:rFonts w:ascii="BancoDoBrasil Titulos" w:hAnsi="BancoDoBrasil Titulos"/>
          <w:color w:val="465EFF"/>
          <w:spacing w:val="26"/>
        </w:rPr>
        <w:t>Març</w:t>
      </w:r>
      <w:r>
        <w:rPr>
          <w:rFonts w:ascii="BancoDoBrasil Titulos" w:hAnsi="BancoDoBrasil Titulos"/>
          <w:color w:val="465EFF"/>
          <w:spacing w:val="-34"/>
        </w:rPr>
        <w:t> </w:t>
      </w:r>
      <w:r>
        <w:rPr>
          <w:rFonts w:ascii="BancoDoBrasil Titulos" w:hAnsi="BancoDoBrasil Titulos"/>
          <w:color w:val="465EFF"/>
          <w:spacing w:val="-10"/>
        </w:rPr>
        <w:t>o</w:t>
      </w:r>
    </w:p>
    <w:p>
      <w:pPr>
        <w:pStyle w:val="BodyText"/>
        <w:spacing w:line="321" w:lineRule="auto" w:before="248"/>
        <w:ind w:left="426" w:right="38"/>
        <w:jc w:val="both"/>
      </w:pPr>
      <w:r>
        <w:rPr>
          <w:color w:val="1B1B22"/>
        </w:rPr>
        <w:t>Fomos duplamente premiados no </w:t>
      </w:r>
      <w:r>
        <w:rPr>
          <w:b/>
          <w:color w:val="1B1B22"/>
        </w:rPr>
        <w:t>Agile Trends 2025</w:t>
      </w:r>
      <w:r>
        <w:rPr>
          <w:color w:val="1B1B22"/>
        </w:rPr>
        <w:t>, um dos maiores eventos de agilidade e inovação do país. Os dois cases reconhecidos demonstram</w:t>
      </w:r>
      <w:r>
        <w:rPr>
          <w:color w:val="1B1B22"/>
          <w:spacing w:val="-13"/>
        </w:rPr>
        <w:t> </w:t>
      </w:r>
      <w:r>
        <w:rPr>
          <w:color w:val="1B1B22"/>
        </w:rPr>
        <w:t>avanços</w:t>
      </w:r>
      <w:r>
        <w:rPr>
          <w:color w:val="1B1B22"/>
          <w:spacing w:val="-12"/>
        </w:rPr>
        <w:t> </w:t>
      </w:r>
      <w:r>
        <w:rPr>
          <w:color w:val="1B1B22"/>
        </w:rPr>
        <w:t>significativos</w:t>
      </w:r>
      <w:r>
        <w:rPr>
          <w:color w:val="1B1B22"/>
          <w:spacing w:val="-13"/>
        </w:rPr>
        <w:t> </w:t>
      </w:r>
      <w:r>
        <w:rPr>
          <w:color w:val="1B1B22"/>
        </w:rPr>
        <w:t>em</w:t>
      </w:r>
      <w:r>
        <w:rPr>
          <w:color w:val="1B1B22"/>
          <w:spacing w:val="-12"/>
        </w:rPr>
        <w:t> </w:t>
      </w:r>
      <w:r>
        <w:rPr>
          <w:color w:val="1B1B22"/>
        </w:rPr>
        <w:t>automação, </w:t>
      </w:r>
      <w:r>
        <w:rPr>
          <w:color w:val="1B1B22"/>
          <w:spacing w:val="-2"/>
        </w:rPr>
        <w:t>cultura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ágil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e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transformação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digital: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Agiliza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–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Portal </w:t>
      </w:r>
      <w:r>
        <w:rPr>
          <w:color w:val="1B1B22"/>
        </w:rPr>
        <w:t>de automação e Self-Healing; Movimento Aceleração Digital - Criação e implementação de Framework ágil em um banco de 216 anos.</w:t>
      </w:r>
    </w:p>
    <w:p>
      <w:pPr>
        <w:pStyle w:val="BodyText"/>
        <w:spacing w:line="321" w:lineRule="auto" w:before="114"/>
        <w:ind w:left="426" w:right="38" w:hanging="1"/>
        <w:jc w:val="both"/>
      </w:pPr>
      <w:r>
        <w:rPr>
          <w:color w:val="1B1B22"/>
        </w:rPr>
        <w:t>Fomos</w:t>
      </w:r>
      <w:r>
        <w:rPr>
          <w:color w:val="1B1B22"/>
          <w:spacing w:val="-7"/>
        </w:rPr>
        <w:t> </w:t>
      </w:r>
      <w:r>
        <w:rPr>
          <w:color w:val="1B1B22"/>
        </w:rPr>
        <w:t>reconhecidos</w:t>
      </w:r>
      <w:r>
        <w:rPr>
          <w:color w:val="1B1B22"/>
          <w:spacing w:val="-8"/>
        </w:rPr>
        <w:t> </w:t>
      </w:r>
      <w:r>
        <w:rPr>
          <w:color w:val="1B1B22"/>
        </w:rPr>
        <w:t>em</w:t>
      </w:r>
      <w:r>
        <w:rPr>
          <w:color w:val="1B1B22"/>
          <w:spacing w:val="-8"/>
        </w:rPr>
        <w:t> </w:t>
      </w:r>
      <w:r>
        <w:rPr>
          <w:color w:val="1B1B22"/>
        </w:rPr>
        <w:t>três</w:t>
      </w:r>
      <w:r>
        <w:rPr>
          <w:color w:val="1B1B22"/>
          <w:spacing w:val="-8"/>
        </w:rPr>
        <w:t> </w:t>
      </w:r>
      <w:r>
        <w:rPr>
          <w:color w:val="1B1B22"/>
        </w:rPr>
        <w:t>categorias</w:t>
      </w:r>
      <w:r>
        <w:rPr>
          <w:color w:val="1B1B22"/>
          <w:spacing w:val="-8"/>
        </w:rPr>
        <w:t> </w:t>
      </w:r>
      <w:r>
        <w:rPr>
          <w:color w:val="1B1B22"/>
        </w:rPr>
        <w:t>no</w:t>
      </w:r>
      <w:r>
        <w:rPr>
          <w:color w:val="1B1B22"/>
          <w:spacing w:val="-6"/>
        </w:rPr>
        <w:t> </w:t>
      </w:r>
      <w:r>
        <w:rPr>
          <w:b/>
          <w:color w:val="1B1B22"/>
        </w:rPr>
        <w:t>Prêmio IA em Finanças 2025</w:t>
      </w:r>
      <w:r>
        <w:rPr>
          <w:color w:val="1B1B22"/>
        </w:rPr>
        <w:t>, promovido pela revista Global Finance, que destaca as instituições financeiras mais inovadoras no uso de inteligência artificial, as categorias:</w:t>
      </w:r>
    </w:p>
    <w:p>
      <w:pPr>
        <w:pStyle w:val="BodyText"/>
        <w:spacing w:before="10" w:after="1"/>
        <w:rPr>
          <w:sz w:val="10"/>
        </w:rPr>
      </w:pPr>
    </w:p>
    <w:tbl>
      <w:tblPr>
        <w:tblW w:w="0" w:type="auto"/>
        <w:jc w:val="left"/>
        <w:tblInd w:w="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750"/>
        <w:gridCol w:w="610"/>
        <w:gridCol w:w="749"/>
        <w:gridCol w:w="380"/>
      </w:tblGrid>
      <w:tr>
        <w:trPr>
          <w:trHeight w:val="299" w:hRule="atLeast"/>
        </w:trPr>
        <w:tc>
          <w:tcPr>
            <w:tcW w:w="2750" w:type="dxa"/>
          </w:tcPr>
          <w:p>
            <w:pPr>
              <w:pStyle w:val="TableParagraph"/>
              <w:numPr>
                <w:ilvl w:val="0"/>
                <w:numId w:val="1"/>
              </w:numPr>
              <w:tabs>
                <w:tab w:pos="359" w:val="left" w:leader="none"/>
                <w:tab w:pos="1651" w:val="left" w:leader="none"/>
              </w:tabs>
              <w:spacing w:line="247" w:lineRule="exact" w:before="0" w:after="0"/>
              <w:ind w:left="359" w:right="127" w:hanging="359"/>
              <w:jc w:val="right"/>
              <w:rPr>
                <w:sz w:val="20"/>
              </w:rPr>
            </w:pPr>
            <w:r>
              <w:rPr>
                <w:color w:val="1B1B22"/>
                <w:spacing w:val="-2"/>
                <w:sz w:val="20"/>
              </w:rPr>
              <w:t>CONSUMER</w:t>
            </w:r>
            <w:r>
              <w:rPr>
                <w:color w:val="1B1B22"/>
                <w:sz w:val="20"/>
              </w:rPr>
              <w:tab/>
            </w:r>
            <w:r>
              <w:rPr>
                <w:color w:val="1B1B22"/>
                <w:spacing w:val="-2"/>
                <w:sz w:val="20"/>
              </w:rPr>
              <w:t>BANKING:</w:t>
            </w:r>
          </w:p>
        </w:tc>
        <w:tc>
          <w:tcPr>
            <w:tcW w:w="610" w:type="dxa"/>
          </w:tcPr>
          <w:p>
            <w:pPr>
              <w:pStyle w:val="TableParagraph"/>
              <w:spacing w:line="247" w:lineRule="exact"/>
              <w:ind w:left="23" w:right="64"/>
              <w:jc w:val="center"/>
              <w:rPr>
                <w:sz w:val="20"/>
              </w:rPr>
            </w:pPr>
            <w:r>
              <w:rPr>
                <w:color w:val="1B1B22"/>
                <w:spacing w:val="-4"/>
                <w:sz w:val="20"/>
              </w:rPr>
              <w:t>Best</w:t>
            </w:r>
          </w:p>
        </w:tc>
        <w:tc>
          <w:tcPr>
            <w:tcW w:w="749" w:type="dxa"/>
          </w:tcPr>
          <w:p>
            <w:pPr>
              <w:pStyle w:val="TableParagraph"/>
              <w:spacing w:line="247" w:lineRule="exact"/>
              <w:ind w:left="8" w:right="31"/>
              <w:jc w:val="center"/>
              <w:rPr>
                <w:sz w:val="20"/>
              </w:rPr>
            </w:pPr>
            <w:r>
              <w:rPr>
                <w:color w:val="1B1B22"/>
                <w:spacing w:val="-4"/>
                <w:sz w:val="20"/>
              </w:rPr>
              <w:t>Banks</w:t>
            </w:r>
          </w:p>
        </w:tc>
        <w:tc>
          <w:tcPr>
            <w:tcW w:w="380" w:type="dxa"/>
          </w:tcPr>
          <w:p>
            <w:pPr>
              <w:pStyle w:val="TableParagraph"/>
              <w:spacing w:line="247" w:lineRule="exact"/>
              <w:ind w:left="46" w:right="5"/>
              <w:jc w:val="center"/>
              <w:rPr>
                <w:sz w:val="20"/>
              </w:rPr>
            </w:pPr>
            <w:r>
              <w:rPr>
                <w:color w:val="1B1B22"/>
                <w:spacing w:val="-5"/>
                <w:sz w:val="20"/>
              </w:rPr>
              <w:t>By</w:t>
            </w:r>
          </w:p>
        </w:tc>
      </w:tr>
      <w:tr>
        <w:trPr>
          <w:trHeight w:val="336" w:hRule="atLeast"/>
        </w:trPr>
        <w:tc>
          <w:tcPr>
            <w:tcW w:w="2750" w:type="dxa"/>
          </w:tcPr>
          <w:p>
            <w:pPr>
              <w:pStyle w:val="TableParagraph"/>
              <w:spacing w:before="33"/>
              <w:ind w:left="410"/>
              <w:rPr>
                <w:sz w:val="20"/>
              </w:rPr>
            </w:pPr>
            <w:r>
              <w:rPr>
                <w:color w:val="1B1B22"/>
                <w:sz w:val="20"/>
              </w:rPr>
              <w:t>Country</w:t>
            </w:r>
            <w:r>
              <w:rPr>
                <w:color w:val="1B1B22"/>
                <w:spacing w:val="-10"/>
                <w:sz w:val="20"/>
              </w:rPr>
              <w:t> </w:t>
            </w:r>
            <w:r>
              <w:rPr>
                <w:color w:val="1B1B22"/>
                <w:sz w:val="20"/>
              </w:rPr>
              <w:t>–</w:t>
            </w:r>
            <w:r>
              <w:rPr>
                <w:color w:val="1B1B22"/>
                <w:spacing w:val="-10"/>
                <w:sz w:val="20"/>
              </w:rPr>
              <w:t> </w:t>
            </w:r>
            <w:r>
              <w:rPr>
                <w:color w:val="1B1B22"/>
                <w:spacing w:val="-2"/>
                <w:sz w:val="20"/>
              </w:rPr>
              <w:t>Brazil;</w:t>
            </w:r>
          </w:p>
        </w:tc>
        <w:tc>
          <w:tcPr>
            <w:tcW w:w="610" w:type="dxa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749" w:type="dxa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80" w:type="dxa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356" w:hRule="atLeast"/>
        </w:trPr>
        <w:tc>
          <w:tcPr>
            <w:tcW w:w="2750" w:type="dxa"/>
          </w:tcPr>
          <w:p>
            <w:pPr>
              <w:pStyle w:val="TableParagraph"/>
              <w:numPr>
                <w:ilvl w:val="0"/>
                <w:numId w:val="2"/>
              </w:numPr>
              <w:tabs>
                <w:tab w:pos="359" w:val="left" w:leader="none"/>
              </w:tabs>
              <w:spacing w:line="240" w:lineRule="auto" w:before="49" w:after="0"/>
              <w:ind w:left="359" w:right="78" w:hanging="359"/>
              <w:jc w:val="right"/>
              <w:rPr>
                <w:sz w:val="20"/>
              </w:rPr>
            </w:pPr>
            <w:r>
              <w:rPr>
                <w:color w:val="1B1B22"/>
                <w:sz w:val="20"/>
              </w:rPr>
              <w:t>CORPORATE</w:t>
            </w:r>
            <w:r>
              <w:rPr>
                <w:color w:val="1B1B22"/>
                <w:spacing w:val="69"/>
                <w:w w:val="150"/>
                <w:sz w:val="20"/>
              </w:rPr>
              <w:t> </w:t>
            </w:r>
            <w:r>
              <w:rPr>
                <w:color w:val="1B1B22"/>
                <w:spacing w:val="-2"/>
                <w:sz w:val="20"/>
              </w:rPr>
              <w:t>BANKING:</w:t>
            </w:r>
          </w:p>
        </w:tc>
        <w:tc>
          <w:tcPr>
            <w:tcW w:w="610" w:type="dxa"/>
          </w:tcPr>
          <w:p>
            <w:pPr>
              <w:pStyle w:val="TableParagraph"/>
              <w:spacing w:before="49"/>
              <w:ind w:left="64" w:right="41"/>
              <w:jc w:val="center"/>
              <w:rPr>
                <w:sz w:val="20"/>
              </w:rPr>
            </w:pPr>
            <w:r>
              <w:rPr>
                <w:color w:val="1B1B22"/>
                <w:spacing w:val="-4"/>
                <w:sz w:val="20"/>
              </w:rPr>
              <w:t>Best</w:t>
            </w:r>
          </w:p>
        </w:tc>
        <w:tc>
          <w:tcPr>
            <w:tcW w:w="749" w:type="dxa"/>
          </w:tcPr>
          <w:p>
            <w:pPr>
              <w:pStyle w:val="TableParagraph"/>
              <w:spacing w:before="49"/>
              <w:ind w:left="31" w:right="23"/>
              <w:jc w:val="center"/>
              <w:rPr>
                <w:sz w:val="20"/>
              </w:rPr>
            </w:pPr>
            <w:r>
              <w:rPr>
                <w:color w:val="1B1B22"/>
                <w:spacing w:val="-4"/>
                <w:sz w:val="20"/>
              </w:rPr>
              <w:t>Banks</w:t>
            </w:r>
          </w:p>
        </w:tc>
        <w:tc>
          <w:tcPr>
            <w:tcW w:w="380" w:type="dxa"/>
          </w:tcPr>
          <w:p>
            <w:pPr>
              <w:pStyle w:val="TableParagraph"/>
              <w:spacing w:before="49"/>
              <w:ind w:left="46"/>
              <w:jc w:val="center"/>
              <w:rPr>
                <w:sz w:val="20"/>
              </w:rPr>
            </w:pPr>
            <w:r>
              <w:rPr>
                <w:color w:val="1B1B22"/>
                <w:spacing w:val="-5"/>
                <w:sz w:val="20"/>
              </w:rPr>
              <w:t>By</w:t>
            </w:r>
          </w:p>
        </w:tc>
      </w:tr>
      <w:tr>
        <w:trPr>
          <w:trHeight w:val="336" w:hRule="atLeast"/>
        </w:trPr>
        <w:tc>
          <w:tcPr>
            <w:tcW w:w="2750" w:type="dxa"/>
          </w:tcPr>
          <w:p>
            <w:pPr>
              <w:pStyle w:val="TableParagraph"/>
              <w:spacing w:before="33"/>
              <w:ind w:left="410"/>
              <w:rPr>
                <w:sz w:val="20"/>
              </w:rPr>
            </w:pPr>
            <w:r>
              <w:rPr>
                <w:color w:val="1B1B22"/>
                <w:sz w:val="20"/>
              </w:rPr>
              <w:t>Country</w:t>
            </w:r>
            <w:r>
              <w:rPr>
                <w:color w:val="1B1B22"/>
                <w:spacing w:val="-10"/>
                <w:sz w:val="20"/>
              </w:rPr>
              <w:t> </w:t>
            </w:r>
            <w:r>
              <w:rPr>
                <w:color w:val="1B1B22"/>
                <w:sz w:val="20"/>
              </w:rPr>
              <w:t>–</w:t>
            </w:r>
            <w:r>
              <w:rPr>
                <w:color w:val="1B1B22"/>
                <w:spacing w:val="-10"/>
                <w:sz w:val="20"/>
              </w:rPr>
              <w:t> </w:t>
            </w:r>
            <w:r>
              <w:rPr>
                <w:color w:val="1B1B22"/>
                <w:spacing w:val="-2"/>
                <w:sz w:val="20"/>
              </w:rPr>
              <w:t>Brazil;</w:t>
            </w:r>
          </w:p>
        </w:tc>
        <w:tc>
          <w:tcPr>
            <w:tcW w:w="610" w:type="dxa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749" w:type="dxa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80" w:type="dxa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356" w:hRule="atLeast"/>
        </w:trPr>
        <w:tc>
          <w:tcPr>
            <w:tcW w:w="2750" w:type="dxa"/>
          </w:tcPr>
          <w:p>
            <w:pPr>
              <w:pStyle w:val="TableParagraph"/>
              <w:numPr>
                <w:ilvl w:val="0"/>
                <w:numId w:val="3"/>
              </w:numPr>
              <w:tabs>
                <w:tab w:pos="359" w:val="left" w:leader="none"/>
              </w:tabs>
              <w:spacing w:line="240" w:lineRule="auto" w:before="49" w:after="0"/>
              <w:ind w:left="359" w:right="78" w:hanging="359"/>
              <w:jc w:val="right"/>
              <w:rPr>
                <w:sz w:val="20"/>
              </w:rPr>
            </w:pPr>
            <w:r>
              <w:rPr>
                <w:color w:val="1B1B22"/>
                <w:sz w:val="20"/>
              </w:rPr>
              <w:t>CORPORATE</w:t>
            </w:r>
            <w:r>
              <w:rPr>
                <w:color w:val="1B1B22"/>
                <w:spacing w:val="69"/>
                <w:w w:val="150"/>
                <w:sz w:val="20"/>
              </w:rPr>
              <w:t> </w:t>
            </w:r>
            <w:r>
              <w:rPr>
                <w:color w:val="1B1B22"/>
                <w:spacing w:val="-2"/>
                <w:sz w:val="20"/>
              </w:rPr>
              <w:t>BANKING:</w:t>
            </w:r>
          </w:p>
        </w:tc>
        <w:tc>
          <w:tcPr>
            <w:tcW w:w="610" w:type="dxa"/>
          </w:tcPr>
          <w:p>
            <w:pPr>
              <w:pStyle w:val="TableParagraph"/>
              <w:spacing w:before="49"/>
              <w:ind w:left="64" w:right="41"/>
              <w:jc w:val="center"/>
              <w:rPr>
                <w:sz w:val="20"/>
              </w:rPr>
            </w:pPr>
            <w:r>
              <w:rPr>
                <w:color w:val="1B1B22"/>
                <w:spacing w:val="-4"/>
                <w:sz w:val="20"/>
              </w:rPr>
              <w:t>Best</w:t>
            </w:r>
          </w:p>
        </w:tc>
        <w:tc>
          <w:tcPr>
            <w:tcW w:w="749" w:type="dxa"/>
          </w:tcPr>
          <w:p>
            <w:pPr>
              <w:pStyle w:val="TableParagraph"/>
              <w:spacing w:before="49"/>
              <w:ind w:left="30" w:right="23"/>
              <w:jc w:val="center"/>
              <w:rPr>
                <w:sz w:val="20"/>
              </w:rPr>
            </w:pPr>
            <w:r>
              <w:rPr>
                <w:color w:val="1B1B22"/>
                <w:spacing w:val="-4"/>
                <w:sz w:val="20"/>
              </w:rPr>
              <w:t>Banks</w:t>
            </w:r>
          </w:p>
        </w:tc>
        <w:tc>
          <w:tcPr>
            <w:tcW w:w="380" w:type="dxa"/>
          </w:tcPr>
          <w:p>
            <w:pPr>
              <w:pStyle w:val="TableParagraph"/>
              <w:spacing w:before="49"/>
              <w:ind w:left="46"/>
              <w:jc w:val="center"/>
              <w:rPr>
                <w:sz w:val="20"/>
              </w:rPr>
            </w:pPr>
            <w:r>
              <w:rPr>
                <w:color w:val="1B1B22"/>
                <w:spacing w:val="-5"/>
                <w:sz w:val="20"/>
              </w:rPr>
              <w:t>By</w:t>
            </w:r>
          </w:p>
        </w:tc>
      </w:tr>
      <w:tr>
        <w:trPr>
          <w:trHeight w:val="280" w:hRule="atLeast"/>
        </w:trPr>
        <w:tc>
          <w:tcPr>
            <w:tcW w:w="2750" w:type="dxa"/>
          </w:tcPr>
          <w:p>
            <w:pPr>
              <w:pStyle w:val="TableParagraph"/>
              <w:spacing w:line="226" w:lineRule="exact" w:before="33"/>
              <w:ind w:right="132"/>
              <w:jc w:val="right"/>
              <w:rPr>
                <w:sz w:val="20"/>
              </w:rPr>
            </w:pPr>
            <w:r>
              <w:rPr>
                <w:color w:val="1B1B22"/>
                <w:sz w:val="20"/>
              </w:rPr>
              <w:t>Region</w:t>
            </w:r>
            <w:r>
              <w:rPr>
                <w:color w:val="1B1B22"/>
                <w:spacing w:val="-9"/>
                <w:sz w:val="20"/>
              </w:rPr>
              <w:t> </w:t>
            </w:r>
            <w:r>
              <w:rPr>
                <w:color w:val="1B1B22"/>
                <w:sz w:val="20"/>
              </w:rPr>
              <w:t>–</w:t>
            </w:r>
            <w:r>
              <w:rPr>
                <w:color w:val="1B1B22"/>
                <w:spacing w:val="-8"/>
                <w:sz w:val="20"/>
              </w:rPr>
              <w:t> </w:t>
            </w:r>
            <w:r>
              <w:rPr>
                <w:color w:val="1B1B22"/>
                <w:sz w:val="20"/>
              </w:rPr>
              <w:t>Latin</w:t>
            </w:r>
            <w:r>
              <w:rPr>
                <w:color w:val="1B1B22"/>
                <w:spacing w:val="-11"/>
                <w:sz w:val="20"/>
              </w:rPr>
              <w:t> </w:t>
            </w:r>
            <w:r>
              <w:rPr>
                <w:color w:val="1B1B22"/>
                <w:spacing w:val="-2"/>
                <w:sz w:val="20"/>
              </w:rPr>
              <w:t>America.</w:t>
            </w:r>
          </w:p>
        </w:tc>
        <w:tc>
          <w:tcPr>
            <w:tcW w:w="610" w:type="dxa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749" w:type="dxa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80" w:type="dxa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>
      <w:pPr>
        <w:spacing w:line="321" w:lineRule="auto" w:before="218"/>
        <w:ind w:left="426" w:right="39" w:firstLine="0"/>
        <w:jc w:val="both"/>
        <w:rPr>
          <w:sz w:val="20"/>
        </w:rPr>
      </w:pPr>
      <w:r>
        <w:rPr>
          <w:color w:val="1B1B22"/>
          <w:sz w:val="20"/>
        </w:rPr>
        <w:t>Fomos reconhecidos na categoria </w:t>
      </w:r>
      <w:r>
        <w:rPr>
          <w:b/>
          <w:color w:val="1B1B22"/>
          <w:sz w:val="20"/>
        </w:rPr>
        <w:t>Inovação do prêmio 100+ Inovadoras no Uso de TI 2025</w:t>
      </w:r>
      <w:r>
        <w:rPr>
          <w:color w:val="1B1B22"/>
          <w:sz w:val="20"/>
        </w:rPr>
        <w:t>, promovido pelo IT Forum, com o case Pix por </w:t>
      </w:r>
      <w:r>
        <w:rPr>
          <w:color w:val="1B1B22"/>
          <w:spacing w:val="-2"/>
          <w:sz w:val="20"/>
        </w:rPr>
        <w:t>Aproximação</w:t>
      </w:r>
    </w:p>
    <w:p>
      <w:pPr>
        <w:pStyle w:val="BodyText"/>
        <w:spacing w:line="321" w:lineRule="auto" w:before="119"/>
        <w:ind w:left="426" w:right="38"/>
        <w:jc w:val="both"/>
      </w:pPr>
      <w:r>
        <w:rPr>
          <w:color w:val="1B1B22"/>
        </w:rPr>
        <w:t>Fomos um</w:t>
      </w:r>
      <w:r>
        <w:rPr>
          <w:color w:val="1B1B22"/>
          <w:spacing w:val="-1"/>
        </w:rPr>
        <w:t> </w:t>
      </w:r>
      <w:r>
        <w:rPr>
          <w:color w:val="1B1B22"/>
        </w:rPr>
        <w:t>dos vencedores do</w:t>
      </w:r>
      <w:r>
        <w:rPr>
          <w:color w:val="1B1B22"/>
          <w:spacing w:val="-1"/>
        </w:rPr>
        <w:t> </w:t>
      </w:r>
      <w:r>
        <w:rPr>
          <w:b/>
          <w:color w:val="1B1B22"/>
        </w:rPr>
        <w:t>Celent Model</w:t>
      </w:r>
      <w:r>
        <w:rPr>
          <w:b/>
          <w:color w:val="1B1B22"/>
          <w:spacing w:val="-1"/>
        </w:rPr>
        <w:t> </w:t>
      </w:r>
      <w:r>
        <w:rPr>
          <w:b/>
          <w:color w:val="1B1B22"/>
        </w:rPr>
        <w:t>Bank Award</w:t>
      </w:r>
      <w:r>
        <w:rPr>
          <w:b/>
          <w:color w:val="1B1B22"/>
          <w:spacing w:val="-7"/>
        </w:rPr>
        <w:t> </w:t>
      </w:r>
      <w:r>
        <w:rPr>
          <w:b/>
          <w:color w:val="1B1B22"/>
        </w:rPr>
        <w:t>2025</w:t>
      </w:r>
      <w:r>
        <w:rPr>
          <w:color w:val="1B1B22"/>
        </w:rPr>
        <w:t>,</w:t>
      </w:r>
      <w:r>
        <w:rPr>
          <w:color w:val="1B1B22"/>
          <w:spacing w:val="-8"/>
        </w:rPr>
        <w:t> </w:t>
      </w:r>
      <w:r>
        <w:rPr>
          <w:color w:val="1B1B22"/>
        </w:rPr>
        <w:t>recebendo</w:t>
      </w:r>
      <w:r>
        <w:rPr>
          <w:color w:val="1B1B22"/>
          <w:spacing w:val="-6"/>
        </w:rPr>
        <w:t> </w:t>
      </w:r>
      <w:r>
        <w:rPr>
          <w:color w:val="1B1B22"/>
        </w:rPr>
        <w:t>destaque</w:t>
      </w:r>
      <w:r>
        <w:rPr>
          <w:color w:val="1B1B22"/>
          <w:spacing w:val="-8"/>
        </w:rPr>
        <w:t> </w:t>
      </w:r>
      <w:r>
        <w:rPr>
          <w:color w:val="1B1B22"/>
        </w:rPr>
        <w:t>na</w:t>
      </w:r>
      <w:r>
        <w:rPr>
          <w:color w:val="1B1B22"/>
          <w:spacing w:val="-9"/>
        </w:rPr>
        <w:t> </w:t>
      </w:r>
      <w:r>
        <w:rPr>
          <w:color w:val="1B1B22"/>
        </w:rPr>
        <w:t>categoria</w:t>
      </w:r>
      <w:r>
        <w:rPr>
          <w:color w:val="1B1B22"/>
          <w:spacing w:val="-9"/>
        </w:rPr>
        <w:t> </w:t>
      </w:r>
      <w:r>
        <w:rPr>
          <w:color w:val="1B1B22"/>
        </w:rPr>
        <w:t>"AI Innovation for Small Business" pelo uso de Inteligência Artificial Generativa para oferecer insights personalizados de conta a micro e pequenas empresas, por meio da ARI – Área de Recomendações</w:t>
      </w:r>
      <w:r>
        <w:rPr>
          <w:color w:val="1B1B22"/>
          <w:spacing w:val="-12"/>
        </w:rPr>
        <w:t> </w:t>
      </w:r>
      <w:r>
        <w:rPr>
          <w:color w:val="1B1B22"/>
        </w:rPr>
        <w:t>Inteligentes.</w:t>
      </w:r>
      <w:r>
        <w:rPr>
          <w:color w:val="1B1B22"/>
          <w:spacing w:val="-12"/>
        </w:rPr>
        <w:t> </w:t>
      </w:r>
      <w:r>
        <w:rPr>
          <w:color w:val="1B1B22"/>
        </w:rPr>
        <w:t>A</w:t>
      </w:r>
      <w:r>
        <w:rPr>
          <w:color w:val="1B1B22"/>
          <w:spacing w:val="-12"/>
        </w:rPr>
        <w:t> </w:t>
      </w:r>
      <w:r>
        <w:rPr>
          <w:color w:val="1B1B22"/>
        </w:rPr>
        <w:t>premiaçao</w:t>
      </w:r>
      <w:r>
        <w:rPr>
          <w:color w:val="1B1B22"/>
          <w:spacing w:val="-10"/>
        </w:rPr>
        <w:t> </w:t>
      </w:r>
      <w:r>
        <w:rPr>
          <w:color w:val="1B1B22"/>
        </w:rPr>
        <w:t>se</w:t>
      </w:r>
      <w:r>
        <w:rPr>
          <w:color w:val="1B1B22"/>
          <w:spacing w:val="-11"/>
        </w:rPr>
        <w:t> </w:t>
      </w:r>
      <w:r>
        <w:rPr>
          <w:color w:val="1B1B22"/>
        </w:rPr>
        <w:t>soma a outras duas: Global Finance – The Innovators (América Latina) e AI in Finance Awards nas categorias Enhanced Customer Experience e Personalized Financial Advice.</w:t>
      </w:r>
    </w:p>
    <w:p>
      <w:pPr>
        <w:spacing w:line="321" w:lineRule="auto" w:before="80"/>
        <w:ind w:left="426" w:right="141" w:firstLine="0"/>
        <w:jc w:val="both"/>
        <w:rPr>
          <w:sz w:val="20"/>
        </w:rPr>
      </w:pPr>
      <w:r>
        <w:rPr/>
        <w:br w:type="column"/>
      </w:r>
      <w:r>
        <w:rPr>
          <w:color w:val="1B1B22"/>
          <w:sz w:val="20"/>
        </w:rPr>
        <w:t>O BB Private foi reconhecido como </w:t>
      </w:r>
      <w:r>
        <w:rPr>
          <w:b/>
          <w:color w:val="1B1B22"/>
          <w:sz w:val="20"/>
        </w:rPr>
        <w:t>o melhor private bank do País para sustentabilidade</w:t>
      </w:r>
      <w:r>
        <w:rPr>
          <w:color w:val="1B1B22"/>
          <w:sz w:val="20"/>
        </w:rPr>
        <w:t>, na premiação </w:t>
      </w:r>
      <w:r>
        <w:rPr>
          <w:b/>
          <w:color w:val="1B1B22"/>
          <w:sz w:val="20"/>
        </w:rPr>
        <w:t>Euromoney Private Banking Awards 2025</w:t>
      </w:r>
      <w:r>
        <w:rPr>
          <w:color w:val="1B1B22"/>
          <w:sz w:val="20"/>
        </w:rPr>
        <w:t>, organizado pelo conceituado veículo especializado Euromoney. Trata-se de mais um reconhecimento inédito para o BB Private, materializando</w:t>
      </w:r>
      <w:r>
        <w:rPr>
          <w:color w:val="1B1B22"/>
          <w:spacing w:val="-8"/>
          <w:sz w:val="20"/>
        </w:rPr>
        <w:t> </w:t>
      </w:r>
      <w:r>
        <w:rPr>
          <w:color w:val="1B1B22"/>
          <w:sz w:val="20"/>
        </w:rPr>
        <w:t>nosso</w:t>
      </w:r>
      <w:r>
        <w:rPr>
          <w:color w:val="1B1B22"/>
          <w:spacing w:val="-8"/>
          <w:sz w:val="20"/>
        </w:rPr>
        <w:t> </w:t>
      </w:r>
      <w:r>
        <w:rPr>
          <w:color w:val="1B1B22"/>
          <w:sz w:val="20"/>
        </w:rPr>
        <w:t>compromisso</w:t>
      </w:r>
      <w:r>
        <w:rPr>
          <w:color w:val="1B1B22"/>
          <w:spacing w:val="-8"/>
          <w:sz w:val="20"/>
        </w:rPr>
        <w:t> </w:t>
      </w:r>
      <w:r>
        <w:rPr>
          <w:color w:val="1B1B22"/>
          <w:sz w:val="20"/>
        </w:rPr>
        <w:t>com</w:t>
      </w:r>
      <w:r>
        <w:rPr>
          <w:color w:val="1B1B22"/>
          <w:spacing w:val="-9"/>
          <w:sz w:val="20"/>
        </w:rPr>
        <w:t> </w:t>
      </w:r>
      <w:r>
        <w:rPr>
          <w:color w:val="1B1B22"/>
          <w:sz w:val="20"/>
        </w:rPr>
        <w:t>ações</w:t>
      </w:r>
      <w:r>
        <w:rPr>
          <w:color w:val="1B1B22"/>
          <w:spacing w:val="-7"/>
          <w:sz w:val="20"/>
        </w:rPr>
        <w:t> </w:t>
      </w:r>
      <w:r>
        <w:rPr>
          <w:color w:val="1B1B22"/>
          <w:sz w:val="20"/>
        </w:rPr>
        <w:t>que </w:t>
      </w:r>
      <w:r>
        <w:rPr>
          <w:color w:val="1B1B22"/>
          <w:spacing w:val="-2"/>
          <w:sz w:val="20"/>
        </w:rPr>
        <w:t>fortaleçam a</w:t>
      </w:r>
      <w:r>
        <w:rPr>
          <w:color w:val="1B1B22"/>
          <w:spacing w:val="-3"/>
          <w:sz w:val="20"/>
        </w:rPr>
        <w:t> </w:t>
      </w:r>
      <w:r>
        <w:rPr>
          <w:color w:val="1B1B22"/>
          <w:spacing w:val="-2"/>
          <w:sz w:val="20"/>
        </w:rPr>
        <w:t>sustentabilidade em nossos</w:t>
      </w:r>
      <w:r>
        <w:rPr>
          <w:color w:val="1B1B22"/>
          <w:sz w:val="20"/>
        </w:rPr>
        <w:t> </w:t>
      </w:r>
      <w:r>
        <w:rPr>
          <w:color w:val="1B1B22"/>
          <w:spacing w:val="-2"/>
          <w:sz w:val="20"/>
        </w:rPr>
        <w:t>negócios.</w:t>
      </w:r>
    </w:p>
    <w:p>
      <w:pPr>
        <w:pStyle w:val="Heading2"/>
        <w:spacing w:before="106"/>
        <w:jc w:val="left"/>
        <w:rPr>
          <w:rFonts w:ascii="BancoDoBrasil Titulos"/>
        </w:rPr>
      </w:pPr>
      <w:r>
        <w:rPr>
          <w:rFonts w:ascii="BancoDoBrasil Titulos"/>
          <w:color w:val="465EFF"/>
        </w:rPr>
        <w:t>A</w:t>
      </w:r>
      <w:r>
        <w:rPr>
          <w:rFonts w:ascii="BancoDoBrasil Titulos"/>
          <w:color w:val="465EFF"/>
          <w:spacing w:val="-28"/>
        </w:rPr>
        <w:t> </w:t>
      </w:r>
      <w:r>
        <w:rPr>
          <w:rFonts w:ascii="BancoDoBrasil Titulos"/>
          <w:color w:val="465EFF"/>
          <w:spacing w:val="19"/>
        </w:rPr>
        <w:t>br</w:t>
      </w:r>
      <w:r>
        <w:rPr>
          <w:rFonts w:ascii="BancoDoBrasil Titulos"/>
          <w:color w:val="465EFF"/>
          <w:spacing w:val="-28"/>
        </w:rPr>
        <w:t> </w:t>
      </w:r>
      <w:r>
        <w:rPr>
          <w:rFonts w:ascii="BancoDoBrasil Titulos"/>
          <w:color w:val="465EFF"/>
        </w:rPr>
        <w:t>i</w:t>
      </w:r>
      <w:r>
        <w:rPr>
          <w:rFonts w:ascii="BancoDoBrasil Titulos"/>
          <w:color w:val="465EFF"/>
          <w:spacing w:val="-28"/>
        </w:rPr>
        <w:t> </w:t>
      </w:r>
      <w:r>
        <w:rPr>
          <w:rFonts w:ascii="BancoDoBrasil Titulos"/>
          <w:color w:val="465EFF"/>
          <w:spacing w:val="-10"/>
        </w:rPr>
        <w:t>l</w:t>
      </w:r>
    </w:p>
    <w:p>
      <w:pPr>
        <w:pStyle w:val="BodyText"/>
        <w:spacing w:line="321" w:lineRule="auto" w:before="247"/>
        <w:ind w:left="426" w:right="141"/>
        <w:jc w:val="both"/>
      </w:pPr>
      <w:r>
        <w:rPr>
          <w:color w:val="1B1B22"/>
        </w:rPr>
        <w:t>Recebemos o prêmio de </w:t>
      </w:r>
      <w:r>
        <w:rPr>
          <w:b/>
          <w:color w:val="1B1B22"/>
        </w:rPr>
        <w:t>Melhor Instituição Pública</w:t>
      </w:r>
      <w:r>
        <w:rPr>
          <w:b/>
          <w:color w:val="1B1B22"/>
          <w:spacing w:val="-8"/>
        </w:rPr>
        <w:t> </w:t>
      </w:r>
      <w:r>
        <w:rPr>
          <w:color w:val="1B1B22"/>
        </w:rPr>
        <w:t>do</w:t>
      </w:r>
      <w:r>
        <w:rPr>
          <w:color w:val="1B1B22"/>
          <w:spacing w:val="-8"/>
        </w:rPr>
        <w:t> </w:t>
      </w:r>
      <w:r>
        <w:rPr>
          <w:color w:val="1B1B22"/>
        </w:rPr>
        <w:t>ano,</w:t>
      </w:r>
      <w:r>
        <w:rPr>
          <w:color w:val="1B1B22"/>
          <w:spacing w:val="-7"/>
        </w:rPr>
        <w:t> </w:t>
      </w:r>
      <w:r>
        <w:rPr>
          <w:color w:val="1B1B22"/>
        </w:rPr>
        <w:t>durante</w:t>
      </w:r>
      <w:r>
        <w:rPr>
          <w:color w:val="1B1B22"/>
          <w:spacing w:val="-8"/>
        </w:rPr>
        <w:t> </w:t>
      </w:r>
      <w:r>
        <w:rPr>
          <w:color w:val="1B1B22"/>
        </w:rPr>
        <w:t>o</w:t>
      </w:r>
      <w:r>
        <w:rPr>
          <w:color w:val="1B1B22"/>
          <w:spacing w:val="-6"/>
        </w:rPr>
        <w:t> </w:t>
      </w:r>
      <w:r>
        <w:rPr>
          <w:color w:val="1B1B22"/>
        </w:rPr>
        <w:t>II</w:t>
      </w:r>
      <w:r>
        <w:rPr>
          <w:color w:val="1B1B22"/>
          <w:spacing w:val="-8"/>
        </w:rPr>
        <w:t> </w:t>
      </w:r>
      <w:r>
        <w:rPr>
          <w:color w:val="1B1B22"/>
        </w:rPr>
        <w:t>Fórum</w:t>
      </w:r>
      <w:r>
        <w:rPr>
          <w:color w:val="1B1B22"/>
          <w:spacing w:val="-8"/>
        </w:rPr>
        <w:t> </w:t>
      </w:r>
      <w:r>
        <w:rPr>
          <w:color w:val="1B1B22"/>
        </w:rPr>
        <w:t>de</w:t>
      </w:r>
      <w:r>
        <w:rPr>
          <w:color w:val="1B1B22"/>
          <w:spacing w:val="-8"/>
        </w:rPr>
        <w:t> </w:t>
      </w:r>
      <w:r>
        <w:rPr>
          <w:color w:val="1B1B22"/>
        </w:rPr>
        <w:t>PPPs</w:t>
      </w:r>
      <w:r>
        <w:rPr>
          <w:color w:val="1B1B22"/>
          <w:spacing w:val="-6"/>
        </w:rPr>
        <w:t> </w:t>
      </w:r>
      <w:r>
        <w:rPr>
          <w:color w:val="1B1B22"/>
        </w:rPr>
        <w:t>Sociais, pelo Centro de pesquisa PSP Hub – Infrastructure and Urbanism Studies e Hiria Nurnbergmesse Business.</w:t>
      </w:r>
      <w:r>
        <w:rPr>
          <w:color w:val="1B1B22"/>
          <w:spacing w:val="-13"/>
        </w:rPr>
        <w:t> </w:t>
      </w:r>
      <w:r>
        <w:rPr>
          <w:color w:val="1B1B22"/>
        </w:rPr>
        <w:t>A</w:t>
      </w:r>
      <w:r>
        <w:rPr>
          <w:color w:val="1B1B22"/>
          <w:spacing w:val="-12"/>
        </w:rPr>
        <w:t> </w:t>
      </w:r>
      <w:r>
        <w:rPr>
          <w:color w:val="1B1B22"/>
        </w:rPr>
        <w:t>premiação</w:t>
      </w:r>
      <w:r>
        <w:rPr>
          <w:color w:val="1B1B22"/>
          <w:spacing w:val="-13"/>
        </w:rPr>
        <w:t> </w:t>
      </w:r>
      <w:r>
        <w:rPr>
          <w:color w:val="1B1B22"/>
        </w:rPr>
        <w:t>consagra</w:t>
      </w:r>
      <w:r>
        <w:rPr>
          <w:color w:val="1B1B22"/>
          <w:spacing w:val="-12"/>
        </w:rPr>
        <w:t> </w:t>
      </w:r>
      <w:r>
        <w:rPr>
          <w:color w:val="1B1B22"/>
        </w:rPr>
        <w:t>o</w:t>
      </w:r>
      <w:r>
        <w:rPr>
          <w:color w:val="1B1B22"/>
          <w:spacing w:val="-12"/>
        </w:rPr>
        <w:t> </w:t>
      </w:r>
      <w:r>
        <w:rPr>
          <w:color w:val="1B1B22"/>
        </w:rPr>
        <w:t>protagonismo</w:t>
      </w:r>
      <w:r>
        <w:rPr>
          <w:color w:val="1B1B22"/>
          <w:spacing w:val="-13"/>
        </w:rPr>
        <w:t> </w:t>
      </w:r>
      <w:r>
        <w:rPr>
          <w:color w:val="1B1B22"/>
        </w:rPr>
        <w:t>do BB no fortalecimento do ecossistema de Parcerias Público-Privadas (PPPs) e concessões.</w:t>
      </w:r>
    </w:p>
    <w:p>
      <w:pPr>
        <w:pStyle w:val="Heading2"/>
        <w:jc w:val="left"/>
        <w:rPr>
          <w:rFonts w:ascii="BancoDoBrasil Titulos"/>
        </w:rPr>
      </w:pPr>
      <w:r>
        <w:rPr>
          <w:rFonts w:ascii="BancoDoBrasil Titulos"/>
          <w:color w:val="465EFF"/>
          <w:spacing w:val="26"/>
        </w:rPr>
        <w:t>Mai</w:t>
      </w:r>
      <w:r>
        <w:rPr>
          <w:rFonts w:ascii="BancoDoBrasil Titulos"/>
          <w:color w:val="465EFF"/>
          <w:spacing w:val="-29"/>
        </w:rPr>
        <w:t> </w:t>
      </w:r>
      <w:r>
        <w:rPr>
          <w:rFonts w:ascii="BancoDoBrasil Titulos"/>
          <w:color w:val="465EFF"/>
          <w:spacing w:val="-10"/>
        </w:rPr>
        <w:t>o</w:t>
      </w:r>
    </w:p>
    <w:p>
      <w:pPr>
        <w:pStyle w:val="BodyText"/>
        <w:spacing w:line="321" w:lineRule="auto" w:before="249"/>
        <w:ind w:left="427" w:right="141" w:hanging="1"/>
        <w:jc w:val="both"/>
      </w:pPr>
      <w:r>
        <w:rPr>
          <w:color w:val="1B1B22"/>
        </w:rPr>
        <w:t>No </w:t>
      </w:r>
      <w:r>
        <w:rPr>
          <w:b/>
          <w:color w:val="1B1B22"/>
        </w:rPr>
        <w:t>Prêmio Reconhecimento BNDES 2025</w:t>
      </w:r>
      <w:r>
        <w:rPr>
          <w:color w:val="1B1B22"/>
        </w:rPr>
        <w:t>, fomos reconhecidos nas categorias "Finame 60 anos" e "Destaque Empresarial" pelo desempenho no desembolso de linhas de crédito com recursos do banco de desenvolvimento. O evento reuniu os principais agentes financeiros do país.</w:t>
      </w:r>
    </w:p>
    <w:p>
      <w:pPr>
        <w:pStyle w:val="BodyText"/>
        <w:spacing w:line="321" w:lineRule="auto" w:before="116"/>
        <w:ind w:left="427" w:right="140"/>
        <w:jc w:val="both"/>
      </w:pPr>
      <w:r>
        <w:rPr>
          <w:color w:val="1B1B22"/>
        </w:rPr>
        <w:t>Pelo segundo ano consecutivo, tivemos reconhecimento pela atuação da diretora jurídica Lucinéia Possar, vencedora do</w:t>
      </w:r>
      <w:r>
        <w:rPr>
          <w:color w:val="1B1B22"/>
          <w:spacing w:val="-2"/>
        </w:rPr>
        <w:t> </w:t>
      </w:r>
      <w:r>
        <w:rPr>
          <w:color w:val="1B1B22"/>
        </w:rPr>
        <w:t>The Latin American Lawyer Women Awards, na categoria In House Counsel of the</w:t>
      </w:r>
      <w:r>
        <w:rPr>
          <w:color w:val="1B1B22"/>
          <w:spacing w:val="-8"/>
        </w:rPr>
        <w:t> </w:t>
      </w:r>
      <w:r>
        <w:rPr>
          <w:color w:val="1B1B22"/>
        </w:rPr>
        <w:t>Year Banking &amp; Finance (Advogada Interna do Ano em Bancos &amp; Finanças).</w:t>
      </w:r>
    </w:p>
    <w:p>
      <w:pPr>
        <w:pStyle w:val="Heading2"/>
        <w:jc w:val="left"/>
        <w:rPr>
          <w:rFonts w:ascii="BancoDoBrasil Titulos"/>
        </w:rPr>
      </w:pPr>
      <w:r>
        <w:rPr>
          <w:rFonts w:ascii="BancoDoBrasil Titulos"/>
          <w:color w:val="465EFF"/>
        </w:rPr>
        <w:t>J</w:t>
      </w:r>
      <w:r>
        <w:rPr>
          <w:rFonts w:ascii="BancoDoBrasil Titulos"/>
          <w:color w:val="465EFF"/>
          <w:spacing w:val="-28"/>
        </w:rPr>
        <w:t> </w:t>
      </w:r>
      <w:r>
        <w:rPr>
          <w:rFonts w:ascii="BancoDoBrasil Titulos"/>
          <w:color w:val="465EFF"/>
        </w:rPr>
        <w:t>u</w:t>
      </w:r>
      <w:r>
        <w:rPr>
          <w:rFonts w:ascii="BancoDoBrasil Titulos"/>
          <w:color w:val="465EFF"/>
          <w:spacing w:val="-29"/>
        </w:rPr>
        <w:t> </w:t>
      </w:r>
      <w:r>
        <w:rPr>
          <w:rFonts w:ascii="BancoDoBrasil Titulos"/>
          <w:color w:val="465EFF"/>
          <w:spacing w:val="19"/>
        </w:rPr>
        <w:t>nh</w:t>
      </w:r>
      <w:r>
        <w:rPr>
          <w:rFonts w:ascii="BancoDoBrasil Titulos"/>
          <w:color w:val="465EFF"/>
          <w:spacing w:val="-30"/>
        </w:rPr>
        <w:t> </w:t>
      </w:r>
      <w:r>
        <w:rPr>
          <w:rFonts w:ascii="BancoDoBrasil Titulos"/>
          <w:color w:val="465EFF"/>
          <w:spacing w:val="-10"/>
        </w:rPr>
        <w:t>o</w:t>
      </w:r>
    </w:p>
    <w:p>
      <w:pPr>
        <w:spacing w:line="321" w:lineRule="auto" w:before="249"/>
        <w:ind w:left="426" w:right="141" w:firstLine="0"/>
        <w:jc w:val="both"/>
        <w:rPr>
          <w:sz w:val="20"/>
        </w:rPr>
      </w:pPr>
      <w:r>
        <w:rPr>
          <w:color w:val="1B1B22"/>
          <w:sz w:val="20"/>
        </w:rPr>
        <w:t>Recebemos a 11ª conquista no </w:t>
      </w:r>
      <w:r>
        <w:rPr>
          <w:b/>
          <w:color w:val="1B1B22"/>
          <w:sz w:val="20"/>
        </w:rPr>
        <w:t>Prêmio Broadcast Analistas</w:t>
      </w:r>
      <w:r>
        <w:rPr>
          <w:color w:val="1B1B22"/>
          <w:sz w:val="20"/>
        </w:rPr>
        <w:t>,</w:t>
      </w:r>
      <w:r>
        <w:rPr>
          <w:color w:val="1B1B22"/>
          <w:spacing w:val="-13"/>
          <w:sz w:val="20"/>
        </w:rPr>
        <w:t> </w:t>
      </w:r>
      <w:r>
        <w:rPr>
          <w:color w:val="1B1B22"/>
          <w:sz w:val="20"/>
        </w:rPr>
        <w:t>reafirmando</w:t>
      </w:r>
      <w:r>
        <w:rPr>
          <w:color w:val="1B1B22"/>
          <w:spacing w:val="-12"/>
          <w:sz w:val="20"/>
        </w:rPr>
        <w:t> </w:t>
      </w:r>
      <w:r>
        <w:rPr>
          <w:color w:val="1B1B22"/>
          <w:sz w:val="20"/>
        </w:rPr>
        <w:t>sua</w:t>
      </w:r>
      <w:r>
        <w:rPr>
          <w:color w:val="1B1B22"/>
          <w:spacing w:val="-13"/>
          <w:sz w:val="20"/>
        </w:rPr>
        <w:t> </w:t>
      </w:r>
      <w:r>
        <w:rPr>
          <w:color w:val="1B1B22"/>
          <w:sz w:val="20"/>
        </w:rPr>
        <w:t>posição</w:t>
      </w:r>
      <w:r>
        <w:rPr>
          <w:color w:val="1B1B22"/>
          <w:spacing w:val="-12"/>
          <w:sz w:val="20"/>
        </w:rPr>
        <w:t> </w:t>
      </w:r>
      <w:r>
        <w:rPr>
          <w:color w:val="1B1B22"/>
          <w:sz w:val="20"/>
        </w:rPr>
        <w:t>de</w:t>
      </w:r>
      <w:r>
        <w:rPr>
          <w:color w:val="1B1B22"/>
          <w:spacing w:val="-12"/>
          <w:sz w:val="20"/>
        </w:rPr>
        <w:t> </w:t>
      </w:r>
      <w:r>
        <w:rPr>
          <w:color w:val="1B1B22"/>
          <w:sz w:val="20"/>
        </w:rPr>
        <w:t>destaque</w:t>
      </w:r>
      <w:r>
        <w:rPr>
          <w:color w:val="1B1B22"/>
          <w:spacing w:val="-13"/>
          <w:sz w:val="20"/>
        </w:rPr>
        <w:t> </w:t>
      </w:r>
      <w:r>
        <w:rPr>
          <w:color w:val="1B1B22"/>
          <w:sz w:val="20"/>
        </w:rPr>
        <w:t>no mercado financeiro.</w:t>
      </w:r>
    </w:p>
    <w:p>
      <w:pPr>
        <w:spacing w:after="0" w:line="321" w:lineRule="auto"/>
        <w:jc w:val="both"/>
        <w:rPr>
          <w:sz w:val="20"/>
        </w:rPr>
        <w:sectPr>
          <w:type w:val="continuous"/>
          <w:pgSz w:w="11910" w:h="16850"/>
          <w:pgMar w:header="152" w:footer="572" w:top="1920" w:bottom="280" w:left="425" w:right="708"/>
          <w:cols w:num="2" w:equalWidth="0">
            <w:col w:w="5216" w:space="240"/>
            <w:col w:w="5321"/>
          </w:cols>
        </w:sectPr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212"/>
      </w:pPr>
    </w:p>
    <w:p>
      <w:pPr>
        <w:pStyle w:val="BodyText"/>
        <w:spacing w:after="0"/>
        <w:sectPr>
          <w:pgSz w:w="11910" w:h="16850"/>
          <w:pgMar w:header="152" w:footer="572" w:top="900" w:bottom="780" w:left="425" w:right="708"/>
        </w:sectPr>
      </w:pPr>
    </w:p>
    <w:p>
      <w:pPr>
        <w:pStyle w:val="Heading1"/>
        <w:spacing w:before="52"/>
      </w:pPr>
      <w:r>
        <w:rPr>
          <w:color w:val="465EFF"/>
          <w:spacing w:val="35"/>
        </w:rPr>
        <w:t>Auditoria</w:t>
      </w:r>
    </w:p>
    <w:p>
      <w:pPr>
        <w:spacing w:before="189"/>
        <w:ind w:left="427" w:right="0" w:firstLine="0"/>
        <w:jc w:val="left"/>
        <w:rPr>
          <w:rFonts w:ascii="BancoDoBrasil Titulos"/>
          <w:sz w:val="44"/>
        </w:rPr>
      </w:pPr>
      <w:r>
        <w:rPr>
          <w:rFonts w:ascii="BancoDoBrasil Titulos"/>
          <w:color w:val="465EFF"/>
          <w:spacing w:val="33"/>
          <w:sz w:val="44"/>
        </w:rPr>
        <w:t>Independente</w:t>
      </w:r>
    </w:p>
    <w:p>
      <w:pPr>
        <w:pStyle w:val="BodyText"/>
        <w:spacing w:line="321" w:lineRule="auto" w:before="337"/>
        <w:ind w:left="426" w:right="38"/>
        <w:jc w:val="both"/>
      </w:pPr>
      <w:r>
        <w:rPr>
          <w:color w:val="1B1B22"/>
        </w:rPr>
        <w:t>O BB segue rigorosamente todas as legislações e regulamentações aplicáveis à auditoria independente, assegurando transparência e conformidade nos processos. A KPMG Auditores Independentes Ltda. é a empresa contratada para prestação</w:t>
      </w:r>
      <w:r>
        <w:rPr>
          <w:color w:val="1B1B22"/>
          <w:spacing w:val="-13"/>
        </w:rPr>
        <w:t> </w:t>
      </w:r>
      <w:r>
        <w:rPr>
          <w:color w:val="1B1B22"/>
        </w:rPr>
        <w:t>de</w:t>
      </w:r>
      <w:r>
        <w:rPr>
          <w:color w:val="1B1B22"/>
          <w:spacing w:val="-12"/>
        </w:rPr>
        <w:t> </w:t>
      </w:r>
      <w:r>
        <w:rPr>
          <w:color w:val="1B1B22"/>
        </w:rPr>
        <w:t>serviços</w:t>
      </w:r>
      <w:r>
        <w:rPr>
          <w:color w:val="1B1B22"/>
          <w:spacing w:val="-13"/>
        </w:rPr>
        <w:t> </w:t>
      </w:r>
      <w:r>
        <w:rPr>
          <w:color w:val="1B1B22"/>
        </w:rPr>
        <w:t>de</w:t>
      </w:r>
      <w:r>
        <w:rPr>
          <w:color w:val="1B1B22"/>
          <w:spacing w:val="-12"/>
        </w:rPr>
        <w:t> </w:t>
      </w:r>
      <w:r>
        <w:rPr>
          <w:color w:val="1B1B22"/>
        </w:rPr>
        <w:t>auditoria</w:t>
      </w:r>
      <w:r>
        <w:rPr>
          <w:color w:val="1B1B22"/>
          <w:spacing w:val="-12"/>
        </w:rPr>
        <w:t> </w:t>
      </w:r>
      <w:r>
        <w:rPr>
          <w:color w:val="1B1B22"/>
        </w:rPr>
        <w:t>externa</w:t>
      </w:r>
      <w:r>
        <w:rPr>
          <w:color w:val="1B1B22"/>
          <w:spacing w:val="-13"/>
        </w:rPr>
        <w:t> </w:t>
      </w:r>
      <w:r>
        <w:rPr>
          <w:color w:val="1B1B22"/>
        </w:rPr>
        <w:t>sobre</w:t>
      </w:r>
      <w:r>
        <w:rPr>
          <w:color w:val="1B1B22"/>
          <w:spacing w:val="-11"/>
        </w:rPr>
        <w:t> </w:t>
      </w:r>
      <w:r>
        <w:rPr>
          <w:color w:val="1B1B22"/>
        </w:rPr>
        <w:t>as demonstrações financeiras.</w:t>
      </w:r>
    </w:p>
    <w:p>
      <w:pPr>
        <w:pStyle w:val="BodyText"/>
        <w:spacing w:line="321" w:lineRule="auto" w:before="115"/>
        <w:ind w:left="426" w:right="40"/>
        <w:jc w:val="both"/>
      </w:pPr>
      <w:r>
        <w:rPr>
          <w:color w:val="1B1B22"/>
        </w:rPr>
        <w:t>Com relação aos serviços de não auditoria prestados por ela no âmbito do BB, não representam conflito de interesse tampouco, comprometem</w:t>
      </w:r>
      <w:r>
        <w:rPr>
          <w:color w:val="1B1B22"/>
          <w:spacing w:val="-12"/>
        </w:rPr>
        <w:t> </w:t>
      </w:r>
      <w:r>
        <w:rPr>
          <w:color w:val="1B1B22"/>
        </w:rPr>
        <w:t>sua</w:t>
      </w:r>
      <w:r>
        <w:rPr>
          <w:color w:val="1B1B22"/>
          <w:spacing w:val="-12"/>
        </w:rPr>
        <w:t> </w:t>
      </w:r>
      <w:r>
        <w:rPr>
          <w:color w:val="1B1B22"/>
        </w:rPr>
        <w:t>independência</w:t>
      </w:r>
      <w:r>
        <w:rPr>
          <w:color w:val="1B1B22"/>
          <w:spacing w:val="-12"/>
        </w:rPr>
        <w:t> </w:t>
      </w:r>
      <w:r>
        <w:rPr>
          <w:color w:val="1B1B22"/>
        </w:rPr>
        <w:t>na</w:t>
      </w:r>
      <w:r>
        <w:rPr>
          <w:color w:val="1B1B22"/>
          <w:spacing w:val="-12"/>
        </w:rPr>
        <w:t> </w:t>
      </w:r>
      <w:r>
        <w:rPr>
          <w:color w:val="1B1B22"/>
        </w:rPr>
        <w:t>execução</w:t>
      </w:r>
      <w:r>
        <w:rPr>
          <w:color w:val="1B1B22"/>
          <w:spacing w:val="-12"/>
        </w:rPr>
        <w:t> </w:t>
      </w:r>
      <w:r>
        <w:rPr>
          <w:color w:val="1B1B22"/>
        </w:rPr>
        <w:t>dos trabalhos.</w:t>
      </w:r>
      <w:r>
        <w:rPr>
          <w:color w:val="1B1B22"/>
          <w:spacing w:val="-9"/>
        </w:rPr>
        <w:t> </w:t>
      </w:r>
      <w:r>
        <w:rPr>
          <w:color w:val="1B1B22"/>
        </w:rPr>
        <w:t>As</w:t>
      </w:r>
      <w:r>
        <w:rPr>
          <w:color w:val="1B1B22"/>
          <w:spacing w:val="-6"/>
        </w:rPr>
        <w:t> </w:t>
      </w:r>
      <w:r>
        <w:rPr>
          <w:color w:val="1B1B22"/>
        </w:rPr>
        <w:t>informações</w:t>
      </w:r>
      <w:r>
        <w:rPr>
          <w:color w:val="1B1B22"/>
          <w:spacing w:val="-6"/>
        </w:rPr>
        <w:t> </w:t>
      </w:r>
      <w:r>
        <w:rPr>
          <w:color w:val="1B1B22"/>
        </w:rPr>
        <w:t>sobre</w:t>
      </w:r>
      <w:r>
        <w:rPr>
          <w:color w:val="1B1B22"/>
          <w:spacing w:val="-8"/>
        </w:rPr>
        <w:t> </w:t>
      </w:r>
      <w:r>
        <w:rPr>
          <w:color w:val="1B1B22"/>
        </w:rPr>
        <w:t>os</w:t>
      </w:r>
      <w:r>
        <w:rPr>
          <w:color w:val="1B1B22"/>
          <w:spacing w:val="-6"/>
        </w:rPr>
        <w:t> </w:t>
      </w:r>
      <w:r>
        <w:rPr>
          <w:color w:val="1B1B22"/>
        </w:rPr>
        <w:t>honorários</w:t>
      </w:r>
      <w:r>
        <w:rPr>
          <w:color w:val="1B1B22"/>
          <w:spacing w:val="-6"/>
        </w:rPr>
        <w:t> </w:t>
      </w:r>
      <w:r>
        <w:rPr>
          <w:color w:val="1B1B22"/>
        </w:rPr>
        <w:t>dos serviços de não auditoria são divulgadas anualmente em nosso Formulário de Referência, em</w:t>
      </w:r>
      <w:r>
        <w:rPr>
          <w:color w:val="1B1B22"/>
          <w:spacing w:val="-13"/>
        </w:rPr>
        <w:t> </w:t>
      </w:r>
      <w:r>
        <w:rPr>
          <w:color w:val="1B1B22"/>
        </w:rPr>
        <w:t>conformidade</w:t>
      </w:r>
      <w:r>
        <w:rPr>
          <w:color w:val="1B1B22"/>
          <w:spacing w:val="-12"/>
        </w:rPr>
        <w:t> </w:t>
      </w:r>
      <w:r>
        <w:rPr>
          <w:color w:val="1B1B22"/>
        </w:rPr>
        <w:t>com</w:t>
      </w:r>
      <w:r>
        <w:rPr>
          <w:color w:val="1B1B22"/>
          <w:spacing w:val="-13"/>
        </w:rPr>
        <w:t> </w:t>
      </w:r>
      <w:r>
        <w:rPr>
          <w:color w:val="1B1B22"/>
        </w:rPr>
        <w:t>a</w:t>
      </w:r>
      <w:r>
        <w:rPr>
          <w:color w:val="1B1B22"/>
          <w:spacing w:val="-12"/>
        </w:rPr>
        <w:t> </w:t>
      </w:r>
      <w:r>
        <w:rPr>
          <w:color w:val="1B1B22"/>
        </w:rPr>
        <w:t>Resolução</w:t>
      </w:r>
      <w:r>
        <w:rPr>
          <w:color w:val="1B1B22"/>
          <w:spacing w:val="-12"/>
        </w:rPr>
        <w:t> </w:t>
      </w:r>
      <w:r>
        <w:rPr>
          <w:color w:val="1B1B22"/>
        </w:rPr>
        <w:t>CVM</w:t>
      </w:r>
      <w:r>
        <w:rPr>
          <w:color w:val="1B1B22"/>
          <w:spacing w:val="-13"/>
        </w:rPr>
        <w:t> </w:t>
      </w:r>
      <w:r>
        <w:rPr>
          <w:color w:val="1B1B22"/>
        </w:rPr>
        <w:t>162/2022.</w:t>
      </w:r>
    </w:p>
    <w:p>
      <w:pPr>
        <w:pStyle w:val="Heading1"/>
        <w:spacing w:line="321" w:lineRule="auto" w:before="89"/>
      </w:pPr>
      <w:r>
        <w:rPr>
          <w:color w:val="465EFF"/>
          <w:spacing w:val="32"/>
        </w:rPr>
        <w:t>Esclarecimentos Adicionais</w:t>
      </w:r>
    </w:p>
    <w:p>
      <w:pPr>
        <w:pStyle w:val="BodyText"/>
        <w:tabs>
          <w:tab w:pos="2157" w:val="left" w:leader="none"/>
          <w:tab w:pos="3018" w:val="left" w:leader="none"/>
          <w:tab w:pos="4086" w:val="left" w:leader="none"/>
        </w:tabs>
        <w:spacing w:line="321" w:lineRule="auto" w:before="142"/>
        <w:ind w:left="427" w:right="39"/>
        <w:jc w:val="both"/>
      </w:pPr>
      <w:r>
        <w:rPr>
          <w:color w:val="1B1B22"/>
        </w:rPr>
        <w:t>Possuímos R$ 1,1 bilhão (consolidado) de créditos tributários não ativados, apresentados na nota explicativa 22 - Tributos (subitem “f”). Em cumprimento ao artigo 243 da Lei 6.404/1976, informamos que os investimentos da companhia em sociedades coligadas e controladas estão </w:t>
      </w:r>
      <w:r>
        <w:rPr>
          <w:color w:val="1B1B22"/>
          <w:spacing w:val="-2"/>
        </w:rPr>
        <w:t>relacionados</w:t>
      </w:r>
      <w:r>
        <w:rPr>
          <w:color w:val="1B1B22"/>
        </w:rPr>
        <w:tab/>
      </w:r>
      <w:r>
        <w:rPr>
          <w:color w:val="1B1B22"/>
          <w:spacing w:val="-4"/>
        </w:rPr>
        <w:t>nas</w:t>
      </w:r>
      <w:r>
        <w:rPr>
          <w:color w:val="1B1B22"/>
        </w:rPr>
        <w:tab/>
      </w:r>
      <w:r>
        <w:rPr>
          <w:color w:val="1B1B22"/>
          <w:spacing w:val="-2"/>
        </w:rPr>
        <w:t>notas</w:t>
      </w:r>
      <w:r>
        <w:rPr>
          <w:color w:val="1B1B22"/>
        </w:rPr>
        <w:tab/>
      </w:r>
      <w:r>
        <w:rPr>
          <w:color w:val="1B1B22"/>
          <w:spacing w:val="-2"/>
        </w:rPr>
        <w:t>explicativas </w:t>
      </w:r>
      <w:r>
        <w:rPr>
          <w:color w:val="1B1B22"/>
        </w:rPr>
        <w:t>2 – Apresentação das Demonstrações Contábeis e 14 – Investimentos.</w:t>
      </w:r>
    </w:p>
    <w:p>
      <w:pPr>
        <w:pStyle w:val="BodyText"/>
        <w:spacing w:line="321" w:lineRule="auto" w:before="79"/>
        <w:ind w:left="427" w:right="140"/>
        <w:jc w:val="both"/>
      </w:pPr>
      <w:r>
        <w:rPr/>
        <w:br w:type="column"/>
      </w:r>
      <w:r>
        <w:rPr>
          <w:color w:val="1B1B22"/>
        </w:rPr>
        <w:t>Publicamos anualmente os investimentos realizados em políticas públicas em nossa Carta Anual de Políticas Públicas e Governança Corporativa, disponível no site </w:t>
      </w:r>
      <w:hyperlink r:id="rId10">
        <w:r>
          <w:rPr>
            <w:color w:val="0562C1"/>
            <w:u w:val="single" w:color="0562C1"/>
          </w:rPr>
          <w:t>ri.bb.com.br</w:t>
        </w:r>
        <w:r>
          <w:rPr>
            <w:color w:val="1B1B22"/>
            <w:u w:val="none"/>
          </w:rPr>
          <w:t>.</w:t>
        </w:r>
      </w:hyperlink>
    </w:p>
    <w:p>
      <w:pPr>
        <w:pStyle w:val="BodyText"/>
        <w:spacing w:line="321" w:lineRule="auto" w:before="118"/>
        <w:ind w:left="427" w:right="141"/>
        <w:jc w:val="both"/>
      </w:pPr>
      <w:r>
        <w:rPr>
          <w:color w:val="1B1B22"/>
        </w:rPr>
        <w:t>O</w:t>
      </w:r>
      <w:r>
        <w:rPr>
          <w:color w:val="1B1B22"/>
          <w:spacing w:val="-6"/>
        </w:rPr>
        <w:t> </w:t>
      </w:r>
      <w:r>
        <w:rPr>
          <w:color w:val="1B1B22"/>
        </w:rPr>
        <w:t>Banco</w:t>
      </w:r>
      <w:r>
        <w:rPr>
          <w:color w:val="1B1B22"/>
          <w:spacing w:val="-6"/>
        </w:rPr>
        <w:t> </w:t>
      </w:r>
      <w:r>
        <w:rPr>
          <w:color w:val="1B1B22"/>
        </w:rPr>
        <w:t>do</w:t>
      </w:r>
      <w:r>
        <w:rPr>
          <w:color w:val="1B1B22"/>
          <w:spacing w:val="-6"/>
        </w:rPr>
        <w:t> </w:t>
      </w:r>
      <w:r>
        <w:rPr>
          <w:color w:val="1B1B22"/>
        </w:rPr>
        <w:t>Brasil,</w:t>
      </w:r>
      <w:r>
        <w:rPr>
          <w:color w:val="1B1B22"/>
          <w:spacing w:val="-6"/>
        </w:rPr>
        <w:t> </w:t>
      </w:r>
      <w:r>
        <w:rPr>
          <w:color w:val="1B1B22"/>
        </w:rPr>
        <w:t>seus</w:t>
      </w:r>
      <w:r>
        <w:rPr>
          <w:color w:val="1B1B22"/>
          <w:spacing w:val="-5"/>
        </w:rPr>
        <w:t> </w:t>
      </w:r>
      <w:r>
        <w:rPr>
          <w:color w:val="1B1B22"/>
        </w:rPr>
        <w:t>acionistas,</w:t>
      </w:r>
      <w:r>
        <w:rPr>
          <w:color w:val="1B1B22"/>
          <w:spacing w:val="-4"/>
        </w:rPr>
        <w:t> </w:t>
      </w:r>
      <w:r>
        <w:rPr>
          <w:color w:val="1B1B22"/>
        </w:rPr>
        <w:t>administradores e</w:t>
      </w:r>
      <w:r>
        <w:rPr>
          <w:color w:val="1B1B22"/>
          <w:spacing w:val="-13"/>
        </w:rPr>
        <w:t> </w:t>
      </w:r>
      <w:r>
        <w:rPr>
          <w:color w:val="1B1B22"/>
        </w:rPr>
        <w:t>os</w:t>
      </w:r>
      <w:r>
        <w:rPr>
          <w:color w:val="1B1B22"/>
          <w:spacing w:val="-12"/>
        </w:rPr>
        <w:t> </w:t>
      </w:r>
      <w:r>
        <w:rPr>
          <w:color w:val="1B1B22"/>
        </w:rPr>
        <w:t>membros</w:t>
      </w:r>
      <w:r>
        <w:rPr>
          <w:color w:val="1B1B22"/>
          <w:spacing w:val="-13"/>
        </w:rPr>
        <w:t> </w:t>
      </w:r>
      <w:r>
        <w:rPr>
          <w:color w:val="1B1B22"/>
        </w:rPr>
        <w:t>do</w:t>
      </w:r>
      <w:r>
        <w:rPr>
          <w:color w:val="1B1B22"/>
          <w:spacing w:val="-12"/>
        </w:rPr>
        <w:t> </w:t>
      </w:r>
      <w:r>
        <w:rPr>
          <w:color w:val="1B1B22"/>
        </w:rPr>
        <w:t>Conselho</w:t>
      </w:r>
      <w:r>
        <w:rPr>
          <w:color w:val="1B1B22"/>
          <w:spacing w:val="-12"/>
        </w:rPr>
        <w:t> </w:t>
      </w:r>
      <w:r>
        <w:rPr>
          <w:color w:val="1B1B22"/>
        </w:rPr>
        <w:t>Fiscal</w:t>
      </w:r>
      <w:r>
        <w:rPr>
          <w:color w:val="1B1B22"/>
          <w:spacing w:val="-13"/>
        </w:rPr>
        <w:t> </w:t>
      </w:r>
      <w:r>
        <w:rPr>
          <w:color w:val="1B1B22"/>
        </w:rPr>
        <w:t>se</w:t>
      </w:r>
      <w:r>
        <w:rPr>
          <w:color w:val="1B1B22"/>
          <w:spacing w:val="-12"/>
        </w:rPr>
        <w:t> </w:t>
      </w:r>
      <w:r>
        <w:rPr>
          <w:color w:val="1B1B22"/>
        </w:rPr>
        <w:t>comprometem a</w:t>
      </w:r>
      <w:r>
        <w:rPr>
          <w:color w:val="1B1B22"/>
          <w:spacing w:val="-7"/>
        </w:rPr>
        <w:t> </w:t>
      </w:r>
      <w:r>
        <w:rPr>
          <w:color w:val="1B1B22"/>
        </w:rPr>
        <w:t>resolver</w:t>
      </w:r>
      <w:r>
        <w:rPr>
          <w:color w:val="1B1B22"/>
          <w:spacing w:val="-6"/>
        </w:rPr>
        <w:t> </w:t>
      </w:r>
      <w:r>
        <w:rPr>
          <w:color w:val="1B1B22"/>
        </w:rPr>
        <w:t>toda</w:t>
      </w:r>
      <w:r>
        <w:rPr>
          <w:color w:val="1B1B22"/>
          <w:spacing w:val="-7"/>
        </w:rPr>
        <w:t> </w:t>
      </w:r>
      <w:r>
        <w:rPr>
          <w:color w:val="1B1B22"/>
        </w:rPr>
        <w:t>e</w:t>
      </w:r>
      <w:r>
        <w:rPr>
          <w:color w:val="1B1B22"/>
          <w:spacing w:val="-6"/>
        </w:rPr>
        <w:t> </w:t>
      </w:r>
      <w:r>
        <w:rPr>
          <w:color w:val="1B1B22"/>
        </w:rPr>
        <w:t>qualquer</w:t>
      </w:r>
      <w:r>
        <w:rPr>
          <w:color w:val="1B1B22"/>
          <w:spacing w:val="-6"/>
        </w:rPr>
        <w:t> </w:t>
      </w:r>
      <w:r>
        <w:rPr>
          <w:color w:val="1B1B22"/>
        </w:rPr>
        <w:t>disputa</w:t>
      </w:r>
      <w:r>
        <w:rPr>
          <w:color w:val="1B1B22"/>
          <w:spacing w:val="-7"/>
        </w:rPr>
        <w:t> </w:t>
      </w:r>
      <w:r>
        <w:rPr>
          <w:color w:val="1B1B22"/>
        </w:rPr>
        <w:t>ou</w:t>
      </w:r>
      <w:r>
        <w:rPr>
          <w:color w:val="1B1B22"/>
          <w:spacing w:val="-6"/>
        </w:rPr>
        <w:t> </w:t>
      </w:r>
      <w:r>
        <w:rPr>
          <w:color w:val="1B1B22"/>
        </w:rPr>
        <w:t>controvérsia relacionada</w:t>
      </w:r>
      <w:r>
        <w:rPr>
          <w:color w:val="1B1B22"/>
          <w:spacing w:val="-13"/>
        </w:rPr>
        <w:t> </w:t>
      </w:r>
      <w:r>
        <w:rPr>
          <w:color w:val="1B1B22"/>
        </w:rPr>
        <w:t>ao</w:t>
      </w:r>
      <w:r>
        <w:rPr>
          <w:color w:val="1B1B22"/>
          <w:spacing w:val="-12"/>
        </w:rPr>
        <w:t> </w:t>
      </w:r>
      <w:r>
        <w:rPr>
          <w:color w:val="1B1B22"/>
        </w:rPr>
        <w:t>Regulamento</w:t>
      </w:r>
      <w:r>
        <w:rPr>
          <w:color w:val="1B1B22"/>
          <w:spacing w:val="-12"/>
        </w:rPr>
        <w:t> </w:t>
      </w:r>
      <w:r>
        <w:rPr>
          <w:color w:val="1B1B22"/>
        </w:rPr>
        <w:t>do</w:t>
      </w:r>
      <w:r>
        <w:rPr>
          <w:color w:val="1B1B22"/>
          <w:spacing w:val="-12"/>
        </w:rPr>
        <w:t> </w:t>
      </w:r>
      <w:r>
        <w:rPr>
          <w:color w:val="1B1B22"/>
        </w:rPr>
        <w:t>Novo</w:t>
      </w:r>
      <w:r>
        <w:rPr>
          <w:color w:val="1B1B22"/>
          <w:spacing w:val="-12"/>
        </w:rPr>
        <w:t> </w:t>
      </w:r>
      <w:r>
        <w:rPr>
          <w:color w:val="1B1B22"/>
        </w:rPr>
        <w:t>Mercado</w:t>
      </w:r>
      <w:r>
        <w:rPr>
          <w:color w:val="1B1B22"/>
          <w:spacing w:val="-12"/>
        </w:rPr>
        <w:t> </w:t>
      </w:r>
      <w:r>
        <w:rPr>
          <w:color w:val="1B1B22"/>
        </w:rPr>
        <w:t>por meio da Câmara de Arbitragem da B3, conforme cláusula compromissória constante do Estatuto Social do Banco do Brasil.</w:t>
      </w:r>
    </w:p>
    <w:p>
      <w:pPr>
        <w:pStyle w:val="BodyText"/>
        <w:spacing w:line="321" w:lineRule="auto" w:before="115"/>
        <w:ind w:left="427" w:right="139"/>
        <w:jc w:val="both"/>
      </w:pPr>
      <w:r>
        <w:rPr>
          <w:color w:val="1B1B22"/>
        </w:rPr>
        <w:t>Esse</w:t>
      </w:r>
      <w:r>
        <w:rPr>
          <w:color w:val="1B1B22"/>
          <w:spacing w:val="-13"/>
        </w:rPr>
        <w:t> </w:t>
      </w:r>
      <w:r>
        <w:rPr>
          <w:color w:val="1B1B22"/>
        </w:rPr>
        <w:t>Relatório</w:t>
      </w:r>
      <w:r>
        <w:rPr>
          <w:color w:val="1B1B22"/>
          <w:spacing w:val="-12"/>
        </w:rPr>
        <w:t> </w:t>
      </w:r>
      <w:r>
        <w:rPr>
          <w:color w:val="1B1B22"/>
        </w:rPr>
        <w:t>da</w:t>
      </w:r>
      <w:r>
        <w:rPr>
          <w:color w:val="1B1B22"/>
          <w:spacing w:val="-13"/>
        </w:rPr>
        <w:t> </w:t>
      </w:r>
      <w:r>
        <w:rPr>
          <w:color w:val="1B1B22"/>
        </w:rPr>
        <w:t>Administração</w:t>
      </w:r>
      <w:r>
        <w:rPr>
          <w:color w:val="1B1B22"/>
          <w:spacing w:val="-12"/>
        </w:rPr>
        <w:t> </w:t>
      </w:r>
      <w:r>
        <w:rPr>
          <w:color w:val="1B1B22"/>
        </w:rPr>
        <w:t>foi</w:t>
      </w:r>
      <w:r>
        <w:rPr>
          <w:color w:val="1B1B22"/>
          <w:spacing w:val="-12"/>
        </w:rPr>
        <w:t> </w:t>
      </w:r>
      <w:r>
        <w:rPr>
          <w:color w:val="1B1B22"/>
        </w:rPr>
        <w:t>preparado</w:t>
      </w:r>
      <w:r>
        <w:rPr>
          <w:color w:val="1B1B22"/>
          <w:spacing w:val="-13"/>
        </w:rPr>
        <w:t> </w:t>
      </w:r>
      <w:r>
        <w:rPr>
          <w:color w:val="1B1B22"/>
        </w:rPr>
        <w:t>com base nas Demonstrações Contábeis Individuais e Consolidadas elaboradas no Padrão Contábil das Instituições</w:t>
      </w:r>
      <w:r>
        <w:rPr>
          <w:color w:val="1B1B22"/>
          <w:spacing w:val="-13"/>
        </w:rPr>
        <w:t> </w:t>
      </w:r>
      <w:r>
        <w:rPr>
          <w:color w:val="1B1B22"/>
        </w:rPr>
        <w:t>Reguladas</w:t>
      </w:r>
      <w:r>
        <w:rPr>
          <w:color w:val="1B1B22"/>
          <w:spacing w:val="-12"/>
        </w:rPr>
        <w:t> </w:t>
      </w:r>
      <w:r>
        <w:rPr>
          <w:color w:val="1B1B22"/>
        </w:rPr>
        <w:t>pelo</w:t>
      </w:r>
      <w:r>
        <w:rPr>
          <w:color w:val="1B1B22"/>
          <w:spacing w:val="-13"/>
        </w:rPr>
        <w:t> </w:t>
      </w:r>
      <w:r>
        <w:rPr>
          <w:color w:val="1B1B22"/>
        </w:rPr>
        <w:t>Banco</w:t>
      </w:r>
      <w:r>
        <w:rPr>
          <w:color w:val="1B1B22"/>
          <w:spacing w:val="-12"/>
        </w:rPr>
        <w:t> </w:t>
      </w:r>
      <w:r>
        <w:rPr>
          <w:color w:val="1B1B22"/>
        </w:rPr>
        <w:t>Central</w:t>
      </w:r>
      <w:r>
        <w:rPr>
          <w:color w:val="1B1B22"/>
          <w:spacing w:val="-12"/>
        </w:rPr>
        <w:t> </w:t>
      </w:r>
      <w:r>
        <w:rPr>
          <w:color w:val="1B1B22"/>
        </w:rPr>
        <w:t>do</w:t>
      </w:r>
      <w:r>
        <w:rPr>
          <w:color w:val="1B1B22"/>
          <w:spacing w:val="-13"/>
        </w:rPr>
        <w:t> </w:t>
      </w:r>
      <w:r>
        <w:rPr>
          <w:color w:val="1B1B22"/>
        </w:rPr>
        <w:t>Brasil (Cosif). Para mais informações, o Formulário de Referência, o relatório de</w:t>
      </w:r>
      <w:r>
        <w:rPr>
          <w:color w:val="1B1B22"/>
          <w:spacing w:val="-1"/>
        </w:rPr>
        <w:t> </w:t>
      </w:r>
      <w:r>
        <w:rPr>
          <w:color w:val="1B1B22"/>
        </w:rPr>
        <w:t>Análise do Desempenho e</w:t>
      </w:r>
      <w:r>
        <w:rPr>
          <w:color w:val="1B1B22"/>
          <w:spacing w:val="-10"/>
        </w:rPr>
        <w:t> </w:t>
      </w:r>
      <w:r>
        <w:rPr>
          <w:color w:val="1B1B22"/>
        </w:rPr>
        <w:t>a</w:t>
      </w:r>
      <w:r>
        <w:rPr>
          <w:color w:val="1B1B22"/>
          <w:spacing w:val="-13"/>
        </w:rPr>
        <w:t> </w:t>
      </w:r>
      <w:r>
        <w:rPr>
          <w:color w:val="1B1B22"/>
        </w:rPr>
        <w:t>Apresentação</w:t>
      </w:r>
      <w:r>
        <w:rPr>
          <w:color w:val="1B1B22"/>
          <w:spacing w:val="-8"/>
        </w:rPr>
        <w:t> </w:t>
      </w:r>
      <w:r>
        <w:rPr>
          <w:color w:val="1B1B22"/>
        </w:rPr>
        <w:t>Institucional</w:t>
      </w:r>
      <w:r>
        <w:rPr>
          <w:color w:val="1B1B22"/>
          <w:spacing w:val="-10"/>
        </w:rPr>
        <w:t> </w:t>
      </w:r>
      <w:r>
        <w:rPr>
          <w:color w:val="1B1B22"/>
        </w:rPr>
        <w:t>estão</w:t>
      </w:r>
      <w:r>
        <w:rPr>
          <w:color w:val="1B1B22"/>
          <w:spacing w:val="-9"/>
        </w:rPr>
        <w:t> </w:t>
      </w:r>
      <w:r>
        <w:rPr>
          <w:color w:val="1B1B22"/>
        </w:rPr>
        <w:t>disponíveis</w:t>
      </w:r>
      <w:r>
        <w:rPr>
          <w:color w:val="1B1B22"/>
          <w:spacing w:val="-8"/>
        </w:rPr>
        <w:t> </w:t>
      </w:r>
      <w:r>
        <w:rPr>
          <w:color w:val="1B1B22"/>
        </w:rPr>
        <w:t>no site ri.bb.com.br.</w:t>
      </w:r>
    </w:p>
    <w:p>
      <w:pPr>
        <w:pStyle w:val="Heading2"/>
        <w:spacing w:before="106"/>
        <w:ind w:left="427"/>
        <w:rPr>
          <w:rFonts w:ascii="BancoDoBrasil Titulos"/>
        </w:rPr>
      </w:pPr>
      <w:r>
        <w:rPr>
          <w:rFonts w:ascii="BancoDoBrasil Titulos"/>
          <w:color w:val="465EFF"/>
          <w:spacing w:val="26"/>
        </w:rPr>
        <w:t>Agra</w:t>
      </w:r>
      <w:r>
        <w:rPr>
          <w:rFonts w:ascii="BancoDoBrasil Titulos"/>
          <w:color w:val="465EFF"/>
          <w:spacing w:val="-31"/>
        </w:rPr>
        <w:t> </w:t>
      </w:r>
      <w:r>
        <w:rPr>
          <w:rFonts w:ascii="BancoDoBrasil Titulos"/>
          <w:color w:val="465EFF"/>
          <w:spacing w:val="18"/>
        </w:rPr>
        <w:t>de</w:t>
      </w:r>
      <w:r>
        <w:rPr>
          <w:rFonts w:ascii="BancoDoBrasil Titulos"/>
          <w:color w:val="465EFF"/>
          <w:spacing w:val="-30"/>
        </w:rPr>
        <w:t> </w:t>
      </w:r>
      <w:r>
        <w:rPr>
          <w:rFonts w:ascii="BancoDoBrasil Titulos"/>
          <w:color w:val="465EFF"/>
        </w:rPr>
        <w:t>c</w:t>
      </w:r>
      <w:r>
        <w:rPr>
          <w:rFonts w:ascii="BancoDoBrasil Titulos"/>
          <w:color w:val="465EFF"/>
          <w:spacing w:val="-29"/>
        </w:rPr>
        <w:t> </w:t>
      </w:r>
      <w:r>
        <w:rPr>
          <w:rFonts w:ascii="BancoDoBrasil Titulos"/>
          <w:color w:val="465EFF"/>
        </w:rPr>
        <w:t>i</w:t>
      </w:r>
      <w:r>
        <w:rPr>
          <w:rFonts w:ascii="BancoDoBrasil Titulos"/>
          <w:color w:val="465EFF"/>
          <w:spacing w:val="-30"/>
        </w:rPr>
        <w:t> </w:t>
      </w:r>
      <w:r>
        <w:rPr>
          <w:rFonts w:ascii="BancoDoBrasil Titulos"/>
          <w:color w:val="465EFF"/>
        </w:rPr>
        <w:t>m</w:t>
      </w:r>
      <w:r>
        <w:rPr>
          <w:rFonts w:ascii="BancoDoBrasil Titulos"/>
          <w:color w:val="465EFF"/>
          <w:spacing w:val="-28"/>
        </w:rPr>
        <w:t> </w:t>
      </w:r>
      <w:r>
        <w:rPr>
          <w:rFonts w:ascii="BancoDoBrasil Titulos"/>
          <w:color w:val="465EFF"/>
        </w:rPr>
        <w:t>e</w:t>
      </w:r>
      <w:r>
        <w:rPr>
          <w:rFonts w:ascii="BancoDoBrasil Titulos"/>
          <w:color w:val="465EFF"/>
          <w:spacing w:val="-30"/>
        </w:rPr>
        <w:t> </w:t>
      </w:r>
      <w:r>
        <w:rPr>
          <w:rFonts w:ascii="BancoDoBrasil Titulos"/>
          <w:color w:val="465EFF"/>
        </w:rPr>
        <w:t>n</w:t>
      </w:r>
      <w:r>
        <w:rPr>
          <w:rFonts w:ascii="BancoDoBrasil Titulos"/>
          <w:color w:val="465EFF"/>
          <w:spacing w:val="-33"/>
        </w:rPr>
        <w:t> </w:t>
      </w:r>
      <w:r>
        <w:rPr>
          <w:rFonts w:ascii="BancoDoBrasil Titulos"/>
          <w:color w:val="465EFF"/>
          <w:spacing w:val="15"/>
        </w:rPr>
        <w:t>to</w:t>
      </w:r>
      <w:r>
        <w:rPr>
          <w:rFonts w:ascii="BancoDoBrasil Titulos"/>
          <w:color w:val="465EFF"/>
          <w:spacing w:val="-31"/>
        </w:rPr>
        <w:t> </w:t>
      </w:r>
      <w:r>
        <w:rPr>
          <w:rFonts w:ascii="BancoDoBrasil Titulos"/>
          <w:color w:val="465EFF"/>
          <w:spacing w:val="-10"/>
        </w:rPr>
        <w:t>s</w:t>
      </w:r>
    </w:p>
    <w:p>
      <w:pPr>
        <w:pStyle w:val="BodyText"/>
        <w:spacing w:line="321" w:lineRule="auto" w:before="250"/>
        <w:ind w:left="427" w:right="139"/>
        <w:jc w:val="both"/>
      </w:pPr>
      <w:r>
        <w:rPr>
          <w:color w:val="1B1B22"/>
        </w:rPr>
        <w:t>Agradecemos profundamente a todos os nossos colaboradores que demonstram todos os dias comprometimento, dedicação e capacidade de inovar. Seu empenho em se adaptar, criar e aprimorar soluções e manter o foco no </w:t>
      </w:r>
      <w:r>
        <w:rPr>
          <w:color w:val="1B1B22"/>
          <w:spacing w:val="-2"/>
        </w:rPr>
        <w:t>relacionamento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de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excelência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com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nossos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clientes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é </w:t>
      </w:r>
      <w:r>
        <w:rPr>
          <w:color w:val="1B1B22"/>
        </w:rPr>
        <w:t>essencial para o atingimento do nosso propósito. Estendemos também nosso agradecimento aos clientes</w:t>
      </w:r>
      <w:r>
        <w:rPr>
          <w:color w:val="1B1B22"/>
          <w:spacing w:val="-8"/>
        </w:rPr>
        <w:t> </w:t>
      </w:r>
      <w:r>
        <w:rPr>
          <w:color w:val="1B1B22"/>
        </w:rPr>
        <w:t>e</w:t>
      </w:r>
      <w:r>
        <w:rPr>
          <w:color w:val="1B1B22"/>
          <w:spacing w:val="-10"/>
        </w:rPr>
        <w:t> </w:t>
      </w:r>
      <w:r>
        <w:rPr>
          <w:color w:val="1B1B22"/>
        </w:rPr>
        <w:t>acionistas,</w:t>
      </w:r>
      <w:r>
        <w:rPr>
          <w:color w:val="1B1B22"/>
          <w:spacing w:val="-9"/>
        </w:rPr>
        <w:t> </w:t>
      </w:r>
      <w:r>
        <w:rPr>
          <w:color w:val="1B1B22"/>
        </w:rPr>
        <w:t>cuja</w:t>
      </w:r>
      <w:r>
        <w:rPr>
          <w:color w:val="1B1B22"/>
          <w:spacing w:val="-8"/>
        </w:rPr>
        <w:t> </w:t>
      </w:r>
      <w:r>
        <w:rPr>
          <w:color w:val="1B1B22"/>
        </w:rPr>
        <w:t>confiança</w:t>
      </w:r>
      <w:r>
        <w:rPr>
          <w:color w:val="1B1B22"/>
          <w:spacing w:val="-8"/>
        </w:rPr>
        <w:t> </w:t>
      </w:r>
      <w:r>
        <w:rPr>
          <w:color w:val="1B1B22"/>
        </w:rPr>
        <w:t>é</w:t>
      </w:r>
      <w:r>
        <w:rPr>
          <w:color w:val="1B1B22"/>
          <w:spacing w:val="-10"/>
        </w:rPr>
        <w:t> </w:t>
      </w:r>
      <w:r>
        <w:rPr>
          <w:color w:val="1B1B22"/>
        </w:rPr>
        <w:t>fundamental. Reforçamos nosso</w:t>
      </w:r>
      <w:r>
        <w:rPr>
          <w:color w:val="1B1B22"/>
          <w:spacing w:val="-1"/>
        </w:rPr>
        <w:t> </w:t>
      </w:r>
      <w:r>
        <w:rPr>
          <w:color w:val="1B1B22"/>
        </w:rPr>
        <w:t>compromisso</w:t>
      </w:r>
      <w:r>
        <w:rPr>
          <w:color w:val="1B1B22"/>
          <w:spacing w:val="-1"/>
        </w:rPr>
        <w:t> </w:t>
      </w:r>
      <w:r>
        <w:rPr>
          <w:color w:val="1B1B22"/>
        </w:rPr>
        <w:t>com</w:t>
      </w:r>
      <w:r>
        <w:rPr>
          <w:color w:val="1B1B22"/>
          <w:spacing w:val="-2"/>
        </w:rPr>
        <w:t> </w:t>
      </w:r>
      <w:r>
        <w:rPr>
          <w:color w:val="1B1B22"/>
        </w:rPr>
        <w:t>a</w:t>
      </w:r>
      <w:r>
        <w:rPr>
          <w:color w:val="1B1B22"/>
          <w:spacing w:val="-2"/>
        </w:rPr>
        <w:t> </w:t>
      </w:r>
      <w:r>
        <w:rPr>
          <w:color w:val="1B1B22"/>
        </w:rPr>
        <w:t>geração</w:t>
      </w:r>
      <w:r>
        <w:rPr>
          <w:color w:val="1B1B22"/>
          <w:spacing w:val="-1"/>
        </w:rPr>
        <w:t> </w:t>
      </w:r>
      <w:r>
        <w:rPr>
          <w:color w:val="1B1B22"/>
        </w:rPr>
        <w:t>de valor de forma sustentável, equilibrando resultados consistentes com responsabilidade social, ambiental e ética</w:t>
      </w:r>
      <w:r>
        <w:rPr>
          <w:color w:val="1B1B22"/>
          <w:spacing w:val="-1"/>
        </w:rPr>
        <w:t> </w:t>
      </w:r>
      <w:r>
        <w:rPr>
          <w:color w:val="1B1B22"/>
        </w:rPr>
        <w:t>em todas as nossas ações.</w:t>
      </w:r>
    </w:p>
    <w:sectPr>
      <w:type w:val="continuous"/>
      <w:pgSz w:w="11910" w:h="16850"/>
      <w:pgMar w:header="152" w:footer="572" w:top="1920" w:bottom="280" w:left="425" w:right="708"/>
      <w:cols w:num="2" w:equalWidth="0">
        <w:col w:w="5217" w:space="238"/>
        <w:col w:w="5322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BancoDoBrasil Textos">
    <w:altName w:val="BancoDoBrasil Textos"/>
    <w:charset w:val="0"/>
    <w:family w:val="auto"/>
    <w:pitch w:val="variable"/>
  </w:font>
  <w:font w:name="BancoDoBrasil Textos Light">
    <w:altName w:val="BancoDoBrasil Textos Light"/>
    <w:charset w:val="0"/>
    <w:family w:val="auto"/>
    <w:pitch w:val="variable"/>
  </w:font>
  <w:font w:name="BancoDoBrasil Textos Medium">
    <w:altName w:val="BancoDoBrasil Textos Medium"/>
    <w:charset w:val="0"/>
    <w:family w:val="auto"/>
    <w:pitch w:val="variable"/>
  </w:font>
  <w:font w:name="BancoDoBrasil Titulos">
    <w:altName w:val="BancoDoBrasil Titulos"/>
    <w:charset w:val="0"/>
    <w:family w:val="auto"/>
    <w:pitch w:val="variable"/>
  </w:font>
  <w:font w:name="BancoDoBrasil Titulos Light">
    <w:altName w:val="BancoDoBrasil Titulos Light"/>
    <w:charset w:val="0"/>
    <w:family w:val="auto"/>
    <w:pitch w:val="variable"/>
  </w:font>
  <w:font w:name="BancoDoBrasil Titulos Medium">
    <w:altName w:val="BancoDoBrasil Titulos Medium"/>
    <w:charset w:val="0"/>
    <w:family w:val="auto"/>
    <w:pitch w:val="variable"/>
  </w:font>
  <w:font w:name="Symbol">
    <w:altName w:val="Symbol"/>
    <w:charset w:val="2"/>
    <w:family w:val="roman"/>
    <w:pitch w:val="variable"/>
  </w:font>
</w:fonts>
</file>

<file path=word/footer1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383040">
              <wp:simplePos x="0" y="0"/>
              <wp:positionH relativeFrom="page">
                <wp:posOffset>4572</wp:posOffset>
              </wp:positionH>
              <wp:positionV relativeFrom="page">
                <wp:posOffset>10152900</wp:posOffset>
              </wp:positionV>
              <wp:extent cx="7556500" cy="539750"/>
              <wp:effectExtent l="0" t="0" r="0" b="0"/>
              <wp:wrapNone/>
              <wp:docPr id="13" name="Graphic 13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3" name="Graphic 13"/>
                    <wps:cNvSpPr/>
                    <wps:spPr>
                      <a:xfrm>
                        <a:off x="0" y="0"/>
                        <a:ext cx="7556500" cy="53975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7556500" h="539750">
                            <a:moveTo>
                              <a:pt x="7555979" y="0"/>
                            </a:moveTo>
                            <a:lnTo>
                              <a:pt x="7025640" y="0"/>
                            </a:lnTo>
                            <a:lnTo>
                              <a:pt x="6486144" y="0"/>
                            </a:lnTo>
                            <a:lnTo>
                              <a:pt x="541020" y="0"/>
                            </a:lnTo>
                            <a:lnTo>
                              <a:pt x="0" y="0"/>
                            </a:lnTo>
                            <a:lnTo>
                              <a:pt x="0" y="539483"/>
                            </a:lnTo>
                            <a:lnTo>
                              <a:pt x="541020" y="539483"/>
                            </a:lnTo>
                            <a:lnTo>
                              <a:pt x="6486144" y="539483"/>
                            </a:lnTo>
                            <a:lnTo>
                              <a:pt x="7025640" y="539483"/>
                            </a:lnTo>
                            <a:lnTo>
                              <a:pt x="7555979" y="539483"/>
                            </a:lnTo>
                            <a:lnTo>
                              <a:pt x="7555979" y="0"/>
                            </a:lnTo>
                            <a:close/>
                          </a:path>
                        </a:pathLst>
                      </a:custGeom>
                      <a:solidFill>
                        <a:srgbClr val="FBFB2F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.36pt;margin-top:799.440979pt;width:595pt;height:42.5pt;mso-position-horizontal-relative:page;mso-position-vertical-relative:page;z-index:-15933440" id="docshape13" coordorigin="7,15989" coordsize="11900,850" path="m11906,15989l11071,15989,10222,15989,859,15989,7,15989,7,16838,859,16838,10222,16838,11071,16838,11906,16838,11906,15989xe" filled="true" fillcolor="#fbfb2f" stroked="false">
              <v:path arrowok="t"/>
              <v:fill type="solid"/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7383552">
              <wp:simplePos x="0" y="0"/>
              <wp:positionH relativeFrom="page">
                <wp:posOffset>531368</wp:posOffset>
              </wp:positionH>
              <wp:positionV relativeFrom="page">
                <wp:posOffset>10325826</wp:posOffset>
              </wp:positionV>
              <wp:extent cx="3372485" cy="168275"/>
              <wp:effectExtent l="0" t="0" r="0" b="0"/>
              <wp:wrapNone/>
              <wp:docPr id="14" name="Textbox 14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4" name="Textbox 14"/>
                    <wps:cNvSpPr txBox="1"/>
                    <wps:spPr>
                      <a:xfrm>
                        <a:off x="0" y="0"/>
                        <a:ext cx="3372485" cy="1682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pStyle w:val="BodyText"/>
                            <w:spacing w:line="252" w:lineRule="exact"/>
                            <w:ind w:left="20"/>
                            <w:rPr>
                              <w:rFonts w:ascii="BancoDoBrasil Titulos Light" w:hAnsi="BancoDoBrasil Titulos Light"/>
                              <w:b w:val="0"/>
                            </w:rPr>
                          </w:pP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15"/>
                            </w:rPr>
                            <w:t>Banco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37"/>
                            </w:rPr>
                            <w:t> 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10"/>
                            </w:rPr>
                            <w:t>do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41"/>
                            </w:rPr>
                            <w:t> 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15"/>
                            </w:rPr>
                            <w:t>Brasil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38"/>
                            </w:rPr>
                            <w:t> 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</w:rPr>
                            <w:t>S.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-27"/>
                            </w:rPr>
                            <w:t> 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9"/>
                            </w:rPr>
                            <w:t>A.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42"/>
                            </w:rPr>
                            <w:t> 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</w:rPr>
                            <w:t>|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38"/>
                            </w:rPr>
                            <w:t> </w:t>
                          </w:r>
                          <w:r>
                            <w:rPr>
                              <w:rFonts w:ascii="BancoDoBrasil Titulos Light" w:hAnsi="BancoDoBrasil Titulos Light"/>
                              <w:b w:val="0"/>
                              <w:color w:val="465EFF"/>
                              <w:spacing w:val="16"/>
                            </w:rPr>
                            <w:t>Relações</w:t>
                          </w:r>
                          <w:r>
                            <w:rPr>
                              <w:rFonts w:ascii="BancoDoBrasil Titulos Light" w:hAnsi="BancoDoBrasil Titulos Light"/>
                              <w:b w:val="0"/>
                              <w:color w:val="465EFF"/>
                              <w:spacing w:val="40"/>
                            </w:rPr>
                            <w:t> </w:t>
                          </w:r>
                          <w:r>
                            <w:rPr>
                              <w:rFonts w:ascii="BancoDoBrasil Titulos Light" w:hAnsi="BancoDoBrasil Titulos Light"/>
                              <w:b w:val="0"/>
                              <w:color w:val="465EFF"/>
                              <w:spacing w:val="11"/>
                            </w:rPr>
                            <w:t>com</w:t>
                          </w:r>
                          <w:r>
                            <w:rPr>
                              <w:rFonts w:ascii="BancoDoBrasil Titulos Light" w:hAnsi="BancoDoBrasil Titulos Light"/>
                              <w:b w:val="0"/>
                              <w:color w:val="465EFF"/>
                              <w:spacing w:val="42"/>
                            </w:rPr>
                            <w:t> </w:t>
                          </w:r>
                          <w:r>
                            <w:rPr>
                              <w:rFonts w:ascii="BancoDoBrasil Titulos Light" w:hAnsi="BancoDoBrasil Titulos Light"/>
                              <w:b w:val="0"/>
                              <w:color w:val="465EFF"/>
                              <w:spacing w:val="14"/>
                            </w:rPr>
                            <w:t>Investidores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41.84pt;margin-top:813.05719pt;width:265.55pt;height:13.25pt;mso-position-horizontal-relative:page;mso-position-vertical-relative:page;z-index:-15932928" type="#_x0000_t202" id="docshape14" filled="false" stroked="false">
              <v:textbox inset="0,0,0,0">
                <w:txbxContent>
                  <w:p>
                    <w:pPr>
                      <w:pStyle w:val="BodyText"/>
                      <w:spacing w:line="252" w:lineRule="exact"/>
                      <w:ind w:left="20"/>
                      <w:rPr>
                        <w:rFonts w:ascii="BancoDoBrasil Titulos Light" w:hAnsi="BancoDoBrasil Titulos Light"/>
                        <w:b w:val="0"/>
                      </w:rPr>
                    </w:pP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15"/>
                      </w:rPr>
                      <w:t>Banco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37"/>
                      </w:rPr>
                      <w:t> 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10"/>
                      </w:rPr>
                      <w:t>do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41"/>
                      </w:rPr>
                      <w:t> 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15"/>
                      </w:rPr>
                      <w:t>Brasil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38"/>
                      </w:rPr>
                      <w:t> 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</w:rPr>
                      <w:t>S.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-27"/>
                      </w:rPr>
                      <w:t> 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9"/>
                      </w:rPr>
                      <w:t>A.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42"/>
                      </w:rPr>
                      <w:t> 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</w:rPr>
                      <w:t>|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38"/>
                      </w:rPr>
                      <w:t> </w:t>
                    </w:r>
                    <w:r>
                      <w:rPr>
                        <w:rFonts w:ascii="BancoDoBrasil Titulos Light" w:hAnsi="BancoDoBrasil Titulos Light"/>
                        <w:b w:val="0"/>
                        <w:color w:val="465EFF"/>
                        <w:spacing w:val="16"/>
                      </w:rPr>
                      <w:t>Relações</w:t>
                    </w:r>
                    <w:r>
                      <w:rPr>
                        <w:rFonts w:ascii="BancoDoBrasil Titulos Light" w:hAnsi="BancoDoBrasil Titulos Light"/>
                        <w:b w:val="0"/>
                        <w:color w:val="465EFF"/>
                        <w:spacing w:val="40"/>
                      </w:rPr>
                      <w:t> </w:t>
                    </w:r>
                    <w:r>
                      <w:rPr>
                        <w:rFonts w:ascii="BancoDoBrasil Titulos Light" w:hAnsi="BancoDoBrasil Titulos Light"/>
                        <w:b w:val="0"/>
                        <w:color w:val="465EFF"/>
                        <w:spacing w:val="11"/>
                      </w:rPr>
                      <w:t>com</w:t>
                    </w:r>
                    <w:r>
                      <w:rPr>
                        <w:rFonts w:ascii="BancoDoBrasil Titulos Light" w:hAnsi="BancoDoBrasil Titulos Light"/>
                        <w:b w:val="0"/>
                        <w:color w:val="465EFF"/>
                        <w:spacing w:val="42"/>
                      </w:rPr>
                      <w:t> </w:t>
                    </w:r>
                    <w:r>
                      <w:rPr>
                        <w:rFonts w:ascii="BancoDoBrasil Titulos Light" w:hAnsi="BancoDoBrasil Titulos Light"/>
                        <w:b w:val="0"/>
                        <w:color w:val="465EFF"/>
                        <w:spacing w:val="14"/>
                      </w:rPr>
                      <w:t>Investidores</w:t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7384064">
              <wp:simplePos x="0" y="0"/>
              <wp:positionH relativeFrom="page">
                <wp:posOffset>6843776</wp:posOffset>
              </wp:positionH>
              <wp:positionV relativeFrom="page">
                <wp:posOffset>10325826</wp:posOffset>
              </wp:positionV>
              <wp:extent cx="235585" cy="181610"/>
              <wp:effectExtent l="0" t="0" r="0" b="0"/>
              <wp:wrapNone/>
              <wp:docPr id="15" name="Textbox 15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5" name="Textbox 15"/>
                    <wps:cNvSpPr txBox="1"/>
                    <wps:spPr>
                      <a:xfrm>
                        <a:off x="0" y="0"/>
                        <a:ext cx="235585" cy="18161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pStyle w:val="BodyText"/>
                            <w:spacing w:line="252" w:lineRule="exact"/>
                            <w:ind w:left="20"/>
                            <w:rPr>
                              <w:rFonts w:ascii="BancoDoBrasil Titulos Medium"/>
                              <w:b w:val="0"/>
                            </w:rPr>
                          </w:pPr>
                          <w:r>
                            <w:rPr>
                              <w:rFonts w:ascii="BancoDoBrasil Titulos Medium"/>
                              <w:b w:val="0"/>
                              <w:color w:val="465EFF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rFonts w:ascii="BancoDoBrasil Titulos Medium"/>
                              <w:b w:val="0"/>
                              <w:color w:val="465EFF"/>
                              <w:spacing w:val="-5"/>
                            </w:rPr>
                            <w:instrText> PAGE </w:instrText>
                          </w:r>
                          <w:r>
                            <w:rPr>
                              <w:rFonts w:ascii="BancoDoBrasil Titulos Medium"/>
                              <w:b w:val="0"/>
                              <w:color w:val="465EFF"/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rFonts w:ascii="BancoDoBrasil Titulos Medium"/>
                              <w:b w:val="0"/>
                              <w:color w:val="465EFF"/>
                              <w:spacing w:val="-5"/>
                            </w:rPr>
                            <w:t>10</w:t>
                          </w:r>
                          <w:r>
                            <w:rPr>
                              <w:rFonts w:ascii="BancoDoBrasil Titulos Medium"/>
                              <w:b w:val="0"/>
                              <w:color w:val="465EFF"/>
                              <w:spacing w:val="-5"/>
                            </w:rPr>
                            <w:fldChar w:fldCharType="end"/>
                          </w:r>
                          <w:r>
                            <w:rPr>
                              <w:rFonts w:ascii="BancoDoBrasil Titulos Medium"/>
                              <w:b w:val="0"/>
                              <w:color w:val="465EFF"/>
                              <w:spacing w:val="-5"/>
                            </w:rPr>
                            <w:t> 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38.880005pt;margin-top:813.05719pt;width:18.55pt;height:14.3pt;mso-position-horizontal-relative:page;mso-position-vertical-relative:page;z-index:-15932416" type="#_x0000_t202" id="docshape15" filled="false" stroked="false">
              <v:textbox inset="0,0,0,0">
                <w:txbxContent>
                  <w:p>
                    <w:pPr>
                      <w:pStyle w:val="BodyText"/>
                      <w:spacing w:line="252" w:lineRule="exact"/>
                      <w:ind w:left="20"/>
                      <w:rPr>
                        <w:rFonts w:ascii="BancoDoBrasil Titulos Medium"/>
                        <w:b w:val="0"/>
                      </w:rPr>
                    </w:pPr>
                    <w:r>
                      <w:rPr>
                        <w:rFonts w:ascii="BancoDoBrasil Titulos Medium"/>
                        <w:b w:val="0"/>
                        <w:color w:val="465EFF"/>
                        <w:spacing w:val="-5"/>
                      </w:rPr>
                      <w:fldChar w:fldCharType="begin"/>
                    </w:r>
                    <w:r>
                      <w:rPr>
                        <w:rFonts w:ascii="BancoDoBrasil Titulos Medium"/>
                        <w:b w:val="0"/>
                        <w:color w:val="465EFF"/>
                        <w:spacing w:val="-5"/>
                      </w:rPr>
                      <w:instrText> PAGE </w:instrText>
                    </w:r>
                    <w:r>
                      <w:rPr>
                        <w:rFonts w:ascii="BancoDoBrasil Titulos Medium"/>
                        <w:b w:val="0"/>
                        <w:color w:val="465EFF"/>
                        <w:spacing w:val="-5"/>
                      </w:rPr>
                      <w:fldChar w:fldCharType="separate"/>
                    </w:r>
                    <w:r>
                      <w:rPr>
                        <w:rFonts w:ascii="BancoDoBrasil Titulos Medium"/>
                        <w:b w:val="0"/>
                        <w:color w:val="465EFF"/>
                        <w:spacing w:val="-5"/>
                      </w:rPr>
                      <w:t>10</w:t>
                    </w:r>
                    <w:r>
                      <w:rPr>
                        <w:rFonts w:ascii="BancoDoBrasil Titulos Medium"/>
                        <w:b w:val="0"/>
                        <w:color w:val="465EFF"/>
                        <w:spacing w:val="-5"/>
                      </w:rPr>
                      <w:fldChar w:fldCharType="end"/>
                    </w:r>
                    <w:r>
                      <w:rPr>
                        <w:rFonts w:ascii="BancoDoBrasil Titulos Medium"/>
                        <w:b w:val="0"/>
                        <w:color w:val="465EFF"/>
                        <w:spacing w:val="-5"/>
                      </w:rPr>
                      <w:t> </w:t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header1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381504">
              <wp:simplePos x="0" y="0"/>
              <wp:positionH relativeFrom="page">
                <wp:posOffset>6659384</wp:posOffset>
              </wp:positionH>
              <wp:positionV relativeFrom="page">
                <wp:posOffset>96671</wp:posOffset>
              </wp:positionV>
              <wp:extent cx="353695" cy="346710"/>
              <wp:effectExtent l="0" t="0" r="0" b="0"/>
              <wp:wrapNone/>
              <wp:docPr id="10" name="Graphic 10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0" name="Graphic 10"/>
                    <wps:cNvSpPr/>
                    <wps:spPr>
                      <a:xfrm>
                        <a:off x="0" y="0"/>
                        <a:ext cx="353695" cy="34671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353695" h="346710">
                            <a:moveTo>
                              <a:pt x="71628" y="300278"/>
                            </a:moveTo>
                            <a:lnTo>
                              <a:pt x="35052" y="275628"/>
                            </a:lnTo>
                            <a:lnTo>
                              <a:pt x="0" y="297815"/>
                            </a:lnTo>
                            <a:lnTo>
                              <a:pt x="0" y="346506"/>
                            </a:lnTo>
                            <a:lnTo>
                              <a:pt x="71628" y="300278"/>
                            </a:lnTo>
                            <a:close/>
                          </a:path>
                          <a:path w="353695" h="346710">
                            <a:moveTo>
                              <a:pt x="350837" y="230276"/>
                            </a:moveTo>
                            <a:lnTo>
                              <a:pt x="278193" y="181483"/>
                            </a:lnTo>
                            <a:lnTo>
                              <a:pt x="192214" y="239649"/>
                            </a:lnTo>
                            <a:lnTo>
                              <a:pt x="228282" y="263994"/>
                            </a:lnTo>
                            <a:lnTo>
                              <a:pt x="180835" y="296824"/>
                            </a:lnTo>
                            <a:lnTo>
                              <a:pt x="76568" y="226834"/>
                            </a:lnTo>
                            <a:lnTo>
                              <a:pt x="245579" y="117398"/>
                            </a:lnTo>
                            <a:lnTo>
                              <a:pt x="208013" y="92748"/>
                            </a:lnTo>
                            <a:lnTo>
                              <a:pt x="0" y="230276"/>
                            </a:lnTo>
                            <a:lnTo>
                              <a:pt x="176707" y="346506"/>
                            </a:lnTo>
                            <a:lnTo>
                              <a:pt x="350837" y="230276"/>
                            </a:lnTo>
                            <a:close/>
                          </a:path>
                          <a:path w="353695" h="346710">
                            <a:moveTo>
                              <a:pt x="350837" y="115430"/>
                            </a:moveTo>
                            <a:lnTo>
                              <a:pt x="176707" y="0"/>
                            </a:lnTo>
                            <a:lnTo>
                              <a:pt x="0" y="113461"/>
                            </a:lnTo>
                            <a:lnTo>
                              <a:pt x="74091" y="162750"/>
                            </a:lnTo>
                            <a:lnTo>
                              <a:pt x="159092" y="106057"/>
                            </a:lnTo>
                            <a:lnTo>
                              <a:pt x="123507" y="80429"/>
                            </a:lnTo>
                            <a:lnTo>
                              <a:pt x="171945" y="48387"/>
                            </a:lnTo>
                            <a:lnTo>
                              <a:pt x="274243" y="116903"/>
                            </a:lnTo>
                            <a:lnTo>
                              <a:pt x="108191" y="228803"/>
                            </a:lnTo>
                            <a:lnTo>
                              <a:pt x="143281" y="252463"/>
                            </a:lnTo>
                            <a:lnTo>
                              <a:pt x="350837" y="115430"/>
                            </a:lnTo>
                            <a:close/>
                          </a:path>
                          <a:path w="353695" h="346710">
                            <a:moveTo>
                              <a:pt x="353390" y="0"/>
                            </a:moveTo>
                            <a:lnTo>
                              <a:pt x="282155" y="45440"/>
                            </a:lnTo>
                            <a:lnTo>
                              <a:pt x="320205" y="72047"/>
                            </a:lnTo>
                            <a:lnTo>
                              <a:pt x="353390" y="50368"/>
                            </a:lnTo>
                            <a:lnTo>
                              <a:pt x="353390" y="0"/>
                            </a:lnTo>
                            <a:close/>
                          </a:path>
                        </a:pathLst>
                      </a:custGeom>
                      <a:solidFill>
                        <a:srgbClr val="465EFF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24.361023pt;margin-top:7.611938pt;width:27.85pt;height:27.3pt;mso-position-horizontal-relative:page;mso-position-vertical-relative:page;z-index:-15934976" id="docshape10" coordorigin="10487,152" coordsize="557,546" path="m10600,625l10542,586,10487,621,10487,698,10600,625xm11040,515l10925,438,10790,530,10847,568,10772,620,10608,509,10874,337,10815,298,10487,515,10766,698,11040,515xm11040,334l10766,152,10487,331,10604,409,10738,319,10682,279,10758,228,10919,336,10658,513,10713,550,11040,334xm11044,152l10932,224,10991,266,11044,232,11044,152xe" filled="true" fillcolor="#465eff" stroked="false">
              <v:path arrowok="t"/>
              <v:fill type="solid"/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7382016">
              <wp:simplePos x="0" y="0"/>
              <wp:positionH relativeFrom="page">
                <wp:posOffset>0</wp:posOffset>
              </wp:positionH>
              <wp:positionV relativeFrom="page">
                <wp:posOffset>539495</wp:posOffset>
              </wp:positionV>
              <wp:extent cx="7560945" cy="38100"/>
              <wp:effectExtent l="0" t="0" r="0" b="0"/>
              <wp:wrapNone/>
              <wp:docPr id="11" name="Graphic 11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1" name="Graphic 11"/>
                    <wps:cNvSpPr/>
                    <wps:spPr>
                      <a:xfrm>
                        <a:off x="0" y="0"/>
                        <a:ext cx="7560945" cy="3810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7560945" h="38100">
                            <a:moveTo>
                              <a:pt x="7560577" y="0"/>
                            </a:moveTo>
                            <a:lnTo>
                              <a:pt x="7560577" y="0"/>
                            </a:lnTo>
                            <a:lnTo>
                              <a:pt x="0" y="0"/>
                            </a:lnTo>
                            <a:lnTo>
                              <a:pt x="0" y="38100"/>
                            </a:lnTo>
                            <a:lnTo>
                              <a:pt x="7560577" y="38100"/>
                            </a:lnTo>
                            <a:lnTo>
                              <a:pt x="7560577" y="0"/>
                            </a:lnTo>
                            <a:close/>
                          </a:path>
                        </a:pathLst>
                      </a:custGeom>
                      <a:solidFill>
                        <a:srgbClr val="FCF429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style="position:absolute;margin-left:0pt;margin-top:42.479939pt;width:595.321028pt;height:3.0pt;mso-position-horizontal-relative:page;mso-position-vertical-relative:page;z-index:-15934464" id="docshape11" filled="true" fillcolor="#fcf429" stroked="false">
              <v:fill type="solid"/>
              <w10:wrap type="none"/>
            </v:rect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7382528">
              <wp:simplePos x="0" y="0"/>
              <wp:positionH relativeFrom="page">
                <wp:posOffset>525272</wp:posOffset>
              </wp:positionH>
              <wp:positionV relativeFrom="page">
                <wp:posOffset>186654</wp:posOffset>
              </wp:positionV>
              <wp:extent cx="2444115" cy="168275"/>
              <wp:effectExtent l="0" t="0" r="0" b="0"/>
              <wp:wrapNone/>
              <wp:docPr id="12" name="Textbox 12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2" name="Textbox 12"/>
                    <wps:cNvSpPr txBox="1"/>
                    <wps:spPr>
                      <a:xfrm>
                        <a:off x="0" y="0"/>
                        <a:ext cx="2444115" cy="1682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pStyle w:val="BodyText"/>
                            <w:spacing w:line="252" w:lineRule="exact"/>
                            <w:ind w:left="20"/>
                            <w:rPr>
                              <w:rFonts w:ascii="BancoDoBrasil Textos Medium" w:hAnsi="BancoDoBrasil Textos Medium"/>
                              <w:b w:val="0"/>
                            </w:rPr>
                          </w:pPr>
                          <w:r>
                            <w:rPr>
                              <w:rFonts w:ascii="BancoDoBrasil Textos Medium" w:hAnsi="BancoDoBrasil Textos Medium"/>
                              <w:b w:val="0"/>
                              <w:color w:val="465EFF"/>
                              <w:spacing w:val="15"/>
                            </w:rPr>
                            <w:t>Relatório</w:t>
                          </w:r>
                          <w:r>
                            <w:rPr>
                              <w:rFonts w:ascii="BancoDoBrasil Textos Medium" w:hAnsi="BancoDoBrasil Textos Medium"/>
                              <w:b w:val="0"/>
                              <w:color w:val="465EFF"/>
                              <w:spacing w:val="34"/>
                            </w:rPr>
                            <w:t> </w:t>
                          </w:r>
                          <w:r>
                            <w:rPr>
                              <w:rFonts w:ascii="BancoDoBrasil Textos Medium" w:hAnsi="BancoDoBrasil Textos Medium"/>
                              <w:b w:val="0"/>
                              <w:color w:val="465EFF"/>
                              <w:spacing w:val="11"/>
                            </w:rPr>
                            <w:t>da</w:t>
                          </w:r>
                          <w:r>
                            <w:rPr>
                              <w:rFonts w:ascii="BancoDoBrasil Textos Medium" w:hAnsi="BancoDoBrasil Textos Medium"/>
                              <w:b w:val="0"/>
                              <w:color w:val="465EFF"/>
                              <w:spacing w:val="33"/>
                            </w:rPr>
                            <w:t> </w:t>
                          </w:r>
                          <w:r>
                            <w:rPr>
                              <w:rFonts w:ascii="BancoDoBrasil Textos Medium" w:hAnsi="BancoDoBrasil Textos Medium"/>
                              <w:b w:val="0"/>
                              <w:color w:val="465EFF"/>
                              <w:spacing w:val="17"/>
                            </w:rPr>
                            <w:t>Administração</w:t>
                          </w:r>
                          <w:r>
                            <w:rPr>
                              <w:rFonts w:ascii="BancoDoBrasil Textos Medium" w:hAnsi="BancoDoBrasil Textos Medium"/>
                              <w:b w:val="0"/>
                              <w:color w:val="465EFF"/>
                              <w:spacing w:val="33"/>
                            </w:rPr>
                            <w:t> </w:t>
                          </w:r>
                          <w:r>
                            <w:rPr>
                              <w:rFonts w:ascii="BancoDoBrasil Textos Light" w:hAnsi="BancoDoBrasil Textos Light"/>
                              <w:b w:val="0"/>
                              <w:color w:val="465EFF"/>
                            </w:rPr>
                            <w:t>|</w:t>
                          </w:r>
                          <w:r>
                            <w:rPr>
                              <w:rFonts w:ascii="BancoDoBrasil Textos Light" w:hAnsi="BancoDoBrasil Textos Light"/>
                              <w:b w:val="0"/>
                              <w:color w:val="465EFF"/>
                              <w:spacing w:val="40"/>
                            </w:rPr>
                            <w:t> </w:t>
                          </w:r>
                          <w:r>
                            <w:rPr>
                              <w:rFonts w:ascii="BancoDoBrasil Textos Medium" w:hAnsi="BancoDoBrasil Textos Medium"/>
                              <w:b w:val="0"/>
                              <w:color w:val="465EFF"/>
                              <w:spacing w:val="11"/>
                            </w:rPr>
                            <w:t>1S25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margin-left:41.360001pt;margin-top:14.697178pt;width:192.45pt;height:13.25pt;mso-position-horizontal-relative:page;mso-position-vertical-relative:page;z-index:-15933952" type="#_x0000_t202" id="docshape12" filled="false" stroked="false">
              <v:textbox inset="0,0,0,0">
                <w:txbxContent>
                  <w:p>
                    <w:pPr>
                      <w:pStyle w:val="BodyText"/>
                      <w:spacing w:line="252" w:lineRule="exact"/>
                      <w:ind w:left="20"/>
                      <w:rPr>
                        <w:rFonts w:ascii="BancoDoBrasil Textos Medium" w:hAnsi="BancoDoBrasil Textos Medium"/>
                        <w:b w:val="0"/>
                      </w:rPr>
                    </w:pPr>
                    <w:r>
                      <w:rPr>
                        <w:rFonts w:ascii="BancoDoBrasil Textos Medium" w:hAnsi="BancoDoBrasil Textos Medium"/>
                        <w:b w:val="0"/>
                        <w:color w:val="465EFF"/>
                        <w:spacing w:val="15"/>
                      </w:rPr>
                      <w:t>Relatório</w:t>
                    </w:r>
                    <w:r>
                      <w:rPr>
                        <w:rFonts w:ascii="BancoDoBrasil Textos Medium" w:hAnsi="BancoDoBrasil Textos Medium"/>
                        <w:b w:val="0"/>
                        <w:color w:val="465EFF"/>
                        <w:spacing w:val="34"/>
                      </w:rPr>
                      <w:t> </w:t>
                    </w:r>
                    <w:r>
                      <w:rPr>
                        <w:rFonts w:ascii="BancoDoBrasil Textos Medium" w:hAnsi="BancoDoBrasil Textos Medium"/>
                        <w:b w:val="0"/>
                        <w:color w:val="465EFF"/>
                        <w:spacing w:val="11"/>
                      </w:rPr>
                      <w:t>da</w:t>
                    </w:r>
                    <w:r>
                      <w:rPr>
                        <w:rFonts w:ascii="BancoDoBrasil Textos Medium" w:hAnsi="BancoDoBrasil Textos Medium"/>
                        <w:b w:val="0"/>
                        <w:color w:val="465EFF"/>
                        <w:spacing w:val="33"/>
                      </w:rPr>
                      <w:t> </w:t>
                    </w:r>
                    <w:r>
                      <w:rPr>
                        <w:rFonts w:ascii="BancoDoBrasil Textos Medium" w:hAnsi="BancoDoBrasil Textos Medium"/>
                        <w:b w:val="0"/>
                        <w:color w:val="465EFF"/>
                        <w:spacing w:val="17"/>
                      </w:rPr>
                      <w:t>Administração</w:t>
                    </w:r>
                    <w:r>
                      <w:rPr>
                        <w:rFonts w:ascii="BancoDoBrasil Textos Medium" w:hAnsi="BancoDoBrasil Textos Medium"/>
                        <w:b w:val="0"/>
                        <w:color w:val="465EFF"/>
                        <w:spacing w:val="33"/>
                      </w:rPr>
                      <w:t> </w:t>
                    </w:r>
                    <w:r>
                      <w:rPr>
                        <w:rFonts w:ascii="BancoDoBrasil Textos Light" w:hAnsi="BancoDoBrasil Textos Light"/>
                        <w:b w:val="0"/>
                        <w:color w:val="465EFF"/>
                      </w:rPr>
                      <w:t>|</w:t>
                    </w:r>
                    <w:r>
                      <w:rPr>
                        <w:rFonts w:ascii="BancoDoBrasil Textos Light" w:hAnsi="BancoDoBrasil Textos Light"/>
                        <w:b w:val="0"/>
                        <w:color w:val="465EFF"/>
                        <w:spacing w:val="40"/>
                      </w:rPr>
                      <w:t> </w:t>
                    </w:r>
                    <w:r>
                      <w:rPr>
                        <w:rFonts w:ascii="BancoDoBrasil Textos Medium" w:hAnsi="BancoDoBrasil Textos Medium"/>
                        <w:b w:val="0"/>
                        <w:color w:val="465EFF"/>
                        <w:spacing w:val="11"/>
                      </w:rPr>
                      <w:t>1S25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2">
    <w:multiLevelType w:val="hybridMultilevel"/>
    <w:lvl w:ilvl="0">
      <w:start w:val="0"/>
      <w:numFmt w:val="bullet"/>
      <w:lvlText w:val=""/>
      <w:lvlJc w:val="left"/>
      <w:pPr>
        <w:ind w:left="409" w:hanging="360"/>
      </w:pPr>
      <w:rPr>
        <w:rFonts w:hint="default" w:ascii="Symbol" w:hAnsi="Symbol" w:eastAsia="Symbol" w:cs="Symbol"/>
        <w:b w:val="0"/>
        <w:bCs w:val="0"/>
        <w:i w:val="0"/>
        <w:iCs w:val="0"/>
        <w:color w:val="1B1B22"/>
        <w:spacing w:val="0"/>
        <w:w w:val="99"/>
        <w:sz w:val="20"/>
        <w:szCs w:val="20"/>
        <w:lang w:val="pt-PT" w:eastAsia="en-US" w:bidi="ar-SA"/>
      </w:rPr>
    </w:lvl>
    <w:lvl w:ilvl="1">
      <w:start w:val="0"/>
      <w:numFmt w:val="bullet"/>
      <w:lvlText w:val="•"/>
      <w:lvlJc w:val="left"/>
      <w:pPr>
        <w:ind w:left="635" w:hanging="360"/>
      </w:pPr>
      <w:rPr>
        <w:rFonts w:hint="default"/>
        <w:lang w:val="pt-PT" w:eastAsia="en-US" w:bidi="ar-SA"/>
      </w:rPr>
    </w:lvl>
    <w:lvl w:ilvl="2">
      <w:start w:val="0"/>
      <w:numFmt w:val="bullet"/>
      <w:lvlText w:val="•"/>
      <w:lvlJc w:val="left"/>
      <w:pPr>
        <w:ind w:left="870" w:hanging="360"/>
      </w:pPr>
      <w:rPr>
        <w:rFonts w:hint="default"/>
        <w:lang w:val="pt-PT" w:eastAsia="en-US" w:bidi="ar-SA"/>
      </w:rPr>
    </w:lvl>
    <w:lvl w:ilvl="3">
      <w:start w:val="0"/>
      <w:numFmt w:val="bullet"/>
      <w:lvlText w:val="•"/>
      <w:lvlJc w:val="left"/>
      <w:pPr>
        <w:ind w:left="1105" w:hanging="360"/>
      </w:pPr>
      <w:rPr>
        <w:rFonts w:hint="default"/>
        <w:lang w:val="pt-PT" w:eastAsia="en-US" w:bidi="ar-SA"/>
      </w:rPr>
    </w:lvl>
    <w:lvl w:ilvl="4">
      <w:start w:val="0"/>
      <w:numFmt w:val="bullet"/>
      <w:lvlText w:val="•"/>
      <w:lvlJc w:val="left"/>
      <w:pPr>
        <w:ind w:left="1340" w:hanging="360"/>
      </w:pPr>
      <w:rPr>
        <w:rFonts w:hint="default"/>
        <w:lang w:val="pt-PT" w:eastAsia="en-US" w:bidi="ar-SA"/>
      </w:rPr>
    </w:lvl>
    <w:lvl w:ilvl="5">
      <w:start w:val="0"/>
      <w:numFmt w:val="bullet"/>
      <w:lvlText w:val="•"/>
      <w:lvlJc w:val="left"/>
      <w:pPr>
        <w:ind w:left="1575" w:hanging="360"/>
      </w:pPr>
      <w:rPr>
        <w:rFonts w:hint="default"/>
        <w:lang w:val="pt-PT" w:eastAsia="en-US" w:bidi="ar-SA"/>
      </w:rPr>
    </w:lvl>
    <w:lvl w:ilvl="6">
      <w:start w:val="0"/>
      <w:numFmt w:val="bullet"/>
      <w:lvlText w:val="•"/>
      <w:lvlJc w:val="left"/>
      <w:pPr>
        <w:ind w:left="1810" w:hanging="360"/>
      </w:pPr>
      <w:rPr>
        <w:rFonts w:hint="default"/>
        <w:lang w:val="pt-PT" w:eastAsia="en-US" w:bidi="ar-SA"/>
      </w:rPr>
    </w:lvl>
    <w:lvl w:ilvl="7">
      <w:start w:val="0"/>
      <w:numFmt w:val="bullet"/>
      <w:lvlText w:val="•"/>
      <w:lvlJc w:val="left"/>
      <w:pPr>
        <w:ind w:left="2045" w:hanging="360"/>
      </w:pPr>
      <w:rPr>
        <w:rFonts w:hint="default"/>
        <w:lang w:val="pt-PT" w:eastAsia="en-US" w:bidi="ar-SA"/>
      </w:rPr>
    </w:lvl>
    <w:lvl w:ilvl="8">
      <w:start w:val="0"/>
      <w:numFmt w:val="bullet"/>
      <w:lvlText w:val="•"/>
      <w:lvlJc w:val="left"/>
      <w:pPr>
        <w:ind w:left="2280" w:hanging="360"/>
      </w:pPr>
      <w:rPr>
        <w:rFonts w:hint="default"/>
        <w:lang w:val="pt-PT" w:eastAsia="en-US" w:bidi="ar-SA"/>
      </w:rPr>
    </w:lvl>
  </w:abstractNum>
  <w:abstractNum w:abstractNumId="1">
    <w:multiLevelType w:val="hybridMultilevel"/>
    <w:lvl w:ilvl="0">
      <w:start w:val="0"/>
      <w:numFmt w:val="bullet"/>
      <w:lvlText w:val=""/>
      <w:lvlJc w:val="left"/>
      <w:pPr>
        <w:ind w:left="410" w:hanging="360"/>
      </w:pPr>
      <w:rPr>
        <w:rFonts w:hint="default" w:ascii="Symbol" w:hAnsi="Symbol" w:eastAsia="Symbol" w:cs="Symbol"/>
        <w:b w:val="0"/>
        <w:bCs w:val="0"/>
        <w:i w:val="0"/>
        <w:iCs w:val="0"/>
        <w:color w:val="1B1B22"/>
        <w:spacing w:val="0"/>
        <w:w w:val="99"/>
        <w:sz w:val="20"/>
        <w:szCs w:val="20"/>
        <w:lang w:val="pt-PT" w:eastAsia="en-US" w:bidi="ar-SA"/>
      </w:rPr>
    </w:lvl>
    <w:lvl w:ilvl="1">
      <w:start w:val="0"/>
      <w:numFmt w:val="bullet"/>
      <w:lvlText w:val="•"/>
      <w:lvlJc w:val="left"/>
      <w:pPr>
        <w:ind w:left="653" w:hanging="360"/>
      </w:pPr>
      <w:rPr>
        <w:rFonts w:hint="default"/>
        <w:lang w:val="pt-PT" w:eastAsia="en-US" w:bidi="ar-SA"/>
      </w:rPr>
    </w:lvl>
    <w:lvl w:ilvl="2">
      <w:start w:val="0"/>
      <w:numFmt w:val="bullet"/>
      <w:lvlText w:val="•"/>
      <w:lvlJc w:val="left"/>
      <w:pPr>
        <w:ind w:left="886" w:hanging="360"/>
      </w:pPr>
      <w:rPr>
        <w:rFonts w:hint="default"/>
        <w:lang w:val="pt-PT" w:eastAsia="en-US" w:bidi="ar-SA"/>
      </w:rPr>
    </w:lvl>
    <w:lvl w:ilvl="3">
      <w:start w:val="0"/>
      <w:numFmt w:val="bullet"/>
      <w:lvlText w:val="•"/>
      <w:lvlJc w:val="left"/>
      <w:pPr>
        <w:ind w:left="1119" w:hanging="360"/>
      </w:pPr>
      <w:rPr>
        <w:rFonts w:hint="default"/>
        <w:lang w:val="pt-PT" w:eastAsia="en-US" w:bidi="ar-SA"/>
      </w:rPr>
    </w:lvl>
    <w:lvl w:ilvl="4">
      <w:start w:val="0"/>
      <w:numFmt w:val="bullet"/>
      <w:lvlText w:val="•"/>
      <w:lvlJc w:val="left"/>
      <w:pPr>
        <w:ind w:left="1352" w:hanging="360"/>
      </w:pPr>
      <w:rPr>
        <w:rFonts w:hint="default"/>
        <w:lang w:val="pt-PT" w:eastAsia="en-US" w:bidi="ar-SA"/>
      </w:rPr>
    </w:lvl>
    <w:lvl w:ilvl="5">
      <w:start w:val="0"/>
      <w:numFmt w:val="bullet"/>
      <w:lvlText w:val="•"/>
      <w:lvlJc w:val="left"/>
      <w:pPr>
        <w:ind w:left="1585" w:hanging="360"/>
      </w:pPr>
      <w:rPr>
        <w:rFonts w:hint="default"/>
        <w:lang w:val="pt-PT" w:eastAsia="en-US" w:bidi="ar-SA"/>
      </w:rPr>
    </w:lvl>
    <w:lvl w:ilvl="6">
      <w:start w:val="0"/>
      <w:numFmt w:val="bullet"/>
      <w:lvlText w:val="•"/>
      <w:lvlJc w:val="left"/>
      <w:pPr>
        <w:ind w:left="1818" w:hanging="360"/>
      </w:pPr>
      <w:rPr>
        <w:rFonts w:hint="default"/>
        <w:lang w:val="pt-PT" w:eastAsia="en-US" w:bidi="ar-SA"/>
      </w:rPr>
    </w:lvl>
    <w:lvl w:ilvl="7">
      <w:start w:val="0"/>
      <w:numFmt w:val="bullet"/>
      <w:lvlText w:val="•"/>
      <w:lvlJc w:val="left"/>
      <w:pPr>
        <w:ind w:left="2051" w:hanging="360"/>
      </w:pPr>
      <w:rPr>
        <w:rFonts w:hint="default"/>
        <w:lang w:val="pt-PT" w:eastAsia="en-US" w:bidi="ar-SA"/>
      </w:rPr>
    </w:lvl>
    <w:lvl w:ilvl="8">
      <w:start w:val="0"/>
      <w:numFmt w:val="bullet"/>
      <w:lvlText w:val="•"/>
      <w:lvlJc w:val="left"/>
      <w:pPr>
        <w:ind w:left="2284" w:hanging="360"/>
      </w:pPr>
      <w:rPr>
        <w:rFonts w:hint="default"/>
        <w:lang w:val="pt-PT" w:eastAsia="en-US" w:bidi="ar-SA"/>
      </w:rPr>
    </w:lvl>
  </w:abstractNum>
  <w:abstractNum w:abstractNumId="0">
    <w:multiLevelType w:val="hybridMultilevel"/>
    <w:lvl w:ilvl="0">
      <w:start w:val="0"/>
      <w:numFmt w:val="bullet"/>
      <w:lvlText w:val=""/>
      <w:lvlJc w:val="left"/>
      <w:pPr>
        <w:ind w:left="410" w:hanging="360"/>
      </w:pPr>
      <w:rPr>
        <w:rFonts w:hint="default" w:ascii="Symbol" w:hAnsi="Symbol" w:eastAsia="Symbol" w:cs="Symbol"/>
        <w:b w:val="0"/>
        <w:bCs w:val="0"/>
        <w:i w:val="0"/>
        <w:iCs w:val="0"/>
        <w:color w:val="1B1B22"/>
        <w:spacing w:val="0"/>
        <w:w w:val="99"/>
        <w:sz w:val="20"/>
        <w:szCs w:val="20"/>
        <w:lang w:val="pt-PT" w:eastAsia="en-US" w:bidi="ar-SA"/>
      </w:rPr>
    </w:lvl>
    <w:lvl w:ilvl="1">
      <w:start w:val="0"/>
      <w:numFmt w:val="bullet"/>
      <w:lvlText w:val="•"/>
      <w:lvlJc w:val="left"/>
      <w:pPr>
        <w:ind w:left="653" w:hanging="360"/>
      </w:pPr>
      <w:rPr>
        <w:rFonts w:hint="default"/>
        <w:lang w:val="pt-PT" w:eastAsia="en-US" w:bidi="ar-SA"/>
      </w:rPr>
    </w:lvl>
    <w:lvl w:ilvl="2">
      <w:start w:val="0"/>
      <w:numFmt w:val="bullet"/>
      <w:lvlText w:val="•"/>
      <w:lvlJc w:val="left"/>
      <w:pPr>
        <w:ind w:left="886" w:hanging="360"/>
      </w:pPr>
      <w:rPr>
        <w:rFonts w:hint="default"/>
        <w:lang w:val="pt-PT" w:eastAsia="en-US" w:bidi="ar-SA"/>
      </w:rPr>
    </w:lvl>
    <w:lvl w:ilvl="3">
      <w:start w:val="0"/>
      <w:numFmt w:val="bullet"/>
      <w:lvlText w:val="•"/>
      <w:lvlJc w:val="left"/>
      <w:pPr>
        <w:ind w:left="1119" w:hanging="360"/>
      </w:pPr>
      <w:rPr>
        <w:rFonts w:hint="default"/>
        <w:lang w:val="pt-PT" w:eastAsia="en-US" w:bidi="ar-SA"/>
      </w:rPr>
    </w:lvl>
    <w:lvl w:ilvl="4">
      <w:start w:val="0"/>
      <w:numFmt w:val="bullet"/>
      <w:lvlText w:val="•"/>
      <w:lvlJc w:val="left"/>
      <w:pPr>
        <w:ind w:left="1352" w:hanging="360"/>
      </w:pPr>
      <w:rPr>
        <w:rFonts w:hint="default"/>
        <w:lang w:val="pt-PT" w:eastAsia="en-US" w:bidi="ar-SA"/>
      </w:rPr>
    </w:lvl>
    <w:lvl w:ilvl="5">
      <w:start w:val="0"/>
      <w:numFmt w:val="bullet"/>
      <w:lvlText w:val="•"/>
      <w:lvlJc w:val="left"/>
      <w:pPr>
        <w:ind w:left="1585" w:hanging="360"/>
      </w:pPr>
      <w:rPr>
        <w:rFonts w:hint="default"/>
        <w:lang w:val="pt-PT" w:eastAsia="en-US" w:bidi="ar-SA"/>
      </w:rPr>
    </w:lvl>
    <w:lvl w:ilvl="6">
      <w:start w:val="0"/>
      <w:numFmt w:val="bullet"/>
      <w:lvlText w:val="•"/>
      <w:lvlJc w:val="left"/>
      <w:pPr>
        <w:ind w:left="1818" w:hanging="360"/>
      </w:pPr>
      <w:rPr>
        <w:rFonts w:hint="default"/>
        <w:lang w:val="pt-PT" w:eastAsia="en-US" w:bidi="ar-SA"/>
      </w:rPr>
    </w:lvl>
    <w:lvl w:ilvl="7">
      <w:start w:val="0"/>
      <w:numFmt w:val="bullet"/>
      <w:lvlText w:val="•"/>
      <w:lvlJc w:val="left"/>
      <w:pPr>
        <w:ind w:left="2051" w:hanging="360"/>
      </w:pPr>
      <w:rPr>
        <w:rFonts w:hint="default"/>
        <w:lang w:val="pt-PT" w:eastAsia="en-US" w:bidi="ar-SA"/>
      </w:rPr>
    </w:lvl>
    <w:lvl w:ilvl="8">
      <w:start w:val="0"/>
      <w:numFmt w:val="bullet"/>
      <w:lvlText w:val="•"/>
      <w:lvlJc w:val="left"/>
      <w:pPr>
        <w:ind w:left="2284" w:hanging="360"/>
      </w:pPr>
      <w:rPr>
        <w:rFonts w:hint="default"/>
        <w:lang w:val="pt-PT" w:eastAsia="en-US" w:bidi="ar-SA"/>
      </w:rPr>
    </w:lvl>
  </w:abstract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BancoDoBrasil Textos" w:hAnsi="BancoDoBrasil Textos" w:eastAsia="BancoDoBrasil Textos" w:cs="BancoDoBrasil Textos"/>
      <w:lang w:val="pt-PT" w:eastAsia="en-US" w:bidi="ar-SA"/>
    </w:rPr>
  </w:style>
  <w:style w:styleId="BodyText" w:type="paragraph">
    <w:name w:val="Body Text"/>
    <w:basedOn w:val="Normal"/>
    <w:uiPriority w:val="1"/>
    <w:qFormat/>
    <w:pPr/>
    <w:rPr>
      <w:rFonts w:ascii="BancoDoBrasil Textos" w:hAnsi="BancoDoBrasil Textos" w:eastAsia="BancoDoBrasil Textos" w:cs="BancoDoBrasil Textos"/>
      <w:sz w:val="20"/>
      <w:szCs w:val="20"/>
      <w:lang w:val="pt-PT" w:eastAsia="en-US" w:bidi="ar-SA"/>
    </w:rPr>
  </w:style>
  <w:style w:styleId="Heading1" w:type="paragraph">
    <w:name w:val="Heading 1"/>
    <w:basedOn w:val="Normal"/>
    <w:uiPriority w:val="1"/>
    <w:qFormat/>
    <w:pPr>
      <w:ind w:left="427"/>
      <w:outlineLvl w:val="1"/>
    </w:pPr>
    <w:rPr>
      <w:rFonts w:ascii="BancoDoBrasil Titulos" w:hAnsi="BancoDoBrasil Titulos" w:eastAsia="BancoDoBrasil Titulos" w:cs="BancoDoBrasil Titulos"/>
      <w:sz w:val="44"/>
      <w:szCs w:val="44"/>
      <w:lang w:val="pt-PT" w:eastAsia="en-US" w:bidi="ar-SA"/>
    </w:rPr>
  </w:style>
  <w:style w:styleId="Heading2" w:type="paragraph">
    <w:name w:val="Heading 2"/>
    <w:basedOn w:val="Normal"/>
    <w:uiPriority w:val="1"/>
    <w:qFormat/>
    <w:pPr>
      <w:spacing w:before="107"/>
      <w:ind w:left="426"/>
      <w:jc w:val="both"/>
      <w:outlineLvl w:val="2"/>
    </w:pPr>
    <w:rPr>
      <w:rFonts w:ascii="BancoDoBrasil Textos Medium" w:hAnsi="BancoDoBrasil Textos Medium" w:eastAsia="BancoDoBrasil Textos Medium" w:cs="BancoDoBrasil Textos Medium"/>
      <w:sz w:val="28"/>
      <w:szCs w:val="28"/>
      <w:lang w:val="pt-PT" w:eastAsia="en-US" w:bidi="ar-SA"/>
    </w:rPr>
  </w:style>
  <w:style w:styleId="Title" w:type="paragraph">
    <w:name w:val="Title"/>
    <w:basedOn w:val="Normal"/>
    <w:uiPriority w:val="1"/>
    <w:qFormat/>
    <w:pPr>
      <w:spacing w:line="1487" w:lineRule="exact"/>
      <w:ind w:left="1567"/>
    </w:pPr>
    <w:rPr>
      <w:rFonts w:ascii="BancoDoBrasil Titulos" w:hAnsi="BancoDoBrasil Titulos" w:eastAsia="BancoDoBrasil Titulos" w:cs="BancoDoBrasil Titulos"/>
      <w:b/>
      <w:bCs/>
      <w:sz w:val="120"/>
      <w:szCs w:val="120"/>
      <w:lang w:val="pt-PT" w:eastAsia="en-US" w:bidi="ar-SA"/>
    </w:rPr>
  </w:style>
  <w:style w:styleId="ListParagraph" w:type="paragraph">
    <w:name w:val="List Paragraph"/>
    <w:basedOn w:val="Normal"/>
    <w:uiPriority w:val="1"/>
    <w:qFormat/>
    <w:pPr/>
    <w:rPr>
      <w:lang w:val="pt-PT" w:eastAsia="en-US" w:bidi="ar-SA"/>
    </w:rPr>
  </w:style>
  <w:style w:styleId="TableParagraph" w:type="paragraph">
    <w:name w:val="Table Paragraph"/>
    <w:basedOn w:val="Normal"/>
    <w:uiPriority w:val="1"/>
    <w:qFormat/>
    <w:pPr/>
    <w:rPr>
      <w:rFonts w:ascii="BancoDoBrasil Textos" w:hAnsi="BancoDoBrasil Textos" w:eastAsia="BancoDoBrasil Textos" w:cs="BancoDoBrasil Textos"/>
      <w:lang w:val="pt-PT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hyperlink" Target="https://ri.bb.com.br/" TargetMode="External"/><Relationship Id="rId11" Type="http://schemas.openxmlformats.org/officeDocument/2006/relationships/image" Target="media/image4.jpeg"/><Relationship Id="rId12" Type="http://schemas.openxmlformats.org/officeDocument/2006/relationships/image" Target="media/image5.jpeg"/><Relationship Id="rId13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Luiz Fernando de Almeida</dc:creator>
  <dcterms:created xsi:type="dcterms:W3CDTF">2025-08-14T16:57:00Z</dcterms:created>
  <dcterms:modified xsi:type="dcterms:W3CDTF">2025-08-14T16:57:00Z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2025-08-14T00:00:00Z</vt:filetime>
  </property>
  <property fmtid="{D5CDD505-2E9C-101B-9397-08002B2CF9AE}" pid="3" name="Creator">
    <vt:lpwstr>Adobe Acrobat (64-bit) 25.1.20577</vt:lpwstr>
  </property>
  <property fmtid="{D5CDD505-2E9C-101B-9397-08002B2CF9AE}" pid="4" name="LastSaved">
    <vt:filetime>2025-08-14T00:00:00Z</vt:filetime>
  </property>
  <property fmtid="{D5CDD505-2E9C-101B-9397-08002B2CF9AE}" pid="5" name="MSIP_Label_40881dc9-f7f2-41de-a334-ceff3dc15b31_ContentBits">
    <vt:lpwstr>1</vt:lpwstr>
  </property>
  <property fmtid="{D5CDD505-2E9C-101B-9397-08002B2CF9AE}" pid="6" name="MSIP_Label_40881dc9-f7f2-41de-a334-ceff3dc15b31_Enabled">
    <vt:lpwstr>true</vt:lpwstr>
  </property>
  <property fmtid="{D5CDD505-2E9C-101B-9397-08002B2CF9AE}" pid="7" name="MSIP_Label_40881dc9-f7f2-41de-a334-ceff3dc15b31_Method">
    <vt:lpwstr>Standard</vt:lpwstr>
  </property>
  <property fmtid="{D5CDD505-2E9C-101B-9397-08002B2CF9AE}" pid="8" name="MSIP_Label_40881dc9-f7f2-41de-a334-ceff3dc15b31_SiteId">
    <vt:lpwstr>ea0c2907-38d2-4181-8750-b0b190b60443</vt:lpwstr>
  </property>
  <property fmtid="{D5CDD505-2E9C-101B-9397-08002B2CF9AE}" pid="9" name="Producer">
    <vt:lpwstr>Adobe Acrobat (64-bit) 25.1.20577</vt:lpwstr>
  </property>
</Properties>
</file>