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0"/>
        <w:jc w:val="left"/>
        <w:rPr>
          <w:rFonts w:ascii="Times New Roman"/>
          <w:sz w:val="48"/>
        </w:rPr>
      </w:pPr>
      <w:r>
        <w:rPr>
          <w:rFonts w:ascii="Times New Roman"/>
          <w:sz w:val="48"/>
        </w:rPr>
        <mc:AlternateContent>
          <mc:Choice Requires="wps">
            <w:drawing>
              <wp:anchor distT="0" distB="0" distL="0" distR="0" allowOverlap="1" layoutInCell="1" locked="0" behindDoc="1" simplePos="0" relativeHeight="487393280">
                <wp:simplePos x="0" y="0"/>
                <wp:positionH relativeFrom="page">
                  <wp:posOffset>0</wp:posOffset>
                </wp:positionH>
                <wp:positionV relativeFrom="page">
                  <wp:posOffset>0</wp:posOffset>
                </wp:positionV>
                <wp:extent cx="7562215" cy="10694035"/>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7562215" cy="10694035"/>
                        </a:xfrm>
                        <a:custGeom>
                          <a:avLst/>
                          <a:gdLst/>
                          <a:ahLst/>
                          <a:cxnLst/>
                          <a:rect l="l" t="t" r="r" b="b"/>
                          <a:pathLst>
                            <a:path w="7562215" h="10694035">
                              <a:moveTo>
                                <a:pt x="7562215" y="0"/>
                              </a:moveTo>
                              <a:lnTo>
                                <a:pt x="0" y="0"/>
                              </a:lnTo>
                              <a:lnTo>
                                <a:pt x="0" y="10694035"/>
                              </a:lnTo>
                              <a:lnTo>
                                <a:pt x="7562215" y="10694035"/>
                              </a:lnTo>
                              <a:lnTo>
                                <a:pt x="7562215" y="0"/>
                              </a:lnTo>
                              <a:close/>
                            </a:path>
                          </a:pathLst>
                        </a:custGeom>
                        <a:solidFill>
                          <a:srgbClr val="465EFF"/>
                        </a:solidFill>
                      </wps:spPr>
                      <wps:bodyPr wrap="square" lIns="0" tIns="0" rIns="0" bIns="0" rtlCol="0">
                        <a:prstTxWarp prst="textNoShape">
                          <a:avLst/>
                        </a:prstTxWarp>
                        <a:noAutofit/>
                      </wps:bodyPr>
                    </wps:wsp>
                  </a:graphicData>
                </a:graphic>
              </wp:anchor>
            </w:drawing>
          </mc:Choice>
          <mc:Fallback>
            <w:pict>
              <v:rect style="position:absolute;margin-left:0pt;margin-top:-.000017pt;width:595.450pt;height:842.05pt;mso-position-horizontal-relative:page;mso-position-vertical-relative:page;z-index:-15923200" id="docshape1" filled="true" fillcolor="#465eff" stroked="false">
                <v:fill type="solid"/>
                <w10:wrap type="none"/>
              </v:rect>
            </w:pict>
          </mc:Fallback>
        </mc:AlternateContent>
      </w:r>
      <w:r>
        <w:rPr>
          <w:rFonts w:ascii="Times New Roman"/>
          <w:sz w:val="48"/>
        </w:rPr>
        <mc:AlternateContent>
          <mc:Choice Requires="wps">
            <w:drawing>
              <wp:anchor distT="0" distB="0" distL="0" distR="0" allowOverlap="1" layoutInCell="1" locked="0" behindDoc="1" simplePos="0" relativeHeight="487393792">
                <wp:simplePos x="0" y="0"/>
                <wp:positionH relativeFrom="page">
                  <wp:posOffset>0</wp:posOffset>
                </wp:positionH>
                <wp:positionV relativeFrom="page">
                  <wp:posOffset>-3395</wp:posOffset>
                </wp:positionV>
                <wp:extent cx="7564120" cy="1069467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564120" cy="10694670"/>
                          <a:chExt cx="7564120" cy="10694670"/>
                        </a:xfrm>
                      </wpg:grpSpPr>
                      <pic:pic>
                        <pic:nvPicPr>
                          <pic:cNvPr id="3" name="Image 3"/>
                          <pic:cNvPicPr/>
                        </pic:nvPicPr>
                        <pic:blipFill>
                          <a:blip r:embed="rId5" cstate="print"/>
                          <a:stretch>
                            <a:fillRect/>
                          </a:stretch>
                        </pic:blipFill>
                        <pic:spPr>
                          <a:xfrm>
                            <a:off x="450163" y="2774296"/>
                            <a:ext cx="7110400" cy="7920204"/>
                          </a:xfrm>
                          <a:prstGeom prst="rect">
                            <a:avLst/>
                          </a:prstGeom>
                        </pic:spPr>
                      </pic:pic>
                      <wps:wsp>
                        <wps:cNvPr id="4" name="Graphic 4"/>
                        <wps:cNvSpPr/>
                        <wps:spPr>
                          <a:xfrm>
                            <a:off x="2081171" y="3395"/>
                            <a:ext cx="5479415" cy="3724275"/>
                          </a:xfrm>
                          <a:custGeom>
                            <a:avLst/>
                            <a:gdLst/>
                            <a:ahLst/>
                            <a:cxnLst/>
                            <a:rect l="l" t="t" r="r" b="b"/>
                            <a:pathLst>
                              <a:path w="5479415" h="3724275">
                                <a:moveTo>
                                  <a:pt x="5479392" y="3724237"/>
                                </a:moveTo>
                                <a:lnTo>
                                  <a:pt x="3997302" y="2744596"/>
                                </a:lnTo>
                                <a:lnTo>
                                  <a:pt x="3928595" y="2699257"/>
                                </a:lnTo>
                                <a:lnTo>
                                  <a:pt x="3913924" y="2688407"/>
                                </a:lnTo>
                                <a:lnTo>
                                  <a:pt x="3880081" y="2646044"/>
                                </a:lnTo>
                                <a:lnTo>
                                  <a:pt x="3863888" y="2579623"/>
                                </a:lnTo>
                                <a:lnTo>
                                  <a:pt x="3867937" y="2545675"/>
                                </a:lnTo>
                                <a:lnTo>
                                  <a:pt x="3889536" y="2497637"/>
                                </a:lnTo>
                                <a:lnTo>
                                  <a:pt x="3928595" y="2459989"/>
                                </a:lnTo>
                                <a:lnTo>
                                  <a:pt x="5479392" y="1442693"/>
                                </a:lnTo>
                              </a:path>
                              <a:path w="5479415" h="3724275">
                                <a:moveTo>
                                  <a:pt x="5479392" y="1098884"/>
                                </a:moveTo>
                                <a:lnTo>
                                  <a:pt x="3694534" y="2316860"/>
                                </a:lnTo>
                                <a:lnTo>
                                  <a:pt x="3656053" y="2335291"/>
                                </a:lnTo>
                                <a:lnTo>
                                  <a:pt x="3613762" y="2341625"/>
                                </a:lnTo>
                                <a:lnTo>
                                  <a:pt x="3592978" y="2340115"/>
                                </a:lnTo>
                                <a:lnTo>
                                  <a:pt x="3572741" y="2335640"/>
                                </a:lnTo>
                                <a:lnTo>
                                  <a:pt x="3553362" y="2328284"/>
                                </a:lnTo>
                                <a:lnTo>
                                  <a:pt x="3535149" y="2318130"/>
                                </a:lnTo>
                                <a:lnTo>
                                  <a:pt x="0" y="0"/>
                                </a:lnTo>
                              </a:path>
                            </a:pathLst>
                          </a:custGeom>
                          <a:ln w="6790">
                            <a:solidFill>
                              <a:srgbClr val="FFFFFF"/>
                            </a:solidFill>
                            <a:prstDash val="solid"/>
                          </a:ln>
                        </wps:spPr>
                        <wps:bodyPr wrap="square" lIns="0" tIns="0" rIns="0" bIns="0" rtlCol="0">
                          <a:prstTxWarp prst="textNoShape">
                            <a:avLst/>
                          </a:prstTxWarp>
                          <a:noAutofit/>
                        </wps:bodyPr>
                      </wps:wsp>
                      <wps:wsp>
                        <wps:cNvPr id="5" name="Graphic 5"/>
                        <wps:cNvSpPr/>
                        <wps:spPr>
                          <a:xfrm>
                            <a:off x="0" y="1204306"/>
                            <a:ext cx="5425440" cy="9488805"/>
                          </a:xfrm>
                          <a:custGeom>
                            <a:avLst/>
                            <a:gdLst/>
                            <a:ahLst/>
                            <a:cxnLst/>
                            <a:rect l="l" t="t" r="r" b="b"/>
                            <a:pathLst>
                              <a:path w="5425440" h="9488805">
                                <a:moveTo>
                                  <a:pt x="1537335" y="1055624"/>
                                </a:moveTo>
                                <a:lnTo>
                                  <a:pt x="1415923" y="973201"/>
                                </a:lnTo>
                                <a:lnTo>
                                  <a:pt x="1297559" y="1055624"/>
                                </a:lnTo>
                                <a:lnTo>
                                  <a:pt x="1297559" y="1226820"/>
                                </a:lnTo>
                                <a:lnTo>
                                  <a:pt x="1537335" y="1055624"/>
                                </a:lnTo>
                                <a:close/>
                              </a:path>
                              <a:path w="5425440" h="9488805">
                                <a:moveTo>
                                  <a:pt x="2474849" y="814705"/>
                                </a:moveTo>
                                <a:lnTo>
                                  <a:pt x="2235073" y="646684"/>
                                </a:lnTo>
                                <a:lnTo>
                                  <a:pt x="1936115" y="849503"/>
                                </a:lnTo>
                                <a:lnTo>
                                  <a:pt x="2063750" y="932053"/>
                                </a:lnTo>
                                <a:lnTo>
                                  <a:pt x="1898650" y="1049274"/>
                                </a:lnTo>
                                <a:lnTo>
                                  <a:pt x="1549908" y="808355"/>
                                </a:lnTo>
                                <a:lnTo>
                                  <a:pt x="2113661" y="412115"/>
                                </a:lnTo>
                                <a:lnTo>
                                  <a:pt x="2001520" y="332867"/>
                                </a:lnTo>
                                <a:lnTo>
                                  <a:pt x="1297559" y="814705"/>
                                </a:lnTo>
                                <a:lnTo>
                                  <a:pt x="1886204" y="1220470"/>
                                </a:lnTo>
                                <a:lnTo>
                                  <a:pt x="2134552" y="1049274"/>
                                </a:lnTo>
                                <a:lnTo>
                                  <a:pt x="2474849" y="814705"/>
                                </a:lnTo>
                                <a:close/>
                              </a:path>
                              <a:path w="5425440" h="9488805">
                                <a:moveTo>
                                  <a:pt x="2474976" y="405765"/>
                                </a:moveTo>
                                <a:lnTo>
                                  <a:pt x="2134679" y="171196"/>
                                </a:lnTo>
                                <a:lnTo>
                                  <a:pt x="1886331" y="0"/>
                                </a:lnTo>
                                <a:lnTo>
                                  <a:pt x="1297559" y="405765"/>
                                </a:lnTo>
                                <a:lnTo>
                                  <a:pt x="1543558" y="573786"/>
                                </a:lnTo>
                                <a:lnTo>
                                  <a:pt x="1836420" y="374015"/>
                                </a:lnTo>
                                <a:lnTo>
                                  <a:pt x="1708658" y="288544"/>
                                </a:lnTo>
                                <a:lnTo>
                                  <a:pt x="1873758" y="171196"/>
                                </a:lnTo>
                                <a:lnTo>
                                  <a:pt x="2222627" y="412115"/>
                                </a:lnTo>
                                <a:lnTo>
                                  <a:pt x="1658874" y="808355"/>
                                </a:lnTo>
                                <a:lnTo>
                                  <a:pt x="1777238" y="887603"/>
                                </a:lnTo>
                                <a:lnTo>
                                  <a:pt x="2474976" y="405765"/>
                                </a:lnTo>
                                <a:close/>
                              </a:path>
                              <a:path w="5425440" h="9488805">
                                <a:moveTo>
                                  <a:pt x="2481199" y="6350"/>
                                </a:moveTo>
                                <a:lnTo>
                                  <a:pt x="2241296" y="171196"/>
                                </a:lnTo>
                                <a:lnTo>
                                  <a:pt x="2359660" y="256794"/>
                                </a:lnTo>
                                <a:lnTo>
                                  <a:pt x="2481199" y="171196"/>
                                </a:lnTo>
                                <a:lnTo>
                                  <a:pt x="2481199" y="6350"/>
                                </a:lnTo>
                                <a:close/>
                              </a:path>
                              <a:path w="5425440" h="9488805">
                                <a:moveTo>
                                  <a:pt x="5425122" y="8757031"/>
                                </a:moveTo>
                                <a:lnTo>
                                  <a:pt x="5408930" y="8690635"/>
                                </a:lnTo>
                                <a:lnTo>
                                  <a:pt x="5375021" y="8648243"/>
                                </a:lnTo>
                                <a:lnTo>
                                  <a:pt x="268655" y="5298186"/>
                                </a:lnTo>
                                <a:lnTo>
                                  <a:pt x="230009" y="5280418"/>
                                </a:lnTo>
                                <a:lnTo>
                                  <a:pt x="188734" y="5274729"/>
                                </a:lnTo>
                                <a:lnTo>
                                  <a:pt x="147548" y="5281079"/>
                                </a:lnTo>
                                <a:lnTo>
                                  <a:pt x="109194" y="5299456"/>
                                </a:lnTo>
                                <a:lnTo>
                                  <a:pt x="0" y="5373967"/>
                                </a:lnTo>
                                <a:lnTo>
                                  <a:pt x="0" y="9488564"/>
                                </a:lnTo>
                                <a:lnTo>
                                  <a:pt x="4434332" y="9488576"/>
                                </a:lnTo>
                                <a:lnTo>
                                  <a:pt x="5360416" y="8876652"/>
                                </a:lnTo>
                                <a:lnTo>
                                  <a:pt x="5399456" y="8839009"/>
                                </a:lnTo>
                                <a:lnTo>
                                  <a:pt x="5421071" y="8790965"/>
                                </a:lnTo>
                                <a:lnTo>
                                  <a:pt x="5425122" y="8757031"/>
                                </a:lnTo>
                                <a:close/>
                              </a:path>
                            </a:pathLst>
                          </a:custGeom>
                          <a:solidFill>
                            <a:srgbClr val="FBFB2F"/>
                          </a:solidFill>
                        </wps:spPr>
                        <wps:bodyPr wrap="square" lIns="0" tIns="0" rIns="0" bIns="0" rtlCol="0">
                          <a:prstTxWarp prst="textNoShape">
                            <a:avLst/>
                          </a:prstTxWarp>
                          <a:noAutofit/>
                        </wps:bodyPr>
                      </wps:wsp>
                    </wpg:wgp>
                  </a:graphicData>
                </a:graphic>
              </wp:anchor>
            </w:drawing>
          </mc:Choice>
          <mc:Fallback>
            <w:pict>
              <v:group style="position:absolute;margin-left:.0pt;margin-top:-.267325pt;width:595.6pt;height:842.1pt;mso-position-horizontal-relative:page;mso-position-vertical-relative:page;z-index:-15922688" id="docshapegroup2" coordorigin="0,-5" coordsize="11912,16842">
                <v:shape style="position:absolute;left:708;top:4363;width:11198;height:12473" type="#_x0000_t75" id="docshape3" stroked="false">
                  <v:imagedata r:id="rId5" o:title=""/>
                </v:shape>
                <v:shape style="position:absolute;left:3277;top:0;width:8629;height:5865" id="docshape4" coordorigin="3277,0" coordsize="8629,5865" path="m11906,5865l9572,4322,9464,4251,9441,4234,9421,4214,9403,4192,9388,4167,9369,4116,9362,4062,9369,4009,9388,3958,9403,3933,9421,3911,9441,3891,9464,3874,11906,2272m11906,1731l9096,3649,9066,3665,9035,3678,9002,3685,8968,3688,8936,3685,8904,3678,8873,3667,8845,3651,3277,0e" filled="false" stroked="true" strokeweight=".534650pt" strokecolor="#ffffff">
                  <v:path arrowok="t"/>
                  <v:stroke dashstyle="solid"/>
                </v:shape>
                <v:shape style="position:absolute;left:0;top:1891;width:8544;height:14943" id="docshape5" coordorigin="0,1891" coordsize="8544,14943" path="m2421,3554l2230,3424,2043,3554,2043,3823,2421,3554xm3897,3174l3520,2910,3049,3229,3250,3359,2990,3544,2441,3164,3329,2540,3152,2415,2043,3174,2970,3813,3362,3544,3897,3174xm3898,2530l3362,2161,2971,1891,2043,2530,2431,2795,2892,2480,2691,2346,2951,2161,3500,2540,2612,3164,2799,3289,3898,2530xm3907,1901l3530,2161,3716,2296,3907,2161,3907,1901xm8544,15682l8537,15628,8518,15577,8503,15553,8485,15530,8465,15510,8442,15493,423,10235,362,10207,297,10198,232,10208,172,10237,0,10354,0,16834,6983,16834,8442,15870,8465,15853,8485,15833,8503,15811,8518,15786,8537,15735,8544,15682xe" filled="true" fillcolor="#fbfb2f" stroked="false">
                  <v:path arrowok="t"/>
                  <v:fill type="solid"/>
                </v:shape>
                <w10:wrap type="none"/>
              </v:group>
            </w:pict>
          </mc:Fallback>
        </mc:AlternateContent>
      </w:r>
    </w:p>
    <w:p>
      <w:pPr>
        <w:pStyle w:val="BodyText"/>
        <w:ind w:left="0"/>
        <w:jc w:val="left"/>
        <w:rPr>
          <w:rFonts w:ascii="Times New Roman"/>
          <w:sz w:val="48"/>
        </w:rPr>
      </w:pPr>
    </w:p>
    <w:p>
      <w:pPr>
        <w:pStyle w:val="BodyText"/>
        <w:spacing w:before="460"/>
        <w:ind w:left="0"/>
        <w:jc w:val="left"/>
        <w:rPr>
          <w:rFonts w:ascii="Times New Roman"/>
          <w:sz w:val="48"/>
        </w:rPr>
      </w:pPr>
    </w:p>
    <w:p>
      <w:pPr>
        <w:spacing w:before="0"/>
        <w:ind w:left="1608" w:right="0" w:firstLine="0"/>
        <w:jc w:val="left"/>
        <w:rPr>
          <w:rFonts w:ascii="BancoDoBrasil Titulos"/>
          <w:b/>
          <w:sz w:val="48"/>
        </w:rPr>
      </w:pPr>
      <w:bookmarkStart w:name="Capa_Relad_EN" w:id="1"/>
      <w:bookmarkEnd w:id="1"/>
      <w:r>
        <w:rPr/>
      </w:r>
      <w:r>
        <w:rPr>
          <w:rFonts w:ascii="BancoDoBrasil Titulos"/>
          <w:b/>
          <w:color w:val="FFF8F8"/>
          <w:spacing w:val="-2"/>
          <w:sz w:val="48"/>
        </w:rPr>
        <w:t>Management</w:t>
      </w:r>
    </w:p>
    <w:p>
      <w:pPr>
        <w:spacing w:line="264" w:lineRule="exact" w:before="21"/>
        <w:ind w:left="1608" w:right="0" w:firstLine="0"/>
        <w:jc w:val="left"/>
        <w:rPr>
          <w:rFonts w:ascii="BancoDoBrasil Titulos"/>
          <w:b/>
          <w:sz w:val="26"/>
        </w:rPr>
      </w:pPr>
      <w:r>
        <w:rPr>
          <w:rFonts w:ascii="BancoDoBrasil Titulos"/>
          <w:b/>
          <w:color w:val="FFF8F8"/>
          <w:spacing w:val="-2"/>
          <w:sz w:val="26"/>
        </w:rPr>
        <w:t>Report</w:t>
      </w:r>
    </w:p>
    <w:p>
      <w:pPr>
        <w:pStyle w:val="Title"/>
      </w:pPr>
      <w:r>
        <w:rPr>
          <w:color w:val="FFFFFF"/>
          <w:spacing w:val="-4"/>
        </w:rPr>
        <w:t>1H25</w:t>
      </w:r>
    </w:p>
    <w:p>
      <w:pPr>
        <w:pStyle w:val="Title"/>
        <w:spacing w:after="0"/>
        <w:sectPr>
          <w:type w:val="continuous"/>
          <w:pgSz w:w="11910" w:h="16840"/>
          <w:pgMar w:top="1920" w:bottom="280" w:left="425" w:right="708"/>
        </w:sectPr>
      </w:pPr>
    </w:p>
    <w:p>
      <w:pPr>
        <w:spacing w:line="256" w:lineRule="auto" w:before="28"/>
        <w:ind w:left="419" w:right="5207" w:firstLine="0"/>
        <w:jc w:val="left"/>
        <w:rPr>
          <w:rFonts w:ascii="BancoDoBrasil Titulos Medium"/>
          <w:b w:val="0"/>
          <w:sz w:val="52"/>
        </w:rPr>
      </w:pPr>
      <w:r>
        <w:rPr>
          <w:rFonts w:ascii="BancoDoBrasil Titulos Medium"/>
          <w:b w:val="0"/>
          <w:sz w:val="52"/>
        </w:rPr>
        <mc:AlternateContent>
          <mc:Choice Requires="wps">
            <w:drawing>
              <wp:anchor distT="0" distB="0" distL="0" distR="0" allowOverlap="1" layoutInCell="1" locked="0" behindDoc="0" simplePos="0" relativeHeight="15730176">
                <wp:simplePos x="0" y="0"/>
                <wp:positionH relativeFrom="page">
                  <wp:posOffset>6657276</wp:posOffset>
                </wp:positionH>
                <wp:positionV relativeFrom="paragraph">
                  <wp:posOffset>289953</wp:posOffset>
                </wp:positionV>
                <wp:extent cx="353695" cy="346710"/>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353695" cy="346710"/>
                        </a:xfrm>
                        <a:custGeom>
                          <a:avLst/>
                          <a:gdLst/>
                          <a:ahLst/>
                          <a:cxnLst/>
                          <a:rect l="l" t="t" r="r" b="b"/>
                          <a:pathLst>
                            <a:path w="353695" h="346710">
                              <a:moveTo>
                                <a:pt x="71615" y="300278"/>
                              </a:moveTo>
                              <a:lnTo>
                                <a:pt x="35052" y="275628"/>
                              </a:lnTo>
                              <a:lnTo>
                                <a:pt x="0" y="297815"/>
                              </a:lnTo>
                              <a:lnTo>
                                <a:pt x="0" y="346506"/>
                              </a:lnTo>
                              <a:lnTo>
                                <a:pt x="71615" y="300278"/>
                              </a:lnTo>
                              <a:close/>
                            </a:path>
                            <a:path w="353695" h="346710">
                              <a:moveTo>
                                <a:pt x="350850" y="230276"/>
                              </a:moveTo>
                              <a:lnTo>
                                <a:pt x="278193" y="181483"/>
                              </a:lnTo>
                              <a:lnTo>
                                <a:pt x="192201" y="239649"/>
                              </a:lnTo>
                              <a:lnTo>
                                <a:pt x="228282" y="263994"/>
                              </a:lnTo>
                              <a:lnTo>
                                <a:pt x="180835" y="296824"/>
                              </a:lnTo>
                              <a:lnTo>
                                <a:pt x="76568" y="226834"/>
                              </a:lnTo>
                              <a:lnTo>
                                <a:pt x="245579" y="117411"/>
                              </a:lnTo>
                              <a:lnTo>
                                <a:pt x="208013" y="92748"/>
                              </a:lnTo>
                              <a:lnTo>
                                <a:pt x="0" y="230276"/>
                              </a:lnTo>
                              <a:lnTo>
                                <a:pt x="176707" y="346506"/>
                              </a:lnTo>
                              <a:lnTo>
                                <a:pt x="350850" y="230276"/>
                              </a:lnTo>
                              <a:close/>
                            </a:path>
                            <a:path w="353695" h="346710">
                              <a:moveTo>
                                <a:pt x="350850" y="115430"/>
                              </a:moveTo>
                              <a:lnTo>
                                <a:pt x="176707" y="0"/>
                              </a:lnTo>
                              <a:lnTo>
                                <a:pt x="0" y="113461"/>
                              </a:lnTo>
                              <a:lnTo>
                                <a:pt x="74091" y="162750"/>
                              </a:lnTo>
                              <a:lnTo>
                                <a:pt x="159092" y="106070"/>
                              </a:lnTo>
                              <a:lnTo>
                                <a:pt x="123507" y="80429"/>
                              </a:lnTo>
                              <a:lnTo>
                                <a:pt x="171945" y="48399"/>
                              </a:lnTo>
                              <a:lnTo>
                                <a:pt x="274243" y="116916"/>
                              </a:lnTo>
                              <a:lnTo>
                                <a:pt x="108191" y="228803"/>
                              </a:lnTo>
                              <a:lnTo>
                                <a:pt x="143281" y="252463"/>
                              </a:lnTo>
                              <a:lnTo>
                                <a:pt x="350850" y="115430"/>
                              </a:lnTo>
                              <a:close/>
                            </a:path>
                            <a:path w="353695" h="346710">
                              <a:moveTo>
                                <a:pt x="353402" y="0"/>
                              </a:moveTo>
                              <a:lnTo>
                                <a:pt x="282155" y="45440"/>
                              </a:lnTo>
                              <a:lnTo>
                                <a:pt x="320205" y="72059"/>
                              </a:lnTo>
                              <a:lnTo>
                                <a:pt x="353402" y="50368"/>
                              </a:lnTo>
                              <a:lnTo>
                                <a:pt x="35340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524.195007pt;margin-top:22.830961pt;width:27.85pt;height:27.3pt;mso-position-horizontal-relative:page;mso-position-vertical-relative:paragraph;z-index:15730176" id="docshape6" coordorigin="10484,457" coordsize="557,546" path="m10597,929l10539,891,10484,926,10484,1002,10597,929xm11036,819l10922,742,10787,834,10843,872,10769,924,10604,814,10871,642,10811,603,10484,819,10762,1002,11036,819xm11036,638l10762,457,10484,635,10601,713,10734,624,10678,583,10755,533,10916,641,10654,817,10710,854,11036,638xm11040,457l10928,528,10988,570,11040,536,11040,457xe" filled="true" fillcolor="#ffffff" stroked="false">
                <v:path arrowok="t"/>
                <v:fill type="solid"/>
                <w10:wrap type="none"/>
              </v:shape>
            </w:pict>
          </mc:Fallback>
        </mc:AlternateContent>
      </w:r>
      <w:bookmarkStart w:name="RELAD_1S25_Cosif_EN_1208_17h20" w:id="2"/>
      <w:bookmarkEnd w:id="2"/>
      <w:r>
        <w:rPr/>
      </w:r>
      <w:r>
        <w:rPr>
          <w:rFonts w:ascii="BancoDoBrasil Titulos Medium"/>
          <w:b w:val="0"/>
          <w:color w:val="FFFFFF"/>
          <w:spacing w:val="13"/>
          <w:sz w:val="52"/>
        </w:rPr>
        <w:t>Management </w:t>
      </w:r>
      <w:r>
        <w:rPr>
          <w:rFonts w:ascii="BancoDoBrasil Titulos Medium"/>
          <w:b w:val="0"/>
          <w:color w:val="FFFFFF"/>
          <w:spacing w:val="12"/>
          <w:sz w:val="52"/>
        </w:rPr>
        <w:t>Report </w:t>
      </w:r>
      <w:r>
        <w:rPr>
          <w:rFonts w:ascii="BancoDoBrasil Titulos Medium"/>
          <w:b w:val="0"/>
          <w:color w:val="FFFFFF"/>
          <w:sz w:val="52"/>
        </w:rPr>
        <w:t>| </w:t>
      </w:r>
      <w:r>
        <w:rPr>
          <w:rFonts w:ascii="BancoDoBrasil Titulos Medium"/>
          <w:b w:val="0"/>
          <w:color w:val="FFFFFF"/>
          <w:spacing w:val="18"/>
          <w:sz w:val="52"/>
        </w:rPr>
        <w:t>1H25</w:t>
      </w:r>
    </w:p>
    <w:p>
      <w:pPr>
        <w:pStyle w:val="BodyText"/>
        <w:ind w:left="0"/>
        <w:jc w:val="left"/>
        <w:rPr>
          <w:rFonts w:ascii="BancoDoBrasil Titulos Medium"/>
          <w:b w:val="0"/>
        </w:rPr>
      </w:pPr>
    </w:p>
    <w:p>
      <w:pPr>
        <w:pStyle w:val="BodyText"/>
        <w:ind w:left="0"/>
        <w:jc w:val="left"/>
        <w:rPr>
          <w:rFonts w:ascii="BancoDoBrasil Titulos Medium"/>
          <w:b w:val="0"/>
        </w:rPr>
      </w:pPr>
    </w:p>
    <w:p>
      <w:pPr>
        <w:pStyle w:val="BodyText"/>
        <w:spacing w:before="148"/>
        <w:ind w:left="0"/>
        <w:jc w:val="left"/>
        <w:rPr>
          <w:rFonts w:ascii="BancoDoBrasil Titulos Medium"/>
          <w:b w:val="0"/>
        </w:rPr>
      </w:pPr>
    </w:p>
    <w:p>
      <w:pPr>
        <w:pStyle w:val="BodyText"/>
        <w:spacing w:after="0"/>
        <w:jc w:val="left"/>
        <w:rPr>
          <w:rFonts w:ascii="BancoDoBrasil Titulos Medium"/>
          <w:b w:val="0"/>
        </w:rPr>
        <w:sectPr>
          <w:pgSz w:w="11910" w:h="16850"/>
          <w:pgMar w:top="180" w:bottom="280" w:left="425" w:right="708"/>
        </w:sectPr>
      </w:pPr>
    </w:p>
    <w:p>
      <w:pPr>
        <w:pStyle w:val="BodyText"/>
        <w:spacing w:before="6"/>
        <w:ind w:left="0"/>
        <w:jc w:val="left"/>
        <w:rPr>
          <w:rFonts w:ascii="BancoDoBrasil Titulos Medium"/>
          <w:b w:val="0"/>
          <w:sz w:val="7"/>
        </w:rPr>
      </w:pPr>
    </w:p>
    <w:p>
      <w:pPr>
        <w:pStyle w:val="BodyText"/>
        <w:ind w:left="426"/>
        <w:jc w:val="left"/>
        <w:rPr>
          <w:rFonts w:ascii="BancoDoBrasil Titulos Medium"/>
        </w:rPr>
      </w:pPr>
      <w:r>
        <w:rPr>
          <w:rFonts w:ascii="BancoDoBrasil Titulos Medium"/>
        </w:rPr>
        <w:drawing>
          <wp:inline distT="0" distB="0" distL="0" distR="0">
            <wp:extent cx="2890932" cy="5016055"/>
            <wp:effectExtent l="0" t="0" r="0" b="0"/>
            <wp:docPr id="7" name="Image 7"/>
            <wp:cNvGraphicFramePr>
              <a:graphicFrameLocks/>
            </wp:cNvGraphicFramePr>
            <a:graphic>
              <a:graphicData uri="http://schemas.openxmlformats.org/drawingml/2006/picture">
                <pic:pic>
                  <pic:nvPicPr>
                    <pic:cNvPr id="7" name="Image 7"/>
                    <pic:cNvPicPr/>
                  </pic:nvPicPr>
                  <pic:blipFill>
                    <a:blip r:embed="rId6" cstate="print"/>
                    <a:stretch>
                      <a:fillRect/>
                    </a:stretch>
                  </pic:blipFill>
                  <pic:spPr>
                    <a:xfrm>
                      <a:off x="0" y="0"/>
                      <a:ext cx="2890932" cy="5016055"/>
                    </a:xfrm>
                    <a:prstGeom prst="rect">
                      <a:avLst/>
                    </a:prstGeom>
                  </pic:spPr>
                </pic:pic>
              </a:graphicData>
            </a:graphic>
          </wp:inline>
        </w:drawing>
      </w:r>
      <w:r>
        <w:rPr>
          <w:rFonts w:ascii="BancoDoBrasil Titulos Medium"/>
        </w:rPr>
      </w:r>
    </w:p>
    <w:p>
      <w:pPr>
        <w:pStyle w:val="BodyText"/>
        <w:spacing w:line="321" w:lineRule="auto" w:before="176"/>
        <w:ind w:right="42"/>
      </w:pPr>
      <w:r>
        <w:rPr>
          <w:color w:val="FFFFFF"/>
        </w:rPr>
        <w:t>In</w:t>
      </w:r>
      <w:r>
        <w:rPr>
          <w:color w:val="FFFFFF"/>
          <w:spacing w:val="-13"/>
        </w:rPr>
        <w:t> </w:t>
      </w:r>
      <w:r>
        <w:rPr>
          <w:color w:val="FFFFFF"/>
        </w:rPr>
        <w:t>June</w:t>
      </w:r>
      <w:r>
        <w:rPr>
          <w:color w:val="FFFFFF"/>
          <w:spacing w:val="-12"/>
        </w:rPr>
        <w:t> </w:t>
      </w:r>
      <w:r>
        <w:rPr>
          <w:color w:val="FFFFFF"/>
        </w:rPr>
        <w:t>2025,</w:t>
      </w:r>
      <w:r>
        <w:rPr>
          <w:color w:val="FFFFFF"/>
          <w:spacing w:val="-13"/>
        </w:rPr>
        <w:t> </w:t>
      </w:r>
      <w:r>
        <w:rPr>
          <w:color w:val="FFFFFF"/>
        </w:rPr>
        <w:t>our</w:t>
      </w:r>
      <w:r>
        <w:rPr>
          <w:color w:val="FFFFFF"/>
          <w:spacing w:val="-12"/>
        </w:rPr>
        <w:t> </w:t>
      </w:r>
      <w:r>
        <w:rPr>
          <w:color w:val="FFFFFF"/>
        </w:rPr>
        <w:t>assets</w:t>
      </w:r>
      <w:r>
        <w:rPr>
          <w:color w:val="FFFFFF"/>
          <w:spacing w:val="-12"/>
        </w:rPr>
        <w:t> </w:t>
      </w:r>
      <w:r>
        <w:rPr>
          <w:color w:val="FFFFFF"/>
        </w:rPr>
        <w:t>reached</w:t>
      </w:r>
      <w:r>
        <w:rPr>
          <w:color w:val="FFFFFF"/>
          <w:spacing w:val="-12"/>
        </w:rPr>
        <w:t> </w:t>
      </w:r>
      <w:r>
        <w:rPr>
          <w:color w:val="FFFFFF"/>
        </w:rPr>
        <w:t>R$2.4</w:t>
      </w:r>
      <w:r>
        <w:rPr>
          <w:color w:val="FFFFFF"/>
          <w:spacing w:val="-12"/>
        </w:rPr>
        <w:t> </w:t>
      </w:r>
      <w:r>
        <w:rPr>
          <w:color w:val="FFFFFF"/>
        </w:rPr>
        <w:t>trillion.</w:t>
      </w:r>
      <w:r>
        <w:rPr>
          <w:color w:val="FFFFFF"/>
          <w:spacing w:val="-12"/>
        </w:rPr>
        <w:t> </w:t>
      </w:r>
      <w:r>
        <w:rPr>
          <w:color w:val="FFFFFF"/>
        </w:rPr>
        <w:t>The credit portfolio exceeded R$1.2 trillion, with growth</w:t>
      </w:r>
      <w:r>
        <w:rPr>
          <w:color w:val="FFFFFF"/>
          <w:spacing w:val="-4"/>
        </w:rPr>
        <w:t> </w:t>
      </w:r>
      <w:r>
        <w:rPr>
          <w:color w:val="FFFFFF"/>
        </w:rPr>
        <w:t>across</w:t>
      </w:r>
      <w:r>
        <w:rPr>
          <w:color w:val="FFFFFF"/>
          <w:spacing w:val="-4"/>
        </w:rPr>
        <w:t> </w:t>
      </w:r>
      <w:r>
        <w:rPr>
          <w:color w:val="FFFFFF"/>
        </w:rPr>
        <w:t>all</w:t>
      </w:r>
      <w:r>
        <w:rPr>
          <w:color w:val="FFFFFF"/>
          <w:spacing w:val="-5"/>
        </w:rPr>
        <w:t> </w:t>
      </w:r>
      <w:r>
        <w:rPr>
          <w:color w:val="FFFFFF"/>
        </w:rPr>
        <w:t>segments,</w:t>
      </w:r>
      <w:r>
        <w:rPr>
          <w:color w:val="FFFFFF"/>
          <w:spacing w:val="-5"/>
        </w:rPr>
        <w:t> </w:t>
      </w:r>
      <w:r>
        <w:rPr>
          <w:color w:val="FFFFFF"/>
        </w:rPr>
        <w:t>while</w:t>
      </w:r>
      <w:r>
        <w:rPr>
          <w:color w:val="FFFFFF"/>
          <w:spacing w:val="-5"/>
        </w:rPr>
        <w:t> </w:t>
      </w:r>
      <w:r>
        <w:rPr>
          <w:color w:val="FFFFFF"/>
        </w:rPr>
        <w:t>customer</w:t>
      </w:r>
      <w:r>
        <w:rPr>
          <w:color w:val="FFFFFF"/>
          <w:spacing w:val="-5"/>
        </w:rPr>
        <w:t> </w:t>
      </w:r>
      <w:r>
        <w:rPr>
          <w:color w:val="FFFFFF"/>
        </w:rPr>
        <w:t>funds totaled R$880.4 billion.</w:t>
      </w:r>
    </w:p>
    <w:p>
      <w:pPr>
        <w:pStyle w:val="BodyText"/>
        <w:spacing w:line="321" w:lineRule="auto" w:before="119"/>
        <w:ind w:right="38"/>
      </w:pPr>
      <w:r>
        <w:rPr>
          <w:color w:val="FFFFFF"/>
        </w:rPr>
        <w:t>The income from financial intermediation was </w:t>
      </w:r>
      <w:r>
        <w:rPr>
          <w:color w:val="FFFFFF"/>
          <w:spacing w:val="-2"/>
        </w:rPr>
        <w:t>impacted</w:t>
      </w:r>
      <w:r>
        <w:rPr>
          <w:color w:val="FFFFFF"/>
          <w:spacing w:val="-9"/>
        </w:rPr>
        <w:t> </w:t>
      </w:r>
      <w:r>
        <w:rPr>
          <w:color w:val="FFFFFF"/>
          <w:spacing w:val="-2"/>
        </w:rPr>
        <w:t>by</w:t>
      </w:r>
      <w:r>
        <w:rPr>
          <w:color w:val="FFFFFF"/>
          <w:spacing w:val="-9"/>
        </w:rPr>
        <w:t> </w:t>
      </w:r>
      <w:r>
        <w:rPr>
          <w:color w:val="FFFFFF"/>
          <w:spacing w:val="-2"/>
        </w:rPr>
        <w:t>increased</w:t>
      </w:r>
      <w:r>
        <w:rPr>
          <w:color w:val="FFFFFF"/>
          <w:spacing w:val="-9"/>
        </w:rPr>
        <w:t> </w:t>
      </w:r>
      <w:r>
        <w:rPr>
          <w:color w:val="FFFFFF"/>
          <w:spacing w:val="-2"/>
        </w:rPr>
        <w:t>funding</w:t>
      </w:r>
      <w:r>
        <w:rPr>
          <w:color w:val="FFFFFF"/>
          <w:spacing w:val="-9"/>
        </w:rPr>
        <w:t> </w:t>
      </w:r>
      <w:r>
        <w:rPr>
          <w:color w:val="FFFFFF"/>
          <w:spacing w:val="-2"/>
        </w:rPr>
        <w:t>expenses</w:t>
      </w:r>
      <w:r>
        <w:rPr>
          <w:color w:val="FFFFFF"/>
          <w:spacing w:val="-8"/>
        </w:rPr>
        <w:t> </w:t>
      </w:r>
      <w:r>
        <w:rPr>
          <w:color w:val="FFFFFF"/>
          <w:spacing w:val="-2"/>
        </w:rPr>
        <w:t>due</w:t>
      </w:r>
      <w:r>
        <w:rPr>
          <w:color w:val="FFFFFF"/>
          <w:spacing w:val="-9"/>
        </w:rPr>
        <w:t> </w:t>
      </w:r>
      <w:r>
        <w:rPr>
          <w:color w:val="FFFFFF"/>
          <w:spacing w:val="-2"/>
        </w:rPr>
        <w:t>to</w:t>
      </w:r>
      <w:r>
        <w:rPr>
          <w:color w:val="FFFFFF"/>
          <w:spacing w:val="-9"/>
        </w:rPr>
        <w:t> </w:t>
      </w:r>
      <w:r>
        <w:rPr>
          <w:color w:val="FFFFFF"/>
          <w:spacing w:val="-2"/>
        </w:rPr>
        <w:t>the </w:t>
      </w:r>
      <w:r>
        <w:rPr>
          <w:color w:val="FFFFFF"/>
        </w:rPr>
        <w:t>higher volume of deposits and the increase in the average</w:t>
      </w:r>
      <w:r>
        <w:rPr>
          <w:color w:val="FFFFFF"/>
          <w:spacing w:val="-4"/>
        </w:rPr>
        <w:t> </w:t>
      </w:r>
      <w:r>
        <w:rPr>
          <w:color w:val="FFFFFF"/>
        </w:rPr>
        <w:t>Selic</w:t>
      </w:r>
      <w:r>
        <w:rPr>
          <w:color w:val="FFFFFF"/>
          <w:spacing w:val="-4"/>
        </w:rPr>
        <w:t> </w:t>
      </w:r>
      <w:r>
        <w:rPr>
          <w:color w:val="FFFFFF"/>
        </w:rPr>
        <w:t>rate</w:t>
      </w:r>
      <w:r>
        <w:rPr>
          <w:color w:val="FFFFFF"/>
          <w:spacing w:val="-4"/>
        </w:rPr>
        <w:t> </w:t>
      </w:r>
      <w:r>
        <w:rPr>
          <w:color w:val="FFFFFF"/>
        </w:rPr>
        <w:t>and</w:t>
      </w:r>
      <w:r>
        <w:rPr>
          <w:color w:val="FFFFFF"/>
          <w:spacing w:val="-4"/>
        </w:rPr>
        <w:t> </w:t>
      </w:r>
      <w:r>
        <w:rPr>
          <w:color w:val="FFFFFF"/>
        </w:rPr>
        <w:t>the</w:t>
      </w:r>
      <w:r>
        <w:rPr>
          <w:color w:val="FFFFFF"/>
          <w:spacing w:val="-4"/>
        </w:rPr>
        <w:t> </w:t>
      </w:r>
      <w:r>
        <w:rPr>
          <w:color w:val="FFFFFF"/>
        </w:rPr>
        <w:t>reference</w:t>
      </w:r>
      <w:r>
        <w:rPr>
          <w:color w:val="FFFFFF"/>
          <w:spacing w:val="-4"/>
        </w:rPr>
        <w:t> </w:t>
      </w:r>
      <w:r>
        <w:rPr>
          <w:color w:val="FFFFFF"/>
        </w:rPr>
        <w:t>rate,</w:t>
      </w:r>
      <w:r>
        <w:rPr>
          <w:color w:val="FFFFFF"/>
          <w:spacing w:val="-4"/>
        </w:rPr>
        <w:t> </w:t>
      </w:r>
      <w:r>
        <w:rPr>
          <w:color w:val="FFFFFF"/>
        </w:rPr>
        <w:t>partially offset by the growth in the credit portfolio which boosted revenues.</w:t>
      </w:r>
    </w:p>
    <w:p>
      <w:pPr>
        <w:pStyle w:val="BodyText"/>
        <w:spacing w:line="321" w:lineRule="auto" w:before="78"/>
        <w:ind w:left="426" w:right="137"/>
      </w:pPr>
      <w:r>
        <w:rPr/>
        <w:br w:type="column"/>
      </w:r>
      <w:r>
        <w:rPr>
          <w:color w:val="FFFFFF"/>
        </w:rPr>
        <w:t>Influenced by the new loan creation dynamics following the adoption of Resolution 4,966/21, expected losses primarily reflected increased defaults in the agribusiness portfolio and, to a lesser extent, in the Micro, Small, and Medium- Sized Enterprises portfolio. Considering this, we took immediate action, including reviewing collection</w:t>
      </w:r>
      <w:r>
        <w:rPr>
          <w:color w:val="FFFFFF"/>
          <w:spacing w:val="-4"/>
        </w:rPr>
        <w:t> </w:t>
      </w:r>
      <w:r>
        <w:rPr>
          <w:color w:val="FFFFFF"/>
        </w:rPr>
        <w:t>flows,</w:t>
      </w:r>
      <w:r>
        <w:rPr>
          <w:color w:val="FFFFFF"/>
          <w:spacing w:val="-4"/>
        </w:rPr>
        <w:t> </w:t>
      </w:r>
      <w:r>
        <w:rPr>
          <w:color w:val="FFFFFF"/>
        </w:rPr>
        <w:t>prioritizing</w:t>
      </w:r>
      <w:r>
        <w:rPr>
          <w:color w:val="FFFFFF"/>
          <w:spacing w:val="-4"/>
        </w:rPr>
        <w:t> </w:t>
      </w:r>
      <w:r>
        <w:rPr>
          <w:color w:val="FFFFFF"/>
        </w:rPr>
        <w:t>disbursements</w:t>
      </w:r>
      <w:r>
        <w:rPr>
          <w:color w:val="FFFFFF"/>
          <w:spacing w:val="-4"/>
        </w:rPr>
        <w:t> </w:t>
      </w:r>
      <w:r>
        <w:rPr>
          <w:color w:val="FFFFFF"/>
        </w:rPr>
        <w:t>within the context of the resilience matrix, increasing credit lines with mitigating factors or guarantee funds, and strengthening our increasingly close and resolute relationships with clients.</w:t>
      </w:r>
    </w:p>
    <w:p>
      <w:pPr>
        <w:pStyle w:val="BodyText"/>
        <w:spacing w:line="321" w:lineRule="auto" w:before="114"/>
        <w:ind w:left="426" w:right="141"/>
      </w:pPr>
      <w:r>
        <w:rPr>
          <w:color w:val="FFFFFF"/>
        </w:rPr>
        <w:t>In Fee Income, the highlights were the fund administration, consortium, and commission lines for insurance, pension, and capitalization, which already represent 56.8% of the total, demonstrating the complementarity of the portfolio with BB Asset, BB Consórcios, and BB </w:t>
      </w:r>
      <w:r>
        <w:rPr>
          <w:color w:val="FFFFFF"/>
          <w:spacing w:val="-2"/>
        </w:rPr>
        <w:t>Seguridade.</w:t>
      </w:r>
    </w:p>
    <w:p>
      <w:pPr>
        <w:pStyle w:val="BodyText"/>
        <w:spacing w:line="319" w:lineRule="auto" w:before="115"/>
        <w:ind w:left="426" w:right="143"/>
      </w:pPr>
      <w:r>
        <w:rPr>
          <w:color w:val="FFFFFF"/>
        </w:rPr>
        <w:t>Administrative Expenses, in turn, showed growth consistent</w:t>
      </w:r>
      <w:r>
        <w:rPr>
          <w:color w:val="FFFFFF"/>
          <w:spacing w:val="-3"/>
        </w:rPr>
        <w:t> </w:t>
      </w:r>
      <w:r>
        <w:rPr>
          <w:color w:val="FFFFFF"/>
        </w:rPr>
        <w:t>with</w:t>
      </w:r>
      <w:r>
        <w:rPr>
          <w:color w:val="FFFFFF"/>
          <w:spacing w:val="-3"/>
        </w:rPr>
        <w:t> </w:t>
      </w:r>
      <w:r>
        <w:rPr>
          <w:color w:val="FFFFFF"/>
        </w:rPr>
        <w:t>operations,</w:t>
      </w:r>
      <w:r>
        <w:rPr>
          <w:color w:val="FFFFFF"/>
          <w:spacing w:val="-4"/>
        </w:rPr>
        <w:t> </w:t>
      </w:r>
      <w:r>
        <w:rPr>
          <w:color w:val="FFFFFF"/>
        </w:rPr>
        <w:t>aligned</w:t>
      </w:r>
      <w:r>
        <w:rPr>
          <w:color w:val="FFFFFF"/>
          <w:spacing w:val="-4"/>
        </w:rPr>
        <w:t> </w:t>
      </w:r>
      <w:r>
        <w:rPr>
          <w:color w:val="FFFFFF"/>
        </w:rPr>
        <w:t>with</w:t>
      </w:r>
      <w:r>
        <w:rPr>
          <w:color w:val="FFFFFF"/>
          <w:spacing w:val="-3"/>
        </w:rPr>
        <w:t> </w:t>
      </w:r>
      <w:r>
        <w:rPr>
          <w:color w:val="FFFFFF"/>
        </w:rPr>
        <w:t>increased employee salaries and investments in technology.</w:t>
      </w:r>
    </w:p>
    <w:p>
      <w:pPr>
        <w:pStyle w:val="BodyText"/>
        <w:spacing w:line="321" w:lineRule="auto" w:before="124"/>
        <w:ind w:left="426" w:right="143"/>
      </w:pPr>
      <w:r>
        <w:rPr>
          <w:color w:val="FFFFFF"/>
        </w:rPr>
        <w:t>As</w:t>
      </w:r>
      <w:r>
        <w:rPr>
          <w:color w:val="FFFFFF"/>
          <w:spacing w:val="-9"/>
        </w:rPr>
        <w:t> </w:t>
      </w:r>
      <w:r>
        <w:rPr>
          <w:color w:val="FFFFFF"/>
        </w:rPr>
        <w:t>a</w:t>
      </w:r>
      <w:r>
        <w:rPr>
          <w:color w:val="FFFFFF"/>
          <w:spacing w:val="-10"/>
        </w:rPr>
        <w:t> </w:t>
      </w:r>
      <w:r>
        <w:rPr>
          <w:color w:val="FFFFFF"/>
        </w:rPr>
        <w:t>result,</w:t>
      </w:r>
      <w:r>
        <w:rPr>
          <w:color w:val="FFFFFF"/>
          <w:spacing w:val="-9"/>
        </w:rPr>
        <w:t> </w:t>
      </w:r>
      <w:r>
        <w:rPr>
          <w:color w:val="FFFFFF"/>
        </w:rPr>
        <w:t>net</w:t>
      </w:r>
      <w:r>
        <w:rPr>
          <w:color w:val="FFFFFF"/>
          <w:spacing w:val="-9"/>
        </w:rPr>
        <w:t> </w:t>
      </w:r>
      <w:r>
        <w:rPr>
          <w:color w:val="FFFFFF"/>
        </w:rPr>
        <w:t>income</w:t>
      </w:r>
      <w:r>
        <w:rPr>
          <w:color w:val="FFFFFF"/>
          <w:spacing w:val="-9"/>
        </w:rPr>
        <w:t> </w:t>
      </w:r>
      <w:r>
        <w:rPr>
          <w:color w:val="FFFFFF"/>
        </w:rPr>
        <w:t>for</w:t>
      </w:r>
      <w:r>
        <w:rPr>
          <w:color w:val="FFFFFF"/>
          <w:spacing w:val="-8"/>
        </w:rPr>
        <w:t> </w:t>
      </w:r>
      <w:r>
        <w:rPr>
          <w:color w:val="FFFFFF"/>
        </w:rPr>
        <w:t>the</w:t>
      </w:r>
      <w:r>
        <w:rPr>
          <w:color w:val="FFFFFF"/>
          <w:spacing w:val="-9"/>
        </w:rPr>
        <w:t> </w:t>
      </w:r>
      <w:r>
        <w:rPr>
          <w:color w:val="FFFFFF"/>
        </w:rPr>
        <w:t>first</w:t>
      </w:r>
      <w:r>
        <w:rPr>
          <w:color w:val="FFFFFF"/>
          <w:spacing w:val="-9"/>
        </w:rPr>
        <w:t> </w:t>
      </w:r>
      <w:r>
        <w:rPr>
          <w:color w:val="FFFFFF"/>
        </w:rPr>
        <w:t>half</w:t>
      </w:r>
      <w:r>
        <w:rPr>
          <w:color w:val="FFFFFF"/>
          <w:spacing w:val="-9"/>
        </w:rPr>
        <w:t> </w:t>
      </w:r>
      <w:r>
        <w:rPr>
          <w:color w:val="FFFFFF"/>
        </w:rPr>
        <w:t>of</w:t>
      </w:r>
      <w:r>
        <w:rPr>
          <w:color w:val="FFFFFF"/>
          <w:spacing w:val="-9"/>
        </w:rPr>
        <w:t> </w:t>
      </w:r>
      <w:r>
        <w:rPr>
          <w:color w:val="FFFFFF"/>
        </w:rPr>
        <w:t>the</w:t>
      </w:r>
      <w:r>
        <w:rPr>
          <w:color w:val="FFFFFF"/>
          <w:spacing w:val="-9"/>
        </w:rPr>
        <w:t> </w:t>
      </w:r>
      <w:r>
        <w:rPr>
          <w:color w:val="FFFFFF"/>
        </w:rPr>
        <w:t>year was R$9.8 billion, and the bank delivered R$28.4 billion in added value, considering taxes, salaries, dividends, and other components.</w:t>
      </w:r>
    </w:p>
    <w:p>
      <w:pPr>
        <w:pStyle w:val="BodyText"/>
        <w:spacing w:line="321" w:lineRule="auto" w:before="119"/>
        <w:ind w:left="426" w:right="140"/>
      </w:pPr>
      <w:r>
        <w:rPr>
          <w:color w:val="FFFFFF"/>
        </w:rPr>
        <w:t>BB</w:t>
      </w:r>
      <w:r>
        <w:rPr>
          <w:color w:val="FFFFFF"/>
          <w:spacing w:val="-4"/>
        </w:rPr>
        <w:t> </w:t>
      </w:r>
      <w:r>
        <w:rPr>
          <w:color w:val="FFFFFF"/>
        </w:rPr>
        <w:t>is</w:t>
      </w:r>
      <w:r>
        <w:rPr>
          <w:color w:val="FFFFFF"/>
          <w:spacing w:val="-2"/>
        </w:rPr>
        <w:t> </w:t>
      </w:r>
      <w:r>
        <w:rPr>
          <w:color w:val="FFFFFF"/>
        </w:rPr>
        <w:t>a</w:t>
      </w:r>
      <w:r>
        <w:rPr>
          <w:color w:val="FFFFFF"/>
          <w:spacing w:val="-4"/>
        </w:rPr>
        <w:t> </w:t>
      </w:r>
      <w:r>
        <w:rPr>
          <w:color w:val="FFFFFF"/>
        </w:rPr>
        <w:t>solid</w:t>
      </w:r>
      <w:r>
        <w:rPr>
          <w:color w:val="FFFFFF"/>
          <w:spacing w:val="-1"/>
        </w:rPr>
        <w:t> </w:t>
      </w:r>
      <w:r>
        <w:rPr>
          <w:color w:val="FFFFFF"/>
        </w:rPr>
        <w:t>and</w:t>
      </w:r>
      <w:r>
        <w:rPr>
          <w:color w:val="FFFFFF"/>
          <w:spacing w:val="-3"/>
        </w:rPr>
        <w:t> </w:t>
      </w:r>
      <w:r>
        <w:rPr>
          <w:color w:val="FFFFFF"/>
        </w:rPr>
        <w:t>resilient bank</w:t>
      </w:r>
      <w:r>
        <w:rPr>
          <w:color w:val="FFFFFF"/>
          <w:spacing w:val="-4"/>
        </w:rPr>
        <w:t> </w:t>
      </w:r>
      <w:r>
        <w:rPr>
          <w:color w:val="FFFFFF"/>
        </w:rPr>
        <w:t>with</w:t>
      </w:r>
      <w:r>
        <w:rPr>
          <w:color w:val="FFFFFF"/>
          <w:spacing w:val="-2"/>
        </w:rPr>
        <w:t> </w:t>
      </w:r>
      <w:r>
        <w:rPr>
          <w:color w:val="FFFFFF"/>
        </w:rPr>
        <w:t>over</w:t>
      </w:r>
      <w:r>
        <w:rPr>
          <w:color w:val="FFFFFF"/>
          <w:spacing w:val="-4"/>
        </w:rPr>
        <w:t> </w:t>
      </w:r>
      <w:r>
        <w:rPr>
          <w:color w:val="FFFFFF"/>
        </w:rPr>
        <w:t>200</w:t>
      </w:r>
      <w:r>
        <w:rPr>
          <w:color w:val="FFFFFF"/>
          <w:spacing w:val="-2"/>
        </w:rPr>
        <w:t> </w:t>
      </w:r>
      <w:r>
        <w:rPr>
          <w:color w:val="FFFFFF"/>
        </w:rPr>
        <w:t>years of history. We know that 2025 will be a year of adjustment. More than just short-term solutions, </w:t>
      </w:r>
      <w:r>
        <w:rPr>
          <w:color w:val="FFFFFF"/>
          <w:spacing w:val="-2"/>
        </w:rPr>
        <w:t>we</w:t>
      </w:r>
      <w:r>
        <w:rPr>
          <w:color w:val="FFFFFF"/>
          <w:spacing w:val="-11"/>
        </w:rPr>
        <w:t> </w:t>
      </w:r>
      <w:r>
        <w:rPr>
          <w:color w:val="FFFFFF"/>
          <w:spacing w:val="-2"/>
        </w:rPr>
        <w:t>are</w:t>
      </w:r>
      <w:r>
        <w:rPr>
          <w:color w:val="FFFFFF"/>
          <w:spacing w:val="-10"/>
        </w:rPr>
        <w:t> </w:t>
      </w:r>
      <w:r>
        <w:rPr>
          <w:color w:val="FFFFFF"/>
          <w:spacing w:val="-2"/>
        </w:rPr>
        <w:t>reinforcing</w:t>
      </w:r>
      <w:r>
        <w:rPr>
          <w:color w:val="FFFFFF"/>
          <w:spacing w:val="-11"/>
        </w:rPr>
        <w:t> </w:t>
      </w:r>
      <w:r>
        <w:rPr>
          <w:color w:val="FFFFFF"/>
          <w:spacing w:val="-2"/>
        </w:rPr>
        <w:t>the</w:t>
      </w:r>
      <w:r>
        <w:rPr>
          <w:color w:val="FFFFFF"/>
          <w:spacing w:val="-10"/>
        </w:rPr>
        <w:t> </w:t>
      </w:r>
      <w:r>
        <w:rPr>
          <w:color w:val="FFFFFF"/>
          <w:spacing w:val="-2"/>
        </w:rPr>
        <w:t>foundations</w:t>
      </w:r>
      <w:r>
        <w:rPr>
          <w:color w:val="FFFFFF"/>
          <w:spacing w:val="-10"/>
        </w:rPr>
        <w:t> </w:t>
      </w:r>
      <w:r>
        <w:rPr>
          <w:color w:val="FFFFFF"/>
          <w:spacing w:val="-2"/>
        </w:rPr>
        <w:t>for</w:t>
      </w:r>
      <w:r>
        <w:rPr>
          <w:color w:val="FFFFFF"/>
          <w:spacing w:val="-11"/>
        </w:rPr>
        <w:t> </w:t>
      </w:r>
      <w:r>
        <w:rPr>
          <w:color w:val="FFFFFF"/>
          <w:spacing w:val="-2"/>
        </w:rPr>
        <w:t>a</w:t>
      </w:r>
      <w:r>
        <w:rPr>
          <w:color w:val="FFFFFF"/>
          <w:spacing w:val="-10"/>
        </w:rPr>
        <w:t> </w:t>
      </w:r>
      <w:r>
        <w:rPr>
          <w:color w:val="FFFFFF"/>
          <w:spacing w:val="-2"/>
        </w:rPr>
        <w:t>sustainable </w:t>
      </w:r>
      <w:r>
        <w:rPr>
          <w:color w:val="FFFFFF"/>
        </w:rPr>
        <w:t>future and consistent value generation for all our </w:t>
      </w:r>
      <w:r>
        <w:rPr>
          <w:color w:val="FFFFFF"/>
          <w:spacing w:val="-2"/>
        </w:rPr>
        <w:t>stakeholders.</w:t>
      </w:r>
    </w:p>
    <w:p>
      <w:pPr>
        <w:pStyle w:val="BodyText"/>
        <w:spacing w:after="0" w:line="321" w:lineRule="auto"/>
        <w:sectPr>
          <w:type w:val="continuous"/>
          <w:pgSz w:w="11910" w:h="16850"/>
          <w:pgMar w:top="1920" w:bottom="280" w:left="425" w:right="708"/>
          <w:cols w:num="2" w:equalWidth="0">
            <w:col w:w="5216" w:space="242"/>
            <w:col w:w="5319"/>
          </w:cols>
        </w:sectPr>
      </w:pPr>
    </w:p>
    <w:p>
      <w:pPr>
        <w:pStyle w:val="BodyText"/>
        <w:ind w:left="0"/>
        <w:jc w:val="left"/>
        <w:rPr>
          <w:sz w:val="14"/>
        </w:rPr>
      </w:pPr>
      <w:r>
        <w:rPr>
          <w:sz w:val="14"/>
        </w:rPr>
        <mc:AlternateContent>
          <mc:Choice Requires="wps">
            <w:drawing>
              <wp:anchor distT="0" distB="0" distL="0" distR="0" allowOverlap="1" layoutInCell="1" locked="0" behindDoc="1" simplePos="0" relativeHeight="487394304">
                <wp:simplePos x="0" y="0"/>
                <wp:positionH relativeFrom="page">
                  <wp:posOffset>0</wp:posOffset>
                </wp:positionH>
                <wp:positionV relativeFrom="page">
                  <wp:posOffset>-1</wp:posOffset>
                </wp:positionV>
                <wp:extent cx="7560945" cy="10691495"/>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7560945" cy="10691495"/>
                        </a:xfrm>
                        <a:custGeom>
                          <a:avLst/>
                          <a:gdLst/>
                          <a:ahLst/>
                          <a:cxnLst/>
                          <a:rect l="l" t="t" r="r" b="b"/>
                          <a:pathLst>
                            <a:path w="7560945" h="10691495">
                              <a:moveTo>
                                <a:pt x="0" y="10691495"/>
                              </a:moveTo>
                              <a:lnTo>
                                <a:pt x="7560564" y="10691495"/>
                              </a:lnTo>
                              <a:lnTo>
                                <a:pt x="7560564" y="0"/>
                              </a:lnTo>
                              <a:lnTo>
                                <a:pt x="0" y="0"/>
                              </a:lnTo>
                              <a:lnTo>
                                <a:pt x="0" y="10691495"/>
                              </a:lnTo>
                              <a:close/>
                            </a:path>
                          </a:pathLst>
                        </a:custGeom>
                        <a:solidFill>
                          <a:srgbClr val="465EFF"/>
                        </a:solidFill>
                      </wps:spPr>
                      <wps:bodyPr wrap="square" lIns="0" tIns="0" rIns="0" bIns="0" rtlCol="0">
                        <a:prstTxWarp prst="textNoShape">
                          <a:avLst/>
                        </a:prstTxWarp>
                        <a:noAutofit/>
                      </wps:bodyPr>
                    </wps:wsp>
                  </a:graphicData>
                </a:graphic>
              </wp:anchor>
            </w:drawing>
          </mc:Choice>
          <mc:Fallback>
            <w:pict>
              <v:rect style="position:absolute;margin-left:.0pt;margin-top:-.000082pt;width:595.320007pt;height:841.85pt;mso-position-horizontal-relative:page;mso-position-vertical-relative:page;z-index:-15922176" id="docshape7" filled="true" fillcolor="#465eff" stroked="false">
                <v:fill type="solid"/>
                <w10:wrap type="none"/>
              </v:rect>
            </w:pict>
          </mc:Fallback>
        </mc:AlternateContent>
      </w:r>
    </w:p>
    <w:p>
      <w:pPr>
        <w:pStyle w:val="BodyText"/>
        <w:ind w:left="0"/>
        <w:jc w:val="left"/>
        <w:rPr>
          <w:sz w:val="14"/>
        </w:rPr>
      </w:pPr>
    </w:p>
    <w:p>
      <w:pPr>
        <w:pStyle w:val="BodyText"/>
        <w:ind w:left="0"/>
        <w:jc w:val="left"/>
        <w:rPr>
          <w:sz w:val="14"/>
        </w:rPr>
      </w:pPr>
    </w:p>
    <w:p>
      <w:pPr>
        <w:pStyle w:val="BodyText"/>
        <w:ind w:left="0"/>
        <w:jc w:val="left"/>
        <w:rPr>
          <w:sz w:val="14"/>
        </w:rPr>
      </w:pPr>
    </w:p>
    <w:p>
      <w:pPr>
        <w:pStyle w:val="BodyText"/>
        <w:ind w:left="0"/>
        <w:jc w:val="left"/>
        <w:rPr>
          <w:sz w:val="14"/>
        </w:rPr>
      </w:pPr>
    </w:p>
    <w:p>
      <w:pPr>
        <w:pStyle w:val="BodyText"/>
        <w:ind w:left="0"/>
        <w:jc w:val="left"/>
        <w:rPr>
          <w:sz w:val="14"/>
        </w:rPr>
      </w:pPr>
    </w:p>
    <w:p>
      <w:pPr>
        <w:pStyle w:val="BodyText"/>
        <w:spacing w:before="27"/>
        <w:ind w:left="0"/>
        <w:jc w:val="left"/>
        <w:rPr>
          <w:sz w:val="14"/>
        </w:rPr>
      </w:pPr>
    </w:p>
    <w:p>
      <w:pPr>
        <w:spacing w:line="216" w:lineRule="auto" w:before="0"/>
        <w:ind w:left="427" w:right="140" w:firstLine="0"/>
        <w:jc w:val="both"/>
        <w:rPr>
          <w:sz w:val="14"/>
        </w:rPr>
      </w:pPr>
      <w:r>
        <w:rPr>
          <w:color w:val="FFFFFF"/>
          <w:sz w:val="14"/>
        </w:rPr>
        <w:t>Beginning</w:t>
      </w:r>
      <w:r>
        <w:rPr>
          <w:color w:val="FFFFFF"/>
          <w:spacing w:val="-2"/>
          <w:sz w:val="14"/>
        </w:rPr>
        <w:t> </w:t>
      </w:r>
      <w:r>
        <w:rPr>
          <w:color w:val="FFFFFF"/>
          <w:sz w:val="14"/>
        </w:rPr>
        <w:t>in</w:t>
      </w:r>
      <w:r>
        <w:rPr>
          <w:color w:val="FFFFFF"/>
          <w:spacing w:val="-3"/>
          <w:sz w:val="14"/>
        </w:rPr>
        <w:t> </w:t>
      </w:r>
      <w:r>
        <w:rPr>
          <w:color w:val="FFFFFF"/>
          <w:sz w:val="14"/>
        </w:rPr>
        <w:t>January</w:t>
      </w:r>
      <w:r>
        <w:rPr>
          <w:color w:val="FFFFFF"/>
          <w:spacing w:val="-1"/>
          <w:sz w:val="14"/>
        </w:rPr>
        <w:t> </w:t>
      </w:r>
      <w:r>
        <w:rPr>
          <w:color w:val="FFFFFF"/>
          <w:sz w:val="14"/>
        </w:rPr>
        <w:t>2025,</w:t>
      </w:r>
      <w:r>
        <w:rPr>
          <w:color w:val="FFFFFF"/>
          <w:spacing w:val="-2"/>
          <w:sz w:val="14"/>
        </w:rPr>
        <w:t> </w:t>
      </w:r>
      <w:r>
        <w:rPr>
          <w:color w:val="FFFFFF"/>
          <w:sz w:val="14"/>
        </w:rPr>
        <w:t>the</w:t>
      </w:r>
      <w:r>
        <w:rPr>
          <w:color w:val="FFFFFF"/>
          <w:spacing w:val="-4"/>
          <w:sz w:val="14"/>
        </w:rPr>
        <w:t> </w:t>
      </w:r>
      <w:r>
        <w:rPr>
          <w:color w:val="FFFFFF"/>
          <w:sz w:val="14"/>
        </w:rPr>
        <w:t>results</w:t>
      </w:r>
      <w:r>
        <w:rPr>
          <w:color w:val="FFFFFF"/>
          <w:spacing w:val="-1"/>
          <w:sz w:val="14"/>
        </w:rPr>
        <w:t> </w:t>
      </w:r>
      <w:r>
        <w:rPr>
          <w:color w:val="FFFFFF"/>
          <w:sz w:val="14"/>
        </w:rPr>
        <w:t>began</w:t>
      </w:r>
      <w:r>
        <w:rPr>
          <w:color w:val="FFFFFF"/>
          <w:spacing w:val="-1"/>
          <w:sz w:val="14"/>
        </w:rPr>
        <w:t> </w:t>
      </w:r>
      <w:r>
        <w:rPr>
          <w:color w:val="FFFFFF"/>
          <w:sz w:val="14"/>
        </w:rPr>
        <w:t>to</w:t>
      </w:r>
      <w:r>
        <w:rPr>
          <w:color w:val="FFFFFF"/>
          <w:spacing w:val="-3"/>
          <w:sz w:val="14"/>
        </w:rPr>
        <w:t> </w:t>
      </w:r>
      <w:r>
        <w:rPr>
          <w:color w:val="FFFFFF"/>
          <w:sz w:val="14"/>
        </w:rPr>
        <w:t>incorporate</w:t>
      </w:r>
      <w:r>
        <w:rPr>
          <w:color w:val="FFFFFF"/>
          <w:spacing w:val="-2"/>
          <w:sz w:val="14"/>
        </w:rPr>
        <w:t> </w:t>
      </w:r>
      <w:r>
        <w:rPr>
          <w:color w:val="FFFFFF"/>
          <w:sz w:val="14"/>
        </w:rPr>
        <w:t>the</w:t>
      </w:r>
      <w:r>
        <w:rPr>
          <w:color w:val="FFFFFF"/>
          <w:spacing w:val="-2"/>
          <w:sz w:val="14"/>
        </w:rPr>
        <w:t> </w:t>
      </w:r>
      <w:r>
        <w:rPr>
          <w:color w:val="FFFFFF"/>
          <w:sz w:val="14"/>
        </w:rPr>
        <w:t>changes</w:t>
      </w:r>
      <w:r>
        <w:rPr>
          <w:color w:val="FFFFFF"/>
          <w:spacing w:val="-1"/>
          <w:sz w:val="14"/>
        </w:rPr>
        <w:t> </w:t>
      </w:r>
      <w:r>
        <w:rPr>
          <w:color w:val="FFFFFF"/>
          <w:sz w:val="14"/>
        </w:rPr>
        <w:t>introduced</w:t>
      </w:r>
      <w:r>
        <w:rPr>
          <w:color w:val="FFFFFF"/>
          <w:spacing w:val="-2"/>
          <w:sz w:val="14"/>
        </w:rPr>
        <w:t> </w:t>
      </w:r>
      <w:r>
        <w:rPr>
          <w:color w:val="FFFFFF"/>
          <w:sz w:val="14"/>
        </w:rPr>
        <w:t>by</w:t>
      </w:r>
      <w:r>
        <w:rPr>
          <w:color w:val="FFFFFF"/>
          <w:spacing w:val="-1"/>
          <w:sz w:val="14"/>
        </w:rPr>
        <w:t> </w:t>
      </w:r>
      <w:r>
        <w:rPr>
          <w:color w:val="FFFFFF"/>
          <w:sz w:val="14"/>
        </w:rPr>
        <w:t>CMN</w:t>
      </w:r>
      <w:r>
        <w:rPr>
          <w:color w:val="FFFFFF"/>
          <w:spacing w:val="-2"/>
          <w:sz w:val="14"/>
        </w:rPr>
        <w:t> </w:t>
      </w:r>
      <w:r>
        <w:rPr>
          <w:color w:val="FFFFFF"/>
          <w:sz w:val="14"/>
        </w:rPr>
        <w:t>Resolution</w:t>
      </w:r>
      <w:r>
        <w:rPr>
          <w:color w:val="FFFFFF"/>
          <w:spacing w:val="-3"/>
          <w:sz w:val="14"/>
        </w:rPr>
        <w:t> </w:t>
      </w:r>
      <w:r>
        <w:rPr>
          <w:color w:val="FFFFFF"/>
          <w:sz w:val="14"/>
        </w:rPr>
        <w:t>4,966/2021,</w:t>
      </w:r>
      <w:r>
        <w:rPr>
          <w:color w:val="FFFFFF"/>
          <w:spacing w:val="-4"/>
          <w:sz w:val="14"/>
        </w:rPr>
        <w:t> </w:t>
      </w:r>
      <w:r>
        <w:rPr>
          <w:color w:val="FFFFFF"/>
          <w:sz w:val="14"/>
        </w:rPr>
        <w:t>which</w:t>
      </w:r>
      <w:r>
        <w:rPr>
          <w:color w:val="FFFFFF"/>
          <w:spacing w:val="-1"/>
          <w:sz w:val="14"/>
        </w:rPr>
        <w:t> </w:t>
      </w:r>
      <w:r>
        <w:rPr>
          <w:color w:val="FFFFFF"/>
          <w:sz w:val="14"/>
        </w:rPr>
        <w:t>altered</w:t>
      </w:r>
      <w:r>
        <w:rPr>
          <w:color w:val="FFFFFF"/>
          <w:spacing w:val="-2"/>
          <w:sz w:val="14"/>
        </w:rPr>
        <w:t> </w:t>
      </w:r>
      <w:r>
        <w:rPr>
          <w:color w:val="FFFFFF"/>
          <w:sz w:val="14"/>
        </w:rPr>
        <w:t>the</w:t>
      </w:r>
      <w:r>
        <w:rPr>
          <w:color w:val="FFFFFF"/>
          <w:spacing w:val="-2"/>
          <w:sz w:val="14"/>
        </w:rPr>
        <w:t> </w:t>
      </w:r>
      <w:r>
        <w:rPr>
          <w:color w:val="FFFFFF"/>
          <w:sz w:val="14"/>
        </w:rPr>
        <w:t>accounting</w:t>
      </w:r>
      <w:r>
        <w:rPr>
          <w:color w:val="FFFFFF"/>
          <w:spacing w:val="-1"/>
          <w:sz w:val="14"/>
        </w:rPr>
        <w:t> </w:t>
      </w:r>
      <w:r>
        <w:rPr>
          <w:color w:val="FFFFFF"/>
          <w:sz w:val="14"/>
        </w:rPr>
        <w:t>method</w:t>
      </w:r>
      <w:r>
        <w:rPr>
          <w:color w:val="FFFFFF"/>
          <w:spacing w:val="40"/>
          <w:sz w:val="14"/>
        </w:rPr>
        <w:t> </w:t>
      </w:r>
      <w:r>
        <w:rPr>
          <w:color w:val="FFFFFF"/>
          <w:sz w:val="14"/>
        </w:rPr>
        <w:t>for</w:t>
      </w:r>
      <w:r>
        <w:rPr>
          <w:color w:val="FFFFFF"/>
          <w:spacing w:val="-9"/>
          <w:sz w:val="14"/>
        </w:rPr>
        <w:t> </w:t>
      </w:r>
      <w:r>
        <w:rPr>
          <w:color w:val="FFFFFF"/>
          <w:sz w:val="14"/>
        </w:rPr>
        <w:t>financial</w:t>
      </w:r>
      <w:r>
        <w:rPr>
          <w:color w:val="FFFFFF"/>
          <w:spacing w:val="-4"/>
          <w:sz w:val="14"/>
        </w:rPr>
        <w:t> </w:t>
      </w:r>
      <w:r>
        <w:rPr>
          <w:color w:val="FFFFFF"/>
          <w:sz w:val="14"/>
        </w:rPr>
        <w:t>assets</w:t>
      </w:r>
      <w:r>
        <w:rPr>
          <w:color w:val="FFFFFF"/>
          <w:spacing w:val="-5"/>
          <w:sz w:val="14"/>
        </w:rPr>
        <w:t> </w:t>
      </w:r>
      <w:r>
        <w:rPr>
          <w:color w:val="FFFFFF"/>
          <w:sz w:val="14"/>
        </w:rPr>
        <w:t>and</w:t>
      </w:r>
      <w:r>
        <w:rPr>
          <w:color w:val="FFFFFF"/>
          <w:spacing w:val="-7"/>
          <w:sz w:val="14"/>
        </w:rPr>
        <w:t> </w:t>
      </w:r>
      <w:r>
        <w:rPr>
          <w:color w:val="FFFFFF"/>
          <w:sz w:val="14"/>
        </w:rPr>
        <w:t>the</w:t>
      </w:r>
      <w:r>
        <w:rPr>
          <w:color w:val="FFFFFF"/>
          <w:spacing w:val="-5"/>
          <w:sz w:val="14"/>
        </w:rPr>
        <w:t> </w:t>
      </w:r>
      <w:r>
        <w:rPr>
          <w:color w:val="FFFFFF"/>
          <w:sz w:val="14"/>
        </w:rPr>
        <w:t>measurement</w:t>
      </w:r>
      <w:r>
        <w:rPr>
          <w:color w:val="FFFFFF"/>
          <w:spacing w:val="-6"/>
          <w:sz w:val="14"/>
        </w:rPr>
        <w:t> </w:t>
      </w:r>
      <w:r>
        <w:rPr>
          <w:color w:val="FFFFFF"/>
          <w:sz w:val="14"/>
        </w:rPr>
        <w:t>of</w:t>
      </w:r>
      <w:r>
        <w:rPr>
          <w:color w:val="FFFFFF"/>
          <w:spacing w:val="-6"/>
          <w:sz w:val="14"/>
        </w:rPr>
        <w:t> </w:t>
      </w:r>
      <w:r>
        <w:rPr>
          <w:color w:val="FFFFFF"/>
          <w:sz w:val="14"/>
        </w:rPr>
        <w:t>expected</w:t>
      </w:r>
      <w:r>
        <w:rPr>
          <w:color w:val="FFFFFF"/>
          <w:spacing w:val="-5"/>
          <w:sz w:val="14"/>
        </w:rPr>
        <w:t> </w:t>
      </w:r>
      <w:r>
        <w:rPr>
          <w:color w:val="FFFFFF"/>
          <w:sz w:val="14"/>
        </w:rPr>
        <w:t>losses.</w:t>
      </w:r>
      <w:r>
        <w:rPr>
          <w:color w:val="FFFFFF"/>
          <w:spacing w:val="-9"/>
          <w:sz w:val="14"/>
        </w:rPr>
        <w:t> </w:t>
      </w:r>
      <w:r>
        <w:rPr>
          <w:color w:val="FFFFFF"/>
          <w:sz w:val="14"/>
        </w:rPr>
        <w:t>The</w:t>
      </w:r>
      <w:r>
        <w:rPr>
          <w:color w:val="FFFFFF"/>
          <w:spacing w:val="-5"/>
          <w:sz w:val="14"/>
        </w:rPr>
        <w:t> </w:t>
      </w:r>
      <w:r>
        <w:rPr>
          <w:color w:val="FFFFFF"/>
          <w:sz w:val="14"/>
        </w:rPr>
        <w:t>comparisons</w:t>
      </w:r>
      <w:r>
        <w:rPr>
          <w:color w:val="FFFFFF"/>
          <w:spacing w:val="-7"/>
          <w:sz w:val="14"/>
        </w:rPr>
        <w:t> </w:t>
      </w:r>
      <w:r>
        <w:rPr>
          <w:color w:val="FFFFFF"/>
          <w:sz w:val="14"/>
        </w:rPr>
        <w:t>in</w:t>
      </w:r>
      <w:r>
        <w:rPr>
          <w:color w:val="FFFFFF"/>
          <w:spacing w:val="-6"/>
          <w:sz w:val="14"/>
        </w:rPr>
        <w:t> </w:t>
      </w:r>
      <w:r>
        <w:rPr>
          <w:color w:val="FFFFFF"/>
          <w:sz w:val="14"/>
        </w:rPr>
        <w:t>this</w:t>
      </w:r>
      <w:r>
        <w:rPr>
          <w:color w:val="FFFFFF"/>
          <w:spacing w:val="-5"/>
          <w:sz w:val="14"/>
        </w:rPr>
        <w:t> </w:t>
      </w:r>
      <w:r>
        <w:rPr>
          <w:color w:val="FFFFFF"/>
          <w:sz w:val="14"/>
        </w:rPr>
        <w:t>document</w:t>
      </w:r>
      <w:r>
        <w:rPr>
          <w:color w:val="FFFFFF"/>
          <w:spacing w:val="-6"/>
          <w:sz w:val="14"/>
        </w:rPr>
        <w:t> </w:t>
      </w:r>
      <w:r>
        <w:rPr>
          <w:color w:val="FFFFFF"/>
          <w:sz w:val="14"/>
        </w:rPr>
        <w:t>consider</w:t>
      </w:r>
      <w:r>
        <w:rPr>
          <w:color w:val="FFFFFF"/>
          <w:spacing w:val="-6"/>
          <w:sz w:val="14"/>
        </w:rPr>
        <w:t> </w:t>
      </w:r>
      <w:r>
        <w:rPr>
          <w:color w:val="FFFFFF"/>
          <w:sz w:val="14"/>
        </w:rPr>
        <w:t>the</w:t>
      </w:r>
      <w:r>
        <w:rPr>
          <w:color w:val="FFFFFF"/>
          <w:spacing w:val="-5"/>
          <w:sz w:val="14"/>
        </w:rPr>
        <w:t> </w:t>
      </w:r>
      <w:r>
        <w:rPr>
          <w:color w:val="FFFFFF"/>
          <w:sz w:val="14"/>
        </w:rPr>
        <w:t>regulations</w:t>
      </w:r>
      <w:r>
        <w:rPr>
          <w:color w:val="FFFFFF"/>
          <w:spacing w:val="-7"/>
          <w:sz w:val="14"/>
        </w:rPr>
        <w:t> </w:t>
      </w:r>
      <w:r>
        <w:rPr>
          <w:color w:val="FFFFFF"/>
          <w:sz w:val="14"/>
        </w:rPr>
        <w:t>in</w:t>
      </w:r>
      <w:r>
        <w:rPr>
          <w:color w:val="FFFFFF"/>
          <w:spacing w:val="-6"/>
          <w:sz w:val="14"/>
        </w:rPr>
        <w:t> </w:t>
      </w:r>
      <w:r>
        <w:rPr>
          <w:color w:val="FFFFFF"/>
          <w:sz w:val="14"/>
        </w:rPr>
        <w:t>effect</w:t>
      </w:r>
      <w:r>
        <w:rPr>
          <w:color w:val="FFFFFF"/>
          <w:spacing w:val="-3"/>
          <w:sz w:val="14"/>
        </w:rPr>
        <w:t> </w:t>
      </w:r>
      <w:r>
        <w:rPr>
          <w:color w:val="FFFFFF"/>
          <w:sz w:val="14"/>
        </w:rPr>
        <w:t>at</w:t>
      </w:r>
      <w:r>
        <w:rPr>
          <w:color w:val="FFFFFF"/>
          <w:spacing w:val="-6"/>
          <w:sz w:val="14"/>
        </w:rPr>
        <w:t> </w:t>
      </w:r>
      <w:r>
        <w:rPr>
          <w:color w:val="FFFFFF"/>
          <w:sz w:val="14"/>
        </w:rPr>
        <w:t>the</w:t>
      </w:r>
      <w:r>
        <w:rPr>
          <w:color w:val="FFFFFF"/>
          <w:spacing w:val="-7"/>
          <w:sz w:val="14"/>
        </w:rPr>
        <w:t> </w:t>
      </w:r>
      <w:r>
        <w:rPr>
          <w:color w:val="FFFFFF"/>
          <w:sz w:val="14"/>
        </w:rPr>
        <w:t>time</w:t>
      </w:r>
      <w:r>
        <w:rPr>
          <w:color w:val="FFFFFF"/>
          <w:spacing w:val="-5"/>
          <w:sz w:val="14"/>
        </w:rPr>
        <w:t> </w:t>
      </w:r>
      <w:r>
        <w:rPr>
          <w:color w:val="FFFFFF"/>
          <w:sz w:val="14"/>
        </w:rPr>
        <w:t>of</w:t>
      </w:r>
      <w:r>
        <w:rPr>
          <w:color w:val="FFFFFF"/>
          <w:spacing w:val="-6"/>
          <w:sz w:val="14"/>
        </w:rPr>
        <w:t> </w:t>
      </w:r>
      <w:r>
        <w:rPr>
          <w:color w:val="FFFFFF"/>
          <w:sz w:val="14"/>
        </w:rPr>
        <w:t>publication,</w:t>
      </w:r>
      <w:r>
        <w:rPr>
          <w:color w:val="FFFFFF"/>
          <w:spacing w:val="40"/>
          <w:sz w:val="14"/>
        </w:rPr>
        <w:t> </w:t>
      </w:r>
      <w:r>
        <w:rPr>
          <w:color w:val="FFFFFF"/>
          <w:sz w:val="14"/>
        </w:rPr>
        <w:t>without</w:t>
      </w:r>
      <w:r>
        <w:rPr>
          <w:color w:val="FFFFFF"/>
          <w:spacing w:val="-3"/>
          <w:sz w:val="14"/>
        </w:rPr>
        <w:t> </w:t>
      </w:r>
      <w:r>
        <w:rPr>
          <w:color w:val="FFFFFF"/>
          <w:sz w:val="14"/>
        </w:rPr>
        <w:t>retroactively applying</w:t>
      </w:r>
      <w:r>
        <w:rPr>
          <w:color w:val="FFFFFF"/>
          <w:spacing w:val="-1"/>
          <w:sz w:val="14"/>
        </w:rPr>
        <w:t> </w:t>
      </w:r>
      <w:r>
        <w:rPr>
          <w:color w:val="FFFFFF"/>
          <w:sz w:val="14"/>
        </w:rPr>
        <w:t>the</w:t>
      </w:r>
      <w:r>
        <w:rPr>
          <w:color w:val="FFFFFF"/>
          <w:spacing w:val="-1"/>
          <w:sz w:val="14"/>
        </w:rPr>
        <w:t> </w:t>
      </w:r>
      <w:r>
        <w:rPr>
          <w:color w:val="FFFFFF"/>
          <w:sz w:val="14"/>
        </w:rPr>
        <w:t>data</w:t>
      </w:r>
      <w:r>
        <w:rPr>
          <w:color w:val="FFFFFF"/>
          <w:spacing w:val="-1"/>
          <w:sz w:val="14"/>
        </w:rPr>
        <w:t> </w:t>
      </w:r>
      <w:r>
        <w:rPr>
          <w:color w:val="FFFFFF"/>
          <w:sz w:val="14"/>
        </w:rPr>
        <w:t>to</w:t>
      </w:r>
      <w:r>
        <w:rPr>
          <w:color w:val="FFFFFF"/>
          <w:spacing w:val="-2"/>
          <w:sz w:val="14"/>
        </w:rPr>
        <w:t> </w:t>
      </w:r>
      <w:r>
        <w:rPr>
          <w:color w:val="FFFFFF"/>
          <w:sz w:val="14"/>
        </w:rPr>
        <w:t>2024.</w:t>
      </w:r>
      <w:r>
        <w:rPr>
          <w:color w:val="FFFFFF"/>
          <w:spacing w:val="-9"/>
          <w:sz w:val="14"/>
        </w:rPr>
        <w:t> </w:t>
      </w:r>
      <w:r>
        <w:rPr>
          <w:color w:val="FFFFFF"/>
          <w:sz w:val="14"/>
        </w:rPr>
        <w:t>To learn</w:t>
      </w:r>
      <w:r>
        <w:rPr>
          <w:color w:val="FFFFFF"/>
          <w:spacing w:val="-2"/>
          <w:sz w:val="14"/>
        </w:rPr>
        <w:t> </w:t>
      </w:r>
      <w:r>
        <w:rPr>
          <w:color w:val="FFFFFF"/>
          <w:sz w:val="14"/>
        </w:rPr>
        <w:t>more</w:t>
      </w:r>
      <w:r>
        <w:rPr>
          <w:color w:val="FFFFFF"/>
          <w:spacing w:val="-1"/>
          <w:sz w:val="14"/>
        </w:rPr>
        <w:t> </w:t>
      </w:r>
      <w:r>
        <w:rPr>
          <w:color w:val="FFFFFF"/>
          <w:sz w:val="14"/>
        </w:rPr>
        <w:t>about</w:t>
      </w:r>
      <w:r>
        <w:rPr>
          <w:color w:val="FFFFFF"/>
          <w:spacing w:val="-2"/>
          <w:sz w:val="14"/>
        </w:rPr>
        <w:t> </w:t>
      </w:r>
      <w:r>
        <w:rPr>
          <w:color w:val="FFFFFF"/>
          <w:sz w:val="14"/>
        </w:rPr>
        <w:t>the main</w:t>
      </w:r>
      <w:r>
        <w:rPr>
          <w:color w:val="FFFFFF"/>
          <w:spacing w:val="-2"/>
          <w:sz w:val="14"/>
        </w:rPr>
        <w:t> </w:t>
      </w:r>
      <w:r>
        <w:rPr>
          <w:color w:val="FFFFFF"/>
          <w:sz w:val="14"/>
        </w:rPr>
        <w:t>changes</w:t>
      </w:r>
      <w:r>
        <w:rPr>
          <w:color w:val="FFFFFF"/>
          <w:spacing w:val="-1"/>
          <w:sz w:val="14"/>
        </w:rPr>
        <w:t> </w:t>
      </w:r>
      <w:r>
        <w:rPr>
          <w:color w:val="FFFFFF"/>
          <w:sz w:val="14"/>
        </w:rPr>
        <w:t>between</w:t>
      </w:r>
      <w:r>
        <w:rPr>
          <w:color w:val="FFFFFF"/>
          <w:spacing w:val="-2"/>
          <w:sz w:val="14"/>
        </w:rPr>
        <w:t> </w:t>
      </w:r>
      <w:r>
        <w:rPr>
          <w:color w:val="FFFFFF"/>
          <w:sz w:val="14"/>
        </w:rPr>
        <w:t>the</w:t>
      </w:r>
      <w:r>
        <w:rPr>
          <w:color w:val="FFFFFF"/>
          <w:spacing w:val="-1"/>
          <w:sz w:val="14"/>
        </w:rPr>
        <w:t> </w:t>
      </w:r>
      <w:r>
        <w:rPr>
          <w:color w:val="FFFFFF"/>
          <w:sz w:val="14"/>
        </w:rPr>
        <w:t>standards,</w:t>
      </w:r>
      <w:r>
        <w:rPr>
          <w:color w:val="FFFFFF"/>
          <w:spacing w:val="-3"/>
          <w:sz w:val="14"/>
        </w:rPr>
        <w:t> </w:t>
      </w:r>
      <w:r>
        <w:rPr>
          <w:color w:val="FFFFFF"/>
          <w:sz w:val="14"/>
        </w:rPr>
        <w:t>see</w:t>
      </w:r>
      <w:r>
        <w:rPr>
          <w:color w:val="FFFFFF"/>
          <w:spacing w:val="-1"/>
          <w:sz w:val="14"/>
        </w:rPr>
        <w:t> </w:t>
      </w:r>
      <w:r>
        <w:rPr>
          <w:color w:val="FFFFFF"/>
          <w:sz w:val="14"/>
        </w:rPr>
        <w:t>the</w:t>
      </w:r>
      <w:r>
        <w:rPr>
          <w:color w:val="FFFFFF"/>
          <w:spacing w:val="-1"/>
          <w:sz w:val="14"/>
        </w:rPr>
        <w:t> </w:t>
      </w:r>
      <w:r>
        <w:rPr>
          <w:color w:val="FFFFFF"/>
          <w:sz w:val="14"/>
        </w:rPr>
        <w:t>Financial Statements.</w:t>
      </w:r>
    </w:p>
    <w:p>
      <w:pPr>
        <w:spacing w:after="0" w:line="216" w:lineRule="auto"/>
        <w:jc w:val="both"/>
        <w:rPr>
          <w:sz w:val="14"/>
        </w:rPr>
        <w:sectPr>
          <w:type w:val="continuous"/>
          <w:pgSz w:w="11910" w:h="16850"/>
          <w:pgMar w:top="1920" w:bottom="280" w:left="425" w:right="708"/>
        </w:sectPr>
      </w:pPr>
    </w:p>
    <w:p>
      <w:pPr>
        <w:pStyle w:val="Heading1"/>
        <w:spacing w:before="376"/>
      </w:pPr>
      <w:r>
        <w:rPr>
          <w:color w:val="465EFF"/>
          <w:spacing w:val="26"/>
        </w:rPr>
        <w:t>The</w:t>
      </w:r>
      <w:r>
        <w:rPr>
          <w:color w:val="465EFF"/>
          <w:spacing w:val="70"/>
        </w:rPr>
        <w:t> </w:t>
      </w:r>
      <w:r>
        <w:rPr>
          <w:color w:val="465EFF"/>
          <w:spacing w:val="30"/>
        </w:rPr>
        <w:t>main</w:t>
      </w:r>
      <w:r>
        <w:rPr>
          <w:color w:val="465EFF"/>
          <w:spacing w:val="65"/>
        </w:rPr>
        <w:t> </w:t>
      </w:r>
      <w:r>
        <w:rPr>
          <w:color w:val="465EFF"/>
          <w:spacing w:val="35"/>
        </w:rPr>
        <w:t>highlights</w:t>
      </w:r>
      <w:r>
        <w:rPr>
          <w:color w:val="465EFF"/>
          <w:spacing w:val="70"/>
        </w:rPr>
        <w:t> </w:t>
      </w:r>
      <w:r>
        <w:rPr>
          <w:color w:val="465EFF"/>
          <w:spacing w:val="16"/>
        </w:rPr>
        <w:t>of</w:t>
      </w:r>
      <w:r>
        <w:rPr>
          <w:color w:val="465EFF"/>
          <w:spacing w:val="71"/>
        </w:rPr>
        <w:t> </w:t>
      </w:r>
      <w:r>
        <w:rPr>
          <w:color w:val="465EFF"/>
          <w:spacing w:val="26"/>
        </w:rPr>
        <w:t>the</w:t>
      </w:r>
      <w:r>
        <w:rPr>
          <w:color w:val="465EFF"/>
          <w:spacing w:val="68"/>
        </w:rPr>
        <w:t> </w:t>
      </w:r>
      <w:r>
        <w:rPr>
          <w:color w:val="465EFF"/>
          <w:spacing w:val="30"/>
        </w:rPr>
        <w:t>period</w:t>
      </w:r>
    </w:p>
    <w:p>
      <w:pPr>
        <w:pStyle w:val="BodyText"/>
        <w:spacing w:before="1"/>
        <w:ind w:left="0"/>
        <w:jc w:val="left"/>
        <w:rPr>
          <w:rFonts w:ascii="BancoDoBrasil Titulos"/>
        </w:rPr>
      </w:pPr>
    </w:p>
    <w:p>
      <w:pPr>
        <w:pStyle w:val="BodyText"/>
        <w:spacing w:after="0"/>
        <w:jc w:val="left"/>
        <w:rPr>
          <w:rFonts w:ascii="BancoDoBrasil Titulos"/>
        </w:rPr>
        <w:sectPr>
          <w:headerReference w:type="default" r:id="rId7"/>
          <w:footerReference w:type="default" r:id="rId8"/>
          <w:pgSz w:w="11910" w:h="16850"/>
          <w:pgMar w:header="152" w:footer="570" w:top="900" w:bottom="760" w:left="425" w:right="708"/>
          <w:pgNumType w:start="2"/>
        </w:sectPr>
      </w:pPr>
    </w:p>
    <w:p>
      <w:pPr>
        <w:pStyle w:val="Heading2"/>
        <w:spacing w:before="71"/>
        <w:rPr>
          <w:b w:val="0"/>
        </w:rPr>
      </w:pPr>
      <w:r>
        <w:rPr>
          <w:b w:val="0"/>
          <w:color w:val="465EFF"/>
          <w:spacing w:val="14"/>
        </w:rPr>
        <w:t>Worker</w:t>
      </w:r>
      <w:r>
        <w:rPr>
          <w:b w:val="0"/>
          <w:color w:val="465EFF"/>
          <w:spacing w:val="47"/>
        </w:rPr>
        <w:t> </w:t>
      </w:r>
      <w:r>
        <w:rPr>
          <w:b w:val="0"/>
          <w:color w:val="465EFF"/>
          <w:spacing w:val="15"/>
        </w:rPr>
        <w:t>Credit</w:t>
      </w:r>
    </w:p>
    <w:p>
      <w:pPr>
        <w:pStyle w:val="BodyText"/>
        <w:spacing w:line="321" w:lineRule="auto" w:before="247"/>
        <w:ind w:right="38"/>
      </w:pPr>
      <w:r>
        <w:rPr>
          <w:color w:val="1B1B22"/>
        </w:rPr>
        <w:t>In June, we surpassed the R$4.5 billion mark in </w:t>
      </w:r>
      <w:r>
        <w:rPr>
          <w:color w:val="1B1B22"/>
          <w:spacing w:val="-2"/>
        </w:rPr>
        <w:t>Worker</w:t>
      </w:r>
      <w:r>
        <w:rPr>
          <w:color w:val="1B1B22"/>
          <w:spacing w:val="-5"/>
        </w:rPr>
        <w:t> </w:t>
      </w:r>
      <w:r>
        <w:rPr>
          <w:color w:val="1B1B22"/>
          <w:spacing w:val="-2"/>
        </w:rPr>
        <w:t>Credit,</w:t>
      </w:r>
      <w:r>
        <w:rPr>
          <w:color w:val="1B1B22"/>
          <w:spacing w:val="-4"/>
        </w:rPr>
        <w:t> </w:t>
      </w:r>
      <w:r>
        <w:rPr>
          <w:color w:val="1B1B22"/>
          <w:spacing w:val="-2"/>
        </w:rPr>
        <w:t>with</w:t>
      </w:r>
      <w:r>
        <w:rPr>
          <w:color w:val="1B1B22"/>
          <w:spacing w:val="-4"/>
        </w:rPr>
        <w:t> </w:t>
      </w:r>
      <w:r>
        <w:rPr>
          <w:color w:val="1B1B22"/>
          <w:spacing w:val="-2"/>
        </w:rPr>
        <w:t>more</w:t>
      </w:r>
      <w:r>
        <w:rPr>
          <w:color w:val="1B1B22"/>
          <w:spacing w:val="-5"/>
        </w:rPr>
        <w:t> </w:t>
      </w:r>
      <w:r>
        <w:rPr>
          <w:color w:val="1B1B22"/>
          <w:spacing w:val="-2"/>
        </w:rPr>
        <w:t>than</w:t>
      </w:r>
      <w:r>
        <w:rPr>
          <w:color w:val="1B1B22"/>
          <w:spacing w:val="-4"/>
        </w:rPr>
        <w:t> </w:t>
      </w:r>
      <w:r>
        <w:rPr>
          <w:color w:val="1B1B22"/>
          <w:spacing w:val="-2"/>
        </w:rPr>
        <w:t>433,000</w:t>
      </w:r>
      <w:r>
        <w:rPr>
          <w:color w:val="1B1B22"/>
          <w:spacing w:val="-4"/>
        </w:rPr>
        <w:t> </w:t>
      </w:r>
      <w:r>
        <w:rPr>
          <w:color w:val="1B1B22"/>
          <w:spacing w:val="-2"/>
        </w:rPr>
        <w:t>operations </w:t>
      </w:r>
      <w:r>
        <w:rPr>
          <w:color w:val="1B1B22"/>
        </w:rPr>
        <w:t>in 5,094 Brazilian municipalities since its launch in March</w:t>
      </w:r>
      <w:r>
        <w:rPr>
          <w:color w:val="1B1B22"/>
          <w:spacing w:val="-9"/>
        </w:rPr>
        <w:t> </w:t>
      </w:r>
      <w:r>
        <w:rPr>
          <w:color w:val="1B1B22"/>
        </w:rPr>
        <w:t>of</w:t>
      </w:r>
      <w:r>
        <w:rPr>
          <w:color w:val="1B1B22"/>
          <w:spacing w:val="-7"/>
        </w:rPr>
        <w:t> </w:t>
      </w:r>
      <w:r>
        <w:rPr>
          <w:color w:val="1B1B22"/>
        </w:rPr>
        <w:t>this</w:t>
      </w:r>
      <w:r>
        <w:rPr>
          <w:color w:val="1B1B22"/>
          <w:spacing w:val="-7"/>
        </w:rPr>
        <w:t> </w:t>
      </w:r>
      <w:r>
        <w:rPr>
          <w:color w:val="1B1B22"/>
        </w:rPr>
        <w:t>year.</w:t>
      </w:r>
      <w:r>
        <w:rPr>
          <w:color w:val="1B1B22"/>
          <w:spacing w:val="-13"/>
        </w:rPr>
        <w:t> </w:t>
      </w:r>
      <w:r>
        <w:rPr>
          <w:color w:val="1B1B22"/>
        </w:rPr>
        <w:t>With</w:t>
      </w:r>
      <w:r>
        <w:rPr>
          <w:color w:val="1B1B22"/>
          <w:spacing w:val="-6"/>
        </w:rPr>
        <w:t> </w:t>
      </w:r>
      <w:r>
        <w:rPr>
          <w:color w:val="1B1B22"/>
        </w:rPr>
        <w:t>an</w:t>
      </w:r>
      <w:r>
        <w:rPr>
          <w:color w:val="1B1B22"/>
          <w:spacing w:val="-7"/>
        </w:rPr>
        <w:t> </w:t>
      </w:r>
      <w:r>
        <w:rPr>
          <w:color w:val="1B1B22"/>
        </w:rPr>
        <w:t>analytics</w:t>
      </w:r>
      <w:r>
        <w:rPr>
          <w:color w:val="1B1B22"/>
          <w:spacing w:val="-7"/>
        </w:rPr>
        <w:t> </w:t>
      </w:r>
      <w:r>
        <w:rPr>
          <w:color w:val="1B1B22"/>
        </w:rPr>
        <w:t>platform</w:t>
      </w:r>
      <w:r>
        <w:rPr>
          <w:color w:val="1B1B22"/>
          <w:spacing w:val="-8"/>
        </w:rPr>
        <w:t> </w:t>
      </w:r>
      <w:r>
        <w:rPr>
          <w:color w:val="1B1B22"/>
        </w:rPr>
        <w:t>that integrates a broad set of data and information on relationships with companies and workers, BB offers personalized, secure, and efficient</w:t>
      </w:r>
      <w:r>
        <w:rPr>
          <w:color w:val="1B1B22"/>
          <w:spacing w:val="40"/>
        </w:rPr>
        <w:t> </w:t>
      </w:r>
      <w:r>
        <w:rPr>
          <w:color w:val="1B1B22"/>
        </w:rPr>
        <w:t>credit solutions, reinforcing its commitment to an increasingly inclusive and customer-centric </w:t>
      </w:r>
      <w:r>
        <w:rPr>
          <w:color w:val="1B1B22"/>
          <w:spacing w:val="-2"/>
        </w:rPr>
        <w:t>approach.</w:t>
      </w:r>
    </w:p>
    <w:p>
      <w:pPr>
        <w:pStyle w:val="Heading2"/>
        <w:rPr>
          <w:b w:val="0"/>
        </w:rPr>
      </w:pPr>
      <w:r>
        <w:rPr>
          <w:b w:val="0"/>
          <w:color w:val="465EFF"/>
          <w:spacing w:val="17"/>
        </w:rPr>
        <w:t>2025/2026</w:t>
      </w:r>
      <w:r>
        <w:rPr>
          <w:b w:val="0"/>
          <w:color w:val="465EFF"/>
          <w:spacing w:val="51"/>
        </w:rPr>
        <w:t> </w:t>
      </w:r>
      <w:r>
        <w:rPr>
          <w:b w:val="0"/>
          <w:color w:val="465EFF"/>
          <w:spacing w:val="17"/>
        </w:rPr>
        <w:t>Harvest</w:t>
      </w:r>
      <w:r>
        <w:rPr>
          <w:b w:val="0"/>
          <w:color w:val="465EFF"/>
          <w:spacing w:val="54"/>
        </w:rPr>
        <w:t> </w:t>
      </w:r>
      <w:r>
        <w:rPr>
          <w:b w:val="0"/>
          <w:color w:val="465EFF"/>
          <w:spacing w:val="13"/>
        </w:rPr>
        <w:t>Plan</w:t>
      </w:r>
    </w:p>
    <w:p>
      <w:pPr>
        <w:pStyle w:val="BodyText"/>
        <w:spacing w:line="321" w:lineRule="auto" w:before="250"/>
        <w:ind w:right="38"/>
      </w:pPr>
      <w:r>
        <w:rPr>
          <w:color w:val="1B1B22"/>
        </w:rPr>
        <w:t>We announced the allocation of R$230 billion to the segment. Of this total, R$54 billion will be allocated to small and medium-sized producers, </w:t>
      </w:r>
      <w:r>
        <w:rPr>
          <w:color w:val="1B1B22"/>
          <w:spacing w:val="-2"/>
        </w:rPr>
        <w:t>while</w:t>
      </w:r>
      <w:r>
        <w:rPr>
          <w:color w:val="1B1B22"/>
          <w:spacing w:val="-11"/>
        </w:rPr>
        <w:t> </w:t>
      </w:r>
      <w:r>
        <w:rPr>
          <w:color w:val="1B1B22"/>
          <w:spacing w:val="-2"/>
        </w:rPr>
        <w:t>R$106</w:t>
      </w:r>
      <w:r>
        <w:rPr>
          <w:color w:val="1B1B22"/>
          <w:spacing w:val="-10"/>
        </w:rPr>
        <w:t> </w:t>
      </w:r>
      <w:r>
        <w:rPr>
          <w:color w:val="1B1B22"/>
          <w:spacing w:val="-2"/>
        </w:rPr>
        <w:t>billion</w:t>
      </w:r>
      <w:r>
        <w:rPr>
          <w:color w:val="1B1B22"/>
          <w:spacing w:val="-11"/>
        </w:rPr>
        <w:t> </w:t>
      </w:r>
      <w:r>
        <w:rPr>
          <w:color w:val="1B1B22"/>
          <w:spacing w:val="-2"/>
        </w:rPr>
        <w:t>will</w:t>
      </w:r>
      <w:r>
        <w:rPr>
          <w:color w:val="1B1B22"/>
          <w:spacing w:val="-10"/>
        </w:rPr>
        <w:t> </w:t>
      </w:r>
      <w:r>
        <w:rPr>
          <w:color w:val="1B1B22"/>
          <w:spacing w:val="-2"/>
        </w:rPr>
        <w:t>serve</w:t>
      </w:r>
      <w:r>
        <w:rPr>
          <w:color w:val="1B1B22"/>
          <w:spacing w:val="-10"/>
        </w:rPr>
        <w:t> </w:t>
      </w:r>
      <w:r>
        <w:rPr>
          <w:color w:val="1B1B22"/>
          <w:spacing w:val="-2"/>
        </w:rPr>
        <w:t>corporate</w:t>
      </w:r>
      <w:r>
        <w:rPr>
          <w:color w:val="1B1B22"/>
          <w:spacing w:val="-11"/>
        </w:rPr>
        <w:t> </w:t>
      </w:r>
      <w:r>
        <w:rPr>
          <w:color w:val="1B1B22"/>
          <w:spacing w:val="-2"/>
        </w:rPr>
        <w:t>agriculture, </w:t>
      </w:r>
      <w:r>
        <w:rPr>
          <w:color w:val="1B1B22"/>
        </w:rPr>
        <w:t>including large producers, cooperatives, and </w:t>
      </w:r>
      <w:r>
        <w:rPr>
          <w:color w:val="1B1B22"/>
          <w:spacing w:val="-2"/>
        </w:rPr>
        <w:t>agribusinesses.</w:t>
      </w:r>
      <w:r>
        <w:rPr>
          <w:color w:val="1B1B22"/>
          <w:spacing w:val="-11"/>
        </w:rPr>
        <w:t> </w:t>
      </w:r>
      <w:r>
        <w:rPr>
          <w:color w:val="1B1B22"/>
          <w:spacing w:val="-2"/>
        </w:rPr>
        <w:t>The</w:t>
      </w:r>
      <w:r>
        <w:rPr>
          <w:color w:val="1B1B22"/>
          <w:spacing w:val="-3"/>
        </w:rPr>
        <w:t> </w:t>
      </w:r>
      <w:r>
        <w:rPr>
          <w:color w:val="1B1B22"/>
          <w:spacing w:val="-2"/>
        </w:rPr>
        <w:t>assumptions for disbursements under</w:t>
      </w:r>
      <w:r>
        <w:rPr>
          <w:color w:val="1B1B22"/>
          <w:spacing w:val="-11"/>
        </w:rPr>
        <w:t> </w:t>
      </w:r>
      <w:r>
        <w:rPr>
          <w:color w:val="1B1B22"/>
          <w:spacing w:val="-2"/>
        </w:rPr>
        <w:t>the</w:t>
      </w:r>
      <w:r>
        <w:rPr>
          <w:color w:val="1B1B22"/>
          <w:spacing w:val="-10"/>
        </w:rPr>
        <w:t> </w:t>
      </w:r>
      <w:r>
        <w:rPr>
          <w:color w:val="1B1B22"/>
          <w:spacing w:val="-2"/>
        </w:rPr>
        <w:t>new</w:t>
      </w:r>
      <w:r>
        <w:rPr>
          <w:color w:val="1B1B22"/>
          <w:spacing w:val="-10"/>
        </w:rPr>
        <w:t> </w:t>
      </w:r>
      <w:r>
        <w:rPr>
          <w:color w:val="1B1B22"/>
          <w:spacing w:val="-2"/>
        </w:rPr>
        <w:t>Harvest</w:t>
      </w:r>
      <w:r>
        <w:rPr>
          <w:color w:val="1B1B22"/>
          <w:spacing w:val="-10"/>
        </w:rPr>
        <w:t> </w:t>
      </w:r>
      <w:r>
        <w:rPr>
          <w:color w:val="1B1B22"/>
          <w:spacing w:val="-2"/>
        </w:rPr>
        <w:t>Plan</w:t>
      </w:r>
      <w:r>
        <w:rPr>
          <w:color w:val="1B1B22"/>
          <w:spacing w:val="-10"/>
        </w:rPr>
        <w:t> </w:t>
      </w:r>
      <w:r>
        <w:rPr>
          <w:color w:val="1B1B22"/>
          <w:spacing w:val="-2"/>
        </w:rPr>
        <w:t>were</w:t>
      </w:r>
      <w:r>
        <w:rPr>
          <w:color w:val="1B1B22"/>
          <w:spacing w:val="-11"/>
        </w:rPr>
        <w:t> </w:t>
      </w:r>
      <w:r>
        <w:rPr>
          <w:color w:val="1B1B22"/>
          <w:spacing w:val="-2"/>
        </w:rPr>
        <w:t>based</w:t>
      </w:r>
      <w:r>
        <w:rPr>
          <w:color w:val="1B1B22"/>
          <w:spacing w:val="-8"/>
        </w:rPr>
        <w:t> </w:t>
      </w:r>
      <w:r>
        <w:rPr>
          <w:color w:val="1B1B22"/>
          <w:spacing w:val="-2"/>
        </w:rPr>
        <w:t>on</w:t>
      </w:r>
      <w:r>
        <w:rPr>
          <w:color w:val="1B1B22"/>
          <w:spacing w:val="-10"/>
        </w:rPr>
        <w:t> </w:t>
      </w:r>
      <w:r>
        <w:rPr>
          <w:color w:val="1B1B22"/>
          <w:spacing w:val="-2"/>
        </w:rPr>
        <w:t>external </w:t>
      </w:r>
      <w:r>
        <w:rPr>
          <w:color w:val="1B1B22"/>
        </w:rPr>
        <w:t>scenarios, such as climate, productivity, debt, and producer margins, and internal scenarios, such as liabilities, credit risk analysis, and collateral requirements with greater effectiveness </w:t>
      </w:r>
      <w:r>
        <w:rPr>
          <w:color w:val="1B1B22"/>
        </w:rPr>
        <w:t>in financing returns.</w:t>
      </w:r>
    </w:p>
    <w:p>
      <w:pPr>
        <w:pStyle w:val="Heading2"/>
        <w:spacing w:line="321" w:lineRule="auto" w:before="102"/>
        <w:ind w:right="67"/>
        <w:rPr>
          <w:b w:val="0"/>
        </w:rPr>
      </w:pPr>
      <w:r>
        <w:rPr>
          <w:b w:val="0"/>
          <w:color w:val="465EFF"/>
          <w:spacing w:val="20"/>
        </w:rPr>
        <w:t>Disbursements</w:t>
      </w:r>
      <w:r>
        <w:rPr>
          <w:b w:val="0"/>
          <w:color w:val="465EFF"/>
          <w:spacing w:val="20"/>
        </w:rPr>
        <w:t> </w:t>
      </w:r>
      <w:r>
        <w:rPr>
          <w:b w:val="0"/>
          <w:color w:val="465EFF"/>
          <w:spacing w:val="17"/>
        </w:rPr>
        <w:t>with</w:t>
      </w:r>
      <w:r>
        <w:rPr>
          <w:b w:val="0"/>
          <w:color w:val="465EFF"/>
          <w:spacing w:val="17"/>
        </w:rPr>
        <w:t> </w:t>
      </w:r>
      <w:r>
        <w:rPr>
          <w:b w:val="0"/>
          <w:color w:val="465EFF"/>
          <w:spacing w:val="13"/>
        </w:rPr>
        <w:t>PEAC</w:t>
      </w:r>
      <w:r>
        <w:rPr>
          <w:b w:val="0"/>
          <w:color w:val="465EFF"/>
          <w:spacing w:val="13"/>
        </w:rPr>
        <w:t> </w:t>
      </w:r>
      <w:r>
        <w:rPr>
          <w:b w:val="0"/>
          <w:color w:val="465EFF"/>
          <w:spacing w:val="14"/>
        </w:rPr>
        <w:t>FGI </w:t>
      </w:r>
      <w:r>
        <w:rPr>
          <w:b w:val="0"/>
          <w:color w:val="465EFF"/>
          <w:spacing w:val="15"/>
        </w:rPr>
        <w:t>and</w:t>
      </w:r>
      <w:r>
        <w:rPr>
          <w:b w:val="0"/>
          <w:color w:val="465EFF"/>
          <w:spacing w:val="15"/>
        </w:rPr>
        <w:t> </w:t>
      </w:r>
      <w:r>
        <w:rPr>
          <w:b w:val="0"/>
          <w:color w:val="465EFF"/>
          <w:spacing w:val="18"/>
        </w:rPr>
        <w:t>Pronampe</w:t>
      </w:r>
      <w:r>
        <w:rPr>
          <w:b w:val="0"/>
          <w:color w:val="465EFF"/>
          <w:spacing w:val="18"/>
        </w:rPr>
        <w:t> </w:t>
      </w:r>
      <w:r>
        <w:rPr>
          <w:b w:val="0"/>
          <w:color w:val="465EFF"/>
          <w:spacing w:val="16"/>
        </w:rPr>
        <w:t>exceeded</w:t>
      </w:r>
      <w:r>
        <w:rPr>
          <w:b w:val="0"/>
          <w:color w:val="465EFF"/>
          <w:spacing w:val="16"/>
        </w:rPr>
        <w:t> </w:t>
      </w:r>
      <w:r>
        <w:rPr>
          <w:b w:val="0"/>
          <w:color w:val="465EFF"/>
          <w:spacing w:val="13"/>
        </w:rPr>
        <w:t>R$30 </w:t>
      </w:r>
      <w:r>
        <w:rPr>
          <w:b w:val="0"/>
          <w:color w:val="465EFF"/>
          <w:spacing w:val="16"/>
        </w:rPr>
        <w:t>billion</w:t>
      </w:r>
    </w:p>
    <w:p>
      <w:pPr>
        <w:pStyle w:val="BodyText"/>
        <w:spacing w:line="321" w:lineRule="auto" w:before="127"/>
        <w:ind w:right="39"/>
      </w:pPr>
      <w:r>
        <w:rPr>
          <w:color w:val="1B1B22"/>
        </w:rPr>
        <w:t>Considering the improved risk-return conditions, credit</w:t>
      </w:r>
      <w:r>
        <w:rPr>
          <w:color w:val="1B1B22"/>
          <w:spacing w:val="-13"/>
        </w:rPr>
        <w:t> </w:t>
      </w:r>
      <w:r>
        <w:rPr>
          <w:color w:val="1B1B22"/>
        </w:rPr>
        <w:t>disbursements</w:t>
      </w:r>
      <w:r>
        <w:rPr>
          <w:color w:val="1B1B22"/>
          <w:spacing w:val="-12"/>
        </w:rPr>
        <w:t> </w:t>
      </w:r>
      <w:r>
        <w:rPr>
          <w:color w:val="1B1B22"/>
        </w:rPr>
        <w:t>to</w:t>
      </w:r>
      <w:r>
        <w:rPr>
          <w:color w:val="1B1B22"/>
          <w:spacing w:val="-13"/>
        </w:rPr>
        <w:t> </w:t>
      </w:r>
      <w:r>
        <w:rPr>
          <w:color w:val="1B1B22"/>
        </w:rPr>
        <w:t>micro,</w:t>
      </w:r>
      <w:r>
        <w:rPr>
          <w:color w:val="1B1B22"/>
          <w:spacing w:val="-12"/>
        </w:rPr>
        <w:t> </w:t>
      </w:r>
      <w:r>
        <w:rPr>
          <w:color w:val="1B1B22"/>
        </w:rPr>
        <w:t>small,</w:t>
      </w:r>
      <w:r>
        <w:rPr>
          <w:color w:val="1B1B22"/>
          <w:spacing w:val="-12"/>
        </w:rPr>
        <w:t> </w:t>
      </w:r>
      <w:r>
        <w:rPr>
          <w:color w:val="1B1B22"/>
        </w:rPr>
        <w:t>and</w:t>
      </w:r>
      <w:r>
        <w:rPr>
          <w:color w:val="1B1B22"/>
          <w:spacing w:val="-13"/>
        </w:rPr>
        <w:t> </w:t>
      </w:r>
      <w:r>
        <w:rPr>
          <w:color w:val="1B1B22"/>
        </w:rPr>
        <w:t>medium- sized</w:t>
      </w:r>
      <w:r>
        <w:rPr>
          <w:color w:val="1B1B22"/>
          <w:spacing w:val="-4"/>
        </w:rPr>
        <w:t> </w:t>
      </w:r>
      <w:r>
        <w:rPr>
          <w:color w:val="1B1B22"/>
        </w:rPr>
        <w:t>enterprises</w:t>
      </w:r>
      <w:r>
        <w:rPr>
          <w:color w:val="1B1B22"/>
          <w:spacing w:val="-3"/>
        </w:rPr>
        <w:t> </w:t>
      </w:r>
      <w:r>
        <w:rPr>
          <w:color w:val="1B1B22"/>
        </w:rPr>
        <w:t>using</w:t>
      </w:r>
      <w:r>
        <w:rPr>
          <w:color w:val="1B1B22"/>
          <w:spacing w:val="-3"/>
        </w:rPr>
        <w:t> </w:t>
      </w:r>
      <w:r>
        <w:rPr>
          <w:color w:val="1B1B22"/>
        </w:rPr>
        <w:t>guarantee</w:t>
      </w:r>
      <w:r>
        <w:rPr>
          <w:color w:val="1B1B22"/>
          <w:spacing w:val="-4"/>
        </w:rPr>
        <w:t> </w:t>
      </w:r>
      <w:r>
        <w:rPr>
          <w:color w:val="1B1B22"/>
        </w:rPr>
        <w:t>funds</w:t>
      </w:r>
      <w:r>
        <w:rPr>
          <w:color w:val="1B1B22"/>
          <w:spacing w:val="-2"/>
        </w:rPr>
        <w:t> </w:t>
      </w:r>
      <w:r>
        <w:rPr>
          <w:color w:val="1B1B22"/>
        </w:rPr>
        <w:t>(PEAC</w:t>
      </w:r>
      <w:r>
        <w:rPr>
          <w:color w:val="1B1B22"/>
          <w:spacing w:val="-3"/>
        </w:rPr>
        <w:t> </w:t>
      </w:r>
      <w:r>
        <w:rPr>
          <w:color w:val="1B1B22"/>
        </w:rPr>
        <w:t>FGI and Pronampe) reached over R$30 billion in June 2025.</w:t>
      </w:r>
      <w:r>
        <w:rPr>
          <w:color w:val="1B1B22"/>
          <w:spacing w:val="9"/>
        </w:rPr>
        <w:t> </w:t>
      </w:r>
      <w:r>
        <w:rPr>
          <w:color w:val="1B1B22"/>
        </w:rPr>
        <w:t>Furthermore,</w:t>
      </w:r>
      <w:r>
        <w:rPr>
          <w:color w:val="1B1B22"/>
          <w:spacing w:val="11"/>
        </w:rPr>
        <w:t> </w:t>
      </w:r>
      <w:r>
        <w:rPr>
          <w:color w:val="1B1B22"/>
        </w:rPr>
        <w:t>we</w:t>
      </w:r>
      <w:r>
        <w:rPr>
          <w:color w:val="1B1B22"/>
          <w:spacing w:val="9"/>
        </w:rPr>
        <w:t> </w:t>
      </w:r>
      <w:r>
        <w:rPr>
          <w:color w:val="1B1B22"/>
        </w:rPr>
        <w:t>have</w:t>
      </w:r>
      <w:r>
        <w:rPr>
          <w:color w:val="1B1B22"/>
          <w:spacing w:val="11"/>
        </w:rPr>
        <w:t> </w:t>
      </w:r>
      <w:r>
        <w:rPr>
          <w:color w:val="1B1B22"/>
        </w:rPr>
        <w:t>been</w:t>
      </w:r>
      <w:r>
        <w:rPr>
          <w:color w:val="1B1B22"/>
          <w:spacing w:val="12"/>
        </w:rPr>
        <w:t> </w:t>
      </w:r>
      <w:r>
        <w:rPr>
          <w:color w:val="1B1B22"/>
        </w:rPr>
        <w:t>working</w:t>
      </w:r>
      <w:r>
        <w:rPr>
          <w:color w:val="1B1B22"/>
          <w:spacing w:val="9"/>
        </w:rPr>
        <w:t> </w:t>
      </w:r>
      <w:r>
        <w:rPr>
          <w:color w:val="1B1B22"/>
          <w:spacing w:val="-2"/>
        </w:rPr>
        <w:t>within</w:t>
      </w:r>
    </w:p>
    <w:p>
      <w:pPr>
        <w:pStyle w:val="BodyText"/>
        <w:spacing w:line="321" w:lineRule="auto" w:before="79"/>
        <w:ind w:right="147"/>
      </w:pPr>
      <w:r>
        <w:rPr/>
        <w:br w:type="column"/>
      </w:r>
      <w:r>
        <w:rPr>
          <w:color w:val="1B1B22"/>
        </w:rPr>
        <w:t>the</w:t>
      </w:r>
      <w:r>
        <w:rPr>
          <w:color w:val="1B1B22"/>
          <w:spacing w:val="-9"/>
        </w:rPr>
        <w:t> </w:t>
      </w:r>
      <w:r>
        <w:rPr>
          <w:color w:val="1B1B22"/>
        </w:rPr>
        <w:t>context</w:t>
      </w:r>
      <w:r>
        <w:rPr>
          <w:color w:val="1B1B22"/>
          <w:spacing w:val="-9"/>
        </w:rPr>
        <w:t> </w:t>
      </w:r>
      <w:r>
        <w:rPr>
          <w:color w:val="1B1B22"/>
        </w:rPr>
        <w:t>of</w:t>
      </w:r>
      <w:r>
        <w:rPr>
          <w:color w:val="1B1B22"/>
          <w:spacing w:val="-12"/>
        </w:rPr>
        <w:t> </w:t>
      </w:r>
      <w:r>
        <w:rPr>
          <w:color w:val="1B1B22"/>
        </w:rPr>
        <w:t>the</w:t>
      </w:r>
      <w:r>
        <w:rPr>
          <w:color w:val="1B1B22"/>
          <w:spacing w:val="-9"/>
        </w:rPr>
        <w:t> </w:t>
      </w:r>
      <w:r>
        <w:rPr>
          <w:color w:val="1B1B22"/>
        </w:rPr>
        <w:t>resilience</w:t>
      </w:r>
      <w:r>
        <w:rPr>
          <w:color w:val="1B1B22"/>
          <w:spacing w:val="-9"/>
        </w:rPr>
        <w:t> </w:t>
      </w:r>
      <w:r>
        <w:rPr>
          <w:color w:val="1B1B22"/>
        </w:rPr>
        <w:t>matrix</w:t>
      </w:r>
      <w:r>
        <w:rPr>
          <w:color w:val="1B1B22"/>
          <w:spacing w:val="-10"/>
        </w:rPr>
        <w:t> </w:t>
      </w:r>
      <w:r>
        <w:rPr>
          <w:color w:val="1B1B22"/>
        </w:rPr>
        <w:t>and</w:t>
      </w:r>
      <w:r>
        <w:rPr>
          <w:color w:val="1B1B22"/>
          <w:spacing w:val="-9"/>
        </w:rPr>
        <w:t> </w:t>
      </w:r>
      <w:r>
        <w:rPr>
          <w:color w:val="1B1B22"/>
        </w:rPr>
        <w:t>expanding operations with receivables and guarantees.</w:t>
      </w:r>
    </w:p>
    <w:p>
      <w:pPr>
        <w:pStyle w:val="Heading2"/>
        <w:spacing w:line="321" w:lineRule="auto" w:before="108"/>
        <w:ind w:right="168"/>
        <w:rPr>
          <w:b w:val="0"/>
        </w:rPr>
      </w:pPr>
      <w:r>
        <w:rPr>
          <w:b w:val="0"/>
          <w:color w:val="465EFF"/>
          <w:spacing w:val="19"/>
        </w:rPr>
        <w:t>Changes</w:t>
      </w:r>
      <w:r>
        <w:rPr>
          <w:b w:val="0"/>
          <w:color w:val="465EFF"/>
          <w:spacing w:val="19"/>
        </w:rPr>
        <w:t> </w:t>
      </w:r>
      <w:r>
        <w:rPr>
          <w:b w:val="0"/>
          <w:color w:val="465EFF"/>
          <w:spacing w:val="12"/>
        </w:rPr>
        <w:t>in</w:t>
      </w:r>
      <w:r>
        <w:rPr>
          <w:b w:val="0"/>
          <w:color w:val="465EFF"/>
          <w:spacing w:val="12"/>
        </w:rPr>
        <w:t> </w:t>
      </w:r>
      <w:r>
        <w:rPr>
          <w:b w:val="0"/>
          <w:color w:val="465EFF"/>
          <w:spacing w:val="18"/>
        </w:rPr>
        <w:t>Collection</w:t>
      </w:r>
      <w:r>
        <w:rPr>
          <w:b w:val="0"/>
          <w:color w:val="465EFF"/>
          <w:spacing w:val="18"/>
        </w:rPr>
        <w:t> </w:t>
      </w:r>
      <w:r>
        <w:rPr>
          <w:b w:val="0"/>
          <w:color w:val="465EFF"/>
          <w:spacing w:val="15"/>
        </w:rPr>
        <w:t>and </w:t>
      </w:r>
      <w:r>
        <w:rPr>
          <w:b w:val="0"/>
          <w:color w:val="465EFF"/>
          <w:spacing w:val="16"/>
        </w:rPr>
        <w:t>Recovery</w:t>
      </w:r>
      <w:r>
        <w:rPr>
          <w:b w:val="0"/>
          <w:color w:val="465EFF"/>
          <w:spacing w:val="16"/>
        </w:rPr>
        <w:t> </w:t>
      </w:r>
      <w:r>
        <w:rPr>
          <w:b w:val="0"/>
          <w:color w:val="465EFF"/>
          <w:spacing w:val="18"/>
        </w:rPr>
        <w:t>Structures</w:t>
      </w:r>
      <w:r>
        <w:rPr>
          <w:b w:val="0"/>
          <w:color w:val="465EFF"/>
          <w:spacing w:val="18"/>
        </w:rPr>
        <w:t> </w:t>
      </w:r>
      <w:r>
        <w:rPr>
          <w:b w:val="0"/>
          <w:color w:val="465EFF"/>
          <w:spacing w:val="15"/>
        </w:rPr>
        <w:t>and </w:t>
      </w:r>
      <w:r>
        <w:rPr>
          <w:b w:val="0"/>
          <w:color w:val="465EFF"/>
          <w:spacing w:val="17"/>
        </w:rPr>
        <w:t>Practices</w:t>
      </w:r>
    </w:p>
    <w:p>
      <w:pPr>
        <w:pStyle w:val="BodyText"/>
        <w:spacing w:line="321" w:lineRule="auto" w:before="127"/>
        <w:ind w:right="142"/>
      </w:pPr>
      <w:r>
        <w:rPr>
          <w:color w:val="1B1B22"/>
        </w:rPr>
        <w:t>Seeking to achieve better results in collection and credit recovery processes, especially in rural and </w:t>
      </w:r>
      <w:r>
        <w:rPr>
          <w:color w:val="1B1B22"/>
          <w:spacing w:val="-2"/>
        </w:rPr>
        <w:t>corporate</w:t>
      </w:r>
      <w:r>
        <w:rPr>
          <w:color w:val="1B1B22"/>
          <w:spacing w:val="-11"/>
        </w:rPr>
        <w:t> </w:t>
      </w:r>
      <w:r>
        <w:rPr>
          <w:color w:val="1B1B22"/>
          <w:spacing w:val="-2"/>
        </w:rPr>
        <w:t>operations,</w:t>
      </w:r>
      <w:r>
        <w:rPr>
          <w:color w:val="1B1B22"/>
          <w:spacing w:val="-10"/>
        </w:rPr>
        <w:t> </w:t>
      </w:r>
      <w:r>
        <w:rPr>
          <w:color w:val="1B1B22"/>
          <w:spacing w:val="-2"/>
        </w:rPr>
        <w:t>we</w:t>
      </w:r>
      <w:r>
        <w:rPr>
          <w:color w:val="1B1B22"/>
          <w:spacing w:val="-11"/>
        </w:rPr>
        <w:t> </w:t>
      </w:r>
      <w:r>
        <w:rPr>
          <w:color w:val="1B1B22"/>
          <w:spacing w:val="-2"/>
        </w:rPr>
        <w:t>have</w:t>
      </w:r>
      <w:r>
        <w:rPr>
          <w:color w:val="1B1B22"/>
          <w:spacing w:val="-10"/>
        </w:rPr>
        <w:t> </w:t>
      </w:r>
      <w:r>
        <w:rPr>
          <w:color w:val="1B1B22"/>
          <w:spacing w:val="-2"/>
        </w:rPr>
        <w:t>made</w:t>
      </w:r>
      <w:r>
        <w:rPr>
          <w:color w:val="1B1B22"/>
          <w:spacing w:val="-10"/>
        </w:rPr>
        <w:t> </w:t>
      </w:r>
      <w:r>
        <w:rPr>
          <w:color w:val="1B1B22"/>
          <w:spacing w:val="-2"/>
        </w:rPr>
        <w:t>improvements </w:t>
      </w:r>
      <w:r>
        <w:rPr>
          <w:color w:val="1B1B22"/>
        </w:rPr>
        <w:t>to</w:t>
      </w:r>
      <w:r>
        <w:rPr>
          <w:color w:val="1B1B22"/>
          <w:spacing w:val="-3"/>
        </w:rPr>
        <w:t> </w:t>
      </w:r>
      <w:r>
        <w:rPr>
          <w:color w:val="1B1B22"/>
        </w:rPr>
        <w:t>our</w:t>
      </w:r>
      <w:r>
        <w:rPr>
          <w:color w:val="1B1B22"/>
          <w:spacing w:val="-4"/>
        </w:rPr>
        <w:t> </w:t>
      </w:r>
      <w:r>
        <w:rPr>
          <w:color w:val="1B1B22"/>
        </w:rPr>
        <w:t>structures</w:t>
      </w:r>
      <w:r>
        <w:rPr>
          <w:color w:val="1B1B22"/>
          <w:spacing w:val="-3"/>
        </w:rPr>
        <w:t> </w:t>
      </w:r>
      <w:r>
        <w:rPr>
          <w:color w:val="1B1B22"/>
        </w:rPr>
        <w:t>and</w:t>
      </w:r>
      <w:r>
        <w:rPr>
          <w:color w:val="1B1B22"/>
          <w:spacing w:val="-3"/>
        </w:rPr>
        <w:t> </w:t>
      </w:r>
      <w:r>
        <w:rPr>
          <w:color w:val="1B1B22"/>
        </w:rPr>
        <w:t>procedures,</w:t>
      </w:r>
      <w:r>
        <w:rPr>
          <w:color w:val="1B1B22"/>
          <w:spacing w:val="-3"/>
        </w:rPr>
        <w:t> </w:t>
      </w:r>
      <w:r>
        <w:rPr>
          <w:color w:val="1B1B22"/>
        </w:rPr>
        <w:t>aiming</w:t>
      </w:r>
      <w:r>
        <w:rPr>
          <w:color w:val="1B1B22"/>
          <w:spacing w:val="-3"/>
        </w:rPr>
        <w:t> </w:t>
      </w:r>
      <w:r>
        <w:rPr>
          <w:color w:val="1B1B22"/>
        </w:rPr>
        <w:t>for</w:t>
      </w:r>
      <w:r>
        <w:rPr>
          <w:color w:val="1B1B22"/>
          <w:spacing w:val="-4"/>
        </w:rPr>
        <w:t> </w:t>
      </w:r>
      <w:r>
        <w:rPr>
          <w:color w:val="1B1B22"/>
        </w:rPr>
        <w:t>more </w:t>
      </w:r>
      <w:r>
        <w:rPr>
          <w:color w:val="1B1B22"/>
          <w:spacing w:val="-2"/>
        </w:rPr>
        <w:t>personalized,</w:t>
      </w:r>
      <w:r>
        <w:rPr>
          <w:color w:val="1B1B22"/>
          <w:spacing w:val="-11"/>
        </w:rPr>
        <w:t> </w:t>
      </w:r>
      <w:r>
        <w:rPr>
          <w:color w:val="1B1B22"/>
          <w:spacing w:val="-2"/>
        </w:rPr>
        <w:t>timely,</w:t>
      </w:r>
      <w:r>
        <w:rPr>
          <w:color w:val="1B1B22"/>
          <w:spacing w:val="-10"/>
        </w:rPr>
        <w:t> </w:t>
      </w:r>
      <w:r>
        <w:rPr>
          <w:color w:val="1B1B22"/>
          <w:spacing w:val="-2"/>
        </w:rPr>
        <w:t>and</w:t>
      </w:r>
      <w:r>
        <w:rPr>
          <w:color w:val="1B1B22"/>
          <w:spacing w:val="-11"/>
        </w:rPr>
        <w:t> </w:t>
      </w:r>
      <w:r>
        <w:rPr>
          <w:color w:val="1B1B22"/>
          <w:spacing w:val="-2"/>
        </w:rPr>
        <w:t>effective</w:t>
      </w:r>
      <w:r>
        <w:rPr>
          <w:color w:val="1B1B22"/>
          <w:spacing w:val="-10"/>
        </w:rPr>
        <w:t> </w:t>
      </w:r>
      <w:r>
        <w:rPr>
          <w:color w:val="1B1B22"/>
          <w:spacing w:val="-2"/>
        </w:rPr>
        <w:t>service,</w:t>
      </w:r>
      <w:r>
        <w:rPr>
          <w:color w:val="1B1B22"/>
          <w:spacing w:val="-10"/>
        </w:rPr>
        <w:t> </w:t>
      </w:r>
      <w:r>
        <w:rPr>
          <w:color w:val="1B1B22"/>
          <w:spacing w:val="-2"/>
        </w:rPr>
        <w:t>whether </w:t>
      </w:r>
      <w:r>
        <w:rPr>
          <w:color w:val="1B1B22"/>
        </w:rPr>
        <w:t>for debt resolution through renegotiations or for the execution of contractual guarantees.</w:t>
      </w:r>
    </w:p>
    <w:p>
      <w:pPr>
        <w:pStyle w:val="Heading2"/>
        <w:spacing w:line="321" w:lineRule="auto" w:before="107"/>
        <w:ind w:right="168"/>
        <w:rPr>
          <w:b w:val="0"/>
        </w:rPr>
      </w:pPr>
      <w:r>
        <w:rPr>
          <w:b w:val="0"/>
          <w:color w:val="465EFF"/>
          <w:spacing w:val="11"/>
        </w:rPr>
        <w:t>BB</w:t>
      </w:r>
      <w:r>
        <w:rPr>
          <w:b w:val="0"/>
          <w:color w:val="465EFF"/>
          <w:spacing w:val="40"/>
        </w:rPr>
        <w:t> </w:t>
      </w:r>
      <w:r>
        <w:rPr>
          <w:b w:val="0"/>
          <w:color w:val="465EFF"/>
          <w:spacing w:val="12"/>
        </w:rPr>
        <w:t>in</w:t>
      </w:r>
      <w:r>
        <w:rPr>
          <w:b w:val="0"/>
          <w:color w:val="465EFF"/>
          <w:spacing w:val="40"/>
        </w:rPr>
        <w:t> </w:t>
      </w:r>
      <w:r>
        <w:rPr>
          <w:b w:val="0"/>
          <w:color w:val="465EFF"/>
          <w:spacing w:val="15"/>
        </w:rPr>
        <w:t>the</w:t>
      </w:r>
      <w:r>
        <w:rPr>
          <w:b w:val="0"/>
          <w:color w:val="465EFF"/>
          <w:spacing w:val="17"/>
        </w:rPr>
        <w:t> Central</w:t>
      </w:r>
      <w:r>
        <w:rPr>
          <w:b w:val="0"/>
          <w:color w:val="465EFF"/>
          <w:spacing w:val="17"/>
        </w:rPr>
        <w:t> </w:t>
      </w:r>
      <w:r>
        <w:rPr>
          <w:b w:val="0"/>
          <w:color w:val="465EFF"/>
          <w:spacing w:val="16"/>
        </w:rPr>
        <w:t>Bank</w:t>
      </w:r>
      <w:r>
        <w:rPr>
          <w:b w:val="0"/>
          <w:color w:val="465EFF"/>
          <w:spacing w:val="16"/>
        </w:rPr>
        <w:t> </w:t>
      </w:r>
      <w:r>
        <w:rPr>
          <w:b w:val="0"/>
          <w:color w:val="465EFF"/>
          <w:spacing w:val="10"/>
        </w:rPr>
        <w:t>of</w:t>
      </w:r>
      <w:r>
        <w:rPr>
          <w:b w:val="0"/>
          <w:color w:val="465EFF"/>
          <w:spacing w:val="80"/>
        </w:rPr>
        <w:t> </w:t>
      </w:r>
      <w:r>
        <w:rPr>
          <w:b w:val="0"/>
          <w:color w:val="465EFF"/>
          <w:spacing w:val="18"/>
        </w:rPr>
        <w:t>Brazil</w:t>
      </w:r>
      <w:r>
        <w:rPr>
          <w:b w:val="0"/>
          <w:color w:val="465EFF"/>
          <w:spacing w:val="18"/>
        </w:rPr>
        <w:t> </w:t>
      </w:r>
      <w:r>
        <w:rPr>
          <w:b w:val="0"/>
          <w:color w:val="465EFF"/>
          <w:spacing w:val="19"/>
        </w:rPr>
        <w:t>Complaints</w:t>
      </w:r>
      <w:r>
        <w:rPr>
          <w:b w:val="0"/>
          <w:color w:val="465EFF"/>
          <w:spacing w:val="19"/>
        </w:rPr>
        <w:t> Ranking</w:t>
      </w:r>
    </w:p>
    <w:p>
      <w:pPr>
        <w:pStyle w:val="BodyText"/>
        <w:spacing w:line="321" w:lineRule="auto" w:before="129"/>
        <w:ind w:right="141"/>
      </w:pPr>
      <w:r>
        <w:rPr>
          <w:color w:val="1B1B22"/>
        </w:rPr>
        <w:t>We</w:t>
      </w:r>
      <w:r>
        <w:rPr>
          <w:color w:val="1B1B22"/>
          <w:spacing w:val="-6"/>
        </w:rPr>
        <w:t> </w:t>
      </w:r>
      <w:r>
        <w:rPr>
          <w:color w:val="1B1B22"/>
        </w:rPr>
        <w:t>have</w:t>
      </w:r>
      <w:r>
        <w:rPr>
          <w:color w:val="1B1B22"/>
          <w:spacing w:val="-6"/>
        </w:rPr>
        <w:t> </w:t>
      </w:r>
      <w:r>
        <w:rPr>
          <w:color w:val="1B1B22"/>
        </w:rPr>
        <w:t>completed</w:t>
      </w:r>
      <w:r>
        <w:rPr>
          <w:color w:val="1B1B22"/>
          <w:spacing w:val="-6"/>
        </w:rPr>
        <w:t> </w:t>
      </w:r>
      <w:r>
        <w:rPr>
          <w:color w:val="1B1B22"/>
        </w:rPr>
        <w:t>12</w:t>
      </w:r>
      <w:r>
        <w:rPr>
          <w:color w:val="1B1B22"/>
          <w:spacing w:val="-6"/>
        </w:rPr>
        <w:t> </w:t>
      </w:r>
      <w:r>
        <w:rPr>
          <w:color w:val="1B1B22"/>
        </w:rPr>
        <w:t>consecutive</w:t>
      </w:r>
      <w:r>
        <w:rPr>
          <w:color w:val="1B1B22"/>
          <w:spacing w:val="-6"/>
        </w:rPr>
        <w:t> </w:t>
      </w:r>
      <w:r>
        <w:rPr>
          <w:color w:val="1B1B22"/>
        </w:rPr>
        <w:t>quarters</w:t>
      </w:r>
      <w:r>
        <w:rPr>
          <w:color w:val="1B1B22"/>
          <w:spacing w:val="-5"/>
        </w:rPr>
        <w:t> </w:t>
      </w:r>
      <w:r>
        <w:rPr>
          <w:color w:val="1B1B22"/>
        </w:rPr>
        <w:t>in</w:t>
      </w:r>
      <w:r>
        <w:rPr>
          <w:color w:val="1B1B22"/>
          <w:spacing w:val="-5"/>
        </w:rPr>
        <w:t> </w:t>
      </w:r>
      <w:r>
        <w:rPr>
          <w:color w:val="1B1B22"/>
        </w:rPr>
        <w:t>the top position among the five largest banks within financial conglomerates, reinforcing our commitment to excellence in customer </w:t>
      </w:r>
      <w:r>
        <w:rPr>
          <w:color w:val="1B1B22"/>
          <w:spacing w:val="-2"/>
        </w:rPr>
        <w:t>relationships.</w:t>
      </w:r>
    </w:p>
    <w:p>
      <w:pPr>
        <w:pStyle w:val="Heading2"/>
        <w:spacing w:line="321" w:lineRule="auto" w:before="107"/>
        <w:ind w:right="170"/>
        <w:rPr>
          <w:b w:val="0"/>
        </w:rPr>
      </w:pPr>
      <w:r>
        <w:rPr>
          <w:b w:val="0"/>
          <w:color w:val="465EFF"/>
          <w:spacing w:val="15"/>
        </w:rPr>
        <w:t>The</w:t>
      </w:r>
      <w:r>
        <w:rPr>
          <w:b w:val="0"/>
          <w:color w:val="465EFF"/>
          <w:spacing w:val="15"/>
        </w:rPr>
        <w:t> </w:t>
      </w:r>
      <w:r>
        <w:rPr>
          <w:b w:val="0"/>
          <w:color w:val="465EFF"/>
          <w:spacing w:val="13"/>
        </w:rPr>
        <w:t>Most</w:t>
      </w:r>
      <w:r>
        <w:rPr>
          <w:b w:val="0"/>
          <w:color w:val="465EFF"/>
          <w:spacing w:val="13"/>
        </w:rPr>
        <w:t> </w:t>
      </w:r>
      <w:r>
        <w:rPr>
          <w:b w:val="0"/>
          <w:color w:val="465EFF"/>
          <w:spacing w:val="19"/>
        </w:rPr>
        <w:t>Sustainable</w:t>
      </w:r>
      <w:r>
        <w:rPr>
          <w:b w:val="0"/>
          <w:color w:val="465EFF"/>
          <w:spacing w:val="19"/>
        </w:rPr>
        <w:t> </w:t>
      </w:r>
      <w:r>
        <w:rPr>
          <w:b w:val="0"/>
          <w:color w:val="465EFF"/>
          <w:spacing w:val="17"/>
        </w:rPr>
        <w:t>Bank</w:t>
      </w:r>
      <w:r>
        <w:rPr>
          <w:b w:val="0"/>
          <w:color w:val="465EFF"/>
          <w:spacing w:val="17"/>
        </w:rPr>
        <w:t> </w:t>
      </w:r>
      <w:r>
        <w:rPr>
          <w:b w:val="0"/>
          <w:color w:val="465EFF"/>
          <w:spacing w:val="11"/>
        </w:rPr>
        <w:t>on </w:t>
      </w:r>
      <w:r>
        <w:rPr>
          <w:b w:val="0"/>
          <w:color w:val="465EFF"/>
          <w:spacing w:val="15"/>
        </w:rPr>
        <w:t>the</w:t>
      </w:r>
      <w:r>
        <w:rPr>
          <w:b w:val="0"/>
          <w:color w:val="465EFF"/>
          <w:spacing w:val="15"/>
        </w:rPr>
        <w:t> </w:t>
      </w:r>
      <w:r>
        <w:rPr>
          <w:b w:val="0"/>
          <w:color w:val="465EFF"/>
          <w:spacing w:val="18"/>
        </w:rPr>
        <w:t>Planet</w:t>
      </w:r>
      <w:r>
        <w:rPr>
          <w:b w:val="0"/>
          <w:color w:val="465EFF"/>
          <w:spacing w:val="18"/>
        </w:rPr>
        <w:t> </w:t>
      </w:r>
      <w:r>
        <w:rPr>
          <w:b w:val="0"/>
          <w:color w:val="465EFF"/>
          <w:spacing w:val="11"/>
        </w:rPr>
        <w:t>for</w:t>
      </w:r>
      <w:r>
        <w:rPr>
          <w:b w:val="0"/>
          <w:color w:val="465EFF"/>
          <w:spacing w:val="11"/>
        </w:rPr>
        <w:t> </w:t>
      </w:r>
      <w:r>
        <w:rPr>
          <w:b w:val="0"/>
          <w:color w:val="465EFF"/>
          <w:spacing w:val="15"/>
        </w:rPr>
        <w:t>the</w:t>
      </w:r>
      <w:r>
        <w:rPr>
          <w:b w:val="0"/>
          <w:color w:val="465EFF"/>
          <w:spacing w:val="15"/>
        </w:rPr>
        <w:t> 6th </w:t>
      </w:r>
      <w:r>
        <w:rPr>
          <w:b w:val="0"/>
          <w:color w:val="465EFF"/>
          <w:spacing w:val="17"/>
        </w:rPr>
        <w:t>Time</w:t>
      </w:r>
    </w:p>
    <w:p>
      <w:pPr>
        <w:pStyle w:val="BodyText"/>
        <w:spacing w:line="321" w:lineRule="auto" w:before="126"/>
        <w:ind w:right="138"/>
      </w:pPr>
      <w:r>
        <w:rPr>
          <w:color w:val="1B1B22"/>
        </w:rPr>
        <w:t>We were once again recognized as the Most Sustainable Bank on the Planet in Corporate Knights' Global 100 ranking of the 100 Most Sustainable Corporations in the World 2025. Factors such as financial results, the size of our sustainable</w:t>
      </w:r>
      <w:r>
        <w:rPr>
          <w:color w:val="1B1B22"/>
          <w:spacing w:val="-13"/>
        </w:rPr>
        <w:t> </w:t>
      </w:r>
      <w:r>
        <w:rPr>
          <w:color w:val="1B1B22"/>
        </w:rPr>
        <w:t>credit</w:t>
      </w:r>
      <w:r>
        <w:rPr>
          <w:color w:val="1B1B22"/>
          <w:spacing w:val="-12"/>
        </w:rPr>
        <w:t> </w:t>
      </w:r>
      <w:r>
        <w:rPr>
          <w:color w:val="1B1B22"/>
        </w:rPr>
        <w:t>portfolio,</w:t>
      </w:r>
      <w:r>
        <w:rPr>
          <w:color w:val="1B1B22"/>
          <w:spacing w:val="-12"/>
        </w:rPr>
        <w:t> </w:t>
      </w:r>
      <w:r>
        <w:rPr>
          <w:color w:val="1B1B22"/>
        </w:rPr>
        <w:t>carbon</w:t>
      </w:r>
      <w:r>
        <w:rPr>
          <w:color w:val="1B1B22"/>
          <w:spacing w:val="-12"/>
        </w:rPr>
        <w:t> </w:t>
      </w:r>
      <w:r>
        <w:rPr>
          <w:color w:val="1B1B22"/>
        </w:rPr>
        <w:t>offsetting,</w:t>
      </w:r>
      <w:r>
        <w:rPr>
          <w:color w:val="1B1B22"/>
          <w:spacing w:val="-12"/>
        </w:rPr>
        <w:t> </w:t>
      </w:r>
      <w:r>
        <w:rPr>
          <w:color w:val="1B1B22"/>
        </w:rPr>
        <w:t>the use</w:t>
      </w:r>
      <w:r>
        <w:rPr>
          <w:color w:val="1B1B22"/>
          <w:spacing w:val="-7"/>
        </w:rPr>
        <w:t> </w:t>
      </w:r>
      <w:r>
        <w:rPr>
          <w:color w:val="1B1B22"/>
        </w:rPr>
        <w:t>of</w:t>
      </w:r>
      <w:r>
        <w:rPr>
          <w:color w:val="1B1B22"/>
          <w:spacing w:val="-7"/>
        </w:rPr>
        <w:t> </w:t>
      </w:r>
      <w:r>
        <w:rPr>
          <w:color w:val="1B1B22"/>
        </w:rPr>
        <w:t>clean</w:t>
      </w:r>
      <w:r>
        <w:rPr>
          <w:color w:val="1B1B22"/>
          <w:spacing w:val="-7"/>
        </w:rPr>
        <w:t> </w:t>
      </w:r>
      <w:r>
        <w:rPr>
          <w:color w:val="1B1B22"/>
        </w:rPr>
        <w:t>energy,</w:t>
      </w:r>
      <w:r>
        <w:rPr>
          <w:color w:val="1B1B22"/>
          <w:spacing w:val="-7"/>
        </w:rPr>
        <w:t> </w:t>
      </w:r>
      <w:r>
        <w:rPr>
          <w:color w:val="1B1B22"/>
        </w:rPr>
        <w:t>governance</w:t>
      </w:r>
      <w:r>
        <w:rPr>
          <w:color w:val="1B1B22"/>
          <w:spacing w:val="-7"/>
        </w:rPr>
        <w:t> </w:t>
      </w:r>
      <w:r>
        <w:rPr>
          <w:color w:val="1B1B22"/>
        </w:rPr>
        <w:t>practices,</w:t>
      </w:r>
      <w:r>
        <w:rPr>
          <w:color w:val="1B1B22"/>
          <w:spacing w:val="-5"/>
        </w:rPr>
        <w:t> </w:t>
      </w:r>
      <w:r>
        <w:rPr>
          <w:color w:val="1B1B22"/>
        </w:rPr>
        <w:t>and</w:t>
      </w:r>
      <w:r>
        <w:rPr>
          <w:color w:val="1B1B22"/>
          <w:spacing w:val="-7"/>
        </w:rPr>
        <w:t> </w:t>
      </w:r>
      <w:r>
        <w:rPr>
          <w:color w:val="1B1B22"/>
        </w:rPr>
        <w:t>the diversity of our workforce contributed to our ranking of 17th overall and our continued leadership among banks six times in the last </w:t>
      </w:r>
      <w:r>
        <w:rPr>
          <w:color w:val="1B1B22"/>
          <w:spacing w:val="-2"/>
        </w:rPr>
        <w:t>decade.</w:t>
      </w:r>
    </w:p>
    <w:p>
      <w:pPr>
        <w:pStyle w:val="BodyText"/>
        <w:spacing w:after="0" w:line="321" w:lineRule="auto"/>
        <w:sectPr>
          <w:type w:val="continuous"/>
          <w:pgSz w:w="11910" w:h="16850"/>
          <w:pgMar w:header="152" w:footer="570" w:top="1920" w:bottom="280" w:left="425" w:right="708"/>
          <w:cols w:num="2" w:equalWidth="0">
            <w:col w:w="5216" w:space="240"/>
            <w:col w:w="5321"/>
          </w:cols>
        </w:sectPr>
      </w:pPr>
    </w:p>
    <w:p>
      <w:pPr>
        <w:pStyle w:val="BodyText"/>
        <w:ind w:left="0"/>
        <w:jc w:val="left"/>
      </w:pPr>
    </w:p>
    <w:p>
      <w:pPr>
        <w:pStyle w:val="BodyText"/>
        <w:spacing w:before="130"/>
        <w:ind w:left="0"/>
        <w:jc w:val="left"/>
      </w:pPr>
    </w:p>
    <w:p>
      <w:pPr>
        <w:pStyle w:val="BodyText"/>
        <w:spacing w:after="0"/>
        <w:jc w:val="left"/>
        <w:sectPr>
          <w:pgSz w:w="11910" w:h="16850"/>
          <w:pgMar w:header="152" w:footer="570" w:top="900" w:bottom="780" w:left="425" w:right="708"/>
        </w:sectPr>
      </w:pPr>
    </w:p>
    <w:p>
      <w:pPr>
        <w:pStyle w:val="Heading2"/>
        <w:spacing w:line="321" w:lineRule="auto" w:before="71"/>
        <w:ind w:right="60"/>
        <w:rPr>
          <w:b w:val="0"/>
        </w:rPr>
      </w:pPr>
      <w:r>
        <w:rPr>
          <w:b w:val="0"/>
          <w:color w:val="465EFF"/>
          <w:spacing w:val="15"/>
        </w:rPr>
        <w:t>AI-</w:t>
      </w:r>
      <w:r>
        <w:rPr>
          <w:b w:val="0"/>
          <w:color w:val="465EFF"/>
          <w:spacing w:val="-18"/>
        </w:rPr>
        <w:t> </w:t>
      </w:r>
      <w:r>
        <w:rPr>
          <w:b w:val="0"/>
          <w:color w:val="465EFF"/>
          <w:spacing w:val="15"/>
        </w:rPr>
        <w:t>powered</w:t>
      </w:r>
      <w:r>
        <w:rPr>
          <w:b w:val="0"/>
          <w:color w:val="465EFF"/>
          <w:spacing w:val="15"/>
        </w:rPr>
        <w:t> </w:t>
      </w:r>
      <w:r>
        <w:rPr>
          <w:b w:val="0"/>
          <w:color w:val="465EFF"/>
          <w:spacing w:val="19"/>
        </w:rPr>
        <w:t>solutions</w:t>
      </w:r>
      <w:r>
        <w:rPr>
          <w:b w:val="0"/>
          <w:color w:val="465EFF"/>
          <w:spacing w:val="19"/>
        </w:rPr>
        <w:t> </w:t>
      </w:r>
      <w:r>
        <w:rPr>
          <w:b w:val="0"/>
          <w:color w:val="465EFF"/>
          <w:spacing w:val="11"/>
        </w:rPr>
        <w:t>for </w:t>
      </w:r>
      <w:r>
        <w:rPr>
          <w:b w:val="0"/>
          <w:color w:val="465EFF"/>
          <w:spacing w:val="19"/>
        </w:rPr>
        <w:t>companies</w:t>
      </w:r>
      <w:r>
        <w:rPr>
          <w:b w:val="0"/>
          <w:color w:val="465EFF"/>
          <w:spacing w:val="19"/>
        </w:rPr>
        <w:t> </w:t>
      </w:r>
      <w:r>
        <w:rPr>
          <w:b w:val="0"/>
          <w:color w:val="465EFF"/>
          <w:spacing w:val="18"/>
        </w:rPr>
        <w:t>generates</w:t>
      </w:r>
      <w:r>
        <w:rPr>
          <w:b w:val="0"/>
          <w:color w:val="465EFF"/>
          <w:spacing w:val="18"/>
        </w:rPr>
        <w:t> </w:t>
      </w:r>
      <w:r>
        <w:rPr>
          <w:b w:val="0"/>
          <w:color w:val="465EFF"/>
          <w:spacing w:val="12"/>
        </w:rPr>
        <w:t>over</w:t>
      </w:r>
      <w:r>
        <w:rPr>
          <w:b w:val="0"/>
          <w:color w:val="465EFF"/>
          <w:spacing w:val="12"/>
        </w:rPr>
        <w:t> </w:t>
      </w:r>
      <w:r>
        <w:rPr>
          <w:b w:val="0"/>
          <w:color w:val="465EFF"/>
          <w:spacing w:val="10"/>
        </w:rPr>
        <w:t>60 </w:t>
      </w:r>
      <w:r>
        <w:rPr>
          <w:b w:val="0"/>
          <w:color w:val="465EFF"/>
          <w:spacing w:val="19"/>
        </w:rPr>
        <w:t>million</w:t>
      </w:r>
      <w:r>
        <w:rPr>
          <w:b w:val="0"/>
          <w:color w:val="465EFF"/>
          <w:spacing w:val="19"/>
        </w:rPr>
        <w:t> </w:t>
      </w:r>
      <w:r>
        <w:rPr>
          <w:b w:val="0"/>
          <w:color w:val="465EFF"/>
          <w:spacing w:val="20"/>
        </w:rPr>
        <w:t>recommendations</w:t>
      </w:r>
    </w:p>
    <w:p>
      <w:pPr>
        <w:pStyle w:val="BodyText"/>
        <w:spacing w:line="321" w:lineRule="auto" w:before="205"/>
        <w:ind w:right="38"/>
      </w:pPr>
      <w:r>
        <w:rPr>
          <w:color w:val="1B1B22"/>
        </w:rPr>
        <w:t>A year ago, we launched ARI – Intelligent Recommendations Area, which uses Generative AI to help manage micro and small businesses. More than 60 million personalized recommendations have</w:t>
      </w:r>
      <w:r>
        <w:rPr>
          <w:color w:val="1B1B22"/>
          <w:spacing w:val="30"/>
        </w:rPr>
        <w:t>  </w:t>
      </w:r>
      <w:r>
        <w:rPr>
          <w:color w:val="1B1B22"/>
        </w:rPr>
        <w:t>already</w:t>
      </w:r>
      <w:r>
        <w:rPr>
          <w:color w:val="1B1B22"/>
          <w:spacing w:val="31"/>
        </w:rPr>
        <w:t>  </w:t>
      </w:r>
      <w:r>
        <w:rPr>
          <w:color w:val="1B1B22"/>
        </w:rPr>
        <w:t>been</w:t>
      </w:r>
      <w:r>
        <w:rPr>
          <w:color w:val="1B1B22"/>
          <w:spacing w:val="29"/>
        </w:rPr>
        <w:t>  </w:t>
      </w:r>
      <w:r>
        <w:rPr>
          <w:color w:val="1B1B22"/>
        </w:rPr>
        <w:t>generated,</w:t>
      </w:r>
      <w:r>
        <w:rPr>
          <w:color w:val="1B1B22"/>
          <w:spacing w:val="29"/>
        </w:rPr>
        <w:t>  </w:t>
      </w:r>
      <w:r>
        <w:rPr>
          <w:color w:val="1B1B22"/>
        </w:rPr>
        <w:t>benefiting</w:t>
      </w:r>
      <w:r>
        <w:rPr>
          <w:color w:val="1B1B22"/>
          <w:spacing w:val="30"/>
        </w:rPr>
        <w:t>  </w:t>
      </w:r>
      <w:r>
        <w:rPr>
          <w:color w:val="1B1B22"/>
          <w:spacing w:val="-5"/>
        </w:rPr>
        <w:t>2.6</w:t>
      </w:r>
    </w:p>
    <w:p>
      <w:pPr>
        <w:pStyle w:val="Heading2"/>
        <w:spacing w:line="321" w:lineRule="auto" w:before="0"/>
        <w:ind w:right="68"/>
        <w:rPr>
          <w:b w:val="0"/>
        </w:rPr>
      </w:pPr>
      <w:r>
        <w:rPr>
          <w:b w:val="0"/>
          <w:color w:val="465EFF"/>
          <w:spacing w:val="18"/>
        </w:rPr>
        <w:t>Generative</w:t>
      </w:r>
      <w:r>
        <w:rPr>
          <w:b w:val="0"/>
          <w:color w:val="465EFF"/>
          <w:spacing w:val="18"/>
        </w:rPr>
        <w:t> </w:t>
      </w:r>
      <w:r>
        <w:rPr>
          <w:b w:val="0"/>
          <w:color w:val="465EFF"/>
          <w:spacing w:val="12"/>
        </w:rPr>
        <w:t>AI</w:t>
      </w:r>
      <w:r>
        <w:rPr>
          <w:b w:val="0"/>
          <w:color w:val="465EFF"/>
          <w:spacing w:val="12"/>
        </w:rPr>
        <w:t> </w:t>
      </w:r>
      <w:r>
        <w:rPr>
          <w:b w:val="0"/>
          <w:color w:val="465EFF"/>
          <w:spacing w:val="10"/>
        </w:rPr>
        <w:t>in</w:t>
      </w:r>
      <w:r>
        <w:rPr>
          <w:b w:val="0"/>
          <w:color w:val="465EFF"/>
          <w:spacing w:val="10"/>
        </w:rPr>
        <w:t> </w:t>
      </w:r>
      <w:r>
        <w:rPr>
          <w:b w:val="0"/>
          <w:color w:val="465EFF"/>
          <w:spacing w:val="15"/>
        </w:rPr>
        <w:t>the</w:t>
      </w:r>
      <w:r>
        <w:rPr>
          <w:b w:val="0"/>
          <w:color w:val="465EFF"/>
          <w:spacing w:val="15"/>
        </w:rPr>
        <w:t> </w:t>
      </w:r>
      <w:r>
        <w:rPr>
          <w:b w:val="0"/>
          <w:color w:val="465EFF"/>
          <w:spacing w:val="18"/>
        </w:rPr>
        <w:t>personal </w:t>
      </w:r>
      <w:r>
        <w:rPr>
          <w:b w:val="0"/>
          <w:color w:val="465EFF"/>
          <w:spacing w:val="20"/>
        </w:rPr>
        <w:t>financial</w:t>
      </w:r>
      <w:r>
        <w:rPr>
          <w:b w:val="0"/>
          <w:color w:val="465EFF"/>
          <w:spacing w:val="20"/>
        </w:rPr>
        <w:t> </w:t>
      </w:r>
      <w:r>
        <w:rPr>
          <w:b w:val="0"/>
          <w:color w:val="465EFF"/>
          <w:spacing w:val="19"/>
        </w:rPr>
        <w:t>manager</w:t>
      </w:r>
    </w:p>
    <w:p>
      <w:pPr>
        <w:pStyle w:val="BodyText"/>
        <w:spacing w:line="321" w:lineRule="auto" w:before="114"/>
        <w:ind w:right="38"/>
      </w:pPr>
      <w:r>
        <w:rPr>
          <w:color w:val="1B1B22"/>
        </w:rPr>
        <w:t>Minhas Finanças Multibanco, our financial </w:t>
      </w:r>
      <w:r>
        <w:rPr>
          <w:color w:val="1B1B22"/>
          <w:spacing w:val="-2"/>
        </w:rPr>
        <w:t>management</w:t>
      </w:r>
      <w:r>
        <w:rPr>
          <w:color w:val="1B1B22"/>
          <w:spacing w:val="-11"/>
        </w:rPr>
        <w:t> </w:t>
      </w:r>
      <w:r>
        <w:rPr>
          <w:color w:val="1B1B22"/>
          <w:spacing w:val="-2"/>
        </w:rPr>
        <w:t>tool,</w:t>
      </w:r>
      <w:r>
        <w:rPr>
          <w:color w:val="1B1B22"/>
          <w:spacing w:val="-10"/>
        </w:rPr>
        <w:t> </w:t>
      </w:r>
      <w:r>
        <w:rPr>
          <w:color w:val="1B1B22"/>
          <w:spacing w:val="-2"/>
        </w:rPr>
        <w:t>now</w:t>
      </w:r>
      <w:r>
        <w:rPr>
          <w:color w:val="1B1B22"/>
          <w:spacing w:val="-11"/>
        </w:rPr>
        <w:t> </w:t>
      </w:r>
      <w:r>
        <w:rPr>
          <w:color w:val="1B1B22"/>
          <w:spacing w:val="-2"/>
        </w:rPr>
        <w:t>uses</w:t>
      </w:r>
      <w:r>
        <w:rPr>
          <w:color w:val="1B1B22"/>
          <w:spacing w:val="-10"/>
        </w:rPr>
        <w:t> </w:t>
      </w:r>
      <w:r>
        <w:rPr>
          <w:color w:val="1B1B22"/>
          <w:spacing w:val="-2"/>
        </w:rPr>
        <w:t>generative</w:t>
      </w:r>
      <w:r>
        <w:rPr>
          <w:color w:val="1B1B22"/>
          <w:spacing w:val="-10"/>
        </w:rPr>
        <w:t> </w:t>
      </w:r>
      <w:r>
        <w:rPr>
          <w:color w:val="1B1B22"/>
          <w:spacing w:val="-2"/>
        </w:rPr>
        <w:t>AI</w:t>
      </w:r>
      <w:r>
        <w:rPr>
          <w:color w:val="1B1B22"/>
          <w:spacing w:val="-11"/>
        </w:rPr>
        <w:t> </w:t>
      </w:r>
      <w:r>
        <w:rPr>
          <w:color w:val="1B1B22"/>
          <w:spacing w:val="-2"/>
        </w:rPr>
        <w:t>to</w:t>
      </w:r>
      <w:r>
        <w:rPr>
          <w:color w:val="1B1B22"/>
          <w:spacing w:val="-10"/>
        </w:rPr>
        <w:t> </w:t>
      </w:r>
      <w:r>
        <w:rPr>
          <w:color w:val="1B1B22"/>
          <w:spacing w:val="-2"/>
        </w:rPr>
        <w:t>create personalized</w:t>
      </w:r>
      <w:r>
        <w:rPr>
          <w:color w:val="1B1B22"/>
          <w:spacing w:val="-9"/>
        </w:rPr>
        <w:t> </w:t>
      </w:r>
      <w:r>
        <w:rPr>
          <w:color w:val="1B1B22"/>
          <w:spacing w:val="-2"/>
        </w:rPr>
        <w:t>tips,</w:t>
      </w:r>
      <w:r>
        <w:rPr>
          <w:color w:val="1B1B22"/>
          <w:spacing w:val="-6"/>
        </w:rPr>
        <w:t> </w:t>
      </w:r>
      <w:r>
        <w:rPr>
          <w:color w:val="1B1B22"/>
          <w:spacing w:val="-2"/>
        </w:rPr>
        <w:t>assisting</w:t>
      </w:r>
      <w:r>
        <w:rPr>
          <w:color w:val="1B1B22"/>
          <w:spacing w:val="-9"/>
        </w:rPr>
        <w:t> </w:t>
      </w:r>
      <w:r>
        <w:rPr>
          <w:color w:val="1B1B22"/>
          <w:spacing w:val="-2"/>
        </w:rPr>
        <w:t>more</w:t>
      </w:r>
      <w:r>
        <w:rPr>
          <w:color w:val="1B1B22"/>
          <w:spacing w:val="-9"/>
        </w:rPr>
        <w:t> </w:t>
      </w:r>
      <w:r>
        <w:rPr>
          <w:color w:val="1B1B22"/>
          <w:spacing w:val="-2"/>
        </w:rPr>
        <w:t>than</w:t>
      </w:r>
      <w:r>
        <w:rPr>
          <w:color w:val="1B1B22"/>
          <w:spacing w:val="-7"/>
        </w:rPr>
        <w:t> </w:t>
      </w:r>
      <w:r>
        <w:rPr>
          <w:color w:val="1B1B22"/>
          <w:spacing w:val="-2"/>
        </w:rPr>
        <w:t>seven</w:t>
      </w:r>
      <w:r>
        <w:rPr>
          <w:color w:val="1B1B22"/>
          <w:spacing w:val="-5"/>
        </w:rPr>
        <w:t> </w:t>
      </w:r>
      <w:r>
        <w:rPr>
          <w:color w:val="1B1B22"/>
          <w:spacing w:val="-2"/>
        </w:rPr>
        <w:t>million </w:t>
      </w:r>
      <w:r>
        <w:rPr>
          <w:color w:val="1B1B22"/>
        </w:rPr>
        <w:t>individual</w:t>
      </w:r>
      <w:r>
        <w:rPr>
          <w:color w:val="1B1B22"/>
          <w:spacing w:val="-1"/>
        </w:rPr>
        <w:t> </w:t>
      </w:r>
      <w:r>
        <w:rPr>
          <w:color w:val="1B1B22"/>
        </w:rPr>
        <w:t>customers</w:t>
      </w:r>
      <w:r>
        <w:rPr>
          <w:color w:val="1B1B22"/>
          <w:spacing w:val="-1"/>
        </w:rPr>
        <w:t> </w:t>
      </w:r>
      <w:r>
        <w:rPr>
          <w:color w:val="1B1B22"/>
        </w:rPr>
        <w:t>monthly.</w:t>
      </w:r>
      <w:r>
        <w:rPr>
          <w:color w:val="1B1B22"/>
          <w:spacing w:val="-13"/>
        </w:rPr>
        <w:t> </w:t>
      </w:r>
      <w:r>
        <w:rPr>
          <w:color w:val="1B1B22"/>
        </w:rPr>
        <w:t>These</w:t>
      </w:r>
      <w:r>
        <w:rPr>
          <w:color w:val="1B1B22"/>
          <w:spacing w:val="-1"/>
        </w:rPr>
        <w:t> </w:t>
      </w:r>
      <w:r>
        <w:rPr>
          <w:color w:val="1B1B22"/>
        </w:rPr>
        <w:t>tips</w:t>
      </w:r>
      <w:r>
        <w:rPr>
          <w:color w:val="1B1B22"/>
          <w:spacing w:val="-1"/>
        </w:rPr>
        <w:t> </w:t>
      </w:r>
      <w:r>
        <w:rPr>
          <w:color w:val="1B1B22"/>
        </w:rPr>
        <w:t>undergo a human curation process, ensuring message quality and mitigating unwanted biases. The tips are</w:t>
      </w:r>
      <w:r>
        <w:rPr>
          <w:color w:val="1B1B22"/>
          <w:spacing w:val="-3"/>
        </w:rPr>
        <w:t> </w:t>
      </w:r>
      <w:r>
        <w:rPr>
          <w:color w:val="1B1B22"/>
        </w:rPr>
        <w:t>presented</w:t>
      </w:r>
      <w:r>
        <w:rPr>
          <w:color w:val="1B1B22"/>
          <w:spacing w:val="-4"/>
        </w:rPr>
        <w:t> </w:t>
      </w:r>
      <w:r>
        <w:rPr>
          <w:color w:val="1B1B22"/>
        </w:rPr>
        <w:t>according</w:t>
      </w:r>
      <w:r>
        <w:rPr>
          <w:color w:val="1B1B22"/>
          <w:spacing w:val="-3"/>
        </w:rPr>
        <w:t> </w:t>
      </w:r>
      <w:r>
        <w:rPr>
          <w:color w:val="1B1B22"/>
        </w:rPr>
        <w:t>to</w:t>
      </w:r>
      <w:r>
        <w:rPr>
          <w:color w:val="1B1B22"/>
          <w:spacing w:val="-3"/>
        </w:rPr>
        <w:t> </w:t>
      </w:r>
      <w:r>
        <w:rPr>
          <w:color w:val="1B1B22"/>
        </w:rPr>
        <w:t>different</w:t>
      </w:r>
      <w:r>
        <w:rPr>
          <w:color w:val="1B1B22"/>
          <w:spacing w:val="-3"/>
        </w:rPr>
        <w:t> </w:t>
      </w:r>
      <w:r>
        <w:rPr>
          <w:color w:val="1B1B22"/>
        </w:rPr>
        <w:t>contexts</w:t>
      </w:r>
      <w:r>
        <w:rPr>
          <w:color w:val="1B1B22"/>
          <w:spacing w:val="-3"/>
        </w:rPr>
        <w:t> </w:t>
      </w:r>
      <w:r>
        <w:rPr>
          <w:color w:val="1B1B22"/>
        </w:rPr>
        <w:t>and customer financial profiles, addressing, for example, the best way to use credit or even suggesting data sharing via Open Finance to provide even more advantageous business </w:t>
      </w:r>
      <w:r>
        <w:rPr>
          <w:color w:val="1B1B22"/>
          <w:spacing w:val="-2"/>
        </w:rPr>
        <w:t>conditions.</w:t>
      </w:r>
    </w:p>
    <w:p>
      <w:pPr>
        <w:pStyle w:val="Heading2"/>
        <w:tabs>
          <w:tab w:pos="2016" w:val="left" w:leader="none"/>
          <w:tab w:pos="3635" w:val="left" w:leader="none"/>
        </w:tabs>
        <w:spacing w:line="321" w:lineRule="auto" w:before="105"/>
        <w:ind w:right="63"/>
        <w:rPr>
          <w:b w:val="0"/>
        </w:rPr>
      </w:pPr>
      <w:r>
        <w:rPr>
          <w:b w:val="0"/>
          <w:color w:val="465EFF"/>
          <w:spacing w:val="11"/>
        </w:rPr>
        <w:t>CRM</w:t>
      </w:r>
      <w:r>
        <w:rPr>
          <w:b w:val="0"/>
          <w:color w:val="465EFF"/>
        </w:rPr>
        <w:tab/>
      </w:r>
      <w:r>
        <w:rPr>
          <w:b w:val="0"/>
          <w:color w:val="465EFF"/>
          <w:spacing w:val="13"/>
        </w:rPr>
        <w:t>with</w:t>
      </w:r>
      <w:r>
        <w:rPr>
          <w:b w:val="0"/>
          <w:color w:val="465EFF"/>
        </w:rPr>
        <w:tab/>
      </w:r>
      <w:r>
        <w:rPr>
          <w:b w:val="0"/>
          <w:color w:val="465EFF"/>
          <w:spacing w:val="14"/>
        </w:rPr>
        <w:t>analytical </w:t>
      </w:r>
      <w:r>
        <w:rPr>
          <w:b w:val="0"/>
          <w:color w:val="465EFF"/>
          <w:spacing w:val="17"/>
        </w:rPr>
        <w:t>intelligence</w:t>
      </w:r>
    </w:p>
    <w:p>
      <w:pPr>
        <w:pStyle w:val="BodyText"/>
        <w:spacing w:line="321" w:lineRule="auto" w:before="127"/>
        <w:ind w:right="39"/>
      </w:pPr>
      <w:r>
        <w:rPr>
          <w:color w:val="1B1B22"/>
        </w:rPr>
        <w:t>We have advanced our CRM operations with analytical intelligence, automation, and agility, connecting customer needs with the most appropriate solutions across all channels. In 1H25, </w:t>
      </w:r>
      <w:r>
        <w:rPr>
          <w:color w:val="1B1B22"/>
          <w:spacing w:val="-2"/>
        </w:rPr>
        <w:t>we</w:t>
      </w:r>
      <w:r>
        <w:rPr>
          <w:color w:val="1B1B22"/>
          <w:spacing w:val="-11"/>
        </w:rPr>
        <w:t> </w:t>
      </w:r>
      <w:r>
        <w:rPr>
          <w:color w:val="1B1B22"/>
          <w:spacing w:val="-2"/>
        </w:rPr>
        <w:t>implemented</w:t>
      </w:r>
      <w:r>
        <w:rPr>
          <w:color w:val="1B1B22"/>
          <w:spacing w:val="-10"/>
        </w:rPr>
        <w:t> </w:t>
      </w:r>
      <w:r>
        <w:rPr>
          <w:color w:val="1B1B22"/>
          <w:spacing w:val="-2"/>
        </w:rPr>
        <w:t>over</w:t>
      </w:r>
      <w:r>
        <w:rPr>
          <w:color w:val="1B1B22"/>
          <w:spacing w:val="-11"/>
        </w:rPr>
        <w:t> </w:t>
      </w:r>
      <w:r>
        <w:rPr>
          <w:color w:val="1B1B22"/>
          <w:spacing w:val="-2"/>
        </w:rPr>
        <w:t>a</w:t>
      </w:r>
      <w:r>
        <w:rPr>
          <w:color w:val="1B1B22"/>
          <w:spacing w:val="-10"/>
        </w:rPr>
        <w:t> </w:t>
      </w:r>
      <w:r>
        <w:rPr>
          <w:color w:val="1B1B22"/>
          <w:spacing w:val="-2"/>
        </w:rPr>
        <w:t>thousand</w:t>
      </w:r>
      <w:r>
        <w:rPr>
          <w:color w:val="1B1B22"/>
          <w:spacing w:val="-10"/>
        </w:rPr>
        <w:t> </w:t>
      </w:r>
      <w:r>
        <w:rPr>
          <w:color w:val="1B1B22"/>
          <w:spacing w:val="-2"/>
        </w:rPr>
        <w:t>new</w:t>
      </w:r>
      <w:r>
        <w:rPr>
          <w:color w:val="1B1B22"/>
          <w:spacing w:val="-11"/>
        </w:rPr>
        <w:t> </w:t>
      </w:r>
      <w:r>
        <w:rPr>
          <w:color w:val="1B1B22"/>
          <w:spacing w:val="-2"/>
        </w:rPr>
        <w:t>personalized </w:t>
      </w:r>
      <w:r>
        <w:rPr>
          <w:color w:val="1B1B22"/>
        </w:rPr>
        <w:t>offering actions, generating 1.6 billion targeted interactions and 145 million effective customer </w:t>
      </w:r>
      <w:r>
        <w:rPr>
          <w:color w:val="1B1B22"/>
          <w:spacing w:val="-2"/>
        </w:rPr>
        <w:t>contacts.</w:t>
      </w:r>
    </w:p>
    <w:p>
      <w:pPr>
        <w:pStyle w:val="BodyText"/>
        <w:spacing w:line="321" w:lineRule="auto" w:before="80"/>
        <w:ind w:right="143"/>
      </w:pPr>
      <w:r>
        <w:rPr/>
        <w:br w:type="column"/>
      </w:r>
      <w:r>
        <w:rPr>
          <w:color w:val="1B1B22"/>
        </w:rPr>
        <w:t>million</w:t>
      </w:r>
      <w:r>
        <w:rPr>
          <w:color w:val="1B1B22"/>
          <w:spacing w:val="-3"/>
        </w:rPr>
        <w:t> </w:t>
      </w:r>
      <w:r>
        <w:rPr>
          <w:color w:val="1B1B22"/>
        </w:rPr>
        <w:t>businesses</w:t>
      </w:r>
      <w:r>
        <w:rPr>
          <w:color w:val="1B1B22"/>
          <w:spacing w:val="-1"/>
        </w:rPr>
        <w:t> </w:t>
      </w:r>
      <w:r>
        <w:rPr>
          <w:color w:val="1B1B22"/>
        </w:rPr>
        <w:t>across</w:t>
      </w:r>
      <w:r>
        <w:rPr>
          <w:color w:val="1B1B22"/>
          <w:spacing w:val="-3"/>
        </w:rPr>
        <w:t> </w:t>
      </w:r>
      <w:r>
        <w:rPr>
          <w:color w:val="1B1B22"/>
        </w:rPr>
        <w:t>the</w:t>
      </w:r>
      <w:r>
        <w:rPr>
          <w:color w:val="1B1B22"/>
          <w:spacing w:val="-2"/>
        </w:rPr>
        <w:t> </w:t>
      </w:r>
      <w:r>
        <w:rPr>
          <w:color w:val="1B1B22"/>
        </w:rPr>
        <w:t>country.</w:t>
      </w:r>
      <w:r>
        <w:rPr>
          <w:color w:val="1B1B22"/>
          <w:spacing w:val="-13"/>
        </w:rPr>
        <w:t> </w:t>
      </w:r>
      <w:r>
        <w:rPr>
          <w:color w:val="1B1B22"/>
        </w:rPr>
        <w:t>The</w:t>
      </w:r>
      <w:r>
        <w:rPr>
          <w:color w:val="1B1B22"/>
          <w:spacing w:val="-1"/>
        </w:rPr>
        <w:t> </w:t>
      </w:r>
      <w:r>
        <w:rPr>
          <w:color w:val="1B1B22"/>
        </w:rPr>
        <w:t>insights translate complex data into practical, accessible guidance, curated by humans to ensure security and relevance.</w:t>
      </w:r>
    </w:p>
    <w:p>
      <w:pPr>
        <w:pStyle w:val="BodyText"/>
        <w:spacing w:line="321" w:lineRule="auto" w:before="116"/>
        <w:ind w:right="141"/>
      </w:pPr>
      <w:r>
        <w:rPr>
          <w:color w:val="1B1B22"/>
        </w:rPr>
        <w:t>The tool is available on the PJ Panel (web), BB Digital PJ, and the BB PJ app. In 2Q25, it recorded 23,000</w:t>
      </w:r>
      <w:r>
        <w:rPr>
          <w:color w:val="1B1B22"/>
          <w:spacing w:val="-2"/>
        </w:rPr>
        <w:t> </w:t>
      </w:r>
      <w:r>
        <w:rPr>
          <w:color w:val="1B1B22"/>
        </w:rPr>
        <w:t>unique</w:t>
      </w:r>
      <w:r>
        <w:rPr>
          <w:color w:val="1B1B22"/>
          <w:spacing w:val="-3"/>
        </w:rPr>
        <w:t> </w:t>
      </w:r>
      <w:r>
        <w:rPr>
          <w:color w:val="1B1B22"/>
        </w:rPr>
        <w:t>visits</w:t>
      </w:r>
      <w:r>
        <w:rPr>
          <w:color w:val="1B1B22"/>
          <w:spacing w:val="-1"/>
        </w:rPr>
        <w:t> </w:t>
      </w:r>
      <w:r>
        <w:rPr>
          <w:color w:val="1B1B22"/>
        </w:rPr>
        <w:t>via</w:t>
      </w:r>
      <w:r>
        <w:rPr>
          <w:color w:val="1B1B22"/>
          <w:spacing w:val="-4"/>
        </w:rPr>
        <w:t> </w:t>
      </w:r>
      <w:r>
        <w:rPr>
          <w:color w:val="1B1B22"/>
        </w:rPr>
        <w:t>mobile,</w:t>
      </w:r>
      <w:r>
        <w:rPr>
          <w:color w:val="1B1B22"/>
          <w:spacing w:val="-2"/>
        </w:rPr>
        <w:t> </w:t>
      </w:r>
      <w:r>
        <w:rPr>
          <w:color w:val="1B1B22"/>
        </w:rPr>
        <w:t>and</w:t>
      </w:r>
      <w:r>
        <w:rPr>
          <w:color w:val="1B1B22"/>
          <w:spacing w:val="-2"/>
        </w:rPr>
        <w:t> </w:t>
      </w:r>
      <w:r>
        <w:rPr>
          <w:color w:val="1B1B22"/>
        </w:rPr>
        <w:t>the</w:t>
      </w:r>
      <w:r>
        <w:rPr>
          <w:color w:val="1B1B22"/>
          <w:spacing w:val="-3"/>
        </w:rPr>
        <w:t> </w:t>
      </w:r>
      <w:r>
        <w:rPr>
          <w:color w:val="1B1B22"/>
        </w:rPr>
        <w:t>PJ</w:t>
      </w:r>
      <w:r>
        <w:rPr>
          <w:color w:val="1B1B22"/>
          <w:spacing w:val="-2"/>
        </w:rPr>
        <w:t> </w:t>
      </w:r>
      <w:r>
        <w:rPr>
          <w:color w:val="1B1B22"/>
        </w:rPr>
        <w:t>Panel's NPS reached 83.66, one of the highest in the </w:t>
      </w:r>
      <w:r>
        <w:rPr>
          <w:color w:val="1B1B22"/>
          <w:spacing w:val="-2"/>
        </w:rPr>
        <w:t>category.</w:t>
      </w:r>
    </w:p>
    <w:p>
      <w:pPr>
        <w:pStyle w:val="Heading2"/>
        <w:spacing w:before="136"/>
        <w:rPr>
          <w:b w:val="0"/>
        </w:rPr>
      </w:pPr>
      <w:r>
        <w:rPr>
          <w:b w:val="0"/>
          <w:color w:val="465EFF"/>
          <w:spacing w:val="16"/>
        </w:rPr>
        <w:t>Female</w:t>
      </w:r>
      <w:r>
        <w:rPr>
          <w:b w:val="0"/>
          <w:color w:val="465EFF"/>
          <w:spacing w:val="51"/>
        </w:rPr>
        <w:t> </w:t>
      </w:r>
      <w:r>
        <w:rPr>
          <w:b w:val="0"/>
          <w:color w:val="465EFF"/>
          <w:spacing w:val="17"/>
        </w:rPr>
        <w:t>Entrepreneurship</w:t>
      </w:r>
    </w:p>
    <w:p>
      <w:pPr>
        <w:pStyle w:val="BodyText"/>
        <w:spacing w:line="321" w:lineRule="auto" w:before="250"/>
        <w:ind w:right="141"/>
      </w:pPr>
      <w:r>
        <w:rPr>
          <w:color w:val="1B1B22"/>
        </w:rPr>
        <w:t>We reaffirm our commitment to gender equality and female entrepreneurship. In 2Q25, we disbursed R$294.6 million in exclusive credit lines for women, such as GIRO and FCO Mulher Empreendedora (Women Entrepreneur Credit Line),</w:t>
      </w:r>
      <w:r>
        <w:rPr>
          <w:color w:val="1B1B22"/>
          <w:spacing w:val="-9"/>
        </w:rPr>
        <w:t> </w:t>
      </w:r>
      <w:r>
        <w:rPr>
          <w:color w:val="1B1B22"/>
        </w:rPr>
        <w:t>benefiting</w:t>
      </w:r>
      <w:r>
        <w:rPr>
          <w:color w:val="1B1B22"/>
          <w:spacing w:val="-8"/>
        </w:rPr>
        <w:t> </w:t>
      </w:r>
      <w:r>
        <w:rPr>
          <w:color w:val="1B1B22"/>
        </w:rPr>
        <w:t>more</w:t>
      </w:r>
      <w:r>
        <w:rPr>
          <w:color w:val="1B1B22"/>
          <w:spacing w:val="-9"/>
        </w:rPr>
        <w:t> </w:t>
      </w:r>
      <w:r>
        <w:rPr>
          <w:color w:val="1B1B22"/>
        </w:rPr>
        <w:t>than</w:t>
      </w:r>
      <w:r>
        <w:rPr>
          <w:color w:val="1B1B22"/>
          <w:spacing w:val="-8"/>
        </w:rPr>
        <w:t> </w:t>
      </w:r>
      <w:r>
        <w:rPr>
          <w:color w:val="1B1B22"/>
        </w:rPr>
        <w:t>1.3</w:t>
      </w:r>
      <w:r>
        <w:rPr>
          <w:color w:val="1B1B22"/>
          <w:spacing w:val="-9"/>
        </w:rPr>
        <w:t> </w:t>
      </w:r>
      <w:r>
        <w:rPr>
          <w:color w:val="1B1B22"/>
        </w:rPr>
        <w:t>million</w:t>
      </w:r>
      <w:r>
        <w:rPr>
          <w:color w:val="1B1B22"/>
          <w:spacing w:val="-8"/>
        </w:rPr>
        <w:t> </w:t>
      </w:r>
      <w:r>
        <w:rPr>
          <w:color w:val="1B1B22"/>
        </w:rPr>
        <w:t>women-led </w:t>
      </w:r>
      <w:r>
        <w:rPr>
          <w:color w:val="1B1B22"/>
          <w:spacing w:val="-2"/>
        </w:rPr>
        <w:t>businesses.</w:t>
      </w:r>
    </w:p>
    <w:p>
      <w:pPr>
        <w:pStyle w:val="BodyText"/>
        <w:spacing w:line="321" w:lineRule="auto" w:before="115"/>
        <w:ind w:right="142"/>
      </w:pPr>
      <w:r>
        <w:rPr>
          <w:color w:val="1B1B22"/>
        </w:rPr>
        <w:t>In Foreign Trade, we promoted the international integration of female SMEs. The First Export – Women in the</w:t>
      </w:r>
      <w:r>
        <w:rPr>
          <w:color w:val="1B1B22"/>
          <w:spacing w:val="-7"/>
        </w:rPr>
        <w:t> </w:t>
      </w:r>
      <w:r>
        <w:rPr>
          <w:color w:val="1B1B22"/>
        </w:rPr>
        <w:t>World Edition program had trained 550 female entrepreneurs by June 2025, who are already exporting to more than 50 countries.</w:t>
      </w:r>
    </w:p>
    <w:p>
      <w:pPr>
        <w:pStyle w:val="Heading2"/>
        <w:spacing w:before="108"/>
        <w:rPr>
          <w:b w:val="0"/>
        </w:rPr>
      </w:pPr>
      <w:r>
        <w:rPr>
          <w:b w:val="0"/>
          <w:color w:val="465EFF"/>
          <w:spacing w:val="11"/>
        </w:rPr>
        <w:t>BB</w:t>
      </w:r>
      <w:r>
        <w:rPr>
          <w:b w:val="0"/>
          <w:color w:val="465EFF"/>
          <w:spacing w:val="44"/>
        </w:rPr>
        <w:t> </w:t>
      </w:r>
      <w:r>
        <w:rPr>
          <w:b w:val="0"/>
          <w:color w:val="465EFF"/>
          <w:spacing w:val="16"/>
        </w:rPr>
        <w:t>Cofrinho</w:t>
      </w:r>
    </w:p>
    <w:p>
      <w:pPr>
        <w:pStyle w:val="BodyText"/>
        <w:spacing w:line="321" w:lineRule="auto" w:before="250"/>
        <w:ind w:right="140"/>
      </w:pPr>
      <w:r>
        <w:rPr>
          <w:color w:val="1B1B22"/>
        </w:rPr>
        <w:t>In addition to our financial education solutions, in May 2025 we made BB Cofrinho, our financial reserve building tool, available to all individual customers. Through the BB app, you can create goals,</w:t>
      </w:r>
      <w:r>
        <w:rPr>
          <w:color w:val="1B1B22"/>
          <w:spacing w:val="-9"/>
        </w:rPr>
        <w:t> </w:t>
      </w:r>
      <w:r>
        <w:rPr>
          <w:color w:val="1B1B22"/>
        </w:rPr>
        <w:t>track</w:t>
      </w:r>
      <w:r>
        <w:rPr>
          <w:color w:val="1B1B22"/>
          <w:spacing w:val="-9"/>
        </w:rPr>
        <w:t> </w:t>
      </w:r>
      <w:r>
        <w:rPr>
          <w:color w:val="1B1B22"/>
        </w:rPr>
        <w:t>your</w:t>
      </w:r>
      <w:r>
        <w:rPr>
          <w:color w:val="1B1B22"/>
          <w:spacing w:val="-10"/>
        </w:rPr>
        <w:t> </w:t>
      </w:r>
      <w:r>
        <w:rPr>
          <w:color w:val="1B1B22"/>
        </w:rPr>
        <w:t>financial</w:t>
      </w:r>
      <w:r>
        <w:rPr>
          <w:color w:val="1B1B22"/>
          <w:spacing w:val="-8"/>
        </w:rPr>
        <w:t> </w:t>
      </w:r>
      <w:r>
        <w:rPr>
          <w:color w:val="1B1B22"/>
        </w:rPr>
        <w:t>progress,</w:t>
      </w:r>
      <w:r>
        <w:rPr>
          <w:color w:val="1B1B22"/>
          <w:spacing w:val="-9"/>
        </w:rPr>
        <w:t> </w:t>
      </w:r>
      <w:r>
        <w:rPr>
          <w:color w:val="1B1B22"/>
        </w:rPr>
        <w:t>and</w:t>
      </w:r>
      <w:r>
        <w:rPr>
          <w:color w:val="1B1B22"/>
          <w:spacing w:val="-9"/>
        </w:rPr>
        <w:t> </w:t>
      </w:r>
      <w:r>
        <w:rPr>
          <w:color w:val="1B1B22"/>
        </w:rPr>
        <w:t>customize </w:t>
      </w:r>
      <w:r>
        <w:rPr>
          <w:color w:val="1B1B22"/>
          <w:spacing w:val="-2"/>
        </w:rPr>
        <w:t>each</w:t>
      </w:r>
      <w:r>
        <w:rPr>
          <w:color w:val="1B1B22"/>
          <w:spacing w:val="-9"/>
        </w:rPr>
        <w:t> </w:t>
      </w:r>
      <w:r>
        <w:rPr>
          <w:color w:val="1B1B22"/>
          <w:spacing w:val="-2"/>
        </w:rPr>
        <w:t>objective</w:t>
      </w:r>
      <w:r>
        <w:rPr>
          <w:color w:val="1B1B22"/>
          <w:spacing w:val="-9"/>
        </w:rPr>
        <w:t> </w:t>
      </w:r>
      <w:r>
        <w:rPr>
          <w:color w:val="1B1B22"/>
          <w:spacing w:val="-2"/>
        </w:rPr>
        <w:t>in</w:t>
      </w:r>
      <w:r>
        <w:rPr>
          <w:color w:val="1B1B22"/>
          <w:spacing w:val="-8"/>
        </w:rPr>
        <w:t> </w:t>
      </w:r>
      <w:r>
        <w:rPr>
          <w:color w:val="1B1B22"/>
          <w:spacing w:val="-2"/>
        </w:rPr>
        <w:t>a</w:t>
      </w:r>
      <w:r>
        <w:rPr>
          <w:color w:val="1B1B22"/>
          <w:spacing w:val="-9"/>
        </w:rPr>
        <w:t> </w:t>
      </w:r>
      <w:r>
        <w:rPr>
          <w:color w:val="1B1B22"/>
          <w:spacing w:val="-2"/>
        </w:rPr>
        <w:t>simple,</w:t>
      </w:r>
      <w:r>
        <w:rPr>
          <w:color w:val="1B1B22"/>
          <w:spacing w:val="-11"/>
        </w:rPr>
        <w:t> </w:t>
      </w:r>
      <w:r>
        <w:rPr>
          <w:color w:val="1B1B22"/>
          <w:spacing w:val="-2"/>
        </w:rPr>
        <w:t>intuitive,</w:t>
      </w:r>
      <w:r>
        <w:rPr>
          <w:color w:val="1B1B22"/>
          <w:spacing w:val="-8"/>
        </w:rPr>
        <w:t> </w:t>
      </w:r>
      <w:r>
        <w:rPr>
          <w:color w:val="1B1B22"/>
          <w:spacing w:val="-2"/>
        </w:rPr>
        <w:t>and</w:t>
      </w:r>
      <w:r>
        <w:rPr>
          <w:color w:val="1B1B22"/>
          <w:spacing w:val="-8"/>
        </w:rPr>
        <w:t> </w:t>
      </w:r>
      <w:r>
        <w:rPr>
          <w:color w:val="1B1B22"/>
          <w:spacing w:val="-2"/>
        </w:rPr>
        <w:t>secure</w:t>
      </w:r>
      <w:r>
        <w:rPr>
          <w:color w:val="1B1B22"/>
          <w:spacing w:val="-9"/>
        </w:rPr>
        <w:t> </w:t>
      </w:r>
      <w:r>
        <w:rPr>
          <w:color w:val="1B1B22"/>
          <w:spacing w:val="-2"/>
        </w:rPr>
        <w:t>way. The</w:t>
      </w:r>
      <w:r>
        <w:rPr>
          <w:color w:val="1B1B22"/>
          <w:spacing w:val="-11"/>
        </w:rPr>
        <w:t> </w:t>
      </w:r>
      <w:r>
        <w:rPr>
          <w:color w:val="1B1B22"/>
          <w:spacing w:val="-2"/>
        </w:rPr>
        <w:t>solution,</w:t>
      </w:r>
      <w:r>
        <w:rPr>
          <w:color w:val="1B1B22"/>
          <w:spacing w:val="-10"/>
        </w:rPr>
        <w:t> </w:t>
      </w:r>
      <w:r>
        <w:rPr>
          <w:color w:val="1B1B22"/>
          <w:spacing w:val="-2"/>
        </w:rPr>
        <w:t>launched</w:t>
      </w:r>
      <w:r>
        <w:rPr>
          <w:color w:val="1B1B22"/>
          <w:spacing w:val="-11"/>
        </w:rPr>
        <w:t> </w:t>
      </w:r>
      <w:r>
        <w:rPr>
          <w:color w:val="1B1B22"/>
          <w:spacing w:val="-2"/>
        </w:rPr>
        <w:t>in</w:t>
      </w:r>
      <w:r>
        <w:rPr>
          <w:color w:val="1B1B22"/>
          <w:spacing w:val="-10"/>
        </w:rPr>
        <w:t> </w:t>
      </w:r>
      <w:r>
        <w:rPr>
          <w:color w:val="1B1B22"/>
          <w:spacing w:val="-2"/>
        </w:rPr>
        <w:t>2024</w:t>
      </w:r>
      <w:r>
        <w:rPr>
          <w:color w:val="1B1B22"/>
          <w:spacing w:val="-10"/>
        </w:rPr>
        <w:t> </w:t>
      </w:r>
      <w:r>
        <w:rPr>
          <w:color w:val="1B1B22"/>
          <w:spacing w:val="-2"/>
        </w:rPr>
        <w:t>initially</w:t>
      </w:r>
      <w:r>
        <w:rPr>
          <w:color w:val="1B1B22"/>
          <w:spacing w:val="-11"/>
        </w:rPr>
        <w:t> </w:t>
      </w:r>
      <w:r>
        <w:rPr>
          <w:color w:val="1B1B22"/>
          <w:spacing w:val="-2"/>
        </w:rPr>
        <w:t>for</w:t>
      </w:r>
      <w:r>
        <w:rPr>
          <w:color w:val="1B1B22"/>
          <w:spacing w:val="-10"/>
        </w:rPr>
        <w:t> </w:t>
      </w:r>
      <w:r>
        <w:rPr>
          <w:color w:val="1B1B22"/>
          <w:spacing w:val="-2"/>
        </w:rPr>
        <w:t>exclusive </w:t>
      </w:r>
      <w:r>
        <w:rPr>
          <w:color w:val="1B1B22"/>
        </w:rPr>
        <w:t>use by young people, closed the semester with more than 90 thousand customers, with 65% of customers younger than 40 years old, and the investment volume exceeding R$145 million.</w:t>
      </w:r>
    </w:p>
    <w:p>
      <w:pPr>
        <w:pStyle w:val="BodyText"/>
        <w:spacing w:after="0" w:line="321" w:lineRule="auto"/>
        <w:sectPr>
          <w:type w:val="continuous"/>
          <w:pgSz w:w="11910" w:h="16850"/>
          <w:pgMar w:header="152" w:footer="570" w:top="1920" w:bottom="280" w:left="425" w:right="708"/>
          <w:cols w:num="2" w:equalWidth="0">
            <w:col w:w="5215" w:space="241"/>
            <w:col w:w="5321"/>
          </w:cols>
        </w:sectPr>
      </w:pPr>
    </w:p>
    <w:p>
      <w:pPr>
        <w:pStyle w:val="Heading1"/>
        <w:spacing w:before="297"/>
      </w:pPr>
      <w:r>
        <w:rPr>
          <w:color w:val="465EFF"/>
          <w:spacing w:val="31"/>
        </w:rPr>
        <w:t>Shareholders</w:t>
      </w:r>
    </w:p>
    <w:p>
      <w:pPr>
        <w:pStyle w:val="BodyText"/>
        <w:spacing w:line="321" w:lineRule="auto" w:before="335"/>
        <w:ind w:right="137"/>
      </w:pPr>
      <w:r>
        <w:rPr>
          <w:color w:val="1B1B22"/>
        </w:rPr>
        <w:t>We have a base of 1.6 million shareholders, 99.0% of whom are local individuals. At the end of June, our shareholding</w:t>
      </w:r>
      <w:r>
        <w:rPr>
          <w:color w:val="1B1B22"/>
          <w:spacing w:val="-5"/>
        </w:rPr>
        <w:t> </w:t>
      </w:r>
      <w:r>
        <w:rPr>
          <w:color w:val="1B1B22"/>
        </w:rPr>
        <w:t>structure</w:t>
      </w:r>
      <w:r>
        <w:rPr>
          <w:color w:val="1B1B22"/>
          <w:spacing w:val="-6"/>
        </w:rPr>
        <w:t> </w:t>
      </w:r>
      <w:r>
        <w:rPr>
          <w:color w:val="1B1B22"/>
        </w:rPr>
        <w:t>was</w:t>
      </w:r>
      <w:r>
        <w:rPr>
          <w:color w:val="1B1B22"/>
          <w:spacing w:val="-5"/>
        </w:rPr>
        <w:t> </w:t>
      </w:r>
      <w:r>
        <w:rPr>
          <w:color w:val="1B1B22"/>
        </w:rPr>
        <w:t>divided</w:t>
      </w:r>
      <w:r>
        <w:rPr>
          <w:color w:val="1B1B22"/>
          <w:spacing w:val="-5"/>
        </w:rPr>
        <w:t> </w:t>
      </w:r>
      <w:r>
        <w:rPr>
          <w:color w:val="1B1B22"/>
        </w:rPr>
        <w:t>between</w:t>
      </w:r>
      <w:r>
        <w:rPr>
          <w:color w:val="1B1B22"/>
          <w:spacing w:val="-5"/>
        </w:rPr>
        <w:t> </w:t>
      </w:r>
      <w:r>
        <w:rPr>
          <w:color w:val="1B1B22"/>
        </w:rPr>
        <w:t>50%</w:t>
      </w:r>
      <w:r>
        <w:rPr>
          <w:color w:val="1B1B22"/>
          <w:spacing w:val="-6"/>
        </w:rPr>
        <w:t> </w:t>
      </w:r>
      <w:r>
        <w:rPr>
          <w:color w:val="1B1B22"/>
        </w:rPr>
        <w:t>federally</w:t>
      </w:r>
      <w:r>
        <w:rPr>
          <w:color w:val="1B1B22"/>
          <w:spacing w:val="-5"/>
        </w:rPr>
        <w:t> </w:t>
      </w:r>
      <w:r>
        <w:rPr>
          <w:color w:val="1B1B22"/>
        </w:rPr>
        <w:t>held</w:t>
      </w:r>
      <w:r>
        <w:rPr>
          <w:color w:val="1B1B22"/>
          <w:spacing w:val="-5"/>
        </w:rPr>
        <w:t> </w:t>
      </w:r>
      <w:r>
        <w:rPr>
          <w:color w:val="1B1B22"/>
        </w:rPr>
        <w:t>shares,</w:t>
      </w:r>
      <w:r>
        <w:rPr>
          <w:color w:val="1B1B22"/>
          <w:spacing w:val="-5"/>
        </w:rPr>
        <w:t> </w:t>
      </w:r>
      <w:r>
        <w:rPr>
          <w:color w:val="1B1B22"/>
        </w:rPr>
        <w:t>49.6%</w:t>
      </w:r>
      <w:r>
        <w:rPr>
          <w:color w:val="1B1B22"/>
          <w:spacing w:val="-6"/>
        </w:rPr>
        <w:t> </w:t>
      </w:r>
      <w:r>
        <w:rPr>
          <w:color w:val="1B1B22"/>
        </w:rPr>
        <w:t>free</w:t>
      </w:r>
      <w:r>
        <w:rPr>
          <w:color w:val="1B1B22"/>
          <w:spacing w:val="-6"/>
        </w:rPr>
        <w:t> </w:t>
      </w:r>
      <w:r>
        <w:rPr>
          <w:color w:val="1B1B22"/>
        </w:rPr>
        <w:t>float,</w:t>
      </w:r>
      <w:r>
        <w:rPr>
          <w:color w:val="1B1B22"/>
          <w:spacing w:val="-4"/>
        </w:rPr>
        <w:t> </w:t>
      </w:r>
      <w:r>
        <w:rPr>
          <w:color w:val="1B1B22"/>
        </w:rPr>
        <w:t>and</w:t>
      </w:r>
      <w:r>
        <w:rPr>
          <w:color w:val="1B1B22"/>
          <w:spacing w:val="-5"/>
        </w:rPr>
        <w:t> </w:t>
      </w:r>
      <w:r>
        <w:rPr>
          <w:color w:val="1B1B22"/>
        </w:rPr>
        <w:t>0.4% treasury </w:t>
      </w:r>
      <w:r>
        <w:rPr>
          <w:color w:val="1B1B22"/>
          <w:spacing w:val="-4"/>
        </w:rPr>
        <w:t>shares. Of the total shares, 77.6% are held by local investors and 22.4% by investors residing abroad. Our shares </w:t>
      </w:r>
      <w:r>
        <w:rPr>
          <w:color w:val="1B1B22"/>
        </w:rPr>
        <w:t>(BBAS3) represented 2.55% of the Ibovespa index in the last four months. On the last trading day of June, BBAS3 was quoted at R$22.09.</w:t>
      </w:r>
    </w:p>
    <w:p>
      <w:pPr>
        <w:pStyle w:val="Heading1"/>
        <w:spacing w:before="92"/>
      </w:pPr>
      <w:r>
        <w:rPr>
          <w:color w:val="465EFF"/>
          <w:spacing w:val="31"/>
        </w:rPr>
        <w:t>Strategy</w:t>
      </w:r>
      <w:r>
        <w:rPr>
          <w:color w:val="465EFF"/>
          <w:spacing w:val="62"/>
        </w:rPr>
        <w:t> </w:t>
      </w:r>
      <w:r>
        <w:rPr>
          <w:color w:val="465EFF"/>
          <w:spacing w:val="26"/>
        </w:rPr>
        <w:t>and</w:t>
      </w:r>
      <w:r>
        <w:rPr>
          <w:color w:val="465EFF"/>
          <w:spacing w:val="65"/>
        </w:rPr>
        <w:t> </w:t>
      </w:r>
      <w:r>
        <w:rPr>
          <w:color w:val="465EFF"/>
          <w:spacing w:val="30"/>
        </w:rPr>
        <w:t>Corporate</w:t>
      </w:r>
      <w:r>
        <w:rPr>
          <w:color w:val="465EFF"/>
          <w:spacing w:val="66"/>
        </w:rPr>
        <w:t> </w:t>
      </w:r>
      <w:r>
        <w:rPr>
          <w:color w:val="465EFF"/>
          <w:spacing w:val="29"/>
        </w:rPr>
        <w:t>Governance</w:t>
      </w:r>
    </w:p>
    <w:p>
      <w:pPr>
        <w:pStyle w:val="BodyText"/>
        <w:spacing w:before="80"/>
        <w:ind w:left="0"/>
        <w:jc w:val="left"/>
        <w:rPr>
          <w:rFonts w:ascii="BancoDoBrasil Titulos"/>
        </w:rPr>
      </w:pPr>
    </w:p>
    <w:p>
      <w:pPr>
        <w:pStyle w:val="BodyText"/>
        <w:spacing w:line="321" w:lineRule="auto"/>
        <w:ind w:left="5883" w:right="143"/>
      </w:pPr>
      <w:r>
        <w:rPr/>
        <mc:AlternateContent>
          <mc:Choice Requires="wps">
            <w:drawing>
              <wp:anchor distT="0" distB="0" distL="0" distR="0" allowOverlap="1" layoutInCell="1" locked="0" behindDoc="0" simplePos="0" relativeHeight="15730688">
                <wp:simplePos x="0" y="0"/>
                <wp:positionH relativeFrom="page">
                  <wp:posOffset>300354</wp:posOffset>
                </wp:positionH>
                <wp:positionV relativeFrom="paragraph">
                  <wp:posOffset>-168440</wp:posOffset>
                </wp:positionV>
                <wp:extent cx="3559175" cy="5109845"/>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3559175" cy="5109845"/>
                        </a:xfrm>
                        <a:prstGeom prst="rect">
                          <a:avLst/>
                        </a:prstGeom>
                        <a:solidFill>
                          <a:srgbClr val="FFB7AB"/>
                        </a:solidFill>
                      </wps:spPr>
                      <wps:txbx>
                        <w:txbxContent>
                          <w:p>
                            <w:pPr>
                              <w:pStyle w:val="BodyText"/>
                              <w:spacing w:before="11"/>
                              <w:ind w:left="0"/>
                              <w:jc w:val="left"/>
                              <w:rPr>
                                <w:color w:val="000000"/>
                              </w:rPr>
                            </w:pPr>
                          </w:p>
                          <w:p>
                            <w:pPr>
                              <w:pStyle w:val="BodyText"/>
                              <w:spacing w:line="321" w:lineRule="auto"/>
                              <w:ind w:left="379" w:right="476"/>
                              <w:rPr>
                                <w:color w:val="000000"/>
                              </w:rPr>
                            </w:pPr>
                            <w:r>
                              <w:rPr>
                                <w:color w:val="1B1B22"/>
                              </w:rPr>
                              <w:t>The Corporate Strategy (ECBB) is the document </w:t>
                            </w:r>
                            <w:r>
                              <w:rPr>
                                <w:color w:val="1B1B22"/>
                                <w:spacing w:val="-2"/>
                              </w:rPr>
                              <w:t>that</w:t>
                            </w:r>
                            <w:r>
                              <w:rPr>
                                <w:color w:val="1B1B22"/>
                                <w:spacing w:val="-11"/>
                              </w:rPr>
                              <w:t> </w:t>
                            </w:r>
                            <w:r>
                              <w:rPr>
                                <w:color w:val="1B1B22"/>
                                <w:spacing w:val="-2"/>
                              </w:rPr>
                              <w:t>reflects</w:t>
                            </w:r>
                            <w:r>
                              <w:rPr>
                                <w:color w:val="1B1B22"/>
                                <w:spacing w:val="-10"/>
                              </w:rPr>
                              <w:t> </w:t>
                            </w:r>
                            <w:r>
                              <w:rPr>
                                <w:color w:val="1B1B22"/>
                                <w:spacing w:val="-2"/>
                              </w:rPr>
                              <w:t>the</w:t>
                            </w:r>
                            <w:r>
                              <w:rPr>
                                <w:color w:val="1B1B22"/>
                                <w:spacing w:val="-11"/>
                              </w:rPr>
                              <w:t> </w:t>
                            </w:r>
                            <w:r>
                              <w:rPr>
                                <w:color w:val="1B1B22"/>
                                <w:spacing w:val="-2"/>
                              </w:rPr>
                              <w:t>essence</w:t>
                            </w:r>
                            <w:r>
                              <w:rPr>
                                <w:color w:val="1B1B22"/>
                                <w:spacing w:val="-10"/>
                              </w:rPr>
                              <w:t> </w:t>
                            </w:r>
                            <w:r>
                              <w:rPr>
                                <w:color w:val="1B1B22"/>
                                <w:spacing w:val="-2"/>
                              </w:rPr>
                              <w:t>of</w:t>
                            </w:r>
                            <w:r>
                              <w:rPr>
                                <w:color w:val="1B1B22"/>
                                <w:spacing w:val="-10"/>
                              </w:rPr>
                              <w:t> </w:t>
                            </w:r>
                            <w:r>
                              <w:rPr>
                                <w:color w:val="1B1B22"/>
                                <w:spacing w:val="-2"/>
                              </w:rPr>
                              <w:t>our</w:t>
                            </w:r>
                            <w:r>
                              <w:rPr>
                                <w:color w:val="1B1B22"/>
                                <w:spacing w:val="-11"/>
                              </w:rPr>
                              <w:t> </w:t>
                            </w:r>
                            <w:r>
                              <w:rPr>
                                <w:color w:val="1B1B22"/>
                                <w:spacing w:val="-2"/>
                              </w:rPr>
                              <w:t>company,</w:t>
                            </w:r>
                            <w:r>
                              <w:rPr>
                                <w:color w:val="1B1B22"/>
                                <w:spacing w:val="-10"/>
                              </w:rPr>
                              <w:t> </w:t>
                            </w:r>
                            <w:r>
                              <w:rPr>
                                <w:color w:val="1B1B22"/>
                                <w:spacing w:val="-2"/>
                              </w:rPr>
                              <w:t>our</w:t>
                            </w:r>
                            <w:r>
                              <w:rPr>
                                <w:color w:val="1B1B22"/>
                                <w:spacing w:val="-10"/>
                              </w:rPr>
                              <w:t> </w:t>
                            </w:r>
                            <w:r>
                              <w:rPr>
                                <w:color w:val="1B1B22"/>
                                <w:spacing w:val="-2"/>
                              </w:rPr>
                              <w:t>vision </w:t>
                            </w:r>
                            <w:r>
                              <w:rPr>
                                <w:color w:val="1B1B22"/>
                              </w:rPr>
                              <w:t>for</w:t>
                            </w:r>
                            <w:r>
                              <w:rPr>
                                <w:color w:val="1B1B22"/>
                                <w:spacing w:val="-11"/>
                              </w:rPr>
                              <w:t> </w:t>
                            </w:r>
                            <w:r>
                              <w:rPr>
                                <w:color w:val="1B1B22"/>
                              </w:rPr>
                              <w:t>the</w:t>
                            </w:r>
                            <w:r>
                              <w:rPr>
                                <w:color w:val="1B1B22"/>
                                <w:spacing w:val="-11"/>
                              </w:rPr>
                              <w:t> </w:t>
                            </w:r>
                            <w:r>
                              <w:rPr>
                                <w:color w:val="1B1B22"/>
                              </w:rPr>
                              <w:t>future,</w:t>
                            </w:r>
                            <w:r>
                              <w:rPr>
                                <w:color w:val="1B1B22"/>
                                <w:spacing w:val="-11"/>
                              </w:rPr>
                              <w:t> </w:t>
                            </w:r>
                            <w:r>
                              <w:rPr>
                                <w:color w:val="1B1B22"/>
                              </w:rPr>
                              <w:t>and</w:t>
                            </w:r>
                            <w:r>
                              <w:rPr>
                                <w:color w:val="1B1B22"/>
                                <w:spacing w:val="-9"/>
                              </w:rPr>
                              <w:t> </w:t>
                            </w:r>
                            <w:r>
                              <w:rPr>
                                <w:color w:val="1B1B22"/>
                              </w:rPr>
                              <w:t>our</w:t>
                            </w:r>
                            <w:r>
                              <w:rPr>
                                <w:color w:val="1B1B22"/>
                                <w:spacing w:val="-9"/>
                              </w:rPr>
                              <w:t> </w:t>
                            </w:r>
                            <w:r>
                              <w:rPr>
                                <w:color w:val="1B1B22"/>
                              </w:rPr>
                              <w:t>desired</w:t>
                            </w:r>
                            <w:r>
                              <w:rPr>
                                <w:color w:val="1B1B22"/>
                                <w:spacing w:val="-11"/>
                              </w:rPr>
                              <w:t> </w:t>
                            </w:r>
                            <w:r>
                              <w:rPr>
                                <w:color w:val="1B1B22"/>
                              </w:rPr>
                              <w:t>destination.</w:t>
                            </w:r>
                            <w:r>
                              <w:rPr>
                                <w:color w:val="1B1B22"/>
                                <w:spacing w:val="-11"/>
                              </w:rPr>
                              <w:t> </w:t>
                            </w:r>
                            <w:r>
                              <w:rPr>
                                <w:color w:val="1B1B22"/>
                              </w:rPr>
                              <w:t>It</w:t>
                            </w:r>
                            <w:r>
                              <w:rPr>
                                <w:color w:val="1B1B22"/>
                                <w:spacing w:val="-10"/>
                              </w:rPr>
                              <w:t> </w:t>
                            </w:r>
                            <w:r>
                              <w:rPr>
                                <w:color w:val="1B1B22"/>
                              </w:rPr>
                              <w:t>is</w:t>
                            </w:r>
                            <w:r>
                              <w:rPr>
                                <w:color w:val="1B1B22"/>
                                <w:spacing w:val="-10"/>
                              </w:rPr>
                              <w:t> </w:t>
                            </w:r>
                            <w:r>
                              <w:rPr>
                                <w:color w:val="1B1B22"/>
                              </w:rPr>
                              <w:t>the result of the choices and sacrifices we make to strategically position BB in the face of market </w:t>
                            </w:r>
                            <w:r>
                              <w:rPr>
                                <w:color w:val="1B1B22"/>
                                <w:spacing w:val="-2"/>
                              </w:rPr>
                              <w:t>scenarios</w:t>
                            </w:r>
                            <w:r>
                              <w:rPr>
                                <w:color w:val="1B1B22"/>
                                <w:spacing w:val="-6"/>
                              </w:rPr>
                              <w:t> </w:t>
                            </w:r>
                            <w:r>
                              <w:rPr>
                                <w:color w:val="1B1B22"/>
                                <w:spacing w:val="-2"/>
                              </w:rPr>
                              <w:t>and</w:t>
                            </w:r>
                            <w:r>
                              <w:rPr>
                                <w:color w:val="1B1B22"/>
                                <w:spacing w:val="-7"/>
                              </w:rPr>
                              <w:t> </w:t>
                            </w:r>
                            <w:r>
                              <w:rPr>
                                <w:color w:val="1B1B22"/>
                                <w:spacing w:val="-2"/>
                              </w:rPr>
                              <w:t>challenges.</w:t>
                            </w:r>
                            <w:r>
                              <w:rPr>
                                <w:color w:val="1B1B22"/>
                                <w:spacing w:val="-7"/>
                              </w:rPr>
                              <w:t> </w:t>
                            </w:r>
                            <w:r>
                              <w:rPr>
                                <w:color w:val="1B1B22"/>
                                <w:spacing w:val="-2"/>
                              </w:rPr>
                              <w:t>Based</w:t>
                            </w:r>
                            <w:r>
                              <w:rPr>
                                <w:color w:val="1B1B22"/>
                                <w:spacing w:val="-7"/>
                              </w:rPr>
                              <w:t> </w:t>
                            </w:r>
                            <w:r>
                              <w:rPr>
                                <w:color w:val="1B1B22"/>
                                <w:spacing w:val="-2"/>
                              </w:rPr>
                              <w:t>on</w:t>
                            </w:r>
                            <w:r>
                              <w:rPr>
                                <w:color w:val="1B1B22"/>
                                <w:spacing w:val="-6"/>
                              </w:rPr>
                              <w:t> </w:t>
                            </w:r>
                            <w:r>
                              <w:rPr>
                                <w:color w:val="1B1B22"/>
                                <w:spacing w:val="-2"/>
                              </w:rPr>
                              <w:t>this</w:t>
                            </w:r>
                            <w:r>
                              <w:rPr>
                                <w:color w:val="1B1B22"/>
                                <w:spacing w:val="-6"/>
                              </w:rPr>
                              <w:t> </w:t>
                            </w:r>
                            <w:r>
                              <w:rPr>
                                <w:color w:val="1B1B22"/>
                                <w:spacing w:val="-2"/>
                              </w:rPr>
                              <w:t>positioning, </w:t>
                            </w:r>
                            <w:r>
                              <w:rPr>
                                <w:color w:val="1B1B22"/>
                              </w:rPr>
                              <w:t>we</w:t>
                            </w:r>
                            <w:r>
                              <w:rPr>
                                <w:color w:val="1B1B22"/>
                                <w:spacing w:val="-13"/>
                              </w:rPr>
                              <w:t> </w:t>
                            </w:r>
                            <w:r>
                              <w:rPr>
                                <w:color w:val="1B1B22"/>
                              </w:rPr>
                              <w:t>assess</w:t>
                            </w:r>
                            <w:r>
                              <w:rPr>
                                <w:color w:val="1B1B22"/>
                                <w:spacing w:val="-12"/>
                              </w:rPr>
                              <w:t> </w:t>
                            </w:r>
                            <w:r>
                              <w:rPr>
                                <w:color w:val="1B1B22"/>
                              </w:rPr>
                              <w:t>our</w:t>
                            </w:r>
                            <w:r>
                              <w:rPr>
                                <w:color w:val="1B1B22"/>
                                <w:spacing w:val="-13"/>
                              </w:rPr>
                              <w:t> </w:t>
                            </w:r>
                            <w:r>
                              <w:rPr>
                                <w:color w:val="1B1B22"/>
                              </w:rPr>
                              <w:t>capabilities</w:t>
                            </w:r>
                            <w:r>
                              <w:rPr>
                                <w:color w:val="1B1B22"/>
                                <w:spacing w:val="-12"/>
                              </w:rPr>
                              <w:t> </w:t>
                            </w:r>
                            <w:r>
                              <w:rPr>
                                <w:color w:val="1B1B22"/>
                              </w:rPr>
                              <w:t>and</w:t>
                            </w:r>
                            <w:r>
                              <w:rPr>
                                <w:color w:val="1B1B22"/>
                                <w:spacing w:val="-12"/>
                              </w:rPr>
                              <w:t> </w:t>
                            </w:r>
                            <w:r>
                              <w:rPr>
                                <w:color w:val="1B1B22"/>
                              </w:rPr>
                              <w:t>needs</w:t>
                            </w:r>
                            <w:r>
                              <w:rPr>
                                <w:color w:val="1B1B22"/>
                                <w:spacing w:val="-13"/>
                              </w:rPr>
                              <w:t> </w:t>
                            </w:r>
                            <w:r>
                              <w:rPr>
                                <w:color w:val="1B1B22"/>
                              </w:rPr>
                              <w:t>and</w:t>
                            </w:r>
                            <w:r>
                              <w:rPr>
                                <w:color w:val="1B1B22"/>
                                <w:spacing w:val="-12"/>
                              </w:rPr>
                              <w:t> </w:t>
                            </w:r>
                            <w:r>
                              <w:rPr>
                                <w:color w:val="1B1B22"/>
                              </w:rPr>
                              <w:t>define</w:t>
                            </w:r>
                            <w:r>
                              <w:rPr>
                                <w:color w:val="1B1B22"/>
                                <w:spacing w:val="-12"/>
                              </w:rPr>
                              <w:t> </w:t>
                            </w:r>
                            <w:r>
                              <w:rPr>
                                <w:color w:val="1B1B22"/>
                              </w:rPr>
                              <w:t>our </w:t>
                            </w:r>
                            <w:r>
                              <w:rPr>
                                <w:color w:val="1B1B22"/>
                                <w:spacing w:val="-2"/>
                              </w:rPr>
                              <w:t>actions through a</w:t>
                            </w:r>
                            <w:r>
                              <w:rPr>
                                <w:color w:val="1B1B22"/>
                                <w:spacing w:val="-3"/>
                              </w:rPr>
                              <w:t> </w:t>
                            </w:r>
                            <w:r>
                              <w:rPr>
                                <w:color w:val="1B1B22"/>
                                <w:spacing w:val="-2"/>
                              </w:rPr>
                              <w:t>structured, participatory process </w:t>
                            </w:r>
                            <w:r>
                              <w:rPr>
                                <w:color w:val="1B1B22"/>
                              </w:rPr>
                              <w:t>using established methodologies.</w:t>
                            </w:r>
                          </w:p>
                          <w:p>
                            <w:pPr>
                              <w:pStyle w:val="BodyText"/>
                              <w:spacing w:line="321" w:lineRule="auto" w:before="114"/>
                              <w:ind w:left="379" w:right="478"/>
                              <w:rPr>
                                <w:color w:val="000000"/>
                              </w:rPr>
                            </w:pPr>
                            <w:r>
                              <w:rPr>
                                <w:color w:val="1B1B22"/>
                              </w:rPr>
                              <w:t>Although the ECBB's timeframe is five years, it is reviewed</w:t>
                            </w:r>
                            <w:r>
                              <w:rPr>
                                <w:color w:val="1B1B22"/>
                                <w:spacing w:val="-13"/>
                              </w:rPr>
                              <w:t> </w:t>
                            </w:r>
                            <w:r>
                              <w:rPr>
                                <w:color w:val="1B1B22"/>
                              </w:rPr>
                              <w:t>annually.</w:t>
                            </w:r>
                            <w:r>
                              <w:rPr>
                                <w:color w:val="1B1B22"/>
                                <w:spacing w:val="-12"/>
                              </w:rPr>
                              <w:t> </w:t>
                            </w:r>
                            <w:r>
                              <w:rPr>
                                <w:color w:val="1B1B22"/>
                              </w:rPr>
                              <w:t>In</w:t>
                            </w:r>
                            <w:r>
                              <w:rPr>
                                <w:color w:val="1B1B22"/>
                                <w:spacing w:val="-13"/>
                              </w:rPr>
                              <w:t> </w:t>
                            </w:r>
                            <w:r>
                              <w:rPr>
                                <w:color w:val="1B1B22"/>
                              </w:rPr>
                              <w:t>the</w:t>
                            </w:r>
                            <w:r>
                              <w:rPr>
                                <w:color w:val="1B1B22"/>
                                <w:spacing w:val="-12"/>
                              </w:rPr>
                              <w:t> </w:t>
                            </w:r>
                            <w:r>
                              <w:rPr>
                                <w:color w:val="1B1B22"/>
                              </w:rPr>
                              <w:t>last</w:t>
                            </w:r>
                            <w:r>
                              <w:rPr>
                                <w:color w:val="1B1B22"/>
                                <w:spacing w:val="-12"/>
                              </w:rPr>
                              <w:t> </w:t>
                            </w:r>
                            <w:r>
                              <w:rPr>
                                <w:color w:val="1B1B22"/>
                              </w:rPr>
                              <w:t>review,</w:t>
                            </w:r>
                            <w:r>
                              <w:rPr>
                                <w:color w:val="1B1B22"/>
                                <w:spacing w:val="-13"/>
                              </w:rPr>
                              <w:t> </w:t>
                            </w:r>
                            <w:r>
                              <w:rPr>
                                <w:color w:val="1B1B22"/>
                              </w:rPr>
                              <w:t>for</w:t>
                            </w:r>
                            <w:r>
                              <w:rPr>
                                <w:color w:val="1B1B22"/>
                                <w:spacing w:val="-12"/>
                              </w:rPr>
                              <w:t> </w:t>
                            </w:r>
                            <w:r>
                              <w:rPr>
                                <w:color w:val="1B1B22"/>
                              </w:rPr>
                              <w:t>the</w:t>
                            </w:r>
                            <w:r>
                              <w:rPr>
                                <w:color w:val="1B1B22"/>
                                <w:spacing w:val="-12"/>
                              </w:rPr>
                              <w:t> </w:t>
                            </w:r>
                            <w:r>
                              <w:rPr>
                                <w:color w:val="1B1B22"/>
                              </w:rPr>
                              <w:t>2025- 2029</w:t>
                            </w:r>
                            <w:r>
                              <w:rPr>
                                <w:color w:val="1B1B22"/>
                                <w:spacing w:val="-11"/>
                              </w:rPr>
                              <w:t> </w:t>
                            </w:r>
                            <w:r>
                              <w:rPr>
                                <w:color w:val="1B1B22"/>
                              </w:rPr>
                              <w:t>cycle,</w:t>
                            </w:r>
                            <w:r>
                              <w:rPr>
                                <w:color w:val="1B1B22"/>
                                <w:spacing w:val="-10"/>
                              </w:rPr>
                              <w:t> </w:t>
                            </w:r>
                            <w:r>
                              <w:rPr>
                                <w:color w:val="1B1B22"/>
                              </w:rPr>
                              <w:t>we</w:t>
                            </w:r>
                            <w:r>
                              <w:rPr>
                                <w:color w:val="1B1B22"/>
                                <w:spacing w:val="-11"/>
                              </w:rPr>
                              <w:t> </w:t>
                            </w:r>
                            <w:r>
                              <w:rPr>
                                <w:color w:val="1B1B22"/>
                              </w:rPr>
                              <w:t>ratified</w:t>
                            </w:r>
                            <w:r>
                              <w:rPr>
                                <w:color w:val="1B1B22"/>
                                <w:spacing w:val="-11"/>
                              </w:rPr>
                              <w:t> </w:t>
                            </w:r>
                            <w:r>
                              <w:rPr>
                                <w:color w:val="1B1B22"/>
                              </w:rPr>
                              <w:t>our</w:t>
                            </w:r>
                            <w:r>
                              <w:rPr>
                                <w:color w:val="1B1B22"/>
                                <w:spacing w:val="-11"/>
                              </w:rPr>
                              <w:t> </w:t>
                            </w:r>
                            <w:r>
                              <w:rPr>
                                <w:color w:val="1B1B22"/>
                              </w:rPr>
                              <w:t>purpose</w:t>
                            </w:r>
                            <w:r>
                              <w:rPr>
                                <w:color w:val="1B1B22"/>
                                <w:spacing w:val="-11"/>
                              </w:rPr>
                              <w:t> </w:t>
                            </w:r>
                            <w:r>
                              <w:rPr>
                                <w:color w:val="1B1B22"/>
                              </w:rPr>
                              <w:t>and</w:t>
                            </w:r>
                            <w:r>
                              <w:rPr>
                                <w:color w:val="1B1B22"/>
                                <w:spacing w:val="-10"/>
                              </w:rPr>
                              <w:t> </w:t>
                            </w:r>
                            <w:r>
                              <w:rPr>
                                <w:color w:val="1B1B22"/>
                              </w:rPr>
                              <w:t>values</w:t>
                            </w:r>
                            <w:r>
                              <w:rPr>
                                <w:color w:val="1B1B22"/>
                                <w:spacing w:val="-9"/>
                              </w:rPr>
                              <w:t> </w:t>
                            </w:r>
                            <w:r>
                              <w:rPr>
                                <w:color w:val="1B1B22"/>
                              </w:rPr>
                              <w:t>and </w:t>
                            </w:r>
                            <w:r>
                              <w:rPr>
                                <w:color w:val="1B1B22"/>
                                <w:spacing w:val="-2"/>
                              </w:rPr>
                              <w:t>reinforced</w:t>
                            </w:r>
                            <w:r>
                              <w:rPr>
                                <w:color w:val="1B1B22"/>
                                <w:spacing w:val="-11"/>
                              </w:rPr>
                              <w:t> </w:t>
                            </w:r>
                            <w:r>
                              <w:rPr>
                                <w:color w:val="1B1B22"/>
                                <w:spacing w:val="-2"/>
                              </w:rPr>
                              <w:t>our</w:t>
                            </w:r>
                            <w:r>
                              <w:rPr>
                                <w:color w:val="1B1B22"/>
                                <w:spacing w:val="-10"/>
                              </w:rPr>
                              <w:t> </w:t>
                            </w:r>
                            <w:r>
                              <w:rPr>
                                <w:color w:val="1B1B22"/>
                                <w:spacing w:val="-2"/>
                              </w:rPr>
                              <w:t>commitment</w:t>
                            </w:r>
                            <w:r>
                              <w:rPr>
                                <w:color w:val="1B1B22"/>
                                <w:spacing w:val="-11"/>
                              </w:rPr>
                              <w:t> </w:t>
                            </w:r>
                            <w:r>
                              <w:rPr>
                                <w:color w:val="1B1B22"/>
                                <w:spacing w:val="-2"/>
                              </w:rPr>
                              <w:t>to</w:t>
                            </w:r>
                            <w:r>
                              <w:rPr>
                                <w:color w:val="1B1B22"/>
                                <w:spacing w:val="-10"/>
                              </w:rPr>
                              <w:t> </w:t>
                            </w:r>
                            <w:r>
                              <w:rPr>
                                <w:color w:val="1B1B22"/>
                                <w:spacing w:val="-2"/>
                              </w:rPr>
                              <w:t>generating</w:t>
                            </w:r>
                            <w:r>
                              <w:rPr>
                                <w:color w:val="1B1B22"/>
                                <w:spacing w:val="-10"/>
                              </w:rPr>
                              <w:t> </w:t>
                            </w:r>
                            <w:r>
                              <w:rPr>
                                <w:color w:val="1B1B22"/>
                                <w:spacing w:val="-2"/>
                              </w:rPr>
                              <w:t>value</w:t>
                            </w:r>
                            <w:r>
                              <w:rPr>
                                <w:color w:val="1B1B22"/>
                                <w:spacing w:val="-11"/>
                              </w:rPr>
                              <w:t> </w:t>
                            </w:r>
                            <w:r>
                              <w:rPr>
                                <w:color w:val="1B1B22"/>
                                <w:spacing w:val="-2"/>
                              </w:rPr>
                              <w:t>for </w:t>
                            </w:r>
                            <w:r>
                              <w:rPr>
                                <w:color w:val="1B1B22"/>
                              </w:rPr>
                              <w:t>our customers, shareholders, and society, with a focus on social and environmental responsibility, digital transformation, and innovation.</w:t>
                            </w:r>
                          </w:p>
                          <w:p>
                            <w:pPr>
                              <w:pStyle w:val="BodyText"/>
                              <w:spacing w:line="321" w:lineRule="auto" w:before="116"/>
                              <w:ind w:left="379" w:right="480"/>
                              <w:rPr>
                                <w:color w:val="000000"/>
                              </w:rPr>
                            </w:pPr>
                            <w:r>
                              <w:rPr>
                                <w:color w:val="1B1B22"/>
                              </w:rPr>
                              <w:t>Our BB</w:t>
                            </w:r>
                            <w:r>
                              <w:rPr>
                                <w:color w:val="1B1B22"/>
                                <w:spacing w:val="-4"/>
                              </w:rPr>
                              <w:t> </w:t>
                            </w:r>
                            <w:r>
                              <w:rPr>
                                <w:color w:val="1B1B22"/>
                              </w:rPr>
                              <w:t>Way is unique; it is what drives and guides us, and it is present in each of our employees and collaborators,</w:t>
                            </w:r>
                            <w:r>
                              <w:rPr>
                                <w:color w:val="1B1B22"/>
                                <w:spacing w:val="-4"/>
                              </w:rPr>
                              <w:t> </w:t>
                            </w:r>
                            <w:r>
                              <w:rPr>
                                <w:color w:val="1B1B22"/>
                              </w:rPr>
                              <w:t>who</w:t>
                            </w:r>
                            <w:r>
                              <w:rPr>
                                <w:color w:val="1B1B22"/>
                                <w:spacing w:val="-2"/>
                              </w:rPr>
                              <w:t> </w:t>
                            </w:r>
                            <w:r>
                              <w:rPr>
                                <w:color w:val="1B1B22"/>
                              </w:rPr>
                              <w:t>enable</w:t>
                            </w:r>
                            <w:r>
                              <w:rPr>
                                <w:color w:val="1B1B22"/>
                                <w:spacing w:val="-5"/>
                              </w:rPr>
                              <w:t> </w:t>
                            </w:r>
                            <w:r>
                              <w:rPr>
                                <w:color w:val="1B1B22"/>
                              </w:rPr>
                              <w:t>us</w:t>
                            </w:r>
                            <w:r>
                              <w:rPr>
                                <w:color w:val="1B1B22"/>
                                <w:spacing w:val="-4"/>
                              </w:rPr>
                              <w:t> </w:t>
                            </w:r>
                            <w:r>
                              <w:rPr>
                                <w:color w:val="1B1B22"/>
                              </w:rPr>
                              <w:t>to</w:t>
                            </w:r>
                            <w:r>
                              <w:rPr>
                                <w:color w:val="1B1B22"/>
                                <w:spacing w:val="-4"/>
                              </w:rPr>
                              <w:t> </w:t>
                            </w:r>
                            <w:r>
                              <w:rPr>
                                <w:color w:val="1B1B22"/>
                              </w:rPr>
                              <w:t>achieve</w:t>
                            </w:r>
                            <w:r>
                              <w:rPr>
                                <w:color w:val="1B1B22"/>
                                <w:spacing w:val="-5"/>
                              </w:rPr>
                              <w:t> </w:t>
                            </w:r>
                            <w:r>
                              <w:rPr>
                                <w:color w:val="1B1B22"/>
                              </w:rPr>
                              <w:t>our</w:t>
                            </w:r>
                            <w:r>
                              <w:rPr>
                                <w:color w:val="1B1B22"/>
                                <w:spacing w:val="-5"/>
                              </w:rPr>
                              <w:t> </w:t>
                            </w:r>
                            <w:r>
                              <w:rPr>
                                <w:color w:val="1B1B22"/>
                              </w:rPr>
                              <w:t>goals. Therefore, promoting continuous learning and an increasingly</w:t>
                            </w:r>
                            <w:r>
                              <w:rPr>
                                <w:color w:val="1B1B22"/>
                                <w:spacing w:val="-4"/>
                              </w:rPr>
                              <w:t> </w:t>
                            </w:r>
                            <w:r>
                              <w:rPr>
                                <w:color w:val="1B1B22"/>
                              </w:rPr>
                              <w:t>safe</w:t>
                            </w:r>
                            <w:r>
                              <w:rPr>
                                <w:color w:val="1B1B22"/>
                                <w:spacing w:val="-4"/>
                              </w:rPr>
                              <w:t> </w:t>
                            </w:r>
                            <w:r>
                              <w:rPr>
                                <w:color w:val="1B1B22"/>
                              </w:rPr>
                              <w:t>and</w:t>
                            </w:r>
                            <w:r>
                              <w:rPr>
                                <w:color w:val="1B1B22"/>
                                <w:spacing w:val="-4"/>
                              </w:rPr>
                              <w:t> </w:t>
                            </w:r>
                            <w:r>
                              <w:rPr>
                                <w:color w:val="1B1B22"/>
                              </w:rPr>
                              <w:t>inclusive</w:t>
                            </w:r>
                            <w:r>
                              <w:rPr>
                                <w:color w:val="1B1B22"/>
                                <w:spacing w:val="-4"/>
                              </w:rPr>
                              <w:t> </w:t>
                            </w:r>
                            <w:r>
                              <w:rPr>
                                <w:color w:val="1B1B22"/>
                              </w:rPr>
                              <w:t>environment</w:t>
                            </w:r>
                            <w:r>
                              <w:rPr>
                                <w:color w:val="1B1B22"/>
                                <w:spacing w:val="-4"/>
                              </w:rPr>
                              <w:t> </w:t>
                            </w:r>
                            <w:r>
                              <w:rPr>
                                <w:color w:val="1B1B22"/>
                              </w:rPr>
                              <w:t>is</w:t>
                            </w:r>
                            <w:r>
                              <w:rPr>
                                <w:color w:val="1B1B22"/>
                                <w:spacing w:val="-3"/>
                              </w:rPr>
                              <w:t> </w:t>
                            </w:r>
                            <w:r>
                              <w:rPr>
                                <w:color w:val="1B1B22"/>
                              </w:rPr>
                              <w:t>part of our culture.</w:t>
                            </w:r>
                          </w:p>
                        </w:txbxContent>
                      </wps:txbx>
                      <wps:bodyPr wrap="square" lIns="0" tIns="0" rIns="0" bIns="0" rtlCol="0">
                        <a:noAutofit/>
                      </wps:bodyPr>
                    </wps:wsp>
                  </a:graphicData>
                </a:graphic>
              </wp:anchor>
            </w:drawing>
          </mc:Choice>
          <mc:Fallback>
            <w:pict>
              <v:shape style="position:absolute;margin-left:23.65pt;margin-top:-13.263pt;width:280.25pt;height:402.35pt;mso-position-horizontal-relative:page;mso-position-vertical-relative:paragraph;z-index:15730688" type="#_x0000_t202" id="docshape20" filled="true" fillcolor="#ffb7ab" stroked="false">
                <v:textbox inset="0,0,0,0">
                  <w:txbxContent>
                    <w:p>
                      <w:pPr>
                        <w:pStyle w:val="BodyText"/>
                        <w:spacing w:before="11"/>
                        <w:ind w:left="0"/>
                        <w:jc w:val="left"/>
                        <w:rPr>
                          <w:color w:val="000000"/>
                        </w:rPr>
                      </w:pPr>
                    </w:p>
                    <w:p>
                      <w:pPr>
                        <w:pStyle w:val="BodyText"/>
                        <w:spacing w:line="321" w:lineRule="auto"/>
                        <w:ind w:left="379" w:right="476"/>
                        <w:rPr>
                          <w:color w:val="000000"/>
                        </w:rPr>
                      </w:pPr>
                      <w:r>
                        <w:rPr>
                          <w:color w:val="1B1B22"/>
                        </w:rPr>
                        <w:t>The Corporate Strategy (ECBB) is the document </w:t>
                      </w:r>
                      <w:r>
                        <w:rPr>
                          <w:color w:val="1B1B22"/>
                          <w:spacing w:val="-2"/>
                        </w:rPr>
                        <w:t>that</w:t>
                      </w:r>
                      <w:r>
                        <w:rPr>
                          <w:color w:val="1B1B22"/>
                          <w:spacing w:val="-11"/>
                        </w:rPr>
                        <w:t> </w:t>
                      </w:r>
                      <w:r>
                        <w:rPr>
                          <w:color w:val="1B1B22"/>
                          <w:spacing w:val="-2"/>
                        </w:rPr>
                        <w:t>reflects</w:t>
                      </w:r>
                      <w:r>
                        <w:rPr>
                          <w:color w:val="1B1B22"/>
                          <w:spacing w:val="-10"/>
                        </w:rPr>
                        <w:t> </w:t>
                      </w:r>
                      <w:r>
                        <w:rPr>
                          <w:color w:val="1B1B22"/>
                          <w:spacing w:val="-2"/>
                        </w:rPr>
                        <w:t>the</w:t>
                      </w:r>
                      <w:r>
                        <w:rPr>
                          <w:color w:val="1B1B22"/>
                          <w:spacing w:val="-11"/>
                        </w:rPr>
                        <w:t> </w:t>
                      </w:r>
                      <w:r>
                        <w:rPr>
                          <w:color w:val="1B1B22"/>
                          <w:spacing w:val="-2"/>
                        </w:rPr>
                        <w:t>essence</w:t>
                      </w:r>
                      <w:r>
                        <w:rPr>
                          <w:color w:val="1B1B22"/>
                          <w:spacing w:val="-10"/>
                        </w:rPr>
                        <w:t> </w:t>
                      </w:r>
                      <w:r>
                        <w:rPr>
                          <w:color w:val="1B1B22"/>
                          <w:spacing w:val="-2"/>
                        </w:rPr>
                        <w:t>of</w:t>
                      </w:r>
                      <w:r>
                        <w:rPr>
                          <w:color w:val="1B1B22"/>
                          <w:spacing w:val="-10"/>
                        </w:rPr>
                        <w:t> </w:t>
                      </w:r>
                      <w:r>
                        <w:rPr>
                          <w:color w:val="1B1B22"/>
                          <w:spacing w:val="-2"/>
                        </w:rPr>
                        <w:t>our</w:t>
                      </w:r>
                      <w:r>
                        <w:rPr>
                          <w:color w:val="1B1B22"/>
                          <w:spacing w:val="-11"/>
                        </w:rPr>
                        <w:t> </w:t>
                      </w:r>
                      <w:r>
                        <w:rPr>
                          <w:color w:val="1B1B22"/>
                          <w:spacing w:val="-2"/>
                        </w:rPr>
                        <w:t>company,</w:t>
                      </w:r>
                      <w:r>
                        <w:rPr>
                          <w:color w:val="1B1B22"/>
                          <w:spacing w:val="-10"/>
                        </w:rPr>
                        <w:t> </w:t>
                      </w:r>
                      <w:r>
                        <w:rPr>
                          <w:color w:val="1B1B22"/>
                          <w:spacing w:val="-2"/>
                        </w:rPr>
                        <w:t>our</w:t>
                      </w:r>
                      <w:r>
                        <w:rPr>
                          <w:color w:val="1B1B22"/>
                          <w:spacing w:val="-10"/>
                        </w:rPr>
                        <w:t> </w:t>
                      </w:r>
                      <w:r>
                        <w:rPr>
                          <w:color w:val="1B1B22"/>
                          <w:spacing w:val="-2"/>
                        </w:rPr>
                        <w:t>vision </w:t>
                      </w:r>
                      <w:r>
                        <w:rPr>
                          <w:color w:val="1B1B22"/>
                        </w:rPr>
                        <w:t>for</w:t>
                      </w:r>
                      <w:r>
                        <w:rPr>
                          <w:color w:val="1B1B22"/>
                          <w:spacing w:val="-11"/>
                        </w:rPr>
                        <w:t> </w:t>
                      </w:r>
                      <w:r>
                        <w:rPr>
                          <w:color w:val="1B1B22"/>
                        </w:rPr>
                        <w:t>the</w:t>
                      </w:r>
                      <w:r>
                        <w:rPr>
                          <w:color w:val="1B1B22"/>
                          <w:spacing w:val="-11"/>
                        </w:rPr>
                        <w:t> </w:t>
                      </w:r>
                      <w:r>
                        <w:rPr>
                          <w:color w:val="1B1B22"/>
                        </w:rPr>
                        <w:t>future,</w:t>
                      </w:r>
                      <w:r>
                        <w:rPr>
                          <w:color w:val="1B1B22"/>
                          <w:spacing w:val="-11"/>
                        </w:rPr>
                        <w:t> </w:t>
                      </w:r>
                      <w:r>
                        <w:rPr>
                          <w:color w:val="1B1B22"/>
                        </w:rPr>
                        <w:t>and</w:t>
                      </w:r>
                      <w:r>
                        <w:rPr>
                          <w:color w:val="1B1B22"/>
                          <w:spacing w:val="-9"/>
                        </w:rPr>
                        <w:t> </w:t>
                      </w:r>
                      <w:r>
                        <w:rPr>
                          <w:color w:val="1B1B22"/>
                        </w:rPr>
                        <w:t>our</w:t>
                      </w:r>
                      <w:r>
                        <w:rPr>
                          <w:color w:val="1B1B22"/>
                          <w:spacing w:val="-9"/>
                        </w:rPr>
                        <w:t> </w:t>
                      </w:r>
                      <w:r>
                        <w:rPr>
                          <w:color w:val="1B1B22"/>
                        </w:rPr>
                        <w:t>desired</w:t>
                      </w:r>
                      <w:r>
                        <w:rPr>
                          <w:color w:val="1B1B22"/>
                          <w:spacing w:val="-11"/>
                        </w:rPr>
                        <w:t> </w:t>
                      </w:r>
                      <w:r>
                        <w:rPr>
                          <w:color w:val="1B1B22"/>
                        </w:rPr>
                        <w:t>destination.</w:t>
                      </w:r>
                      <w:r>
                        <w:rPr>
                          <w:color w:val="1B1B22"/>
                          <w:spacing w:val="-11"/>
                        </w:rPr>
                        <w:t> </w:t>
                      </w:r>
                      <w:r>
                        <w:rPr>
                          <w:color w:val="1B1B22"/>
                        </w:rPr>
                        <w:t>It</w:t>
                      </w:r>
                      <w:r>
                        <w:rPr>
                          <w:color w:val="1B1B22"/>
                          <w:spacing w:val="-10"/>
                        </w:rPr>
                        <w:t> </w:t>
                      </w:r>
                      <w:r>
                        <w:rPr>
                          <w:color w:val="1B1B22"/>
                        </w:rPr>
                        <w:t>is</w:t>
                      </w:r>
                      <w:r>
                        <w:rPr>
                          <w:color w:val="1B1B22"/>
                          <w:spacing w:val="-10"/>
                        </w:rPr>
                        <w:t> </w:t>
                      </w:r>
                      <w:r>
                        <w:rPr>
                          <w:color w:val="1B1B22"/>
                        </w:rPr>
                        <w:t>the result of the choices and sacrifices we make to strategically position BB in the face of market </w:t>
                      </w:r>
                      <w:r>
                        <w:rPr>
                          <w:color w:val="1B1B22"/>
                          <w:spacing w:val="-2"/>
                        </w:rPr>
                        <w:t>scenarios</w:t>
                      </w:r>
                      <w:r>
                        <w:rPr>
                          <w:color w:val="1B1B22"/>
                          <w:spacing w:val="-6"/>
                        </w:rPr>
                        <w:t> </w:t>
                      </w:r>
                      <w:r>
                        <w:rPr>
                          <w:color w:val="1B1B22"/>
                          <w:spacing w:val="-2"/>
                        </w:rPr>
                        <w:t>and</w:t>
                      </w:r>
                      <w:r>
                        <w:rPr>
                          <w:color w:val="1B1B22"/>
                          <w:spacing w:val="-7"/>
                        </w:rPr>
                        <w:t> </w:t>
                      </w:r>
                      <w:r>
                        <w:rPr>
                          <w:color w:val="1B1B22"/>
                          <w:spacing w:val="-2"/>
                        </w:rPr>
                        <w:t>challenges.</w:t>
                      </w:r>
                      <w:r>
                        <w:rPr>
                          <w:color w:val="1B1B22"/>
                          <w:spacing w:val="-7"/>
                        </w:rPr>
                        <w:t> </w:t>
                      </w:r>
                      <w:r>
                        <w:rPr>
                          <w:color w:val="1B1B22"/>
                          <w:spacing w:val="-2"/>
                        </w:rPr>
                        <w:t>Based</w:t>
                      </w:r>
                      <w:r>
                        <w:rPr>
                          <w:color w:val="1B1B22"/>
                          <w:spacing w:val="-7"/>
                        </w:rPr>
                        <w:t> </w:t>
                      </w:r>
                      <w:r>
                        <w:rPr>
                          <w:color w:val="1B1B22"/>
                          <w:spacing w:val="-2"/>
                        </w:rPr>
                        <w:t>on</w:t>
                      </w:r>
                      <w:r>
                        <w:rPr>
                          <w:color w:val="1B1B22"/>
                          <w:spacing w:val="-6"/>
                        </w:rPr>
                        <w:t> </w:t>
                      </w:r>
                      <w:r>
                        <w:rPr>
                          <w:color w:val="1B1B22"/>
                          <w:spacing w:val="-2"/>
                        </w:rPr>
                        <w:t>this</w:t>
                      </w:r>
                      <w:r>
                        <w:rPr>
                          <w:color w:val="1B1B22"/>
                          <w:spacing w:val="-6"/>
                        </w:rPr>
                        <w:t> </w:t>
                      </w:r>
                      <w:r>
                        <w:rPr>
                          <w:color w:val="1B1B22"/>
                          <w:spacing w:val="-2"/>
                        </w:rPr>
                        <w:t>positioning, </w:t>
                      </w:r>
                      <w:r>
                        <w:rPr>
                          <w:color w:val="1B1B22"/>
                        </w:rPr>
                        <w:t>we</w:t>
                      </w:r>
                      <w:r>
                        <w:rPr>
                          <w:color w:val="1B1B22"/>
                          <w:spacing w:val="-13"/>
                        </w:rPr>
                        <w:t> </w:t>
                      </w:r>
                      <w:r>
                        <w:rPr>
                          <w:color w:val="1B1B22"/>
                        </w:rPr>
                        <w:t>assess</w:t>
                      </w:r>
                      <w:r>
                        <w:rPr>
                          <w:color w:val="1B1B22"/>
                          <w:spacing w:val="-12"/>
                        </w:rPr>
                        <w:t> </w:t>
                      </w:r>
                      <w:r>
                        <w:rPr>
                          <w:color w:val="1B1B22"/>
                        </w:rPr>
                        <w:t>our</w:t>
                      </w:r>
                      <w:r>
                        <w:rPr>
                          <w:color w:val="1B1B22"/>
                          <w:spacing w:val="-13"/>
                        </w:rPr>
                        <w:t> </w:t>
                      </w:r>
                      <w:r>
                        <w:rPr>
                          <w:color w:val="1B1B22"/>
                        </w:rPr>
                        <w:t>capabilities</w:t>
                      </w:r>
                      <w:r>
                        <w:rPr>
                          <w:color w:val="1B1B22"/>
                          <w:spacing w:val="-12"/>
                        </w:rPr>
                        <w:t> </w:t>
                      </w:r>
                      <w:r>
                        <w:rPr>
                          <w:color w:val="1B1B22"/>
                        </w:rPr>
                        <w:t>and</w:t>
                      </w:r>
                      <w:r>
                        <w:rPr>
                          <w:color w:val="1B1B22"/>
                          <w:spacing w:val="-12"/>
                        </w:rPr>
                        <w:t> </w:t>
                      </w:r>
                      <w:r>
                        <w:rPr>
                          <w:color w:val="1B1B22"/>
                        </w:rPr>
                        <w:t>needs</w:t>
                      </w:r>
                      <w:r>
                        <w:rPr>
                          <w:color w:val="1B1B22"/>
                          <w:spacing w:val="-13"/>
                        </w:rPr>
                        <w:t> </w:t>
                      </w:r>
                      <w:r>
                        <w:rPr>
                          <w:color w:val="1B1B22"/>
                        </w:rPr>
                        <w:t>and</w:t>
                      </w:r>
                      <w:r>
                        <w:rPr>
                          <w:color w:val="1B1B22"/>
                          <w:spacing w:val="-12"/>
                        </w:rPr>
                        <w:t> </w:t>
                      </w:r>
                      <w:r>
                        <w:rPr>
                          <w:color w:val="1B1B22"/>
                        </w:rPr>
                        <w:t>define</w:t>
                      </w:r>
                      <w:r>
                        <w:rPr>
                          <w:color w:val="1B1B22"/>
                          <w:spacing w:val="-12"/>
                        </w:rPr>
                        <w:t> </w:t>
                      </w:r>
                      <w:r>
                        <w:rPr>
                          <w:color w:val="1B1B22"/>
                        </w:rPr>
                        <w:t>our </w:t>
                      </w:r>
                      <w:r>
                        <w:rPr>
                          <w:color w:val="1B1B22"/>
                          <w:spacing w:val="-2"/>
                        </w:rPr>
                        <w:t>actions through a</w:t>
                      </w:r>
                      <w:r>
                        <w:rPr>
                          <w:color w:val="1B1B22"/>
                          <w:spacing w:val="-3"/>
                        </w:rPr>
                        <w:t> </w:t>
                      </w:r>
                      <w:r>
                        <w:rPr>
                          <w:color w:val="1B1B22"/>
                          <w:spacing w:val="-2"/>
                        </w:rPr>
                        <w:t>structured, participatory process </w:t>
                      </w:r>
                      <w:r>
                        <w:rPr>
                          <w:color w:val="1B1B22"/>
                        </w:rPr>
                        <w:t>using established methodologies.</w:t>
                      </w:r>
                    </w:p>
                    <w:p>
                      <w:pPr>
                        <w:pStyle w:val="BodyText"/>
                        <w:spacing w:line="321" w:lineRule="auto" w:before="114"/>
                        <w:ind w:left="379" w:right="478"/>
                        <w:rPr>
                          <w:color w:val="000000"/>
                        </w:rPr>
                      </w:pPr>
                      <w:r>
                        <w:rPr>
                          <w:color w:val="1B1B22"/>
                        </w:rPr>
                        <w:t>Although the ECBB's timeframe is five years, it is reviewed</w:t>
                      </w:r>
                      <w:r>
                        <w:rPr>
                          <w:color w:val="1B1B22"/>
                          <w:spacing w:val="-13"/>
                        </w:rPr>
                        <w:t> </w:t>
                      </w:r>
                      <w:r>
                        <w:rPr>
                          <w:color w:val="1B1B22"/>
                        </w:rPr>
                        <w:t>annually.</w:t>
                      </w:r>
                      <w:r>
                        <w:rPr>
                          <w:color w:val="1B1B22"/>
                          <w:spacing w:val="-12"/>
                        </w:rPr>
                        <w:t> </w:t>
                      </w:r>
                      <w:r>
                        <w:rPr>
                          <w:color w:val="1B1B22"/>
                        </w:rPr>
                        <w:t>In</w:t>
                      </w:r>
                      <w:r>
                        <w:rPr>
                          <w:color w:val="1B1B22"/>
                          <w:spacing w:val="-13"/>
                        </w:rPr>
                        <w:t> </w:t>
                      </w:r>
                      <w:r>
                        <w:rPr>
                          <w:color w:val="1B1B22"/>
                        </w:rPr>
                        <w:t>the</w:t>
                      </w:r>
                      <w:r>
                        <w:rPr>
                          <w:color w:val="1B1B22"/>
                          <w:spacing w:val="-12"/>
                        </w:rPr>
                        <w:t> </w:t>
                      </w:r>
                      <w:r>
                        <w:rPr>
                          <w:color w:val="1B1B22"/>
                        </w:rPr>
                        <w:t>last</w:t>
                      </w:r>
                      <w:r>
                        <w:rPr>
                          <w:color w:val="1B1B22"/>
                          <w:spacing w:val="-12"/>
                        </w:rPr>
                        <w:t> </w:t>
                      </w:r>
                      <w:r>
                        <w:rPr>
                          <w:color w:val="1B1B22"/>
                        </w:rPr>
                        <w:t>review,</w:t>
                      </w:r>
                      <w:r>
                        <w:rPr>
                          <w:color w:val="1B1B22"/>
                          <w:spacing w:val="-13"/>
                        </w:rPr>
                        <w:t> </w:t>
                      </w:r>
                      <w:r>
                        <w:rPr>
                          <w:color w:val="1B1B22"/>
                        </w:rPr>
                        <w:t>for</w:t>
                      </w:r>
                      <w:r>
                        <w:rPr>
                          <w:color w:val="1B1B22"/>
                          <w:spacing w:val="-12"/>
                        </w:rPr>
                        <w:t> </w:t>
                      </w:r>
                      <w:r>
                        <w:rPr>
                          <w:color w:val="1B1B22"/>
                        </w:rPr>
                        <w:t>the</w:t>
                      </w:r>
                      <w:r>
                        <w:rPr>
                          <w:color w:val="1B1B22"/>
                          <w:spacing w:val="-12"/>
                        </w:rPr>
                        <w:t> </w:t>
                      </w:r>
                      <w:r>
                        <w:rPr>
                          <w:color w:val="1B1B22"/>
                        </w:rPr>
                        <w:t>2025- 2029</w:t>
                      </w:r>
                      <w:r>
                        <w:rPr>
                          <w:color w:val="1B1B22"/>
                          <w:spacing w:val="-11"/>
                        </w:rPr>
                        <w:t> </w:t>
                      </w:r>
                      <w:r>
                        <w:rPr>
                          <w:color w:val="1B1B22"/>
                        </w:rPr>
                        <w:t>cycle,</w:t>
                      </w:r>
                      <w:r>
                        <w:rPr>
                          <w:color w:val="1B1B22"/>
                          <w:spacing w:val="-10"/>
                        </w:rPr>
                        <w:t> </w:t>
                      </w:r>
                      <w:r>
                        <w:rPr>
                          <w:color w:val="1B1B22"/>
                        </w:rPr>
                        <w:t>we</w:t>
                      </w:r>
                      <w:r>
                        <w:rPr>
                          <w:color w:val="1B1B22"/>
                          <w:spacing w:val="-11"/>
                        </w:rPr>
                        <w:t> </w:t>
                      </w:r>
                      <w:r>
                        <w:rPr>
                          <w:color w:val="1B1B22"/>
                        </w:rPr>
                        <w:t>ratified</w:t>
                      </w:r>
                      <w:r>
                        <w:rPr>
                          <w:color w:val="1B1B22"/>
                          <w:spacing w:val="-11"/>
                        </w:rPr>
                        <w:t> </w:t>
                      </w:r>
                      <w:r>
                        <w:rPr>
                          <w:color w:val="1B1B22"/>
                        </w:rPr>
                        <w:t>our</w:t>
                      </w:r>
                      <w:r>
                        <w:rPr>
                          <w:color w:val="1B1B22"/>
                          <w:spacing w:val="-11"/>
                        </w:rPr>
                        <w:t> </w:t>
                      </w:r>
                      <w:r>
                        <w:rPr>
                          <w:color w:val="1B1B22"/>
                        </w:rPr>
                        <w:t>purpose</w:t>
                      </w:r>
                      <w:r>
                        <w:rPr>
                          <w:color w:val="1B1B22"/>
                          <w:spacing w:val="-11"/>
                        </w:rPr>
                        <w:t> </w:t>
                      </w:r>
                      <w:r>
                        <w:rPr>
                          <w:color w:val="1B1B22"/>
                        </w:rPr>
                        <w:t>and</w:t>
                      </w:r>
                      <w:r>
                        <w:rPr>
                          <w:color w:val="1B1B22"/>
                          <w:spacing w:val="-10"/>
                        </w:rPr>
                        <w:t> </w:t>
                      </w:r>
                      <w:r>
                        <w:rPr>
                          <w:color w:val="1B1B22"/>
                        </w:rPr>
                        <w:t>values</w:t>
                      </w:r>
                      <w:r>
                        <w:rPr>
                          <w:color w:val="1B1B22"/>
                          <w:spacing w:val="-9"/>
                        </w:rPr>
                        <w:t> </w:t>
                      </w:r>
                      <w:r>
                        <w:rPr>
                          <w:color w:val="1B1B22"/>
                        </w:rPr>
                        <w:t>and </w:t>
                      </w:r>
                      <w:r>
                        <w:rPr>
                          <w:color w:val="1B1B22"/>
                          <w:spacing w:val="-2"/>
                        </w:rPr>
                        <w:t>reinforced</w:t>
                      </w:r>
                      <w:r>
                        <w:rPr>
                          <w:color w:val="1B1B22"/>
                          <w:spacing w:val="-11"/>
                        </w:rPr>
                        <w:t> </w:t>
                      </w:r>
                      <w:r>
                        <w:rPr>
                          <w:color w:val="1B1B22"/>
                          <w:spacing w:val="-2"/>
                        </w:rPr>
                        <w:t>our</w:t>
                      </w:r>
                      <w:r>
                        <w:rPr>
                          <w:color w:val="1B1B22"/>
                          <w:spacing w:val="-10"/>
                        </w:rPr>
                        <w:t> </w:t>
                      </w:r>
                      <w:r>
                        <w:rPr>
                          <w:color w:val="1B1B22"/>
                          <w:spacing w:val="-2"/>
                        </w:rPr>
                        <w:t>commitment</w:t>
                      </w:r>
                      <w:r>
                        <w:rPr>
                          <w:color w:val="1B1B22"/>
                          <w:spacing w:val="-11"/>
                        </w:rPr>
                        <w:t> </w:t>
                      </w:r>
                      <w:r>
                        <w:rPr>
                          <w:color w:val="1B1B22"/>
                          <w:spacing w:val="-2"/>
                        </w:rPr>
                        <w:t>to</w:t>
                      </w:r>
                      <w:r>
                        <w:rPr>
                          <w:color w:val="1B1B22"/>
                          <w:spacing w:val="-10"/>
                        </w:rPr>
                        <w:t> </w:t>
                      </w:r>
                      <w:r>
                        <w:rPr>
                          <w:color w:val="1B1B22"/>
                          <w:spacing w:val="-2"/>
                        </w:rPr>
                        <w:t>generating</w:t>
                      </w:r>
                      <w:r>
                        <w:rPr>
                          <w:color w:val="1B1B22"/>
                          <w:spacing w:val="-10"/>
                        </w:rPr>
                        <w:t> </w:t>
                      </w:r>
                      <w:r>
                        <w:rPr>
                          <w:color w:val="1B1B22"/>
                          <w:spacing w:val="-2"/>
                        </w:rPr>
                        <w:t>value</w:t>
                      </w:r>
                      <w:r>
                        <w:rPr>
                          <w:color w:val="1B1B22"/>
                          <w:spacing w:val="-11"/>
                        </w:rPr>
                        <w:t> </w:t>
                      </w:r>
                      <w:r>
                        <w:rPr>
                          <w:color w:val="1B1B22"/>
                          <w:spacing w:val="-2"/>
                        </w:rPr>
                        <w:t>for </w:t>
                      </w:r>
                      <w:r>
                        <w:rPr>
                          <w:color w:val="1B1B22"/>
                        </w:rPr>
                        <w:t>our customers, shareholders, and society, with a focus on social and environmental responsibility, digital transformation, and innovation.</w:t>
                      </w:r>
                    </w:p>
                    <w:p>
                      <w:pPr>
                        <w:pStyle w:val="BodyText"/>
                        <w:spacing w:line="321" w:lineRule="auto" w:before="116"/>
                        <w:ind w:left="379" w:right="480"/>
                        <w:rPr>
                          <w:color w:val="000000"/>
                        </w:rPr>
                      </w:pPr>
                      <w:r>
                        <w:rPr>
                          <w:color w:val="1B1B22"/>
                        </w:rPr>
                        <w:t>Our BB</w:t>
                      </w:r>
                      <w:r>
                        <w:rPr>
                          <w:color w:val="1B1B22"/>
                          <w:spacing w:val="-4"/>
                        </w:rPr>
                        <w:t> </w:t>
                      </w:r>
                      <w:r>
                        <w:rPr>
                          <w:color w:val="1B1B22"/>
                        </w:rPr>
                        <w:t>Way is unique; it is what drives and guides us, and it is present in each of our employees and collaborators,</w:t>
                      </w:r>
                      <w:r>
                        <w:rPr>
                          <w:color w:val="1B1B22"/>
                          <w:spacing w:val="-4"/>
                        </w:rPr>
                        <w:t> </w:t>
                      </w:r>
                      <w:r>
                        <w:rPr>
                          <w:color w:val="1B1B22"/>
                        </w:rPr>
                        <w:t>who</w:t>
                      </w:r>
                      <w:r>
                        <w:rPr>
                          <w:color w:val="1B1B22"/>
                          <w:spacing w:val="-2"/>
                        </w:rPr>
                        <w:t> </w:t>
                      </w:r>
                      <w:r>
                        <w:rPr>
                          <w:color w:val="1B1B22"/>
                        </w:rPr>
                        <w:t>enable</w:t>
                      </w:r>
                      <w:r>
                        <w:rPr>
                          <w:color w:val="1B1B22"/>
                          <w:spacing w:val="-5"/>
                        </w:rPr>
                        <w:t> </w:t>
                      </w:r>
                      <w:r>
                        <w:rPr>
                          <w:color w:val="1B1B22"/>
                        </w:rPr>
                        <w:t>us</w:t>
                      </w:r>
                      <w:r>
                        <w:rPr>
                          <w:color w:val="1B1B22"/>
                          <w:spacing w:val="-4"/>
                        </w:rPr>
                        <w:t> </w:t>
                      </w:r>
                      <w:r>
                        <w:rPr>
                          <w:color w:val="1B1B22"/>
                        </w:rPr>
                        <w:t>to</w:t>
                      </w:r>
                      <w:r>
                        <w:rPr>
                          <w:color w:val="1B1B22"/>
                          <w:spacing w:val="-4"/>
                        </w:rPr>
                        <w:t> </w:t>
                      </w:r>
                      <w:r>
                        <w:rPr>
                          <w:color w:val="1B1B22"/>
                        </w:rPr>
                        <w:t>achieve</w:t>
                      </w:r>
                      <w:r>
                        <w:rPr>
                          <w:color w:val="1B1B22"/>
                          <w:spacing w:val="-5"/>
                        </w:rPr>
                        <w:t> </w:t>
                      </w:r>
                      <w:r>
                        <w:rPr>
                          <w:color w:val="1B1B22"/>
                        </w:rPr>
                        <w:t>our</w:t>
                      </w:r>
                      <w:r>
                        <w:rPr>
                          <w:color w:val="1B1B22"/>
                          <w:spacing w:val="-5"/>
                        </w:rPr>
                        <w:t> </w:t>
                      </w:r>
                      <w:r>
                        <w:rPr>
                          <w:color w:val="1B1B22"/>
                        </w:rPr>
                        <w:t>goals. Therefore, promoting continuous learning and an increasingly</w:t>
                      </w:r>
                      <w:r>
                        <w:rPr>
                          <w:color w:val="1B1B22"/>
                          <w:spacing w:val="-4"/>
                        </w:rPr>
                        <w:t> </w:t>
                      </w:r>
                      <w:r>
                        <w:rPr>
                          <w:color w:val="1B1B22"/>
                        </w:rPr>
                        <w:t>safe</w:t>
                      </w:r>
                      <w:r>
                        <w:rPr>
                          <w:color w:val="1B1B22"/>
                          <w:spacing w:val="-4"/>
                        </w:rPr>
                        <w:t> </w:t>
                      </w:r>
                      <w:r>
                        <w:rPr>
                          <w:color w:val="1B1B22"/>
                        </w:rPr>
                        <w:t>and</w:t>
                      </w:r>
                      <w:r>
                        <w:rPr>
                          <w:color w:val="1B1B22"/>
                          <w:spacing w:val="-4"/>
                        </w:rPr>
                        <w:t> </w:t>
                      </w:r>
                      <w:r>
                        <w:rPr>
                          <w:color w:val="1B1B22"/>
                        </w:rPr>
                        <w:t>inclusive</w:t>
                      </w:r>
                      <w:r>
                        <w:rPr>
                          <w:color w:val="1B1B22"/>
                          <w:spacing w:val="-4"/>
                        </w:rPr>
                        <w:t> </w:t>
                      </w:r>
                      <w:r>
                        <w:rPr>
                          <w:color w:val="1B1B22"/>
                        </w:rPr>
                        <w:t>environment</w:t>
                      </w:r>
                      <w:r>
                        <w:rPr>
                          <w:color w:val="1B1B22"/>
                          <w:spacing w:val="-4"/>
                        </w:rPr>
                        <w:t> </w:t>
                      </w:r>
                      <w:r>
                        <w:rPr>
                          <w:color w:val="1B1B22"/>
                        </w:rPr>
                        <w:t>is</w:t>
                      </w:r>
                      <w:r>
                        <w:rPr>
                          <w:color w:val="1B1B22"/>
                          <w:spacing w:val="-3"/>
                        </w:rPr>
                        <w:t> </w:t>
                      </w:r>
                      <w:r>
                        <w:rPr>
                          <w:color w:val="1B1B22"/>
                        </w:rPr>
                        <w:t>part of our culture.</w:t>
                      </w:r>
                    </w:p>
                  </w:txbxContent>
                </v:textbox>
                <v:fill type="solid"/>
                <w10:wrap type="none"/>
              </v:shape>
            </w:pict>
          </mc:Fallback>
        </mc:AlternateContent>
      </w:r>
      <w:r>
        <w:rPr>
          <w:color w:val="1B1B22"/>
        </w:rPr>
        <w:t>(Cosem); the Executive Board; and the Board of </w:t>
      </w:r>
      <w:r>
        <w:rPr>
          <w:color w:val="1B1B22"/>
          <w:spacing w:val="-2"/>
        </w:rPr>
        <w:t>Directors.</w:t>
      </w:r>
    </w:p>
    <w:p>
      <w:pPr>
        <w:pStyle w:val="BodyText"/>
        <w:spacing w:line="321" w:lineRule="auto" w:before="117"/>
        <w:ind w:left="5883" w:right="140"/>
      </w:pPr>
      <w:r>
        <w:rPr>
          <w:color w:val="1B1B22"/>
        </w:rPr>
        <w:t>The Board of Directors has at least 30% independent members, in compliance with the Bylaws, legislation, and the B3 Novo Mercado </w:t>
      </w:r>
      <w:r>
        <w:rPr>
          <w:color w:val="1B1B22"/>
          <w:spacing w:val="-2"/>
        </w:rPr>
        <w:t>Regulations.</w:t>
      </w:r>
    </w:p>
    <w:p>
      <w:pPr>
        <w:pStyle w:val="BodyText"/>
        <w:spacing w:line="321" w:lineRule="auto" w:before="119"/>
        <w:ind w:left="5883" w:right="139"/>
      </w:pPr>
      <w:r>
        <w:rPr>
          <w:color w:val="1B1B22"/>
        </w:rPr>
        <w:t>The Annual and Extraordinary General Meetings were held on April 30th, approving the Management's accounts and Financial Statements for</w:t>
      </w:r>
      <w:r>
        <w:rPr>
          <w:color w:val="1B1B22"/>
          <w:spacing w:val="-11"/>
        </w:rPr>
        <w:t> </w:t>
      </w:r>
      <w:r>
        <w:rPr>
          <w:color w:val="1B1B22"/>
        </w:rPr>
        <w:t>2024,</w:t>
      </w:r>
      <w:r>
        <w:rPr>
          <w:color w:val="1B1B22"/>
          <w:spacing w:val="-11"/>
        </w:rPr>
        <w:t> </w:t>
      </w:r>
      <w:r>
        <w:rPr>
          <w:color w:val="1B1B22"/>
        </w:rPr>
        <w:t>as</w:t>
      </w:r>
      <w:r>
        <w:rPr>
          <w:color w:val="1B1B22"/>
          <w:spacing w:val="-10"/>
        </w:rPr>
        <w:t> </w:t>
      </w:r>
      <w:r>
        <w:rPr>
          <w:color w:val="1B1B22"/>
        </w:rPr>
        <w:t>well</w:t>
      </w:r>
      <w:r>
        <w:rPr>
          <w:color w:val="1B1B22"/>
          <w:spacing w:val="-11"/>
        </w:rPr>
        <w:t> </w:t>
      </w:r>
      <w:r>
        <w:rPr>
          <w:color w:val="1B1B22"/>
        </w:rPr>
        <w:t>as</w:t>
      </w:r>
      <w:r>
        <w:rPr>
          <w:color w:val="1B1B22"/>
          <w:spacing w:val="-10"/>
        </w:rPr>
        <w:t> </w:t>
      </w:r>
      <w:r>
        <w:rPr>
          <w:color w:val="1B1B22"/>
        </w:rPr>
        <w:t>the</w:t>
      </w:r>
      <w:r>
        <w:rPr>
          <w:color w:val="1B1B22"/>
          <w:spacing w:val="-11"/>
        </w:rPr>
        <w:t> </w:t>
      </w:r>
      <w:r>
        <w:rPr>
          <w:color w:val="1B1B22"/>
        </w:rPr>
        <w:t>allocation</w:t>
      </w:r>
      <w:r>
        <w:rPr>
          <w:color w:val="1B1B22"/>
          <w:spacing w:val="-10"/>
        </w:rPr>
        <w:t> </w:t>
      </w:r>
      <w:r>
        <w:rPr>
          <w:color w:val="1B1B22"/>
        </w:rPr>
        <w:t>of</w:t>
      </w:r>
      <w:r>
        <w:rPr>
          <w:color w:val="1B1B22"/>
          <w:spacing w:val="-11"/>
        </w:rPr>
        <w:t> </w:t>
      </w:r>
      <w:r>
        <w:rPr>
          <w:color w:val="1B1B22"/>
        </w:rPr>
        <w:t>net</w:t>
      </w:r>
      <w:r>
        <w:rPr>
          <w:color w:val="1B1B22"/>
          <w:spacing w:val="-10"/>
        </w:rPr>
        <w:t> </w:t>
      </w:r>
      <w:r>
        <w:rPr>
          <w:color w:val="1B1B22"/>
        </w:rPr>
        <w:t>profit</w:t>
      </w:r>
      <w:r>
        <w:rPr>
          <w:color w:val="1B1B22"/>
          <w:spacing w:val="-10"/>
        </w:rPr>
        <w:t> </w:t>
      </w:r>
      <w:r>
        <w:rPr>
          <w:color w:val="1B1B22"/>
        </w:rPr>
        <w:t>and the respective distribution of dividends; was elected and the overall annual compensation for </w:t>
      </w:r>
      <w:r>
        <w:rPr>
          <w:color w:val="1B1B22"/>
          <w:spacing w:val="-2"/>
        </w:rPr>
        <w:t>Management,</w:t>
      </w:r>
      <w:r>
        <w:rPr>
          <w:color w:val="1B1B22"/>
          <w:spacing w:val="-5"/>
        </w:rPr>
        <w:t> </w:t>
      </w:r>
      <w:r>
        <w:rPr>
          <w:color w:val="1B1B22"/>
          <w:spacing w:val="-2"/>
        </w:rPr>
        <w:t>Board,</w:t>
      </w:r>
      <w:r>
        <w:rPr>
          <w:color w:val="1B1B22"/>
          <w:spacing w:val="-5"/>
        </w:rPr>
        <w:t> </w:t>
      </w:r>
      <w:r>
        <w:rPr>
          <w:color w:val="1B1B22"/>
          <w:spacing w:val="-2"/>
        </w:rPr>
        <w:t>and Committee</w:t>
      </w:r>
      <w:r>
        <w:rPr>
          <w:color w:val="1B1B22"/>
          <w:spacing w:val="-5"/>
        </w:rPr>
        <w:t> </w:t>
      </w:r>
      <w:r>
        <w:rPr>
          <w:color w:val="1B1B22"/>
          <w:spacing w:val="-2"/>
        </w:rPr>
        <w:t>members</w:t>
      </w:r>
      <w:r>
        <w:rPr>
          <w:color w:val="1B1B22"/>
          <w:spacing w:val="-4"/>
        </w:rPr>
        <w:t> </w:t>
      </w:r>
      <w:r>
        <w:rPr>
          <w:color w:val="1B1B22"/>
          <w:spacing w:val="-2"/>
        </w:rPr>
        <w:t>was </w:t>
      </w:r>
      <w:r>
        <w:rPr>
          <w:color w:val="1B1B22"/>
        </w:rPr>
        <w:t>established.</w:t>
      </w:r>
      <w:r>
        <w:rPr>
          <w:color w:val="1B1B22"/>
          <w:spacing w:val="-3"/>
        </w:rPr>
        <w:t> </w:t>
      </w:r>
      <w:r>
        <w:rPr>
          <w:color w:val="1B1B22"/>
        </w:rPr>
        <w:t>Furthermore,</w:t>
      </w:r>
      <w:r>
        <w:rPr>
          <w:color w:val="1B1B22"/>
          <w:spacing w:val="-2"/>
        </w:rPr>
        <w:t> </w:t>
      </w:r>
      <w:r>
        <w:rPr>
          <w:color w:val="1B1B22"/>
        </w:rPr>
        <w:t>a</w:t>
      </w:r>
      <w:r>
        <w:rPr>
          <w:color w:val="1B1B22"/>
          <w:spacing w:val="-4"/>
        </w:rPr>
        <w:t> </w:t>
      </w:r>
      <w:r>
        <w:rPr>
          <w:color w:val="1B1B22"/>
        </w:rPr>
        <w:t>revision</w:t>
      </w:r>
      <w:r>
        <w:rPr>
          <w:color w:val="1B1B22"/>
          <w:spacing w:val="-2"/>
        </w:rPr>
        <w:t> </w:t>
      </w:r>
      <w:r>
        <w:rPr>
          <w:color w:val="1B1B22"/>
        </w:rPr>
        <w:t>of</w:t>
      </w:r>
      <w:r>
        <w:rPr>
          <w:color w:val="1B1B22"/>
          <w:spacing w:val="-4"/>
        </w:rPr>
        <w:t> </w:t>
      </w:r>
      <w:r>
        <w:rPr>
          <w:color w:val="1B1B22"/>
        </w:rPr>
        <w:t>the</w:t>
      </w:r>
      <w:r>
        <w:rPr>
          <w:color w:val="1B1B22"/>
          <w:spacing w:val="-3"/>
        </w:rPr>
        <w:t> </w:t>
      </w:r>
      <w:r>
        <w:rPr>
          <w:color w:val="1B1B22"/>
        </w:rPr>
        <w:t>Bylaws was approved.</w:t>
      </w:r>
    </w:p>
    <w:p>
      <w:pPr>
        <w:pStyle w:val="BodyText"/>
        <w:spacing w:after="0" w:line="321" w:lineRule="auto"/>
        <w:sectPr>
          <w:headerReference w:type="default" r:id="rId9"/>
          <w:footerReference w:type="default" r:id="rId10"/>
          <w:pgSz w:w="11910" w:h="16850"/>
          <w:pgMar w:header="152" w:footer="591" w:top="900" w:bottom="780" w:left="425" w:right="708"/>
        </w:sectPr>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spacing w:before="207"/>
        <w:ind w:left="0"/>
        <w:jc w:val="left"/>
      </w:pPr>
    </w:p>
    <w:p>
      <w:pPr>
        <w:pStyle w:val="BodyText"/>
        <w:spacing w:line="321" w:lineRule="auto"/>
        <w:ind w:right="38"/>
      </w:pPr>
      <w:r>
        <w:rPr>
          <w:color w:val="1B1B22"/>
        </w:rPr>
        <w:t>Our governance structure is comprised of the General Shareholders' Meeting; the Board of Directors (CA) and its advisory committees – the Audit Committee (Coaud); the People, Eligibility, Succession, and Compensation Committee (Corem); The Risk and Capital Committee (Coris), </w:t>
      </w:r>
      <w:r>
        <w:rPr>
          <w:color w:val="1B1B22"/>
          <w:spacing w:val="-2"/>
        </w:rPr>
        <w:t>the</w:t>
      </w:r>
      <w:r>
        <w:rPr>
          <w:color w:val="1B1B22"/>
          <w:spacing w:val="-11"/>
        </w:rPr>
        <w:t> </w:t>
      </w:r>
      <w:r>
        <w:rPr>
          <w:color w:val="1B1B22"/>
          <w:spacing w:val="-2"/>
        </w:rPr>
        <w:t>Technology</w:t>
      </w:r>
      <w:r>
        <w:rPr>
          <w:color w:val="1B1B22"/>
          <w:spacing w:val="-4"/>
        </w:rPr>
        <w:t> </w:t>
      </w:r>
      <w:r>
        <w:rPr>
          <w:color w:val="1B1B22"/>
          <w:spacing w:val="-2"/>
        </w:rPr>
        <w:t>and Innovation</w:t>
      </w:r>
      <w:r>
        <w:rPr>
          <w:color w:val="1B1B22"/>
          <w:spacing w:val="-3"/>
        </w:rPr>
        <w:t> </w:t>
      </w:r>
      <w:r>
        <w:rPr>
          <w:color w:val="1B1B22"/>
          <w:spacing w:val="-2"/>
        </w:rPr>
        <w:t>Committee</w:t>
      </w:r>
      <w:r>
        <w:rPr>
          <w:color w:val="1B1B22"/>
          <w:spacing w:val="-3"/>
        </w:rPr>
        <w:t> </w:t>
      </w:r>
      <w:r>
        <w:rPr>
          <w:color w:val="1B1B22"/>
          <w:spacing w:val="-2"/>
        </w:rPr>
        <w:t>(Cotei), </w:t>
      </w:r>
      <w:r>
        <w:rPr>
          <w:color w:val="1B1B22"/>
        </w:rPr>
        <w:t>and</w:t>
      </w:r>
      <w:r>
        <w:rPr>
          <w:color w:val="1B1B22"/>
          <w:spacing w:val="46"/>
        </w:rPr>
        <w:t>  </w:t>
      </w:r>
      <w:r>
        <w:rPr>
          <w:color w:val="1B1B22"/>
        </w:rPr>
        <w:t>the</w:t>
      </w:r>
      <w:r>
        <w:rPr>
          <w:color w:val="1B1B22"/>
          <w:spacing w:val="46"/>
        </w:rPr>
        <w:t>  </w:t>
      </w:r>
      <w:r>
        <w:rPr>
          <w:color w:val="1B1B22"/>
        </w:rPr>
        <w:t>Corporate</w:t>
      </w:r>
      <w:r>
        <w:rPr>
          <w:color w:val="1B1B22"/>
          <w:spacing w:val="46"/>
        </w:rPr>
        <w:t>  </w:t>
      </w:r>
      <w:r>
        <w:rPr>
          <w:color w:val="1B1B22"/>
        </w:rPr>
        <w:t>Sustainability</w:t>
      </w:r>
      <w:r>
        <w:rPr>
          <w:color w:val="1B1B22"/>
          <w:spacing w:val="47"/>
        </w:rPr>
        <w:t>  </w:t>
      </w:r>
      <w:r>
        <w:rPr>
          <w:color w:val="1B1B22"/>
          <w:spacing w:val="-2"/>
        </w:rPr>
        <w:t>Committee</w:t>
      </w:r>
    </w:p>
    <w:p>
      <w:pPr>
        <w:pStyle w:val="BodyText"/>
        <w:spacing w:line="321" w:lineRule="auto" w:before="115"/>
        <w:ind w:right="142"/>
      </w:pPr>
      <w:r>
        <w:rPr/>
        <w:br w:type="column"/>
      </w:r>
      <w:r>
        <w:rPr>
          <w:color w:val="1B1B22"/>
          <w:spacing w:val="-2"/>
        </w:rPr>
        <w:t>Also</w:t>
      </w:r>
      <w:r>
        <w:rPr>
          <w:color w:val="1B1B22"/>
          <w:spacing w:val="-7"/>
        </w:rPr>
        <w:t> </w:t>
      </w:r>
      <w:r>
        <w:rPr>
          <w:color w:val="1B1B22"/>
          <w:spacing w:val="-2"/>
        </w:rPr>
        <w:t>in</w:t>
      </w:r>
      <w:r>
        <w:rPr>
          <w:color w:val="1B1B22"/>
          <w:spacing w:val="-7"/>
        </w:rPr>
        <w:t> </w:t>
      </w:r>
      <w:r>
        <w:rPr>
          <w:color w:val="1B1B22"/>
          <w:spacing w:val="-2"/>
        </w:rPr>
        <w:t>2Q25,</w:t>
      </w:r>
      <w:r>
        <w:rPr>
          <w:color w:val="1B1B22"/>
          <w:spacing w:val="-7"/>
        </w:rPr>
        <w:t> </w:t>
      </w:r>
      <w:r>
        <w:rPr>
          <w:color w:val="1B1B22"/>
          <w:spacing w:val="-2"/>
        </w:rPr>
        <w:t>we</w:t>
      </w:r>
      <w:r>
        <w:rPr>
          <w:color w:val="1B1B22"/>
          <w:spacing w:val="-8"/>
        </w:rPr>
        <w:t> </w:t>
      </w:r>
      <w:r>
        <w:rPr>
          <w:color w:val="1B1B22"/>
          <w:spacing w:val="-2"/>
        </w:rPr>
        <w:t>prepared</w:t>
      </w:r>
      <w:r>
        <w:rPr>
          <w:color w:val="1B1B22"/>
          <w:spacing w:val="-6"/>
        </w:rPr>
        <w:t> </w:t>
      </w:r>
      <w:r>
        <w:rPr>
          <w:color w:val="1B1B22"/>
          <w:spacing w:val="-2"/>
        </w:rPr>
        <w:t>a</w:t>
      </w:r>
      <w:r>
        <w:rPr>
          <w:color w:val="1B1B22"/>
          <w:spacing w:val="-8"/>
        </w:rPr>
        <w:t> </w:t>
      </w:r>
      <w:r>
        <w:rPr>
          <w:color w:val="1B1B22"/>
          <w:spacing w:val="-2"/>
        </w:rPr>
        <w:t>comprehensive</w:t>
      </w:r>
      <w:r>
        <w:rPr>
          <w:color w:val="1B1B22"/>
          <w:spacing w:val="-8"/>
        </w:rPr>
        <w:t> </w:t>
      </w:r>
      <w:r>
        <w:rPr>
          <w:color w:val="1B1B22"/>
          <w:spacing w:val="-2"/>
        </w:rPr>
        <w:t>update </w:t>
      </w:r>
      <w:r>
        <w:rPr>
          <w:color w:val="1B1B22"/>
        </w:rPr>
        <w:t>of the Internal Regulations of the management bodies</w:t>
      </w:r>
      <w:r>
        <w:rPr>
          <w:color w:val="1B1B22"/>
          <w:spacing w:val="-9"/>
        </w:rPr>
        <w:t> </w:t>
      </w:r>
      <w:r>
        <w:rPr>
          <w:color w:val="1B1B22"/>
        </w:rPr>
        <w:t>(Board</w:t>
      </w:r>
      <w:r>
        <w:rPr>
          <w:color w:val="1B1B22"/>
          <w:spacing w:val="-10"/>
        </w:rPr>
        <w:t> </w:t>
      </w:r>
      <w:r>
        <w:rPr>
          <w:color w:val="1B1B22"/>
        </w:rPr>
        <w:t>of</w:t>
      </w:r>
      <w:r>
        <w:rPr>
          <w:color w:val="1B1B22"/>
          <w:spacing w:val="-11"/>
        </w:rPr>
        <w:t> </w:t>
      </w:r>
      <w:r>
        <w:rPr>
          <w:color w:val="1B1B22"/>
        </w:rPr>
        <w:t>Directors,</w:t>
      </w:r>
      <w:r>
        <w:rPr>
          <w:color w:val="1B1B22"/>
          <w:spacing w:val="-10"/>
        </w:rPr>
        <w:t> </w:t>
      </w:r>
      <w:r>
        <w:rPr>
          <w:color w:val="1B1B22"/>
        </w:rPr>
        <w:t>Board</w:t>
      </w:r>
      <w:r>
        <w:rPr>
          <w:color w:val="1B1B22"/>
          <w:spacing w:val="-10"/>
        </w:rPr>
        <w:t> </w:t>
      </w:r>
      <w:r>
        <w:rPr>
          <w:color w:val="1B1B22"/>
        </w:rPr>
        <w:t>of</w:t>
      </w:r>
      <w:r>
        <w:rPr>
          <w:color w:val="1B1B22"/>
          <w:spacing w:val="-11"/>
        </w:rPr>
        <w:t> </w:t>
      </w:r>
      <w:r>
        <w:rPr>
          <w:color w:val="1B1B22"/>
        </w:rPr>
        <w:t>Directors,</w:t>
      </w:r>
      <w:r>
        <w:rPr>
          <w:color w:val="1B1B22"/>
          <w:spacing w:val="-10"/>
        </w:rPr>
        <w:t> </w:t>
      </w:r>
      <w:r>
        <w:rPr>
          <w:color w:val="1B1B22"/>
        </w:rPr>
        <w:t>and Executive Board) and the advisory committees to the Board of Directors, aiming to align them with best corporate governance practices and applicable standards.</w:t>
      </w:r>
    </w:p>
    <w:p>
      <w:pPr>
        <w:pStyle w:val="BodyText"/>
        <w:spacing w:line="321" w:lineRule="auto" w:before="115"/>
        <w:ind w:right="140"/>
      </w:pPr>
      <w:r>
        <w:rPr>
          <w:color w:val="1B1B22"/>
        </w:rPr>
        <w:t>Finally, in 2Q25, the Board of Directors approved </w:t>
      </w:r>
      <w:r>
        <w:rPr>
          <w:color w:val="1B1B22"/>
          <w:spacing w:val="-2"/>
        </w:rPr>
        <w:t>the</w:t>
      </w:r>
      <w:r>
        <w:rPr>
          <w:color w:val="1B1B22"/>
          <w:spacing w:val="-10"/>
        </w:rPr>
        <w:t> </w:t>
      </w:r>
      <w:r>
        <w:rPr>
          <w:color w:val="1B1B22"/>
          <w:spacing w:val="-2"/>
        </w:rPr>
        <w:t>Annual</w:t>
      </w:r>
      <w:r>
        <w:rPr>
          <w:color w:val="1B1B22"/>
          <w:spacing w:val="-8"/>
        </w:rPr>
        <w:t> </w:t>
      </w:r>
      <w:r>
        <w:rPr>
          <w:color w:val="1B1B22"/>
          <w:spacing w:val="-2"/>
        </w:rPr>
        <w:t>Charter</w:t>
      </w:r>
      <w:r>
        <w:rPr>
          <w:color w:val="1B1B22"/>
          <w:spacing w:val="-7"/>
        </w:rPr>
        <w:t> </w:t>
      </w:r>
      <w:r>
        <w:rPr>
          <w:color w:val="1B1B22"/>
          <w:spacing w:val="-2"/>
        </w:rPr>
        <w:t>of</w:t>
      </w:r>
      <w:r>
        <w:rPr>
          <w:color w:val="1B1B22"/>
          <w:spacing w:val="-8"/>
        </w:rPr>
        <w:t> </w:t>
      </w:r>
      <w:r>
        <w:rPr>
          <w:color w:val="1B1B22"/>
          <w:spacing w:val="-2"/>
        </w:rPr>
        <w:t>Public</w:t>
      </w:r>
      <w:r>
        <w:rPr>
          <w:color w:val="1B1B22"/>
          <w:spacing w:val="-8"/>
        </w:rPr>
        <w:t> </w:t>
      </w:r>
      <w:r>
        <w:rPr>
          <w:color w:val="1B1B22"/>
          <w:spacing w:val="-2"/>
        </w:rPr>
        <w:t>Policies</w:t>
      </w:r>
      <w:r>
        <w:rPr>
          <w:color w:val="1B1B22"/>
          <w:spacing w:val="-5"/>
        </w:rPr>
        <w:t> </w:t>
      </w:r>
      <w:r>
        <w:rPr>
          <w:color w:val="1B1B22"/>
          <w:spacing w:val="-2"/>
        </w:rPr>
        <w:t>and</w:t>
      </w:r>
      <w:r>
        <w:rPr>
          <w:color w:val="1B1B22"/>
          <w:spacing w:val="-7"/>
        </w:rPr>
        <w:t> </w:t>
      </w:r>
      <w:r>
        <w:rPr>
          <w:color w:val="1B1B22"/>
          <w:spacing w:val="-2"/>
        </w:rPr>
        <w:t>Corporate </w:t>
      </w:r>
      <w:r>
        <w:rPr>
          <w:color w:val="1B1B22"/>
        </w:rPr>
        <w:t>Governance, unified for the Prudential Conglomerate (CPBB), including the Brazilian- based Affiliated Entities that comprise CPBB and have expressed their support for the unified Annual Charter. The aforementioned documents </w:t>
      </w:r>
      <w:r>
        <w:rPr>
          <w:color w:val="1B1B22"/>
          <w:spacing w:val="-2"/>
        </w:rPr>
        <w:t>are</w:t>
      </w:r>
      <w:r>
        <w:rPr>
          <w:color w:val="1B1B22"/>
          <w:spacing w:val="-11"/>
        </w:rPr>
        <w:t> </w:t>
      </w:r>
      <w:r>
        <w:rPr>
          <w:color w:val="1B1B22"/>
          <w:spacing w:val="-2"/>
        </w:rPr>
        <w:t>available</w:t>
      </w:r>
      <w:r>
        <w:rPr>
          <w:color w:val="1B1B22"/>
          <w:spacing w:val="-10"/>
        </w:rPr>
        <w:t> </w:t>
      </w:r>
      <w:r>
        <w:rPr>
          <w:color w:val="1B1B22"/>
          <w:spacing w:val="-2"/>
        </w:rPr>
        <w:t>on</w:t>
      </w:r>
      <w:r>
        <w:rPr>
          <w:color w:val="1B1B22"/>
          <w:spacing w:val="-9"/>
        </w:rPr>
        <w:t> </w:t>
      </w:r>
      <w:r>
        <w:rPr>
          <w:color w:val="1B1B22"/>
          <w:spacing w:val="-2"/>
        </w:rPr>
        <w:t>the</w:t>
      </w:r>
      <w:r>
        <w:rPr>
          <w:color w:val="1B1B22"/>
          <w:spacing w:val="-10"/>
        </w:rPr>
        <w:t> </w:t>
      </w:r>
      <w:r>
        <w:rPr>
          <w:color w:val="1B1B22"/>
          <w:spacing w:val="-2"/>
        </w:rPr>
        <w:t>website</w:t>
      </w:r>
      <w:r>
        <w:rPr>
          <w:color w:val="1B1B22"/>
          <w:spacing w:val="-10"/>
        </w:rPr>
        <w:t> </w:t>
      </w:r>
      <w:r>
        <w:rPr>
          <w:color w:val="1B1B22"/>
          <w:spacing w:val="-2"/>
        </w:rPr>
        <w:t>https://ri.bb.com.br/</w:t>
      </w:r>
      <w:r>
        <w:rPr>
          <w:color w:val="1B1B22"/>
          <w:spacing w:val="-11"/>
        </w:rPr>
        <w:t> </w:t>
      </w:r>
      <w:r>
        <w:rPr>
          <w:color w:val="1B1B22"/>
          <w:spacing w:val="-2"/>
        </w:rPr>
        <w:t>&gt; </w:t>
      </w:r>
      <w:r>
        <w:rPr>
          <w:color w:val="1B1B22"/>
        </w:rPr>
        <w:t>Governance and Sustainability tab.</w:t>
      </w:r>
    </w:p>
    <w:p>
      <w:pPr>
        <w:pStyle w:val="BodyText"/>
        <w:spacing w:after="0" w:line="321" w:lineRule="auto"/>
        <w:sectPr>
          <w:type w:val="continuous"/>
          <w:pgSz w:w="11910" w:h="16850"/>
          <w:pgMar w:header="152" w:footer="591" w:top="1920" w:bottom="280" w:left="425" w:right="708"/>
          <w:cols w:num="2" w:equalWidth="0">
            <w:col w:w="5216" w:space="241"/>
            <w:col w:w="5320"/>
          </w:cols>
        </w:sectPr>
      </w:pPr>
    </w:p>
    <w:p>
      <w:pPr>
        <w:pStyle w:val="BodyText"/>
        <w:spacing w:before="536"/>
        <w:ind w:left="0"/>
        <w:jc w:val="left"/>
        <w:rPr>
          <w:sz w:val="44"/>
        </w:rPr>
      </w:pPr>
    </w:p>
    <w:p>
      <w:pPr>
        <w:pStyle w:val="Heading1"/>
      </w:pPr>
      <w:r>
        <w:rPr>
          <w:color w:val="465EFF"/>
          <w:spacing w:val="29"/>
        </w:rPr>
        <w:t>Technology</w:t>
      </w:r>
      <w:r>
        <w:rPr>
          <w:color w:val="465EFF"/>
          <w:spacing w:val="66"/>
        </w:rPr>
        <w:t> </w:t>
      </w:r>
      <w:r>
        <w:rPr>
          <w:color w:val="465EFF"/>
          <w:spacing w:val="28"/>
        </w:rPr>
        <w:t>that</w:t>
      </w:r>
      <w:r>
        <w:rPr>
          <w:color w:val="465EFF"/>
          <w:spacing w:val="44"/>
        </w:rPr>
        <w:t> </w:t>
      </w:r>
      <w:r>
        <w:rPr>
          <w:color w:val="465EFF"/>
          <w:spacing w:val="28"/>
        </w:rPr>
        <w:t>Transforms</w:t>
      </w:r>
    </w:p>
    <w:p>
      <w:pPr>
        <w:pStyle w:val="BodyText"/>
        <w:spacing w:before="2"/>
        <w:ind w:left="0"/>
        <w:jc w:val="left"/>
        <w:rPr>
          <w:rFonts w:ascii="BancoDoBrasil Titulos"/>
        </w:rPr>
      </w:pPr>
    </w:p>
    <w:p>
      <w:pPr>
        <w:pStyle w:val="BodyText"/>
        <w:spacing w:after="0"/>
        <w:jc w:val="left"/>
        <w:rPr>
          <w:rFonts w:ascii="BancoDoBrasil Titulos"/>
        </w:rPr>
        <w:sectPr>
          <w:pgSz w:w="11910" w:h="16850"/>
          <w:pgMar w:header="152" w:footer="591" w:top="900" w:bottom="780" w:left="425" w:right="708"/>
        </w:sectPr>
      </w:pPr>
    </w:p>
    <w:p>
      <w:pPr>
        <w:pStyle w:val="BodyText"/>
        <w:spacing w:line="321" w:lineRule="auto" w:before="78"/>
        <w:ind w:right="40"/>
      </w:pPr>
      <w:r>
        <w:rPr>
          <w:color w:val="1B1B22"/>
        </w:rPr>
        <w:t>Our</w:t>
      </w:r>
      <w:r>
        <w:rPr>
          <w:color w:val="1B1B22"/>
          <w:spacing w:val="-13"/>
        </w:rPr>
        <w:t> </w:t>
      </w:r>
      <w:r>
        <w:rPr>
          <w:color w:val="1B1B22"/>
        </w:rPr>
        <w:t>Digital</w:t>
      </w:r>
      <w:r>
        <w:rPr>
          <w:color w:val="1B1B22"/>
          <w:spacing w:val="-12"/>
        </w:rPr>
        <w:t> </w:t>
      </w:r>
      <w:r>
        <w:rPr>
          <w:color w:val="1B1B22"/>
        </w:rPr>
        <w:t>Strategy</w:t>
      </w:r>
      <w:r>
        <w:rPr>
          <w:color w:val="1B1B22"/>
          <w:spacing w:val="-13"/>
        </w:rPr>
        <w:t> </w:t>
      </w:r>
      <w:r>
        <w:rPr>
          <w:color w:val="1B1B22"/>
        </w:rPr>
        <w:t>focuses</w:t>
      </w:r>
      <w:r>
        <w:rPr>
          <w:color w:val="1B1B22"/>
          <w:spacing w:val="-12"/>
        </w:rPr>
        <w:t> </w:t>
      </w:r>
      <w:r>
        <w:rPr>
          <w:color w:val="1B1B22"/>
        </w:rPr>
        <w:t>on</w:t>
      </w:r>
      <w:r>
        <w:rPr>
          <w:color w:val="1B1B22"/>
          <w:spacing w:val="-12"/>
        </w:rPr>
        <w:t> </w:t>
      </w:r>
      <w:r>
        <w:rPr>
          <w:color w:val="1B1B22"/>
        </w:rPr>
        <w:t>digital</w:t>
      </w:r>
      <w:r>
        <w:rPr>
          <w:color w:val="1B1B22"/>
          <w:spacing w:val="-13"/>
        </w:rPr>
        <w:t> </w:t>
      </w:r>
      <w:r>
        <w:rPr>
          <w:color w:val="1B1B22"/>
        </w:rPr>
        <w:t>and</w:t>
      </w:r>
      <w:r>
        <w:rPr>
          <w:color w:val="1B1B22"/>
          <w:spacing w:val="-12"/>
        </w:rPr>
        <w:t> </w:t>
      </w:r>
      <w:r>
        <w:rPr>
          <w:color w:val="1B1B22"/>
        </w:rPr>
        <w:t>cultural </w:t>
      </w:r>
      <w:r>
        <w:rPr>
          <w:color w:val="1B1B22"/>
          <w:spacing w:val="-2"/>
        </w:rPr>
        <w:t>transformation, with constant innovation, cutting- </w:t>
      </w:r>
      <w:r>
        <w:rPr>
          <w:color w:val="1B1B22"/>
        </w:rPr>
        <w:t>edge technology, new business models, and greater agility to delight customers.</w:t>
      </w:r>
    </w:p>
    <w:p>
      <w:pPr>
        <w:pStyle w:val="BodyText"/>
        <w:spacing w:line="321" w:lineRule="auto" w:before="116"/>
        <w:ind w:right="38"/>
      </w:pPr>
      <w:r>
        <w:rPr>
          <w:color w:val="1B1B22"/>
        </w:rPr>
        <w:t>The strategic application of data and Artificial Intelligence (AI) has generated significant results: increased operational efficiency, business momentum, and personalized experiences. One example is the "Potential Carbon Credit – Low Carbon Agriculture" solution, which identifies properties with the highest retention of greenhouse gases. Recognized by the MapBiomas Award in July 2025, the solution generates five statistical indexes that optimize customer </w:t>
      </w:r>
      <w:r>
        <w:rPr>
          <w:color w:val="1B1B22"/>
          <w:spacing w:val="-2"/>
        </w:rPr>
        <w:t>prospecting.</w:t>
      </w:r>
    </w:p>
    <w:p>
      <w:pPr>
        <w:pStyle w:val="BodyText"/>
        <w:spacing w:line="321" w:lineRule="auto" w:before="115"/>
        <w:ind w:right="42"/>
      </w:pPr>
      <w:r>
        <w:rPr>
          <w:color w:val="1B1B22"/>
          <w:spacing w:val="-2"/>
        </w:rPr>
        <w:t>AI</w:t>
      </w:r>
      <w:r>
        <w:rPr>
          <w:color w:val="1B1B22"/>
          <w:spacing w:val="-9"/>
        </w:rPr>
        <w:t> </w:t>
      </w:r>
      <w:r>
        <w:rPr>
          <w:color w:val="1B1B22"/>
          <w:spacing w:val="-2"/>
        </w:rPr>
        <w:t>is</w:t>
      </w:r>
      <w:r>
        <w:rPr>
          <w:color w:val="1B1B22"/>
          <w:spacing w:val="-8"/>
        </w:rPr>
        <w:t> </w:t>
      </w:r>
      <w:r>
        <w:rPr>
          <w:color w:val="1B1B22"/>
          <w:spacing w:val="-2"/>
        </w:rPr>
        <w:t>also</w:t>
      </w:r>
      <w:r>
        <w:rPr>
          <w:color w:val="1B1B22"/>
          <w:spacing w:val="-9"/>
        </w:rPr>
        <w:t> </w:t>
      </w:r>
      <w:r>
        <w:rPr>
          <w:color w:val="1B1B22"/>
          <w:spacing w:val="-2"/>
        </w:rPr>
        <w:t>present</w:t>
      </w:r>
      <w:r>
        <w:rPr>
          <w:color w:val="1B1B22"/>
          <w:spacing w:val="-11"/>
        </w:rPr>
        <w:t> </w:t>
      </w:r>
      <w:r>
        <w:rPr>
          <w:color w:val="1B1B22"/>
          <w:spacing w:val="-2"/>
        </w:rPr>
        <w:t>in</w:t>
      </w:r>
      <w:r>
        <w:rPr>
          <w:color w:val="1B1B22"/>
          <w:spacing w:val="-10"/>
        </w:rPr>
        <w:t> </w:t>
      </w:r>
      <w:r>
        <w:rPr>
          <w:color w:val="1B1B22"/>
          <w:spacing w:val="-2"/>
        </w:rPr>
        <w:t>personalized</w:t>
      </w:r>
      <w:r>
        <w:rPr>
          <w:color w:val="1B1B22"/>
          <w:spacing w:val="-9"/>
        </w:rPr>
        <w:t> </w:t>
      </w:r>
      <w:r>
        <w:rPr>
          <w:color w:val="1B1B22"/>
          <w:spacing w:val="-2"/>
        </w:rPr>
        <w:t>investment</w:t>
      </w:r>
      <w:r>
        <w:rPr>
          <w:color w:val="1B1B22"/>
          <w:spacing w:val="-9"/>
        </w:rPr>
        <w:t> </w:t>
      </w:r>
      <w:r>
        <w:rPr>
          <w:color w:val="1B1B22"/>
          <w:spacing w:val="-2"/>
        </w:rPr>
        <w:t>offers, </w:t>
      </w:r>
      <w:r>
        <w:rPr>
          <w:color w:val="1B1B22"/>
        </w:rPr>
        <w:t>aligned with customer suitability profiles, with over R$260 million contracted.</w:t>
      </w:r>
    </w:p>
    <w:p>
      <w:pPr>
        <w:pStyle w:val="BodyText"/>
        <w:spacing w:line="321" w:lineRule="auto" w:before="116"/>
        <w:ind w:right="38"/>
      </w:pPr>
      <w:r>
        <w:rPr>
          <w:color w:val="1B1B22"/>
        </w:rPr>
        <w:t>In</w:t>
      </w:r>
      <w:r>
        <w:rPr>
          <w:color w:val="1B1B22"/>
          <w:spacing w:val="-10"/>
        </w:rPr>
        <w:t> </w:t>
      </w:r>
      <w:r>
        <w:rPr>
          <w:color w:val="1B1B22"/>
        </w:rPr>
        <w:t>the</w:t>
      </w:r>
      <w:r>
        <w:rPr>
          <w:color w:val="1B1B22"/>
          <w:spacing w:val="-11"/>
        </w:rPr>
        <w:t> </w:t>
      </w:r>
      <w:r>
        <w:rPr>
          <w:color w:val="1B1B22"/>
        </w:rPr>
        <w:t>payments</w:t>
      </w:r>
      <w:r>
        <w:rPr>
          <w:color w:val="1B1B22"/>
          <w:spacing w:val="-9"/>
        </w:rPr>
        <w:t> </w:t>
      </w:r>
      <w:r>
        <w:rPr>
          <w:color w:val="1B1B22"/>
        </w:rPr>
        <w:t>field,</w:t>
      </w:r>
      <w:r>
        <w:rPr>
          <w:color w:val="1B1B22"/>
          <w:spacing w:val="-10"/>
        </w:rPr>
        <w:t> </w:t>
      </w:r>
      <w:r>
        <w:rPr>
          <w:color w:val="1B1B22"/>
        </w:rPr>
        <w:t>BB</w:t>
      </w:r>
      <w:r>
        <w:rPr>
          <w:color w:val="1B1B22"/>
          <w:spacing w:val="-8"/>
        </w:rPr>
        <w:t> </w:t>
      </w:r>
      <w:r>
        <w:rPr>
          <w:color w:val="1B1B22"/>
        </w:rPr>
        <w:t>Pay</w:t>
      </w:r>
      <w:r>
        <w:rPr>
          <w:color w:val="1B1B22"/>
          <w:spacing w:val="-10"/>
        </w:rPr>
        <w:t> </w:t>
      </w:r>
      <w:r>
        <w:rPr>
          <w:color w:val="1B1B22"/>
        </w:rPr>
        <w:t>allows</w:t>
      </w:r>
      <w:r>
        <w:rPr>
          <w:color w:val="1B1B22"/>
          <w:spacing w:val="-9"/>
        </w:rPr>
        <w:t> </w:t>
      </w:r>
      <w:r>
        <w:rPr>
          <w:color w:val="1B1B22"/>
        </w:rPr>
        <w:t>you</w:t>
      </w:r>
      <w:r>
        <w:rPr>
          <w:color w:val="1B1B22"/>
          <w:spacing w:val="-11"/>
        </w:rPr>
        <w:t> </w:t>
      </w:r>
      <w:r>
        <w:rPr>
          <w:color w:val="1B1B22"/>
        </w:rPr>
        <w:t>to</w:t>
      </w:r>
      <w:r>
        <w:rPr>
          <w:color w:val="1B1B22"/>
          <w:spacing w:val="-10"/>
        </w:rPr>
        <w:t> </w:t>
      </w:r>
      <w:r>
        <w:rPr>
          <w:color w:val="1B1B22"/>
        </w:rPr>
        <w:t>receive payments</w:t>
      </w:r>
      <w:r>
        <w:rPr>
          <w:color w:val="1B1B22"/>
          <w:spacing w:val="-9"/>
        </w:rPr>
        <w:t> </w:t>
      </w:r>
      <w:r>
        <w:rPr>
          <w:color w:val="1B1B22"/>
        </w:rPr>
        <w:t>by</w:t>
      </w:r>
      <w:r>
        <w:rPr>
          <w:color w:val="1B1B22"/>
          <w:spacing w:val="-10"/>
        </w:rPr>
        <w:t> </w:t>
      </w:r>
      <w:r>
        <w:rPr>
          <w:color w:val="1B1B22"/>
        </w:rPr>
        <w:t>contactless</w:t>
      </w:r>
      <w:r>
        <w:rPr>
          <w:color w:val="1B1B22"/>
          <w:spacing w:val="-9"/>
        </w:rPr>
        <w:t> </w:t>
      </w:r>
      <w:r>
        <w:rPr>
          <w:color w:val="1B1B22"/>
        </w:rPr>
        <w:t>contact</w:t>
      </w:r>
      <w:r>
        <w:rPr>
          <w:color w:val="1B1B22"/>
          <w:spacing w:val="-9"/>
        </w:rPr>
        <w:t> </w:t>
      </w:r>
      <w:r>
        <w:rPr>
          <w:color w:val="1B1B22"/>
        </w:rPr>
        <w:t>directly</w:t>
      </w:r>
      <w:r>
        <w:rPr>
          <w:color w:val="1B1B22"/>
          <w:spacing w:val="-10"/>
        </w:rPr>
        <w:t> </w:t>
      </w:r>
      <w:r>
        <w:rPr>
          <w:color w:val="1B1B22"/>
        </w:rPr>
        <w:t>in</w:t>
      </w:r>
      <w:r>
        <w:rPr>
          <w:color w:val="1B1B22"/>
          <w:spacing w:val="-9"/>
        </w:rPr>
        <w:t> </w:t>
      </w:r>
      <w:r>
        <w:rPr>
          <w:color w:val="1B1B22"/>
        </w:rPr>
        <w:t>the</w:t>
      </w:r>
      <w:r>
        <w:rPr>
          <w:color w:val="1B1B22"/>
          <w:spacing w:val="-10"/>
        </w:rPr>
        <w:t> </w:t>
      </w:r>
      <w:r>
        <w:rPr>
          <w:color w:val="1B1B22"/>
        </w:rPr>
        <w:t>BB App,</w:t>
      </w:r>
      <w:r>
        <w:rPr>
          <w:color w:val="1B1B22"/>
          <w:spacing w:val="-13"/>
        </w:rPr>
        <w:t> </w:t>
      </w:r>
      <w:r>
        <w:rPr>
          <w:color w:val="1B1B22"/>
        </w:rPr>
        <w:t>with</w:t>
      </w:r>
      <w:r>
        <w:rPr>
          <w:color w:val="1B1B22"/>
          <w:spacing w:val="-12"/>
        </w:rPr>
        <w:t> </w:t>
      </w:r>
      <w:r>
        <w:rPr>
          <w:color w:val="1B1B22"/>
        </w:rPr>
        <w:t>the</w:t>
      </w:r>
      <w:r>
        <w:rPr>
          <w:color w:val="1B1B22"/>
          <w:spacing w:val="-13"/>
        </w:rPr>
        <w:t> </w:t>
      </w:r>
      <w:r>
        <w:rPr>
          <w:color w:val="1B1B22"/>
        </w:rPr>
        <w:t>Tap</w:t>
      </w:r>
      <w:r>
        <w:rPr>
          <w:color w:val="1B1B22"/>
          <w:spacing w:val="-12"/>
        </w:rPr>
        <w:t> </w:t>
      </w:r>
      <w:r>
        <w:rPr>
          <w:color w:val="1B1B22"/>
        </w:rPr>
        <w:t>on</w:t>
      </w:r>
      <w:r>
        <w:rPr>
          <w:color w:val="1B1B22"/>
          <w:spacing w:val="-12"/>
        </w:rPr>
        <w:t> </w:t>
      </w:r>
      <w:r>
        <w:rPr>
          <w:color w:val="1B1B22"/>
        </w:rPr>
        <w:t>Phone</w:t>
      </w:r>
      <w:r>
        <w:rPr>
          <w:color w:val="1B1B22"/>
          <w:spacing w:val="-13"/>
        </w:rPr>
        <w:t> </w:t>
      </w:r>
      <w:r>
        <w:rPr>
          <w:color w:val="1B1B22"/>
        </w:rPr>
        <w:t>function,</w:t>
      </w:r>
      <w:r>
        <w:rPr>
          <w:color w:val="1B1B22"/>
          <w:spacing w:val="-12"/>
        </w:rPr>
        <w:t> </w:t>
      </w:r>
      <w:r>
        <w:rPr>
          <w:color w:val="1B1B22"/>
        </w:rPr>
        <w:t>transforming your cell phone into a terminal. In the first half of the year, the solution handled R$7.8 billion in 8.9 million payments, demonstrating growing </w:t>
      </w:r>
      <w:r>
        <w:rPr>
          <w:color w:val="1B1B22"/>
          <w:spacing w:val="-2"/>
        </w:rPr>
        <w:t>adoption.</w:t>
      </w:r>
    </w:p>
    <w:p>
      <w:pPr>
        <w:pStyle w:val="BodyText"/>
        <w:spacing w:line="319" w:lineRule="auto" w:before="118"/>
        <w:ind w:right="43"/>
      </w:pPr>
      <w:r>
        <w:rPr>
          <w:color w:val="1B1B22"/>
          <w:spacing w:val="-2"/>
        </w:rPr>
        <w:t>We</w:t>
      </w:r>
      <w:r>
        <w:rPr>
          <w:color w:val="1B1B22"/>
          <w:spacing w:val="-11"/>
        </w:rPr>
        <w:t> </w:t>
      </w:r>
      <w:r>
        <w:rPr>
          <w:color w:val="1B1B22"/>
          <w:spacing w:val="-2"/>
        </w:rPr>
        <w:t>also</w:t>
      </w:r>
      <w:r>
        <w:rPr>
          <w:color w:val="1B1B22"/>
          <w:spacing w:val="-10"/>
        </w:rPr>
        <w:t> </w:t>
      </w:r>
      <w:r>
        <w:rPr>
          <w:color w:val="1B1B22"/>
          <w:spacing w:val="-2"/>
        </w:rPr>
        <w:t>innovated</w:t>
      </w:r>
      <w:r>
        <w:rPr>
          <w:color w:val="1B1B22"/>
          <w:spacing w:val="-11"/>
        </w:rPr>
        <w:t> </w:t>
      </w:r>
      <w:r>
        <w:rPr>
          <w:color w:val="1B1B22"/>
          <w:spacing w:val="-2"/>
        </w:rPr>
        <w:t>by</w:t>
      </w:r>
      <w:r>
        <w:rPr>
          <w:color w:val="1B1B22"/>
          <w:spacing w:val="-10"/>
        </w:rPr>
        <w:t> </w:t>
      </w:r>
      <w:r>
        <w:rPr>
          <w:color w:val="1B1B22"/>
          <w:spacing w:val="-2"/>
        </w:rPr>
        <w:t>launching</w:t>
      </w:r>
      <w:r>
        <w:rPr>
          <w:color w:val="1B1B22"/>
          <w:spacing w:val="-10"/>
        </w:rPr>
        <w:t> </w:t>
      </w:r>
      <w:r>
        <w:rPr>
          <w:color w:val="1B1B22"/>
          <w:spacing w:val="-2"/>
        </w:rPr>
        <w:t>our</w:t>
      </w:r>
      <w:r>
        <w:rPr>
          <w:color w:val="1B1B22"/>
          <w:spacing w:val="-11"/>
        </w:rPr>
        <w:t> </w:t>
      </w:r>
      <w:r>
        <w:rPr>
          <w:color w:val="1B1B22"/>
          <w:spacing w:val="-2"/>
        </w:rPr>
        <w:t>own</w:t>
      </w:r>
      <w:r>
        <w:rPr>
          <w:color w:val="1B1B22"/>
          <w:spacing w:val="-10"/>
        </w:rPr>
        <w:t> </w:t>
      </w:r>
      <w:r>
        <w:rPr>
          <w:color w:val="1B1B22"/>
          <w:spacing w:val="-2"/>
        </w:rPr>
        <w:t>Banking</w:t>
      </w:r>
      <w:r>
        <w:rPr>
          <w:color w:val="1B1B22"/>
          <w:spacing w:val="-10"/>
        </w:rPr>
        <w:t> </w:t>
      </w:r>
      <w:r>
        <w:rPr>
          <w:color w:val="1B1B22"/>
          <w:spacing w:val="-2"/>
        </w:rPr>
        <w:t>as </w:t>
      </w:r>
      <w:r>
        <w:rPr>
          <w:color w:val="1B1B22"/>
        </w:rPr>
        <w:t>a</w:t>
      </w:r>
      <w:r>
        <w:rPr>
          <w:color w:val="1B1B22"/>
          <w:spacing w:val="-4"/>
        </w:rPr>
        <w:t> </w:t>
      </w:r>
      <w:r>
        <w:rPr>
          <w:color w:val="1B1B22"/>
        </w:rPr>
        <w:t>Service</w:t>
      </w:r>
      <w:r>
        <w:rPr>
          <w:color w:val="1B1B22"/>
          <w:spacing w:val="-3"/>
        </w:rPr>
        <w:t> </w:t>
      </w:r>
      <w:r>
        <w:rPr>
          <w:color w:val="1B1B22"/>
        </w:rPr>
        <w:t>(BBaaS)</w:t>
      </w:r>
      <w:r>
        <w:rPr>
          <w:color w:val="1B1B22"/>
          <w:spacing w:val="-3"/>
        </w:rPr>
        <w:t> </w:t>
      </w:r>
      <w:r>
        <w:rPr>
          <w:color w:val="1B1B22"/>
        </w:rPr>
        <w:t>brand,</w:t>
      </w:r>
      <w:r>
        <w:rPr>
          <w:color w:val="1B1B22"/>
          <w:spacing w:val="-4"/>
        </w:rPr>
        <w:t> </w:t>
      </w:r>
      <w:r>
        <w:rPr>
          <w:color w:val="1B1B22"/>
        </w:rPr>
        <w:t>BB</w:t>
      </w:r>
      <w:r>
        <w:rPr>
          <w:color w:val="1B1B22"/>
          <w:spacing w:val="-3"/>
        </w:rPr>
        <w:t> </w:t>
      </w:r>
      <w:r>
        <w:rPr>
          <w:color w:val="1B1B22"/>
        </w:rPr>
        <w:t>com</w:t>
      </w:r>
      <w:r>
        <w:rPr>
          <w:color w:val="1B1B22"/>
          <w:spacing w:val="-3"/>
        </w:rPr>
        <w:t> </w:t>
      </w:r>
      <w:r>
        <w:rPr>
          <w:color w:val="1B1B22"/>
        </w:rPr>
        <w:t>Serviço,</w:t>
      </w:r>
      <w:r>
        <w:rPr>
          <w:color w:val="1B1B22"/>
          <w:spacing w:val="-4"/>
        </w:rPr>
        <w:t> </w:t>
      </w:r>
      <w:r>
        <w:rPr>
          <w:color w:val="1B1B22"/>
        </w:rPr>
        <w:t>with</w:t>
      </w:r>
      <w:r>
        <w:rPr>
          <w:color w:val="1B1B22"/>
          <w:spacing w:val="-2"/>
        </w:rPr>
        <w:t> </w:t>
      </w:r>
      <w:r>
        <w:rPr>
          <w:color w:val="1B1B22"/>
          <w:spacing w:val="-4"/>
        </w:rPr>
        <w:t>over</w:t>
      </w:r>
    </w:p>
    <w:p>
      <w:pPr>
        <w:pStyle w:val="BodyText"/>
        <w:spacing w:line="321" w:lineRule="auto" w:before="2"/>
        <w:ind w:right="43"/>
      </w:pPr>
      <w:r>
        <w:rPr>
          <w:color w:val="1B1B22"/>
        </w:rPr>
        <w:t>30 solutions in payments, credit, insurance, and </w:t>
      </w:r>
      <w:r>
        <w:rPr>
          <w:color w:val="1B1B22"/>
          <w:spacing w:val="-2"/>
        </w:rPr>
        <w:t>consultations.</w:t>
      </w:r>
    </w:p>
    <w:p>
      <w:pPr>
        <w:pStyle w:val="BodyText"/>
        <w:spacing w:line="321" w:lineRule="auto" w:before="120"/>
        <w:ind w:right="45"/>
      </w:pPr>
      <w:r>
        <w:rPr>
          <w:color w:val="1B1B22"/>
        </w:rPr>
        <w:t>We enable businesses and promote financial education.</w:t>
      </w:r>
      <w:r>
        <w:rPr>
          <w:color w:val="1B1B22"/>
          <w:spacing w:val="33"/>
        </w:rPr>
        <w:t> </w:t>
      </w:r>
      <w:r>
        <w:rPr>
          <w:color w:val="1B1B22"/>
        </w:rPr>
        <w:t>With</w:t>
      </w:r>
      <w:r>
        <w:rPr>
          <w:color w:val="1B1B22"/>
          <w:spacing w:val="44"/>
        </w:rPr>
        <w:t> </w:t>
      </w:r>
      <w:r>
        <w:rPr>
          <w:color w:val="1B1B22"/>
        </w:rPr>
        <w:t>Open</w:t>
      </w:r>
      <w:r>
        <w:rPr>
          <w:color w:val="1B1B22"/>
          <w:spacing w:val="43"/>
        </w:rPr>
        <w:t> </w:t>
      </w:r>
      <w:r>
        <w:rPr>
          <w:color w:val="1B1B22"/>
        </w:rPr>
        <w:t>Finance,</w:t>
      </w:r>
      <w:r>
        <w:rPr>
          <w:color w:val="1B1B22"/>
          <w:spacing w:val="44"/>
        </w:rPr>
        <w:t> </w:t>
      </w:r>
      <w:r>
        <w:rPr>
          <w:color w:val="1B1B22"/>
        </w:rPr>
        <w:t>for</w:t>
      </w:r>
      <w:r>
        <w:rPr>
          <w:color w:val="1B1B22"/>
          <w:spacing w:val="43"/>
        </w:rPr>
        <w:t> </w:t>
      </w:r>
      <w:r>
        <w:rPr>
          <w:color w:val="1B1B22"/>
        </w:rPr>
        <w:t>example,</w:t>
      </w:r>
      <w:r>
        <w:rPr>
          <w:color w:val="1B1B22"/>
          <w:spacing w:val="44"/>
        </w:rPr>
        <w:t> </w:t>
      </w:r>
      <w:r>
        <w:rPr>
          <w:color w:val="1B1B22"/>
          <w:spacing w:val="-5"/>
        </w:rPr>
        <w:t>we</w:t>
      </w:r>
    </w:p>
    <w:p>
      <w:pPr>
        <w:pStyle w:val="BodyText"/>
        <w:spacing w:line="321" w:lineRule="auto" w:before="78"/>
        <w:ind w:right="140"/>
      </w:pPr>
      <w:r>
        <w:rPr/>
        <w:br w:type="column"/>
      </w:r>
      <w:r>
        <w:rPr>
          <w:color w:val="1B1B22"/>
        </w:rPr>
        <w:t>reached three million customers with active consent, a 17% increase compared to 1H24, and surpassed R$2 billion in credit portability, with </w:t>
      </w:r>
      <w:r>
        <w:rPr>
          <w:color w:val="1B1B22"/>
          <w:spacing w:val="-2"/>
        </w:rPr>
        <w:t>57,000</w:t>
      </w:r>
      <w:r>
        <w:rPr>
          <w:color w:val="1B1B22"/>
          <w:spacing w:val="-11"/>
        </w:rPr>
        <w:t> </w:t>
      </w:r>
      <w:r>
        <w:rPr>
          <w:color w:val="1B1B22"/>
          <w:spacing w:val="-2"/>
        </w:rPr>
        <w:t>customers</w:t>
      </w:r>
      <w:r>
        <w:rPr>
          <w:color w:val="1B1B22"/>
          <w:spacing w:val="-10"/>
        </w:rPr>
        <w:t> </w:t>
      </w:r>
      <w:r>
        <w:rPr>
          <w:color w:val="1B1B22"/>
          <w:spacing w:val="-2"/>
        </w:rPr>
        <w:t>transferring</w:t>
      </w:r>
      <w:r>
        <w:rPr>
          <w:color w:val="1B1B22"/>
          <w:spacing w:val="-11"/>
        </w:rPr>
        <w:t> </w:t>
      </w:r>
      <w:r>
        <w:rPr>
          <w:color w:val="1B1B22"/>
          <w:spacing w:val="-2"/>
        </w:rPr>
        <w:t>their</w:t>
      </w:r>
      <w:r>
        <w:rPr>
          <w:color w:val="1B1B22"/>
          <w:spacing w:val="-10"/>
        </w:rPr>
        <w:t> </w:t>
      </w:r>
      <w:r>
        <w:rPr>
          <w:color w:val="1B1B22"/>
          <w:spacing w:val="-2"/>
        </w:rPr>
        <w:t>transactions</w:t>
      </w:r>
      <w:r>
        <w:rPr>
          <w:color w:val="1B1B22"/>
          <w:spacing w:val="-10"/>
        </w:rPr>
        <w:t> </w:t>
      </w:r>
      <w:r>
        <w:rPr>
          <w:color w:val="1B1B22"/>
          <w:spacing w:val="-2"/>
        </w:rPr>
        <w:t>to </w:t>
      </w:r>
      <w:r>
        <w:rPr>
          <w:color w:val="1B1B22"/>
          <w:spacing w:val="-4"/>
        </w:rPr>
        <w:t>BB.</w:t>
      </w:r>
    </w:p>
    <w:p>
      <w:pPr>
        <w:pStyle w:val="BodyText"/>
        <w:spacing w:line="321" w:lineRule="auto" w:before="116"/>
        <w:ind w:right="142"/>
      </w:pPr>
      <w:r>
        <w:rPr>
          <w:color w:val="1B1B22"/>
          <w:spacing w:val="-2"/>
        </w:rPr>
        <w:t>In</w:t>
      </w:r>
      <w:r>
        <w:rPr>
          <w:color w:val="1B1B22"/>
          <w:spacing w:val="-11"/>
        </w:rPr>
        <w:t> </w:t>
      </w:r>
      <w:r>
        <w:rPr>
          <w:color w:val="1B1B22"/>
          <w:spacing w:val="-2"/>
        </w:rPr>
        <w:t>1H25,</w:t>
      </w:r>
      <w:r>
        <w:rPr>
          <w:color w:val="1B1B22"/>
          <w:spacing w:val="-10"/>
        </w:rPr>
        <w:t> </w:t>
      </w:r>
      <w:r>
        <w:rPr>
          <w:color w:val="1B1B22"/>
          <w:spacing w:val="-2"/>
        </w:rPr>
        <w:t>we</w:t>
      </w:r>
      <w:r>
        <w:rPr>
          <w:color w:val="1B1B22"/>
          <w:spacing w:val="-11"/>
        </w:rPr>
        <w:t> </w:t>
      </w:r>
      <w:r>
        <w:rPr>
          <w:color w:val="1B1B22"/>
          <w:spacing w:val="-2"/>
        </w:rPr>
        <w:t>handled</w:t>
      </w:r>
      <w:r>
        <w:rPr>
          <w:color w:val="1B1B22"/>
          <w:spacing w:val="-10"/>
        </w:rPr>
        <w:t> </w:t>
      </w:r>
      <w:r>
        <w:rPr>
          <w:color w:val="1B1B22"/>
          <w:spacing w:val="-2"/>
        </w:rPr>
        <w:t>over</w:t>
      </w:r>
      <w:r>
        <w:rPr>
          <w:color w:val="1B1B22"/>
          <w:spacing w:val="-10"/>
        </w:rPr>
        <w:t> </w:t>
      </w:r>
      <w:r>
        <w:rPr>
          <w:color w:val="1B1B22"/>
          <w:spacing w:val="-2"/>
        </w:rPr>
        <w:t>920,000</w:t>
      </w:r>
      <w:r>
        <w:rPr>
          <w:color w:val="1B1B22"/>
          <w:spacing w:val="-11"/>
        </w:rPr>
        <w:t> </w:t>
      </w:r>
      <w:r>
        <w:rPr>
          <w:color w:val="1B1B22"/>
          <w:spacing w:val="-2"/>
        </w:rPr>
        <w:t>calls</w:t>
      </w:r>
      <w:r>
        <w:rPr>
          <w:color w:val="1B1B22"/>
          <w:spacing w:val="-10"/>
        </w:rPr>
        <w:t> </w:t>
      </w:r>
      <w:r>
        <w:rPr>
          <w:color w:val="1B1B22"/>
          <w:spacing w:val="-2"/>
        </w:rPr>
        <w:t>through</w:t>
      </w:r>
      <w:r>
        <w:rPr>
          <w:color w:val="1B1B22"/>
          <w:spacing w:val="-10"/>
        </w:rPr>
        <w:t> </w:t>
      </w:r>
      <w:r>
        <w:rPr>
          <w:color w:val="1B1B22"/>
          <w:spacing w:val="-2"/>
        </w:rPr>
        <w:t>the </w:t>
      </w:r>
      <w:r>
        <w:rPr>
          <w:color w:val="1B1B22"/>
        </w:rPr>
        <w:t>Minha Privacidade center, a personal data service channel, 95% of which were made via the BB app. The improvements implemented have improved the quality of the digital experience, with faster and more secure interactions.</w:t>
      </w:r>
    </w:p>
    <w:p>
      <w:pPr>
        <w:pStyle w:val="BodyText"/>
        <w:spacing w:line="321" w:lineRule="auto" w:before="116"/>
        <w:ind w:right="141"/>
      </w:pPr>
      <w:r>
        <w:rPr>
          <w:color w:val="1B1B22"/>
          <w:spacing w:val="-2"/>
        </w:rPr>
        <w:t>Furthermore,</w:t>
      </w:r>
      <w:r>
        <w:rPr>
          <w:color w:val="1B1B22"/>
          <w:spacing w:val="-10"/>
        </w:rPr>
        <w:t> </w:t>
      </w:r>
      <w:r>
        <w:rPr>
          <w:color w:val="1B1B22"/>
          <w:spacing w:val="-2"/>
        </w:rPr>
        <w:t>we</w:t>
      </w:r>
      <w:r>
        <w:rPr>
          <w:color w:val="1B1B22"/>
          <w:spacing w:val="-8"/>
        </w:rPr>
        <w:t> </w:t>
      </w:r>
      <w:r>
        <w:rPr>
          <w:color w:val="1B1B22"/>
          <w:spacing w:val="-2"/>
        </w:rPr>
        <w:t>maintained</w:t>
      </w:r>
      <w:r>
        <w:rPr>
          <w:color w:val="1B1B22"/>
          <w:spacing w:val="-11"/>
        </w:rPr>
        <w:t> </w:t>
      </w:r>
      <w:r>
        <w:rPr>
          <w:color w:val="1B1B22"/>
          <w:spacing w:val="-2"/>
        </w:rPr>
        <w:t>an</w:t>
      </w:r>
      <w:r>
        <w:rPr>
          <w:color w:val="1B1B22"/>
          <w:spacing w:val="-9"/>
        </w:rPr>
        <w:t> </w:t>
      </w:r>
      <w:r>
        <w:rPr>
          <w:color w:val="1B1B22"/>
          <w:spacing w:val="-2"/>
        </w:rPr>
        <w:t>excellent</w:t>
      </w:r>
      <w:r>
        <w:rPr>
          <w:color w:val="1B1B22"/>
          <w:spacing w:val="-10"/>
        </w:rPr>
        <w:t> </w:t>
      </w:r>
      <w:r>
        <w:rPr>
          <w:color w:val="1B1B22"/>
          <w:spacing w:val="-2"/>
        </w:rPr>
        <w:t>rating</w:t>
      </w:r>
      <w:r>
        <w:rPr>
          <w:color w:val="1B1B22"/>
          <w:spacing w:val="-10"/>
        </w:rPr>
        <w:t> </w:t>
      </w:r>
      <w:r>
        <w:rPr>
          <w:color w:val="1B1B22"/>
          <w:spacing w:val="-2"/>
        </w:rPr>
        <w:t>for </w:t>
      </w:r>
      <w:r>
        <w:rPr>
          <w:color w:val="1B1B22"/>
        </w:rPr>
        <w:t>the BB App (4.7 on Google Play and 4.8 on the Apple Store), reaching 27.2 million users in 2Q25. And the BB Investimentos App, dedicated to investor clients, achieved a rating of 4.6 on both the Apple Store and Google Play.</w:t>
      </w:r>
    </w:p>
    <w:p>
      <w:pPr>
        <w:pStyle w:val="BodyText"/>
        <w:spacing w:line="319" w:lineRule="auto" w:before="118"/>
        <w:ind w:right="146"/>
      </w:pPr>
      <w:r>
        <w:rPr>
          <w:color w:val="1B1B22"/>
          <w:spacing w:val="-2"/>
        </w:rPr>
        <w:t>Today,</w:t>
      </w:r>
      <w:r>
        <w:rPr>
          <w:color w:val="1B1B22"/>
          <w:spacing w:val="-7"/>
        </w:rPr>
        <w:t> </w:t>
      </w:r>
      <w:r>
        <w:rPr>
          <w:color w:val="1B1B22"/>
          <w:spacing w:val="-2"/>
        </w:rPr>
        <w:t>94%</w:t>
      </w:r>
      <w:r>
        <w:rPr>
          <w:color w:val="1B1B22"/>
          <w:spacing w:val="-7"/>
        </w:rPr>
        <w:t> </w:t>
      </w:r>
      <w:r>
        <w:rPr>
          <w:color w:val="1B1B22"/>
          <w:spacing w:val="-2"/>
        </w:rPr>
        <w:t>of</w:t>
      </w:r>
      <w:r>
        <w:rPr>
          <w:color w:val="1B1B22"/>
          <w:spacing w:val="-7"/>
        </w:rPr>
        <w:t> </w:t>
      </w:r>
      <w:r>
        <w:rPr>
          <w:color w:val="1B1B22"/>
          <w:spacing w:val="-2"/>
        </w:rPr>
        <w:t>transactions</w:t>
      </w:r>
      <w:r>
        <w:rPr>
          <w:color w:val="1B1B22"/>
          <w:spacing w:val="-6"/>
        </w:rPr>
        <w:t> </w:t>
      </w:r>
      <w:r>
        <w:rPr>
          <w:color w:val="1B1B22"/>
          <w:spacing w:val="-2"/>
        </w:rPr>
        <w:t>are</w:t>
      </w:r>
      <w:r>
        <w:rPr>
          <w:color w:val="1B1B22"/>
          <w:spacing w:val="-7"/>
        </w:rPr>
        <w:t> </w:t>
      </w:r>
      <w:r>
        <w:rPr>
          <w:color w:val="1B1B22"/>
          <w:spacing w:val="-2"/>
        </w:rPr>
        <w:t>conducted</w:t>
      </w:r>
      <w:r>
        <w:rPr>
          <w:color w:val="1B1B22"/>
          <w:spacing w:val="-7"/>
        </w:rPr>
        <w:t> </w:t>
      </w:r>
      <w:r>
        <w:rPr>
          <w:color w:val="1B1B22"/>
          <w:spacing w:val="-2"/>
        </w:rPr>
        <w:t>through </w:t>
      </w:r>
      <w:r>
        <w:rPr>
          <w:color w:val="1B1B22"/>
        </w:rPr>
        <w:t>digital channels.</w:t>
      </w:r>
    </w:p>
    <w:p>
      <w:pPr>
        <w:pStyle w:val="BodyText"/>
        <w:spacing w:line="321" w:lineRule="auto" w:before="122"/>
        <w:ind w:right="142"/>
      </w:pPr>
      <w:r>
        <w:rPr>
          <w:color w:val="1B1B22"/>
        </w:rPr>
        <w:t>We are attentive to the future and to market </w:t>
      </w:r>
      <w:r>
        <w:rPr>
          <w:color w:val="1B1B22"/>
          <w:spacing w:val="-4"/>
        </w:rPr>
        <w:t>developments.</w:t>
      </w:r>
      <w:r>
        <w:rPr>
          <w:color w:val="1B1B22"/>
          <w:spacing w:val="-9"/>
        </w:rPr>
        <w:t> </w:t>
      </w:r>
      <w:r>
        <w:rPr>
          <w:color w:val="1B1B22"/>
          <w:spacing w:val="-4"/>
        </w:rPr>
        <w:t>We</w:t>
      </w:r>
      <w:r>
        <w:rPr>
          <w:color w:val="1B1B22"/>
          <w:spacing w:val="-8"/>
        </w:rPr>
        <w:t> </w:t>
      </w:r>
      <w:r>
        <w:rPr>
          <w:color w:val="1B1B22"/>
          <w:spacing w:val="-4"/>
        </w:rPr>
        <w:t>have</w:t>
      </w:r>
      <w:r>
        <w:rPr>
          <w:color w:val="1B1B22"/>
          <w:spacing w:val="-9"/>
        </w:rPr>
        <w:t> </w:t>
      </w:r>
      <w:r>
        <w:rPr>
          <w:color w:val="1B1B22"/>
          <w:spacing w:val="-4"/>
        </w:rPr>
        <w:t>a</w:t>
      </w:r>
      <w:r>
        <w:rPr>
          <w:color w:val="1B1B22"/>
          <w:spacing w:val="-8"/>
        </w:rPr>
        <w:t> </w:t>
      </w:r>
      <w:r>
        <w:rPr>
          <w:color w:val="1B1B22"/>
          <w:spacing w:val="-4"/>
        </w:rPr>
        <w:t>Technology</w:t>
      </w:r>
      <w:r>
        <w:rPr>
          <w:color w:val="1B1B22"/>
          <w:spacing w:val="-8"/>
        </w:rPr>
        <w:t> </w:t>
      </w:r>
      <w:r>
        <w:rPr>
          <w:color w:val="1B1B22"/>
          <w:spacing w:val="-4"/>
        </w:rPr>
        <w:t>Trends</w:t>
      </w:r>
      <w:r>
        <w:rPr>
          <w:color w:val="1B1B22"/>
          <w:spacing w:val="-9"/>
        </w:rPr>
        <w:t> </w:t>
      </w:r>
      <w:r>
        <w:rPr>
          <w:color w:val="1B1B22"/>
          <w:spacing w:val="-4"/>
        </w:rPr>
        <w:t>Radar, </w:t>
      </w:r>
      <w:r>
        <w:rPr>
          <w:color w:val="1B1B22"/>
        </w:rPr>
        <w:t>available at bb.com.br/tendencias, through which we monitor trends and technologies, experimenting with and adopting those that are </w:t>
      </w:r>
      <w:r>
        <w:rPr>
          <w:color w:val="1B1B22"/>
          <w:spacing w:val="-2"/>
        </w:rPr>
        <w:t>relevant.</w:t>
      </w:r>
    </w:p>
    <w:p>
      <w:pPr>
        <w:pStyle w:val="BodyText"/>
        <w:spacing w:line="321" w:lineRule="auto" w:before="118"/>
        <w:ind w:right="143"/>
      </w:pPr>
      <w:r>
        <w:rPr>
          <w:color w:val="1B1B22"/>
        </w:rPr>
        <w:t>To</w:t>
      </w:r>
      <w:r>
        <w:rPr>
          <w:color w:val="1B1B22"/>
          <w:spacing w:val="-5"/>
        </w:rPr>
        <w:t> </w:t>
      </w:r>
      <w:r>
        <w:rPr>
          <w:color w:val="1B1B22"/>
        </w:rPr>
        <w:t>ensure</w:t>
      </w:r>
      <w:r>
        <w:rPr>
          <w:color w:val="1B1B22"/>
          <w:spacing w:val="-6"/>
        </w:rPr>
        <w:t> </w:t>
      </w:r>
      <w:r>
        <w:rPr>
          <w:color w:val="1B1B22"/>
        </w:rPr>
        <w:t>organic</w:t>
      </w:r>
      <w:r>
        <w:rPr>
          <w:color w:val="1B1B22"/>
          <w:spacing w:val="-6"/>
        </w:rPr>
        <w:t> </w:t>
      </w:r>
      <w:r>
        <w:rPr>
          <w:color w:val="1B1B22"/>
        </w:rPr>
        <w:t>growth</w:t>
      </w:r>
      <w:r>
        <w:rPr>
          <w:color w:val="1B1B22"/>
          <w:spacing w:val="-5"/>
        </w:rPr>
        <w:t> </w:t>
      </w:r>
      <w:r>
        <w:rPr>
          <w:color w:val="1B1B22"/>
        </w:rPr>
        <w:t>and</w:t>
      </w:r>
      <w:r>
        <w:rPr>
          <w:color w:val="1B1B22"/>
          <w:spacing w:val="-5"/>
        </w:rPr>
        <w:t> </w:t>
      </w:r>
      <w:r>
        <w:rPr>
          <w:color w:val="1B1B22"/>
        </w:rPr>
        <w:t>business</w:t>
      </w:r>
      <w:r>
        <w:rPr>
          <w:color w:val="1B1B22"/>
          <w:spacing w:val="-5"/>
        </w:rPr>
        <w:t> </w:t>
      </w:r>
      <w:r>
        <w:rPr>
          <w:color w:val="1B1B22"/>
        </w:rPr>
        <w:t>continuity, </w:t>
      </w:r>
      <w:r>
        <w:rPr>
          <w:color w:val="1B1B22"/>
          <w:spacing w:val="-2"/>
        </w:rPr>
        <w:t>we</w:t>
      </w:r>
      <w:r>
        <w:rPr>
          <w:color w:val="1B1B22"/>
          <w:spacing w:val="-11"/>
        </w:rPr>
        <w:t> </w:t>
      </w:r>
      <w:r>
        <w:rPr>
          <w:color w:val="1B1B22"/>
          <w:spacing w:val="-2"/>
        </w:rPr>
        <w:t>continue</w:t>
      </w:r>
      <w:r>
        <w:rPr>
          <w:color w:val="1B1B22"/>
          <w:spacing w:val="-10"/>
        </w:rPr>
        <w:t> </w:t>
      </w:r>
      <w:r>
        <w:rPr>
          <w:color w:val="1B1B22"/>
          <w:spacing w:val="-2"/>
        </w:rPr>
        <w:t>to</w:t>
      </w:r>
      <w:r>
        <w:rPr>
          <w:color w:val="1B1B22"/>
          <w:spacing w:val="-11"/>
        </w:rPr>
        <w:t> </w:t>
      </w:r>
      <w:r>
        <w:rPr>
          <w:color w:val="1B1B22"/>
          <w:spacing w:val="-2"/>
        </w:rPr>
        <w:t>invest</w:t>
      </w:r>
      <w:r>
        <w:rPr>
          <w:color w:val="1B1B22"/>
          <w:spacing w:val="-10"/>
        </w:rPr>
        <w:t> </w:t>
      </w:r>
      <w:r>
        <w:rPr>
          <w:color w:val="1B1B22"/>
          <w:spacing w:val="-2"/>
        </w:rPr>
        <w:t>in</w:t>
      </w:r>
      <w:r>
        <w:rPr>
          <w:color w:val="1B1B22"/>
          <w:spacing w:val="-10"/>
        </w:rPr>
        <w:t> </w:t>
      </w:r>
      <w:r>
        <w:rPr>
          <w:color w:val="1B1B22"/>
          <w:spacing w:val="-2"/>
        </w:rPr>
        <w:t>technology:</w:t>
      </w:r>
      <w:r>
        <w:rPr>
          <w:color w:val="1B1B22"/>
          <w:spacing w:val="-11"/>
        </w:rPr>
        <w:t> </w:t>
      </w:r>
      <w:r>
        <w:rPr>
          <w:color w:val="1B1B22"/>
          <w:spacing w:val="-2"/>
        </w:rPr>
        <w:t>R$3.2</w:t>
      </w:r>
      <w:r>
        <w:rPr>
          <w:color w:val="1B1B22"/>
          <w:spacing w:val="-10"/>
        </w:rPr>
        <w:t> </w:t>
      </w:r>
      <w:r>
        <w:rPr>
          <w:color w:val="1B1B22"/>
          <w:spacing w:val="-2"/>
        </w:rPr>
        <w:t>billion</w:t>
      </w:r>
      <w:r>
        <w:rPr>
          <w:color w:val="1B1B22"/>
          <w:spacing w:val="-10"/>
        </w:rPr>
        <w:t> </w:t>
      </w:r>
      <w:r>
        <w:rPr>
          <w:color w:val="1B1B22"/>
          <w:spacing w:val="-2"/>
        </w:rPr>
        <w:t>in </w:t>
      </w:r>
      <w:r>
        <w:rPr>
          <w:color w:val="1B1B22"/>
        </w:rPr>
        <w:t>1H25,</w:t>
      </w:r>
      <w:r>
        <w:rPr>
          <w:color w:val="1B1B22"/>
          <w:spacing w:val="-3"/>
        </w:rPr>
        <w:t> </w:t>
      </w:r>
      <w:r>
        <w:rPr>
          <w:color w:val="1B1B22"/>
        </w:rPr>
        <w:t>reinforcing</w:t>
      </w:r>
      <w:r>
        <w:rPr>
          <w:color w:val="1B1B22"/>
          <w:spacing w:val="-2"/>
        </w:rPr>
        <w:t> </w:t>
      </w:r>
      <w:r>
        <w:rPr>
          <w:color w:val="1B1B22"/>
        </w:rPr>
        <w:t>our</w:t>
      </w:r>
      <w:r>
        <w:rPr>
          <w:color w:val="1B1B22"/>
          <w:spacing w:val="-3"/>
        </w:rPr>
        <w:t> </w:t>
      </w:r>
      <w:r>
        <w:rPr>
          <w:color w:val="1B1B22"/>
        </w:rPr>
        <w:t>commitment</w:t>
      </w:r>
      <w:r>
        <w:rPr>
          <w:color w:val="1B1B22"/>
          <w:spacing w:val="-2"/>
        </w:rPr>
        <w:t> </w:t>
      </w:r>
      <w:r>
        <w:rPr>
          <w:color w:val="1B1B22"/>
        </w:rPr>
        <w:t>to</w:t>
      </w:r>
      <w:r>
        <w:rPr>
          <w:color w:val="1B1B22"/>
          <w:spacing w:val="-1"/>
        </w:rPr>
        <w:t> </w:t>
      </w:r>
      <w:r>
        <w:rPr>
          <w:color w:val="1B1B22"/>
        </w:rPr>
        <w:t>an</w:t>
      </w:r>
      <w:r>
        <w:rPr>
          <w:color w:val="1B1B22"/>
          <w:spacing w:val="-2"/>
        </w:rPr>
        <w:t> </w:t>
      </w:r>
      <w:r>
        <w:rPr>
          <w:color w:val="1B1B22"/>
        </w:rPr>
        <w:t>excellent digital experience—wherever, whenever, and however customers want it.</w:t>
      </w:r>
    </w:p>
    <w:p>
      <w:pPr>
        <w:pStyle w:val="BodyText"/>
        <w:spacing w:after="0" w:line="321" w:lineRule="auto"/>
        <w:sectPr>
          <w:type w:val="continuous"/>
          <w:pgSz w:w="11910" w:h="16850"/>
          <w:pgMar w:header="152" w:footer="591" w:top="1920" w:bottom="280" w:left="425" w:right="708"/>
          <w:cols w:num="2" w:equalWidth="0">
            <w:col w:w="5218" w:space="239"/>
            <w:col w:w="5320"/>
          </w:cols>
        </w:sectPr>
      </w:pPr>
    </w:p>
    <w:p>
      <w:pPr>
        <w:pStyle w:val="BodyText"/>
        <w:ind w:left="0"/>
        <w:jc w:val="left"/>
        <w:rPr>
          <w:sz w:val="44"/>
        </w:rPr>
      </w:pPr>
    </w:p>
    <w:p>
      <w:pPr>
        <w:pStyle w:val="BodyText"/>
        <w:ind w:left="0"/>
        <w:jc w:val="left"/>
        <w:rPr>
          <w:sz w:val="44"/>
        </w:rPr>
      </w:pPr>
    </w:p>
    <w:p>
      <w:pPr>
        <w:pStyle w:val="BodyText"/>
        <w:spacing w:before="37"/>
        <w:ind w:left="0"/>
        <w:jc w:val="left"/>
        <w:rPr>
          <w:sz w:val="44"/>
        </w:rPr>
      </w:pPr>
    </w:p>
    <w:p>
      <w:pPr>
        <w:pStyle w:val="Heading1"/>
        <w:tabs>
          <w:tab w:pos="2354" w:val="left" w:leader="none"/>
          <w:tab w:pos="7272" w:val="left" w:leader="none"/>
          <w:tab w:pos="9731" w:val="left" w:leader="none"/>
        </w:tabs>
        <w:spacing w:line="321" w:lineRule="auto"/>
        <w:ind w:right="194"/>
      </w:pPr>
      <w:r>
        <w:rPr>
          <w:color w:val="465EFF"/>
          <w:spacing w:val="20"/>
        </w:rPr>
        <w:t>ESG</w:t>
      </w:r>
      <w:r>
        <w:rPr>
          <w:color w:val="465EFF"/>
        </w:rPr>
        <w:tab/>
        <w:t>(</w:t>
      </w:r>
      <w:r>
        <w:rPr>
          <w:color w:val="465EFF"/>
          <w:spacing w:val="-68"/>
        </w:rPr>
        <w:t> </w:t>
      </w:r>
      <w:r>
        <w:rPr>
          <w:color w:val="465EFF"/>
          <w:spacing w:val="34"/>
        </w:rPr>
        <w:t>Environmental,</w:t>
      </w:r>
      <w:r>
        <w:rPr>
          <w:color w:val="465EFF"/>
        </w:rPr>
        <w:tab/>
      </w:r>
      <w:r>
        <w:rPr>
          <w:color w:val="465EFF"/>
          <w:spacing w:val="30"/>
        </w:rPr>
        <w:t>Social</w:t>
      </w:r>
      <w:r>
        <w:rPr>
          <w:color w:val="465EFF"/>
        </w:rPr>
        <w:tab/>
      </w:r>
      <w:r>
        <w:rPr>
          <w:color w:val="465EFF"/>
          <w:spacing w:val="15"/>
        </w:rPr>
        <w:t>and </w:t>
      </w:r>
      <w:r>
        <w:rPr>
          <w:color w:val="465EFF"/>
          <w:spacing w:val="31"/>
        </w:rPr>
        <w:t>Governance)</w:t>
      </w:r>
      <w:r>
        <w:rPr>
          <w:color w:val="465EFF"/>
          <w:spacing w:val="31"/>
        </w:rPr>
        <w:t> </w:t>
      </w:r>
      <w:r>
        <w:rPr>
          <w:color w:val="465EFF"/>
          <w:spacing w:val="29"/>
        </w:rPr>
        <w:t>Agenda</w:t>
      </w:r>
    </w:p>
    <w:p>
      <w:pPr>
        <w:pStyle w:val="Heading1"/>
        <w:spacing w:after="0" w:line="321" w:lineRule="auto"/>
        <w:sectPr>
          <w:pgSz w:w="11910" w:h="16850"/>
          <w:pgMar w:header="152" w:footer="591" w:top="900" w:bottom="780" w:left="425" w:right="708"/>
        </w:sectPr>
      </w:pPr>
    </w:p>
    <w:p>
      <w:pPr>
        <w:pStyle w:val="BodyText"/>
        <w:spacing w:line="321" w:lineRule="auto" w:before="143"/>
        <w:ind w:right="39"/>
      </w:pPr>
      <w:r>
        <w:rPr/>
        <w:t>We are a benchmark in Environmental, Social, and Governance (ESG) practices, with risk and opportunity management initiatives. Our Sustainability Plan - BB Agenda 30, aligned with the UN SDGs and the Paris Agreement, is our main </w:t>
      </w:r>
      <w:r>
        <w:rPr>
          <w:spacing w:val="-2"/>
        </w:rPr>
        <w:t>instrument,</w:t>
      </w:r>
      <w:r>
        <w:rPr>
          <w:spacing w:val="-3"/>
        </w:rPr>
        <w:t> </w:t>
      </w:r>
      <w:r>
        <w:rPr>
          <w:spacing w:val="-2"/>
        </w:rPr>
        <w:t>including 47</w:t>
      </w:r>
      <w:r>
        <w:rPr>
          <w:spacing w:val="-4"/>
        </w:rPr>
        <w:t> </w:t>
      </w:r>
      <w:r>
        <w:rPr>
          <w:spacing w:val="-2"/>
        </w:rPr>
        <w:t>actions and</w:t>
      </w:r>
      <w:r>
        <w:rPr>
          <w:spacing w:val="-3"/>
        </w:rPr>
        <w:t> </w:t>
      </w:r>
      <w:r>
        <w:rPr>
          <w:spacing w:val="-2"/>
        </w:rPr>
        <w:t>100</w:t>
      </w:r>
      <w:r>
        <w:rPr>
          <w:spacing w:val="-5"/>
        </w:rPr>
        <w:t> </w:t>
      </w:r>
      <w:r>
        <w:rPr>
          <w:spacing w:val="-2"/>
        </w:rPr>
        <w:t>indicators </w:t>
      </w:r>
      <w:r>
        <w:rPr/>
        <w:t>for 2023-2025. Furthermore, the BB 2030 Commitments for a More Sustainable World establish objectives on four fronts: sustainable credit, responsible investment, ESG and climate management,</w:t>
      </w:r>
      <w:r>
        <w:rPr>
          <w:spacing w:val="-3"/>
        </w:rPr>
        <w:t> </w:t>
      </w:r>
      <w:r>
        <w:rPr/>
        <w:t>aiming</w:t>
      </w:r>
      <w:r>
        <w:rPr>
          <w:spacing w:val="-3"/>
        </w:rPr>
        <w:t> </w:t>
      </w:r>
      <w:r>
        <w:rPr/>
        <w:t>to</w:t>
      </w:r>
      <w:r>
        <w:rPr>
          <w:spacing w:val="-3"/>
        </w:rPr>
        <w:t> </w:t>
      </w:r>
      <w:r>
        <w:rPr/>
        <w:t>generate</w:t>
      </w:r>
      <w:r>
        <w:rPr>
          <w:spacing w:val="-3"/>
        </w:rPr>
        <w:t> </w:t>
      </w:r>
      <w:r>
        <w:rPr/>
        <w:t>positive</w:t>
      </w:r>
      <w:r>
        <w:rPr>
          <w:spacing w:val="-3"/>
        </w:rPr>
        <w:t> </w:t>
      </w:r>
      <w:r>
        <w:rPr/>
        <w:t>impacts across the value chain.</w:t>
      </w:r>
    </w:p>
    <w:p>
      <w:pPr>
        <w:pStyle w:val="Heading2"/>
        <w:spacing w:before="105"/>
        <w:rPr>
          <w:b w:val="0"/>
        </w:rPr>
      </w:pPr>
      <w:r>
        <w:rPr>
          <w:b w:val="0"/>
          <w:color w:val="465EFF"/>
          <w:spacing w:val="19"/>
        </w:rPr>
        <w:t>Sustainable</w:t>
      </w:r>
      <w:r>
        <w:rPr>
          <w:b w:val="0"/>
          <w:color w:val="465EFF"/>
          <w:spacing w:val="49"/>
        </w:rPr>
        <w:t> </w:t>
      </w:r>
      <w:r>
        <w:rPr>
          <w:b w:val="0"/>
          <w:color w:val="465EFF"/>
          <w:spacing w:val="17"/>
        </w:rPr>
        <w:t>Funding</w:t>
      </w:r>
    </w:p>
    <w:p>
      <w:pPr>
        <w:pStyle w:val="BodyText"/>
        <w:spacing w:line="321" w:lineRule="auto" w:before="248"/>
        <w:ind w:right="38"/>
      </w:pPr>
      <w:r>
        <w:rPr/>
        <w:t>We raised R$39.8 billion for investments in ESG initiatives. The funds were obtained through the issuance of ESG-profile bonds, in addition to funding</w:t>
      </w:r>
      <w:r>
        <w:rPr>
          <w:spacing w:val="-6"/>
        </w:rPr>
        <w:t> </w:t>
      </w:r>
      <w:r>
        <w:rPr/>
        <w:t>from</w:t>
      </w:r>
      <w:r>
        <w:rPr>
          <w:spacing w:val="-5"/>
        </w:rPr>
        <w:t> </w:t>
      </w:r>
      <w:r>
        <w:rPr/>
        <w:t>multilateral</w:t>
      </w:r>
      <w:r>
        <w:rPr>
          <w:spacing w:val="-5"/>
        </w:rPr>
        <w:t> </w:t>
      </w:r>
      <w:r>
        <w:rPr/>
        <w:t>institutions,</w:t>
      </w:r>
      <w:r>
        <w:rPr>
          <w:spacing w:val="-7"/>
        </w:rPr>
        <w:t> </w:t>
      </w:r>
      <w:r>
        <w:rPr/>
        <w:t>investment banks, and international commercial banks. As a highlight for June 2025, we completed a new fundraising agreement called the SmartClimate- Smart Agriculture Repurchase Agreement with Banco</w:t>
      </w:r>
      <w:r>
        <w:rPr>
          <w:spacing w:val="-13"/>
        </w:rPr>
        <w:t> </w:t>
      </w:r>
      <w:r>
        <w:rPr/>
        <w:t>Natixis,</w:t>
      </w:r>
      <w:r>
        <w:rPr>
          <w:spacing w:val="-12"/>
        </w:rPr>
        <w:t> </w:t>
      </w:r>
      <w:r>
        <w:rPr/>
        <w:t>worth</w:t>
      </w:r>
      <w:r>
        <w:rPr>
          <w:spacing w:val="-13"/>
        </w:rPr>
        <w:t> </w:t>
      </w:r>
      <w:r>
        <w:rPr/>
        <w:t>US$100</w:t>
      </w:r>
      <w:r>
        <w:rPr>
          <w:spacing w:val="-10"/>
        </w:rPr>
        <w:t> </w:t>
      </w:r>
      <w:r>
        <w:rPr/>
        <w:t>million.</w:t>
      </w:r>
      <w:r>
        <w:rPr>
          <w:spacing w:val="-13"/>
        </w:rPr>
        <w:t> </w:t>
      </w:r>
      <w:r>
        <w:rPr/>
        <w:t>The</w:t>
      </w:r>
      <w:r>
        <w:rPr>
          <w:spacing w:val="-11"/>
        </w:rPr>
        <w:t> </w:t>
      </w:r>
      <w:r>
        <w:rPr/>
        <w:t>objective is to promote sustainable agriculture while ensuring support for responsible production.</w:t>
      </w:r>
    </w:p>
    <w:p>
      <w:pPr>
        <w:pStyle w:val="BodyText"/>
        <w:spacing w:line="321" w:lineRule="auto" w:before="114"/>
        <w:ind w:right="42"/>
      </w:pPr>
      <w:r>
        <w:rPr/>
        <w:t>We</w:t>
      </w:r>
      <w:r>
        <w:rPr>
          <w:spacing w:val="-2"/>
        </w:rPr>
        <w:t> </w:t>
      </w:r>
      <w:r>
        <w:rPr/>
        <w:t>highlight</w:t>
      </w:r>
      <w:r>
        <w:rPr>
          <w:spacing w:val="-1"/>
        </w:rPr>
        <w:t> </w:t>
      </w:r>
      <w:r>
        <w:rPr/>
        <w:t>the initial</w:t>
      </w:r>
      <w:r>
        <w:rPr>
          <w:spacing w:val="-1"/>
        </w:rPr>
        <w:t> </w:t>
      </w:r>
      <w:r>
        <w:rPr/>
        <w:t>releases</w:t>
      </w:r>
      <w:r>
        <w:rPr>
          <w:spacing w:val="-1"/>
        </w:rPr>
        <w:t> </w:t>
      </w:r>
      <w:r>
        <w:rPr/>
        <w:t>of</w:t>
      </w:r>
      <w:r>
        <w:rPr>
          <w:spacing w:val="-2"/>
        </w:rPr>
        <w:t> </w:t>
      </w:r>
      <w:r>
        <w:rPr/>
        <w:t>funds</w:t>
      </w:r>
      <w:r>
        <w:rPr>
          <w:spacing w:val="-1"/>
        </w:rPr>
        <w:t> </w:t>
      </w:r>
      <w:r>
        <w:rPr/>
        <w:t>from</w:t>
      </w:r>
      <w:r>
        <w:rPr>
          <w:spacing w:val="-2"/>
        </w:rPr>
        <w:t> </w:t>
      </w:r>
      <w:r>
        <w:rPr/>
        <w:t>the first auction of the blended finance subline of the ecoinvest program, an initiative that combines public</w:t>
      </w:r>
      <w:r>
        <w:rPr>
          <w:spacing w:val="56"/>
        </w:rPr>
        <w:t> </w:t>
      </w:r>
      <w:r>
        <w:rPr/>
        <w:t>and</w:t>
      </w:r>
      <w:r>
        <w:rPr>
          <w:spacing w:val="56"/>
        </w:rPr>
        <w:t> </w:t>
      </w:r>
      <w:r>
        <w:rPr/>
        <w:t>private</w:t>
      </w:r>
      <w:r>
        <w:rPr>
          <w:spacing w:val="57"/>
        </w:rPr>
        <w:t> </w:t>
      </w:r>
      <w:r>
        <w:rPr/>
        <w:t>capital</w:t>
      </w:r>
      <w:r>
        <w:rPr>
          <w:spacing w:val="56"/>
        </w:rPr>
        <w:t> </w:t>
      </w:r>
      <w:r>
        <w:rPr/>
        <w:t>to</w:t>
      </w:r>
      <w:r>
        <w:rPr>
          <w:spacing w:val="57"/>
        </w:rPr>
        <w:t> </w:t>
      </w:r>
      <w:r>
        <w:rPr/>
        <w:t>foster</w:t>
      </w:r>
      <w:r>
        <w:rPr>
          <w:spacing w:val="55"/>
        </w:rPr>
        <w:t> </w:t>
      </w:r>
      <w:r>
        <w:rPr>
          <w:spacing w:val="-2"/>
        </w:rPr>
        <w:t>sustainable</w:t>
      </w:r>
    </w:p>
    <w:p>
      <w:pPr>
        <w:pStyle w:val="BodyText"/>
        <w:spacing w:line="321" w:lineRule="auto" w:before="143"/>
        <w:ind w:left="438" w:right="139"/>
      </w:pPr>
      <w:r>
        <w:rPr/>
        <w:br w:type="column"/>
      </w:r>
      <w:r>
        <w:rPr>
          <w:spacing w:val="-2"/>
        </w:rPr>
        <w:t>projects</w:t>
      </w:r>
      <w:r>
        <w:rPr>
          <w:spacing w:val="-8"/>
        </w:rPr>
        <w:t> </w:t>
      </w:r>
      <w:r>
        <w:rPr>
          <w:spacing w:val="-2"/>
        </w:rPr>
        <w:t>in</w:t>
      </w:r>
      <w:r>
        <w:rPr>
          <w:spacing w:val="-3"/>
        </w:rPr>
        <w:t> </w:t>
      </w:r>
      <w:r>
        <w:rPr>
          <w:spacing w:val="-2"/>
        </w:rPr>
        <w:t>the</w:t>
      </w:r>
      <w:r>
        <w:rPr>
          <w:spacing w:val="-4"/>
        </w:rPr>
        <w:t> </w:t>
      </w:r>
      <w:r>
        <w:rPr>
          <w:spacing w:val="-2"/>
        </w:rPr>
        <w:t>country.</w:t>
      </w:r>
      <w:r>
        <w:rPr>
          <w:spacing w:val="-11"/>
        </w:rPr>
        <w:t> </w:t>
      </w:r>
      <w:r>
        <w:rPr>
          <w:spacing w:val="-2"/>
        </w:rPr>
        <w:t>The</w:t>
      </w:r>
      <w:r>
        <w:rPr>
          <w:spacing w:val="-4"/>
        </w:rPr>
        <w:t> </w:t>
      </w:r>
      <w:r>
        <w:rPr>
          <w:spacing w:val="-2"/>
        </w:rPr>
        <w:t>initiative</w:t>
      </w:r>
      <w:r>
        <w:rPr>
          <w:spacing w:val="-4"/>
        </w:rPr>
        <w:t> </w:t>
      </w:r>
      <w:r>
        <w:rPr>
          <w:spacing w:val="-2"/>
        </w:rPr>
        <w:t>is</w:t>
      </w:r>
      <w:r>
        <w:rPr>
          <w:spacing w:val="-3"/>
        </w:rPr>
        <w:t> </w:t>
      </w:r>
      <w:r>
        <w:rPr>
          <w:spacing w:val="-2"/>
        </w:rPr>
        <w:t>expected</w:t>
      </w:r>
      <w:r>
        <w:rPr>
          <w:spacing w:val="-4"/>
        </w:rPr>
        <w:t> </w:t>
      </w:r>
      <w:r>
        <w:rPr>
          <w:spacing w:val="-2"/>
        </w:rPr>
        <w:t>to </w:t>
      </w:r>
      <w:r>
        <w:rPr/>
        <w:t>generate R$4.8 billion in new sustainable operations, leveraging the funds raised and generating</w:t>
      </w:r>
      <w:r>
        <w:rPr>
          <w:spacing w:val="-13"/>
        </w:rPr>
        <w:t> </w:t>
      </w:r>
      <w:r>
        <w:rPr/>
        <w:t>a</w:t>
      </w:r>
      <w:r>
        <w:rPr>
          <w:spacing w:val="-12"/>
        </w:rPr>
        <w:t> </w:t>
      </w:r>
      <w:r>
        <w:rPr/>
        <w:t>significant</w:t>
      </w:r>
      <w:r>
        <w:rPr>
          <w:spacing w:val="-13"/>
        </w:rPr>
        <w:t> </w:t>
      </w:r>
      <w:r>
        <w:rPr/>
        <w:t>real-world</w:t>
      </w:r>
      <w:r>
        <w:rPr>
          <w:spacing w:val="-12"/>
        </w:rPr>
        <w:t> </w:t>
      </w:r>
      <w:r>
        <w:rPr/>
        <w:t>impact</w:t>
      </w:r>
      <w:r>
        <w:rPr>
          <w:spacing w:val="-12"/>
        </w:rPr>
        <w:t> </w:t>
      </w:r>
      <w:r>
        <w:rPr/>
        <w:t>through the</w:t>
      </w:r>
      <w:r>
        <w:rPr>
          <w:spacing w:val="-12"/>
        </w:rPr>
        <w:t> </w:t>
      </w:r>
      <w:r>
        <w:rPr/>
        <w:t>sustainable</w:t>
      </w:r>
      <w:r>
        <w:rPr>
          <w:spacing w:val="-12"/>
        </w:rPr>
        <w:t> </w:t>
      </w:r>
      <w:r>
        <w:rPr/>
        <w:t>themes</w:t>
      </w:r>
      <w:r>
        <w:rPr>
          <w:spacing w:val="-11"/>
        </w:rPr>
        <w:t> </w:t>
      </w:r>
      <w:r>
        <w:rPr/>
        <w:t>addressed</w:t>
      </w:r>
      <w:r>
        <w:rPr>
          <w:spacing w:val="-12"/>
        </w:rPr>
        <w:t> </w:t>
      </w:r>
      <w:r>
        <w:rPr/>
        <w:t>by</w:t>
      </w:r>
      <w:r>
        <w:rPr>
          <w:spacing w:val="-12"/>
        </w:rPr>
        <w:t> </w:t>
      </w:r>
      <w:r>
        <w:rPr/>
        <w:t>the</w:t>
      </w:r>
      <w:r>
        <w:rPr>
          <w:spacing w:val="-12"/>
        </w:rPr>
        <w:t> </w:t>
      </w:r>
      <w:r>
        <w:rPr>
          <w:spacing w:val="-2"/>
        </w:rPr>
        <w:t>program.</w:t>
      </w:r>
    </w:p>
    <w:p>
      <w:pPr>
        <w:pStyle w:val="BodyText"/>
        <w:spacing w:line="319" w:lineRule="auto" w:before="119"/>
        <w:ind w:left="438" w:right="138"/>
      </w:pPr>
      <w:r>
        <w:rPr/>
        <w:t>We</w:t>
      </w:r>
      <w:r>
        <w:rPr>
          <w:spacing w:val="-8"/>
        </w:rPr>
        <w:t> </w:t>
      </w:r>
      <w:r>
        <w:rPr/>
        <w:t>are</w:t>
      </w:r>
      <w:r>
        <w:rPr>
          <w:spacing w:val="-8"/>
        </w:rPr>
        <w:t> </w:t>
      </w:r>
      <w:r>
        <w:rPr/>
        <w:t>a</w:t>
      </w:r>
      <w:r>
        <w:rPr>
          <w:spacing w:val="-9"/>
        </w:rPr>
        <w:t> </w:t>
      </w:r>
      <w:r>
        <w:rPr/>
        <w:t>key</w:t>
      </w:r>
      <w:r>
        <w:rPr>
          <w:spacing w:val="-8"/>
        </w:rPr>
        <w:t> </w:t>
      </w:r>
      <w:r>
        <w:rPr/>
        <w:t>player</w:t>
      </w:r>
      <w:r>
        <w:rPr>
          <w:spacing w:val="-9"/>
        </w:rPr>
        <w:t> </w:t>
      </w:r>
      <w:r>
        <w:rPr/>
        <w:t>in</w:t>
      </w:r>
      <w:r>
        <w:rPr>
          <w:spacing w:val="-7"/>
        </w:rPr>
        <w:t> </w:t>
      </w:r>
      <w:r>
        <w:rPr/>
        <w:t>the</w:t>
      </w:r>
      <w:r>
        <w:rPr>
          <w:spacing w:val="-8"/>
        </w:rPr>
        <w:t> </w:t>
      </w:r>
      <w:r>
        <w:rPr/>
        <w:t>execution</w:t>
      </w:r>
      <w:r>
        <w:rPr>
          <w:spacing w:val="-7"/>
        </w:rPr>
        <w:t> </w:t>
      </w:r>
      <w:r>
        <w:rPr/>
        <w:t>of</w:t>
      </w:r>
      <w:r>
        <w:rPr>
          <w:spacing w:val="-9"/>
        </w:rPr>
        <w:t> </w:t>
      </w:r>
      <w:r>
        <w:rPr/>
        <w:t>sustainable investments in Brazil, applying sustainability through our published framework.</w:t>
      </w:r>
    </w:p>
    <w:p>
      <w:pPr>
        <w:pStyle w:val="BodyText"/>
        <w:spacing w:before="4"/>
        <w:ind w:left="0"/>
        <w:jc w:val="left"/>
        <w:rPr>
          <w:sz w:val="7"/>
        </w:rPr>
      </w:pPr>
      <w:r>
        <w:rPr>
          <w:sz w:val="7"/>
        </w:rPr>
        <w:drawing>
          <wp:anchor distT="0" distB="0" distL="0" distR="0" allowOverlap="1" layoutInCell="1" locked="0" behindDoc="1" simplePos="0" relativeHeight="487590400">
            <wp:simplePos x="0" y="0"/>
            <wp:positionH relativeFrom="page">
              <wp:posOffset>3998595</wp:posOffset>
            </wp:positionH>
            <wp:positionV relativeFrom="paragraph">
              <wp:posOffset>74450</wp:posOffset>
            </wp:positionV>
            <wp:extent cx="3039587" cy="1709927"/>
            <wp:effectExtent l="0" t="0" r="0" b="0"/>
            <wp:wrapTopAndBottom/>
            <wp:docPr id="22" name="Image 22" descr="Homem em pé na grama  O conteúdo gerado por IA pode estar incorreto."/>
            <wp:cNvGraphicFramePr>
              <a:graphicFrameLocks/>
            </wp:cNvGraphicFramePr>
            <a:graphic>
              <a:graphicData uri="http://schemas.openxmlformats.org/drawingml/2006/picture">
                <pic:pic>
                  <pic:nvPicPr>
                    <pic:cNvPr id="22" name="Image 22" descr="Homem em pé na grama  O conteúdo gerado por IA pode estar incorreto."/>
                    <pic:cNvPicPr/>
                  </pic:nvPicPr>
                  <pic:blipFill>
                    <a:blip r:embed="rId11" cstate="print"/>
                    <a:stretch>
                      <a:fillRect/>
                    </a:stretch>
                  </pic:blipFill>
                  <pic:spPr>
                    <a:xfrm>
                      <a:off x="0" y="0"/>
                      <a:ext cx="3039587" cy="1709927"/>
                    </a:xfrm>
                    <a:prstGeom prst="rect">
                      <a:avLst/>
                    </a:prstGeom>
                  </pic:spPr>
                </pic:pic>
              </a:graphicData>
            </a:graphic>
          </wp:anchor>
        </w:drawing>
      </w:r>
    </w:p>
    <w:p>
      <w:pPr>
        <w:pStyle w:val="Heading2"/>
        <w:spacing w:before="166"/>
        <w:ind w:left="438"/>
        <w:rPr>
          <w:b w:val="0"/>
        </w:rPr>
      </w:pPr>
      <w:r>
        <w:rPr>
          <w:b w:val="0"/>
          <w:color w:val="465EFF"/>
          <w:spacing w:val="19"/>
        </w:rPr>
        <w:t>Bioeconomy</w:t>
      </w:r>
      <w:r>
        <w:rPr>
          <w:b w:val="0"/>
          <w:color w:val="465EFF"/>
          <w:spacing w:val="48"/>
        </w:rPr>
        <w:t> </w:t>
      </w:r>
      <w:r>
        <w:rPr>
          <w:b w:val="0"/>
          <w:color w:val="465EFF"/>
          <w:spacing w:val="15"/>
        </w:rPr>
        <w:t>and</w:t>
      </w:r>
      <w:r>
        <w:rPr>
          <w:b w:val="0"/>
          <w:color w:val="465EFF"/>
          <w:spacing w:val="37"/>
        </w:rPr>
        <w:t> </w:t>
      </w:r>
      <w:r>
        <w:rPr>
          <w:b w:val="0"/>
          <w:color w:val="465EFF"/>
          <w:spacing w:val="12"/>
        </w:rPr>
        <w:t>Value</w:t>
      </w:r>
      <w:r>
        <w:rPr>
          <w:b w:val="0"/>
          <w:color w:val="465EFF"/>
          <w:spacing w:val="51"/>
        </w:rPr>
        <w:t> </w:t>
      </w:r>
      <w:r>
        <w:rPr>
          <w:b w:val="0"/>
          <w:color w:val="465EFF"/>
          <w:spacing w:val="14"/>
        </w:rPr>
        <w:t>Chain</w:t>
      </w:r>
    </w:p>
    <w:p>
      <w:pPr>
        <w:pStyle w:val="BodyText"/>
        <w:spacing w:line="321" w:lineRule="auto" w:before="250"/>
        <w:ind w:left="438" w:right="140"/>
      </w:pPr>
      <w:r>
        <w:rPr/>
        <w:t>We have contributed to the development of biodiversity in the country by providing financial resources, specialized services, credit lines with attractive terms, and financial consulting services to</w:t>
      </w:r>
      <w:r>
        <w:rPr>
          <w:spacing w:val="-13"/>
        </w:rPr>
        <w:t> </w:t>
      </w:r>
      <w:r>
        <w:rPr/>
        <w:t>assist</w:t>
      </w:r>
      <w:r>
        <w:rPr>
          <w:spacing w:val="-12"/>
        </w:rPr>
        <w:t> </w:t>
      </w:r>
      <w:r>
        <w:rPr/>
        <w:t>quilombola</w:t>
      </w:r>
      <w:r>
        <w:rPr>
          <w:spacing w:val="-13"/>
        </w:rPr>
        <w:t> </w:t>
      </w:r>
      <w:r>
        <w:rPr/>
        <w:t>family</w:t>
      </w:r>
      <w:r>
        <w:rPr>
          <w:spacing w:val="-12"/>
        </w:rPr>
        <w:t> </w:t>
      </w:r>
      <w:r>
        <w:rPr/>
        <w:t>farmers</w:t>
      </w:r>
      <w:r>
        <w:rPr>
          <w:spacing w:val="-12"/>
        </w:rPr>
        <w:t> </w:t>
      </w:r>
      <w:r>
        <w:rPr/>
        <w:t>and</w:t>
      </w:r>
      <w:r>
        <w:rPr>
          <w:spacing w:val="-13"/>
        </w:rPr>
        <w:t> </w:t>
      </w:r>
      <w:r>
        <w:rPr/>
        <w:t>indigenous peoples working in the bioeconomy. We are currently one of the leading financiers of forest- friendly</w:t>
      </w:r>
      <w:r>
        <w:rPr>
          <w:spacing w:val="-13"/>
        </w:rPr>
        <w:t> </w:t>
      </w:r>
      <w:r>
        <w:rPr/>
        <w:t>products,</w:t>
      </w:r>
      <w:r>
        <w:rPr>
          <w:spacing w:val="-12"/>
        </w:rPr>
        <w:t> </w:t>
      </w:r>
      <w:r>
        <w:rPr/>
        <w:t>with</w:t>
      </w:r>
      <w:r>
        <w:rPr>
          <w:spacing w:val="-13"/>
        </w:rPr>
        <w:t> </w:t>
      </w:r>
      <w:r>
        <w:rPr/>
        <w:t>R$1.9</w:t>
      </w:r>
      <w:r>
        <w:rPr>
          <w:spacing w:val="-12"/>
        </w:rPr>
        <w:t> </w:t>
      </w:r>
      <w:r>
        <w:rPr/>
        <w:t>billion</w:t>
      </w:r>
      <w:r>
        <w:rPr>
          <w:spacing w:val="-12"/>
        </w:rPr>
        <w:t> </w:t>
      </w:r>
      <w:r>
        <w:rPr/>
        <w:t>in</w:t>
      </w:r>
      <w:r>
        <w:rPr>
          <w:spacing w:val="-13"/>
        </w:rPr>
        <w:t> </w:t>
      </w:r>
      <w:r>
        <w:rPr/>
        <w:t>bioeconomy and value chain projects in Legal Amazon, representing 39% growth in the last 12 months.</w:t>
      </w:r>
    </w:p>
    <w:p>
      <w:pPr>
        <w:pStyle w:val="BodyText"/>
        <w:spacing w:after="0" w:line="321" w:lineRule="auto"/>
        <w:sectPr>
          <w:type w:val="continuous"/>
          <w:pgSz w:w="11910" w:h="16850"/>
          <w:pgMar w:header="152" w:footer="591" w:top="1920" w:bottom="280" w:left="425" w:right="708"/>
          <w:cols w:num="2" w:equalWidth="0">
            <w:col w:w="5215" w:space="230"/>
            <w:col w:w="5332"/>
          </w:cols>
        </w:sectPr>
      </w:pPr>
    </w:p>
    <w:p>
      <w:pPr>
        <w:pStyle w:val="BodyText"/>
        <w:spacing w:before="88"/>
        <w:ind w:left="0"/>
        <w:jc w:val="left"/>
      </w:pPr>
    </w:p>
    <w:p>
      <w:pPr>
        <w:pStyle w:val="BodyText"/>
        <w:spacing w:line="88" w:lineRule="exact"/>
        <w:ind w:left="398"/>
        <w:jc w:val="left"/>
        <w:rPr>
          <w:position w:val="-1"/>
          <w:sz w:val="8"/>
        </w:rPr>
      </w:pPr>
      <w:r>
        <w:rPr>
          <w:position w:val="-1"/>
          <w:sz w:val="8"/>
        </w:rPr>
        <mc:AlternateContent>
          <mc:Choice Requires="wps">
            <w:drawing>
              <wp:inline distT="0" distB="0" distL="0" distR="0">
                <wp:extent cx="6518275" cy="56515"/>
                <wp:effectExtent l="0" t="0" r="0" b="0"/>
                <wp:docPr id="23" name="Group 23"/>
                <wp:cNvGraphicFramePr>
                  <a:graphicFrameLocks/>
                </wp:cNvGraphicFramePr>
                <a:graphic>
                  <a:graphicData uri="http://schemas.microsoft.com/office/word/2010/wordprocessingGroup">
                    <wpg:wgp>
                      <wpg:cNvPr id="23" name="Group 23"/>
                      <wpg:cNvGrpSpPr/>
                      <wpg:grpSpPr>
                        <a:xfrm>
                          <a:off x="0" y="0"/>
                          <a:ext cx="6518275" cy="56515"/>
                          <a:chExt cx="6518275" cy="56515"/>
                        </a:xfrm>
                      </wpg:grpSpPr>
                      <wps:wsp>
                        <wps:cNvPr id="24" name="Graphic 24"/>
                        <wps:cNvSpPr/>
                        <wps:spPr>
                          <a:xfrm>
                            <a:off x="0" y="0"/>
                            <a:ext cx="6518275" cy="56515"/>
                          </a:xfrm>
                          <a:custGeom>
                            <a:avLst/>
                            <a:gdLst/>
                            <a:ahLst/>
                            <a:cxnLst/>
                            <a:rect l="l" t="t" r="r" b="b"/>
                            <a:pathLst>
                              <a:path w="6518275" h="56515">
                                <a:moveTo>
                                  <a:pt x="6517894" y="0"/>
                                </a:moveTo>
                                <a:lnTo>
                                  <a:pt x="0" y="0"/>
                                </a:lnTo>
                                <a:lnTo>
                                  <a:pt x="0" y="56388"/>
                                </a:lnTo>
                                <a:lnTo>
                                  <a:pt x="6517894" y="56388"/>
                                </a:lnTo>
                                <a:lnTo>
                                  <a:pt x="6517894" y="0"/>
                                </a:lnTo>
                                <a:close/>
                              </a:path>
                            </a:pathLst>
                          </a:custGeom>
                          <a:solidFill>
                            <a:srgbClr val="DADEFF"/>
                          </a:solidFill>
                        </wps:spPr>
                        <wps:bodyPr wrap="square" lIns="0" tIns="0" rIns="0" bIns="0" rtlCol="0">
                          <a:prstTxWarp prst="textNoShape">
                            <a:avLst/>
                          </a:prstTxWarp>
                          <a:noAutofit/>
                        </wps:bodyPr>
                      </wps:wsp>
                    </wpg:wgp>
                  </a:graphicData>
                </a:graphic>
              </wp:inline>
            </w:drawing>
          </mc:Choice>
          <mc:Fallback>
            <w:pict>
              <v:group style="width:513.25pt;height:4.45pt;mso-position-horizontal-relative:char;mso-position-vertical-relative:line" id="docshapegroup21" coordorigin="0,0" coordsize="10265,89">
                <v:rect style="position:absolute;left:0;top:0;width:10265;height:89" id="docshape22" filled="true" fillcolor="#dadeff" stroked="false">
                  <v:fill type="solid"/>
                </v:rect>
              </v:group>
            </w:pict>
          </mc:Fallback>
        </mc:AlternateContent>
      </w:r>
      <w:r>
        <w:rPr>
          <w:position w:val="-1"/>
          <w:sz w:val="8"/>
        </w:rPr>
      </w:r>
    </w:p>
    <w:p>
      <w:pPr>
        <w:pStyle w:val="BodyText"/>
        <w:spacing w:before="11"/>
        <w:ind w:left="0"/>
        <w:jc w:val="left"/>
        <w:rPr>
          <w:sz w:val="6"/>
        </w:rPr>
      </w:pPr>
      <w:r>
        <w:rPr>
          <w:sz w:val="6"/>
        </w:rPr>
        <w:drawing>
          <wp:anchor distT="0" distB="0" distL="0" distR="0" allowOverlap="1" layoutInCell="1" locked="0" behindDoc="1" simplePos="0" relativeHeight="487591424">
            <wp:simplePos x="0" y="0"/>
            <wp:positionH relativeFrom="page">
              <wp:posOffset>567523</wp:posOffset>
            </wp:positionH>
            <wp:positionV relativeFrom="paragraph">
              <wp:posOffset>70899</wp:posOffset>
            </wp:positionV>
            <wp:extent cx="6424665" cy="3536918"/>
            <wp:effectExtent l="0" t="0" r="0" b="0"/>
            <wp:wrapTopAndBottom/>
            <wp:docPr id="25" name="Image 25" descr="Interface gráfica do usuário, Texto, Site  O conteúdo gerado por IA pode estar incorreto."/>
            <wp:cNvGraphicFramePr>
              <a:graphicFrameLocks/>
            </wp:cNvGraphicFramePr>
            <a:graphic>
              <a:graphicData uri="http://schemas.openxmlformats.org/drawingml/2006/picture">
                <pic:pic>
                  <pic:nvPicPr>
                    <pic:cNvPr id="25" name="Image 25" descr="Interface gráfica do usuário, Texto, Site  O conteúdo gerado por IA pode estar incorreto."/>
                    <pic:cNvPicPr/>
                  </pic:nvPicPr>
                  <pic:blipFill>
                    <a:blip r:embed="rId12" cstate="print"/>
                    <a:stretch>
                      <a:fillRect/>
                    </a:stretch>
                  </pic:blipFill>
                  <pic:spPr>
                    <a:xfrm>
                      <a:off x="0" y="0"/>
                      <a:ext cx="6424665" cy="3536918"/>
                    </a:xfrm>
                    <a:prstGeom prst="rect">
                      <a:avLst/>
                    </a:prstGeom>
                  </pic:spPr>
                </pic:pic>
              </a:graphicData>
            </a:graphic>
          </wp:anchor>
        </w:drawing>
      </w:r>
      <w:r>
        <w:rPr>
          <w:sz w:val="6"/>
        </w:rPr>
        <mc:AlternateContent>
          <mc:Choice Requires="wps">
            <w:drawing>
              <wp:anchor distT="0" distB="0" distL="0" distR="0" allowOverlap="1" layoutInCell="1" locked="0" behindDoc="1" simplePos="0" relativeHeight="487591936">
                <wp:simplePos x="0" y="0"/>
                <wp:positionH relativeFrom="page">
                  <wp:posOffset>522731</wp:posOffset>
                </wp:positionH>
                <wp:positionV relativeFrom="paragraph">
                  <wp:posOffset>3690746</wp:posOffset>
                </wp:positionV>
                <wp:extent cx="6518275" cy="56515"/>
                <wp:effectExtent l="0" t="0" r="0" b="0"/>
                <wp:wrapTopAndBottom/>
                <wp:docPr id="26" name="Graphic 26"/>
                <wp:cNvGraphicFramePr>
                  <a:graphicFrameLocks/>
                </wp:cNvGraphicFramePr>
                <a:graphic>
                  <a:graphicData uri="http://schemas.microsoft.com/office/word/2010/wordprocessingShape">
                    <wps:wsp>
                      <wps:cNvPr id="26" name="Graphic 26"/>
                      <wps:cNvSpPr/>
                      <wps:spPr>
                        <a:xfrm>
                          <a:off x="0" y="0"/>
                          <a:ext cx="6518275" cy="56515"/>
                        </a:xfrm>
                        <a:custGeom>
                          <a:avLst/>
                          <a:gdLst/>
                          <a:ahLst/>
                          <a:cxnLst/>
                          <a:rect l="l" t="t" r="r" b="b"/>
                          <a:pathLst>
                            <a:path w="6518275" h="56515">
                              <a:moveTo>
                                <a:pt x="6517894" y="0"/>
                              </a:moveTo>
                              <a:lnTo>
                                <a:pt x="0" y="0"/>
                              </a:lnTo>
                              <a:lnTo>
                                <a:pt x="0" y="56387"/>
                              </a:lnTo>
                              <a:lnTo>
                                <a:pt x="6517894" y="56387"/>
                              </a:lnTo>
                              <a:lnTo>
                                <a:pt x="6517894" y="0"/>
                              </a:lnTo>
                              <a:close/>
                            </a:path>
                          </a:pathLst>
                        </a:custGeom>
                        <a:solidFill>
                          <a:srgbClr val="DADEFF"/>
                        </a:solidFill>
                      </wps:spPr>
                      <wps:bodyPr wrap="square" lIns="0" tIns="0" rIns="0" bIns="0" rtlCol="0">
                        <a:prstTxWarp prst="textNoShape">
                          <a:avLst/>
                        </a:prstTxWarp>
                        <a:noAutofit/>
                      </wps:bodyPr>
                    </wps:wsp>
                  </a:graphicData>
                </a:graphic>
              </wp:anchor>
            </w:drawing>
          </mc:Choice>
          <mc:Fallback>
            <w:pict>
              <v:rect style="position:absolute;margin-left:41.16pt;margin-top:290.609985pt;width:513.22pt;height:4.440pt;mso-position-horizontal-relative:page;mso-position-vertical-relative:paragraph;z-index:-15724544;mso-wrap-distance-left:0;mso-wrap-distance-right:0" id="docshape23" filled="true" fillcolor="#dadeff" stroked="false">
                <v:fill type="solid"/>
                <w10:wrap type="topAndBottom"/>
              </v:rect>
            </w:pict>
          </mc:Fallback>
        </mc:AlternateContent>
      </w:r>
    </w:p>
    <w:p>
      <w:pPr>
        <w:pStyle w:val="BodyText"/>
        <w:spacing w:before="4"/>
        <w:ind w:left="0"/>
        <w:jc w:val="left"/>
        <w:rPr>
          <w:sz w:val="8"/>
        </w:rPr>
      </w:pPr>
    </w:p>
    <w:p>
      <w:pPr>
        <w:pStyle w:val="BodyText"/>
        <w:spacing w:before="6"/>
        <w:ind w:left="0"/>
        <w:jc w:val="left"/>
        <w:rPr>
          <w:sz w:val="5"/>
        </w:rPr>
      </w:pPr>
    </w:p>
    <w:p>
      <w:pPr>
        <w:pStyle w:val="BodyText"/>
        <w:spacing w:after="0"/>
        <w:jc w:val="left"/>
        <w:rPr>
          <w:sz w:val="5"/>
        </w:rPr>
        <w:sectPr>
          <w:pgSz w:w="11910" w:h="16850"/>
          <w:pgMar w:header="152" w:footer="591" w:top="900" w:bottom="780" w:left="425" w:right="708"/>
        </w:sectPr>
      </w:pPr>
    </w:p>
    <w:p>
      <w:pPr>
        <w:pStyle w:val="Heading2"/>
        <w:spacing w:before="26"/>
        <w:rPr>
          <w:b w:val="0"/>
        </w:rPr>
      </w:pPr>
      <w:r>
        <w:rPr>
          <w:b w:val="0"/>
          <w:color w:val="465EFF"/>
          <w:spacing w:val="19"/>
        </w:rPr>
        <w:t>Sustainable</w:t>
      </w:r>
      <w:r>
        <w:rPr>
          <w:b w:val="0"/>
          <w:color w:val="465EFF"/>
          <w:spacing w:val="49"/>
        </w:rPr>
        <w:t> </w:t>
      </w:r>
      <w:r>
        <w:rPr>
          <w:b w:val="0"/>
          <w:color w:val="465EFF"/>
          <w:spacing w:val="18"/>
        </w:rPr>
        <w:t>Business</w:t>
      </w:r>
    </w:p>
    <w:p>
      <w:pPr>
        <w:pStyle w:val="BodyText"/>
        <w:spacing w:line="321" w:lineRule="auto" w:before="168"/>
        <w:ind w:right="38"/>
      </w:pPr>
      <w:r>
        <w:rPr>
          <w:color w:val="1B1B22"/>
        </w:rPr>
        <w:t>In 2Q25, the sustainable credit portfolio reached R$396.5 billion, a 10.6% increase over 12 months, reflecting our commitment to the transition to a more sustainable economy. The funds were allocated to sectors with positive socio- environmental</w:t>
      </w:r>
      <w:r>
        <w:rPr>
          <w:color w:val="1B1B22"/>
          <w:spacing w:val="-10"/>
        </w:rPr>
        <w:t> </w:t>
      </w:r>
      <w:r>
        <w:rPr>
          <w:color w:val="1B1B22"/>
        </w:rPr>
        <w:t>impacts,</w:t>
      </w:r>
      <w:r>
        <w:rPr>
          <w:color w:val="1B1B22"/>
          <w:spacing w:val="-9"/>
        </w:rPr>
        <w:t> </w:t>
      </w:r>
      <w:r>
        <w:rPr>
          <w:color w:val="1B1B22"/>
        </w:rPr>
        <w:t>such</w:t>
      </w:r>
      <w:r>
        <w:rPr>
          <w:color w:val="1B1B22"/>
          <w:spacing w:val="-9"/>
        </w:rPr>
        <w:t> </w:t>
      </w:r>
      <w:r>
        <w:rPr>
          <w:color w:val="1B1B22"/>
        </w:rPr>
        <w:t>as</w:t>
      </w:r>
      <w:r>
        <w:rPr>
          <w:color w:val="1B1B22"/>
          <w:spacing w:val="-8"/>
        </w:rPr>
        <w:t> </w:t>
      </w:r>
      <w:r>
        <w:rPr>
          <w:color w:val="1B1B22"/>
        </w:rPr>
        <w:t>renewable</w:t>
      </w:r>
      <w:r>
        <w:rPr>
          <w:color w:val="1B1B22"/>
          <w:spacing w:val="-10"/>
        </w:rPr>
        <w:t> </w:t>
      </w:r>
      <w:r>
        <w:rPr>
          <w:color w:val="1B1B22"/>
        </w:rPr>
        <w:t>energy, sustainable</w:t>
      </w:r>
      <w:r>
        <w:rPr>
          <w:color w:val="1B1B22"/>
          <w:spacing w:val="-13"/>
        </w:rPr>
        <w:t> </w:t>
      </w:r>
      <w:r>
        <w:rPr>
          <w:color w:val="1B1B22"/>
        </w:rPr>
        <w:t>agriculture,</w:t>
      </w:r>
      <w:r>
        <w:rPr>
          <w:color w:val="1B1B22"/>
          <w:spacing w:val="-12"/>
        </w:rPr>
        <w:t> </w:t>
      </w:r>
      <w:r>
        <w:rPr>
          <w:color w:val="1B1B22"/>
        </w:rPr>
        <w:t>healthcare,</w:t>
      </w:r>
      <w:r>
        <w:rPr>
          <w:color w:val="1B1B22"/>
          <w:spacing w:val="-12"/>
        </w:rPr>
        <w:t> </w:t>
      </w:r>
      <w:r>
        <w:rPr>
          <w:color w:val="1B1B22"/>
        </w:rPr>
        <w:t>and</w:t>
      </w:r>
      <w:r>
        <w:rPr>
          <w:color w:val="1B1B22"/>
          <w:spacing w:val="-13"/>
        </w:rPr>
        <w:t> </w:t>
      </w:r>
      <w:r>
        <w:rPr>
          <w:color w:val="1B1B22"/>
        </w:rPr>
        <w:t>education.</w:t>
      </w:r>
    </w:p>
    <w:p>
      <w:pPr>
        <w:pStyle w:val="BodyText"/>
        <w:spacing w:line="321" w:lineRule="auto" w:before="118"/>
        <w:ind w:right="43"/>
      </w:pPr>
      <w:r>
        <w:rPr>
          <w:color w:val="1B1B22"/>
        </w:rPr>
        <w:t>The Sustainable Credit Portfolio undergoes independent assessment based on national and international</w:t>
      </w:r>
      <w:r>
        <w:rPr>
          <w:color w:val="1B1B22"/>
          <w:spacing w:val="-13"/>
        </w:rPr>
        <w:t> </w:t>
      </w:r>
      <w:r>
        <w:rPr>
          <w:color w:val="1B1B22"/>
        </w:rPr>
        <w:t>ESG</w:t>
      </w:r>
      <w:r>
        <w:rPr>
          <w:color w:val="1B1B22"/>
          <w:spacing w:val="-12"/>
        </w:rPr>
        <w:t> </w:t>
      </w:r>
      <w:r>
        <w:rPr>
          <w:color w:val="1B1B22"/>
        </w:rPr>
        <w:t>taxonomies.</w:t>
      </w:r>
      <w:r>
        <w:rPr>
          <w:color w:val="1B1B22"/>
          <w:spacing w:val="-13"/>
        </w:rPr>
        <w:t> </w:t>
      </w:r>
      <w:r>
        <w:rPr>
          <w:color w:val="1B1B22"/>
        </w:rPr>
        <w:t>The</w:t>
      </w:r>
      <w:r>
        <w:rPr>
          <w:color w:val="1B1B22"/>
          <w:spacing w:val="-12"/>
        </w:rPr>
        <w:t> </w:t>
      </w:r>
      <w:r>
        <w:rPr>
          <w:color w:val="1B1B22"/>
        </w:rPr>
        <w:t>methodology</w:t>
      </w:r>
      <w:r>
        <w:rPr>
          <w:color w:val="1B1B22"/>
          <w:spacing w:val="-12"/>
        </w:rPr>
        <w:t> </w:t>
      </w:r>
      <w:r>
        <w:rPr>
          <w:color w:val="1B1B22"/>
        </w:rPr>
        <w:t>is continually updated to incorporate best practices and include new products with ESG attributes.</w:t>
      </w:r>
    </w:p>
    <w:p>
      <w:pPr>
        <w:pStyle w:val="Heading2"/>
        <w:spacing w:before="108"/>
        <w:rPr>
          <w:b w:val="0"/>
        </w:rPr>
      </w:pPr>
      <w:r>
        <w:rPr>
          <w:b w:val="0"/>
          <w:color w:val="465EFF"/>
          <w:spacing w:val="19"/>
        </w:rPr>
        <w:t>Carbon</w:t>
      </w:r>
      <w:r>
        <w:rPr>
          <w:b w:val="0"/>
          <w:color w:val="465EFF"/>
          <w:spacing w:val="48"/>
        </w:rPr>
        <w:t> </w:t>
      </w:r>
      <w:r>
        <w:rPr>
          <w:b w:val="0"/>
          <w:color w:val="465EFF"/>
          <w:spacing w:val="15"/>
        </w:rPr>
        <w:t>Market</w:t>
      </w:r>
    </w:p>
    <w:p>
      <w:pPr>
        <w:pStyle w:val="BodyText"/>
        <w:spacing w:line="321" w:lineRule="auto" w:before="170"/>
        <w:ind w:right="41"/>
      </w:pPr>
      <w:r>
        <w:rPr>
          <w:color w:val="1B1B22"/>
        </w:rPr>
        <w:t>We strengthened our presence in the voluntary carbon market, supporting clients in the creation of projects with high environmental additionality, GHG emissions inventories,</w:t>
      </w:r>
      <w:r>
        <w:rPr>
          <w:color w:val="1B1B22"/>
          <w:spacing w:val="-1"/>
        </w:rPr>
        <w:t> </w:t>
      </w:r>
      <w:r>
        <w:rPr>
          <w:color w:val="1B1B22"/>
        </w:rPr>
        <w:t>decarbonization plans, and the offering of carbon credits to offset unmitigated</w:t>
      </w:r>
      <w:r>
        <w:rPr>
          <w:color w:val="1B1B22"/>
          <w:spacing w:val="62"/>
          <w:w w:val="150"/>
        </w:rPr>
        <w:t>  </w:t>
      </w:r>
      <w:r>
        <w:rPr>
          <w:color w:val="1B1B22"/>
        </w:rPr>
        <w:t>emissions.</w:t>
      </w:r>
      <w:r>
        <w:rPr>
          <w:color w:val="1B1B22"/>
          <w:spacing w:val="57"/>
          <w:w w:val="150"/>
        </w:rPr>
        <w:t>  </w:t>
      </w:r>
      <w:r>
        <w:rPr>
          <w:color w:val="1B1B22"/>
        </w:rPr>
        <w:t>We</w:t>
      </w:r>
      <w:r>
        <w:rPr>
          <w:color w:val="1B1B22"/>
          <w:spacing w:val="63"/>
          <w:w w:val="150"/>
        </w:rPr>
        <w:t>  </w:t>
      </w:r>
      <w:r>
        <w:rPr>
          <w:color w:val="1B1B22"/>
        </w:rPr>
        <w:t>also</w:t>
      </w:r>
      <w:r>
        <w:rPr>
          <w:color w:val="1B1B22"/>
          <w:spacing w:val="62"/>
          <w:w w:val="150"/>
        </w:rPr>
        <w:t>  </w:t>
      </w:r>
      <w:r>
        <w:rPr>
          <w:color w:val="1B1B22"/>
          <w:spacing w:val="-2"/>
        </w:rPr>
        <w:t>facilitate</w:t>
      </w:r>
    </w:p>
    <w:p>
      <w:pPr>
        <w:spacing w:line="240" w:lineRule="auto" w:before="0"/>
        <w:rPr>
          <w:sz w:val="20"/>
        </w:rPr>
      </w:pPr>
      <w:r>
        <w:rPr/>
        <w:br w:type="column"/>
      </w:r>
      <w:r>
        <w:rPr>
          <w:sz w:val="20"/>
        </w:rPr>
      </w:r>
    </w:p>
    <w:p>
      <w:pPr>
        <w:pStyle w:val="BodyText"/>
        <w:spacing w:before="41"/>
        <w:ind w:left="0"/>
        <w:jc w:val="left"/>
      </w:pPr>
    </w:p>
    <w:p>
      <w:pPr>
        <w:pStyle w:val="BodyText"/>
        <w:spacing w:line="321" w:lineRule="auto"/>
        <w:ind w:right="144"/>
      </w:pPr>
      <w:r>
        <w:rPr>
          <w:color w:val="1B1B22"/>
        </w:rPr>
        <w:t>intermediation between credit buyers and sellers and offer specific lines of credit for renewable energy and energy efficiency projects.</w:t>
      </w:r>
    </w:p>
    <w:p>
      <w:pPr>
        <w:pStyle w:val="BodyText"/>
        <w:spacing w:line="321" w:lineRule="auto" w:before="120"/>
        <w:ind w:right="141"/>
      </w:pPr>
      <w:r>
        <w:rPr>
          <w:color w:val="1B1B22"/>
        </w:rPr>
        <w:t>By June 2025, more than 850,000 hectares had been preserved or reforested through carbon </w:t>
      </w:r>
      <w:r>
        <w:rPr>
          <w:color w:val="1B1B22"/>
          <w:spacing w:val="-2"/>
        </w:rPr>
        <w:t>projects and</w:t>
      </w:r>
      <w:r>
        <w:rPr>
          <w:color w:val="1B1B22"/>
          <w:spacing w:val="-3"/>
        </w:rPr>
        <w:t> </w:t>
      </w:r>
      <w:r>
        <w:rPr>
          <w:color w:val="1B1B22"/>
          <w:spacing w:val="-2"/>
        </w:rPr>
        <w:t>credit</w:t>
      </w:r>
      <w:r>
        <w:rPr>
          <w:color w:val="1B1B22"/>
          <w:spacing w:val="-3"/>
        </w:rPr>
        <w:t> </w:t>
      </w:r>
      <w:r>
        <w:rPr>
          <w:color w:val="1B1B22"/>
          <w:spacing w:val="-2"/>
        </w:rPr>
        <w:t>operations.</w:t>
      </w:r>
      <w:r>
        <w:rPr>
          <w:color w:val="1B1B22"/>
          <w:spacing w:val="-3"/>
        </w:rPr>
        <w:t> </w:t>
      </w:r>
      <w:r>
        <w:rPr>
          <w:color w:val="1B1B22"/>
          <w:spacing w:val="-2"/>
        </w:rPr>
        <w:t>Forest conservation </w:t>
      </w:r>
      <w:r>
        <w:rPr>
          <w:color w:val="1B1B22"/>
        </w:rPr>
        <w:t>projects (REDD+) combine </w:t>
      </w:r>
      <w:r>
        <w:rPr>
          <w:color w:val="1B1B22"/>
        </w:rPr>
        <w:t>environmental preservation with income generation.</w:t>
      </w:r>
    </w:p>
    <w:p>
      <w:pPr>
        <w:pStyle w:val="BodyText"/>
        <w:spacing w:line="321" w:lineRule="auto" w:before="115"/>
        <w:ind w:right="140"/>
      </w:pPr>
      <w:r>
        <w:rPr>
          <w:color w:val="1B1B22"/>
        </w:rPr>
        <w:t>To diversify credit generation, BB launched the Biogas Program in June 2024, focused on biogas and biomethane production in agriculture.</w:t>
      </w:r>
    </w:p>
    <w:p>
      <w:pPr>
        <w:pStyle w:val="BodyText"/>
        <w:spacing w:line="321" w:lineRule="auto" w:before="120"/>
        <w:ind w:right="143"/>
      </w:pPr>
      <w:r>
        <w:rPr>
          <w:color w:val="1B1B22"/>
        </w:rPr>
        <w:t>Towards COP30, BB is also strengthening decarbonization with the issuance of more than R$729 million in CPRs backed by Decarbonization Credits (CBIOs), encouraging biofuel production and</w:t>
      </w:r>
      <w:r>
        <w:rPr>
          <w:color w:val="1B1B22"/>
          <w:spacing w:val="-8"/>
        </w:rPr>
        <w:t> </w:t>
      </w:r>
      <w:r>
        <w:rPr>
          <w:color w:val="1B1B22"/>
        </w:rPr>
        <w:t>participation</w:t>
      </w:r>
      <w:r>
        <w:rPr>
          <w:color w:val="1B1B22"/>
          <w:spacing w:val="-7"/>
        </w:rPr>
        <w:t> </w:t>
      </w:r>
      <w:r>
        <w:rPr>
          <w:color w:val="1B1B22"/>
        </w:rPr>
        <w:t>in</w:t>
      </w:r>
      <w:r>
        <w:rPr>
          <w:color w:val="1B1B22"/>
          <w:spacing w:val="-7"/>
        </w:rPr>
        <w:t> </w:t>
      </w:r>
      <w:r>
        <w:rPr>
          <w:color w:val="1B1B22"/>
        </w:rPr>
        <w:t>the</w:t>
      </w:r>
      <w:r>
        <w:rPr>
          <w:color w:val="1B1B22"/>
          <w:spacing w:val="-8"/>
        </w:rPr>
        <w:t> </w:t>
      </w:r>
      <w:r>
        <w:rPr>
          <w:color w:val="1B1B22"/>
        </w:rPr>
        <w:t>RenovaBio</w:t>
      </w:r>
      <w:r>
        <w:rPr>
          <w:color w:val="1B1B22"/>
          <w:spacing w:val="-8"/>
        </w:rPr>
        <w:t> </w:t>
      </w:r>
      <w:r>
        <w:rPr>
          <w:color w:val="1B1B22"/>
        </w:rPr>
        <w:t>program,</w:t>
      </w:r>
      <w:r>
        <w:rPr>
          <w:color w:val="1B1B22"/>
          <w:spacing w:val="-8"/>
        </w:rPr>
        <w:t> </w:t>
      </w:r>
      <w:r>
        <w:rPr>
          <w:color w:val="1B1B22"/>
        </w:rPr>
        <w:t>which contributes</w:t>
      </w:r>
      <w:r>
        <w:rPr>
          <w:color w:val="1B1B22"/>
          <w:spacing w:val="-2"/>
        </w:rPr>
        <w:t> </w:t>
      </w:r>
      <w:r>
        <w:rPr>
          <w:color w:val="1B1B22"/>
        </w:rPr>
        <w:t>to</w:t>
      </w:r>
      <w:r>
        <w:rPr>
          <w:color w:val="1B1B22"/>
          <w:spacing w:val="-2"/>
        </w:rPr>
        <w:t> </w:t>
      </w:r>
      <w:r>
        <w:rPr>
          <w:color w:val="1B1B22"/>
        </w:rPr>
        <w:t>Brazil's energy</w:t>
      </w:r>
      <w:r>
        <w:rPr>
          <w:color w:val="1B1B22"/>
          <w:spacing w:val="-2"/>
        </w:rPr>
        <w:t> </w:t>
      </w:r>
      <w:r>
        <w:rPr>
          <w:color w:val="1B1B22"/>
        </w:rPr>
        <w:t>security</w:t>
      </w:r>
      <w:r>
        <w:rPr>
          <w:color w:val="1B1B22"/>
          <w:spacing w:val="-2"/>
        </w:rPr>
        <w:t> </w:t>
      </w:r>
      <w:r>
        <w:rPr>
          <w:color w:val="1B1B22"/>
        </w:rPr>
        <w:t>and</w:t>
      </w:r>
      <w:r>
        <w:rPr>
          <w:color w:val="1B1B22"/>
          <w:spacing w:val="-2"/>
        </w:rPr>
        <w:t> </w:t>
      </w:r>
      <w:r>
        <w:rPr>
          <w:color w:val="1B1B22"/>
        </w:rPr>
        <w:t>climate </w:t>
      </w:r>
      <w:r>
        <w:rPr>
          <w:color w:val="1B1B22"/>
          <w:spacing w:val="-2"/>
        </w:rPr>
        <w:t>commitments.</w:t>
      </w:r>
    </w:p>
    <w:p>
      <w:pPr>
        <w:pStyle w:val="BodyText"/>
        <w:spacing w:after="0" w:line="321" w:lineRule="auto"/>
        <w:sectPr>
          <w:type w:val="continuous"/>
          <w:pgSz w:w="11910" w:h="16850"/>
          <w:pgMar w:header="152" w:footer="591" w:top="1920" w:bottom="280" w:left="425" w:right="708"/>
          <w:cols w:num="2" w:equalWidth="0">
            <w:col w:w="5218" w:space="239"/>
            <w:col w:w="5320"/>
          </w:cols>
        </w:sectPr>
      </w:pPr>
    </w:p>
    <w:p>
      <w:pPr>
        <w:pStyle w:val="BodyText"/>
        <w:ind w:left="0"/>
        <w:jc w:val="left"/>
        <w:rPr>
          <w:sz w:val="44"/>
        </w:rPr>
      </w:pPr>
    </w:p>
    <w:p>
      <w:pPr>
        <w:pStyle w:val="BodyText"/>
        <w:spacing w:before="434"/>
        <w:ind w:left="0"/>
        <w:jc w:val="left"/>
        <w:rPr>
          <w:sz w:val="44"/>
        </w:rPr>
      </w:pPr>
    </w:p>
    <w:p>
      <w:pPr>
        <w:pStyle w:val="Heading1"/>
      </w:pPr>
      <w:r>
        <w:rPr>
          <w:color w:val="465EFF"/>
          <w:spacing w:val="29"/>
        </w:rPr>
        <w:t>Diversity,</w:t>
      </w:r>
      <w:r>
        <w:rPr>
          <w:color w:val="465EFF"/>
          <w:spacing w:val="66"/>
        </w:rPr>
        <w:t> </w:t>
      </w:r>
      <w:r>
        <w:rPr>
          <w:color w:val="465EFF"/>
          <w:spacing w:val="27"/>
        </w:rPr>
        <w:t>Equity,</w:t>
      </w:r>
      <w:r>
        <w:rPr>
          <w:color w:val="465EFF"/>
          <w:spacing w:val="70"/>
        </w:rPr>
        <w:t> </w:t>
      </w:r>
      <w:r>
        <w:rPr>
          <w:color w:val="465EFF"/>
          <w:spacing w:val="25"/>
        </w:rPr>
        <w:t>and</w:t>
      </w:r>
      <w:r>
        <w:rPr>
          <w:color w:val="465EFF"/>
          <w:spacing w:val="70"/>
        </w:rPr>
        <w:t> </w:t>
      </w:r>
      <w:r>
        <w:rPr>
          <w:color w:val="465EFF"/>
          <w:spacing w:val="30"/>
        </w:rPr>
        <w:t>Inclusion</w:t>
      </w:r>
    </w:p>
    <w:p>
      <w:pPr>
        <w:pStyle w:val="BodyText"/>
        <w:spacing w:before="5"/>
        <w:ind w:left="0"/>
        <w:jc w:val="left"/>
        <w:rPr>
          <w:rFonts w:ascii="BancoDoBrasil Titulos"/>
        </w:rPr>
      </w:pPr>
    </w:p>
    <w:p>
      <w:pPr>
        <w:pStyle w:val="BodyText"/>
        <w:spacing w:after="0"/>
        <w:jc w:val="left"/>
        <w:rPr>
          <w:rFonts w:ascii="BancoDoBrasil Titulos"/>
        </w:rPr>
        <w:sectPr>
          <w:pgSz w:w="11910" w:h="16850"/>
          <w:pgMar w:header="152" w:footer="591" w:top="900" w:bottom="780" w:left="425" w:right="708"/>
        </w:sectPr>
      </w:pPr>
    </w:p>
    <w:p>
      <w:pPr>
        <w:pStyle w:val="BodyText"/>
        <w:spacing w:line="321" w:lineRule="auto" w:before="78"/>
        <w:ind w:right="38"/>
      </w:pPr>
      <w:r>
        <w:rPr>
          <w:color w:val="1B1B22"/>
        </w:rPr>
        <w:t>We remain committed to diversity. Currently, women represent 44% of the Board of Directors (BD) and 50% of the Board of Directors (BD). Additionally,</w:t>
      </w:r>
      <w:r>
        <w:rPr>
          <w:color w:val="1B1B22"/>
          <w:spacing w:val="-1"/>
        </w:rPr>
        <w:t> </w:t>
      </w:r>
      <w:r>
        <w:rPr>
          <w:color w:val="1B1B22"/>
        </w:rPr>
        <w:t>two</w:t>
      </w:r>
      <w:r>
        <w:rPr>
          <w:color w:val="1B1B22"/>
          <w:spacing w:val="-1"/>
        </w:rPr>
        <w:t> </w:t>
      </w:r>
      <w:r>
        <w:rPr>
          <w:color w:val="1B1B22"/>
        </w:rPr>
        <w:t>members of</w:t>
      </w:r>
      <w:r>
        <w:rPr>
          <w:color w:val="1B1B22"/>
          <w:spacing w:val="-2"/>
        </w:rPr>
        <w:t> </w:t>
      </w:r>
      <w:r>
        <w:rPr>
          <w:color w:val="1B1B22"/>
        </w:rPr>
        <w:t>both</w:t>
      </w:r>
      <w:r>
        <w:rPr>
          <w:color w:val="1B1B22"/>
          <w:spacing w:val="-1"/>
        </w:rPr>
        <w:t> </w:t>
      </w:r>
      <w:r>
        <w:rPr>
          <w:color w:val="1B1B22"/>
        </w:rPr>
        <w:t>the</w:t>
      </w:r>
      <w:r>
        <w:rPr>
          <w:color w:val="1B1B22"/>
          <w:spacing w:val="-2"/>
        </w:rPr>
        <w:t> </w:t>
      </w:r>
      <w:r>
        <w:rPr>
          <w:color w:val="1B1B22"/>
        </w:rPr>
        <w:t>Board</w:t>
      </w:r>
      <w:r>
        <w:rPr>
          <w:color w:val="1B1B22"/>
          <w:spacing w:val="-1"/>
        </w:rPr>
        <w:t> </w:t>
      </w:r>
      <w:r>
        <w:rPr>
          <w:color w:val="1B1B22"/>
        </w:rPr>
        <w:t>and the Board of Directors identify as Black. Two members of the Board and one member of the Board identify as LGBTQIAPN+. Finally, the Board also includes one member who self-identifies as a person with a disability (PWD).</w:t>
      </w:r>
    </w:p>
    <w:p>
      <w:pPr>
        <w:pStyle w:val="BodyText"/>
        <w:spacing w:line="321" w:lineRule="auto" w:before="112"/>
        <w:ind w:right="43"/>
      </w:pPr>
      <w:r>
        <w:rPr>
          <w:color w:val="1B1B22"/>
        </w:rPr>
        <w:t>In April, we held discussions with Indigenous leaders about the preservation of territories and culture,</w:t>
      </w:r>
      <w:r>
        <w:rPr>
          <w:color w:val="1B1B22"/>
          <w:spacing w:val="-13"/>
        </w:rPr>
        <w:t> </w:t>
      </w:r>
      <w:r>
        <w:rPr>
          <w:color w:val="1B1B22"/>
        </w:rPr>
        <w:t>resulting</w:t>
      </w:r>
      <w:r>
        <w:rPr>
          <w:color w:val="1B1B22"/>
          <w:spacing w:val="-12"/>
        </w:rPr>
        <w:t> </w:t>
      </w:r>
      <w:r>
        <w:rPr>
          <w:color w:val="1B1B22"/>
        </w:rPr>
        <w:t>in</w:t>
      </w:r>
      <w:r>
        <w:rPr>
          <w:color w:val="1B1B22"/>
          <w:spacing w:val="-13"/>
        </w:rPr>
        <w:t> </w:t>
      </w:r>
      <w:r>
        <w:rPr>
          <w:color w:val="1B1B22"/>
        </w:rPr>
        <w:t>proposals</w:t>
      </w:r>
      <w:r>
        <w:rPr>
          <w:color w:val="1B1B22"/>
          <w:spacing w:val="-12"/>
        </w:rPr>
        <w:t> </w:t>
      </w:r>
      <w:r>
        <w:rPr>
          <w:color w:val="1B1B22"/>
        </w:rPr>
        <w:t>for</w:t>
      </w:r>
      <w:r>
        <w:rPr>
          <w:color w:val="1B1B22"/>
          <w:spacing w:val="-12"/>
        </w:rPr>
        <w:t> </w:t>
      </w:r>
      <w:r>
        <w:rPr>
          <w:color w:val="1B1B22"/>
        </w:rPr>
        <w:t>partnerships</w:t>
      </w:r>
      <w:r>
        <w:rPr>
          <w:color w:val="1B1B22"/>
          <w:spacing w:val="-13"/>
        </w:rPr>
        <w:t> </w:t>
      </w:r>
      <w:r>
        <w:rPr>
          <w:color w:val="1B1B22"/>
        </w:rPr>
        <w:t>and joint actions. Initiatives with the Kayapó people </w:t>
      </w:r>
      <w:r>
        <w:rPr>
          <w:color w:val="1B1B22"/>
          <w:spacing w:val="-2"/>
        </w:rPr>
        <w:t>were</w:t>
      </w:r>
      <w:r>
        <w:rPr>
          <w:color w:val="1B1B22"/>
          <w:spacing w:val="-11"/>
        </w:rPr>
        <w:t> </w:t>
      </w:r>
      <w:r>
        <w:rPr>
          <w:color w:val="1B1B22"/>
          <w:spacing w:val="-2"/>
        </w:rPr>
        <w:t>discussed</w:t>
      </w:r>
      <w:r>
        <w:rPr>
          <w:color w:val="1B1B22"/>
          <w:spacing w:val="-10"/>
        </w:rPr>
        <w:t> </w:t>
      </w:r>
      <w:r>
        <w:rPr>
          <w:color w:val="1B1B22"/>
          <w:spacing w:val="-2"/>
        </w:rPr>
        <w:t>in</w:t>
      </w:r>
      <w:r>
        <w:rPr>
          <w:color w:val="1B1B22"/>
          <w:spacing w:val="-11"/>
        </w:rPr>
        <w:t> </w:t>
      </w:r>
      <w:r>
        <w:rPr>
          <w:color w:val="1B1B22"/>
          <w:spacing w:val="-2"/>
        </w:rPr>
        <w:t>the</w:t>
      </w:r>
      <w:r>
        <w:rPr>
          <w:color w:val="1B1B22"/>
          <w:spacing w:val="-10"/>
        </w:rPr>
        <w:t> </w:t>
      </w:r>
      <w:r>
        <w:rPr>
          <w:color w:val="1B1B22"/>
          <w:spacing w:val="-2"/>
        </w:rPr>
        <w:t>areas</w:t>
      </w:r>
      <w:r>
        <w:rPr>
          <w:color w:val="1B1B22"/>
          <w:spacing w:val="-10"/>
        </w:rPr>
        <w:t> </w:t>
      </w:r>
      <w:r>
        <w:rPr>
          <w:color w:val="1B1B22"/>
          <w:spacing w:val="-2"/>
        </w:rPr>
        <w:t>of</w:t>
      </w:r>
      <w:r>
        <w:rPr>
          <w:color w:val="1B1B22"/>
          <w:spacing w:val="-11"/>
        </w:rPr>
        <w:t> </w:t>
      </w:r>
      <w:r>
        <w:rPr>
          <w:color w:val="1B1B22"/>
          <w:spacing w:val="-2"/>
        </w:rPr>
        <w:t>carbon</w:t>
      </w:r>
      <w:r>
        <w:rPr>
          <w:color w:val="1B1B22"/>
          <w:spacing w:val="-10"/>
        </w:rPr>
        <w:t> </w:t>
      </w:r>
      <w:r>
        <w:rPr>
          <w:color w:val="1B1B22"/>
          <w:spacing w:val="-2"/>
        </w:rPr>
        <w:t>credits,</w:t>
      </w:r>
      <w:r>
        <w:rPr>
          <w:color w:val="1B1B22"/>
          <w:spacing w:val="-10"/>
        </w:rPr>
        <w:t> </w:t>
      </w:r>
      <w:r>
        <w:rPr>
          <w:color w:val="1B1B22"/>
          <w:spacing w:val="-2"/>
        </w:rPr>
        <w:t>family </w:t>
      </w:r>
      <w:r>
        <w:rPr>
          <w:color w:val="1B1B22"/>
        </w:rPr>
        <w:t>farming, restoration of degraded areas, credit, social technologies, and sustainable projects.</w:t>
      </w:r>
    </w:p>
    <w:p>
      <w:pPr>
        <w:pStyle w:val="BodyText"/>
        <w:spacing w:line="321" w:lineRule="auto" w:before="118"/>
        <w:ind w:right="42"/>
      </w:pPr>
      <w:r>
        <w:rPr>
          <w:color w:val="1B1B22"/>
        </w:rPr>
        <w:t>In May, we announced a partnership with LinkedIn to strengthen the Women at the Top program, expanding</w:t>
      </w:r>
      <w:r>
        <w:rPr>
          <w:color w:val="1B1B22"/>
          <w:spacing w:val="-6"/>
        </w:rPr>
        <w:t> </w:t>
      </w:r>
      <w:r>
        <w:rPr>
          <w:color w:val="1B1B22"/>
        </w:rPr>
        <w:t>its</w:t>
      </w:r>
      <w:r>
        <w:rPr>
          <w:color w:val="1B1B22"/>
          <w:spacing w:val="-5"/>
        </w:rPr>
        <w:t> </w:t>
      </w:r>
      <w:r>
        <w:rPr>
          <w:color w:val="1B1B22"/>
        </w:rPr>
        <w:t>reach</w:t>
      </w:r>
      <w:r>
        <w:rPr>
          <w:color w:val="1B1B22"/>
          <w:spacing w:val="-6"/>
        </w:rPr>
        <w:t> </w:t>
      </w:r>
      <w:r>
        <w:rPr>
          <w:color w:val="1B1B22"/>
        </w:rPr>
        <w:t>and</w:t>
      </w:r>
      <w:r>
        <w:rPr>
          <w:color w:val="1B1B22"/>
          <w:spacing w:val="-6"/>
        </w:rPr>
        <w:t> </w:t>
      </w:r>
      <w:r>
        <w:rPr>
          <w:color w:val="1B1B22"/>
        </w:rPr>
        <w:t>further</w:t>
      </w:r>
      <w:r>
        <w:rPr>
          <w:color w:val="1B1B22"/>
          <w:spacing w:val="-6"/>
        </w:rPr>
        <w:t> </w:t>
      </w:r>
      <w:r>
        <w:rPr>
          <w:color w:val="1B1B22"/>
        </w:rPr>
        <w:t>promoting</w:t>
      </w:r>
      <w:r>
        <w:rPr>
          <w:color w:val="1B1B22"/>
          <w:spacing w:val="-6"/>
        </w:rPr>
        <w:t> </w:t>
      </w:r>
      <w:r>
        <w:rPr>
          <w:color w:val="1B1B22"/>
        </w:rPr>
        <w:t>female empowerment. The Women at the Top Showcase on LinkedIn was developed as a hub for exclusive content, inspiring podcasts, posts from</w:t>
      </w:r>
      <w:r>
        <w:rPr>
          <w:color w:val="1B1B22"/>
          <w:spacing w:val="-6"/>
        </w:rPr>
        <w:t> </w:t>
      </w:r>
      <w:r>
        <w:rPr>
          <w:color w:val="1B1B22"/>
        </w:rPr>
        <w:t>Top</w:t>
      </w:r>
      <w:r>
        <w:rPr>
          <w:color w:val="1B1B22"/>
          <w:spacing w:val="-4"/>
        </w:rPr>
        <w:t> </w:t>
      </w:r>
      <w:r>
        <w:rPr>
          <w:color w:val="1B1B22"/>
        </w:rPr>
        <w:t>Voice </w:t>
      </w:r>
      <w:r>
        <w:rPr>
          <w:color w:val="1B1B22"/>
          <w:spacing w:val="-2"/>
        </w:rPr>
        <w:t>women,</w:t>
      </w:r>
      <w:r>
        <w:rPr>
          <w:color w:val="1B1B22"/>
          <w:spacing w:val="-4"/>
        </w:rPr>
        <w:t> </w:t>
      </w:r>
      <w:r>
        <w:rPr>
          <w:color w:val="1B1B22"/>
          <w:spacing w:val="-2"/>
        </w:rPr>
        <w:t>career</w:t>
      </w:r>
      <w:r>
        <w:rPr>
          <w:color w:val="1B1B22"/>
          <w:spacing w:val="-5"/>
        </w:rPr>
        <w:t> </w:t>
      </w:r>
      <w:r>
        <w:rPr>
          <w:color w:val="1B1B22"/>
          <w:spacing w:val="-2"/>
        </w:rPr>
        <w:t>tips,</w:t>
      </w:r>
      <w:r>
        <w:rPr>
          <w:color w:val="1B1B22"/>
          <w:spacing w:val="-4"/>
        </w:rPr>
        <w:t> </w:t>
      </w:r>
      <w:r>
        <w:rPr>
          <w:color w:val="1B1B22"/>
          <w:spacing w:val="-2"/>
        </w:rPr>
        <w:t>training</w:t>
      </w:r>
      <w:r>
        <w:rPr>
          <w:color w:val="1B1B22"/>
          <w:spacing w:val="-4"/>
        </w:rPr>
        <w:t> </w:t>
      </w:r>
      <w:r>
        <w:rPr>
          <w:color w:val="1B1B22"/>
          <w:spacing w:val="-2"/>
        </w:rPr>
        <w:t>trails,</w:t>
      </w:r>
      <w:r>
        <w:rPr>
          <w:color w:val="1B1B22"/>
          <w:spacing w:val="-4"/>
        </w:rPr>
        <w:t> </w:t>
      </w:r>
      <w:r>
        <w:rPr>
          <w:color w:val="1B1B22"/>
          <w:spacing w:val="-2"/>
        </w:rPr>
        <w:t>articles</w:t>
      </w:r>
      <w:r>
        <w:rPr>
          <w:color w:val="1B1B22"/>
          <w:spacing w:val="-4"/>
        </w:rPr>
        <w:t> </w:t>
      </w:r>
      <w:r>
        <w:rPr>
          <w:color w:val="1B1B22"/>
          <w:spacing w:val="-2"/>
        </w:rPr>
        <w:t>and</w:t>
      </w:r>
      <w:r>
        <w:rPr>
          <w:color w:val="1B1B22"/>
          <w:spacing w:val="-4"/>
        </w:rPr>
        <w:t> </w:t>
      </w:r>
      <w:r>
        <w:rPr>
          <w:color w:val="1B1B22"/>
          <w:spacing w:val="-2"/>
        </w:rPr>
        <w:t>data </w:t>
      </w:r>
      <w:r>
        <w:rPr>
          <w:color w:val="1B1B22"/>
        </w:rPr>
        <w:t>on the economy and market, real stories, and </w:t>
      </w:r>
      <w:r>
        <w:rPr>
          <w:color w:val="1B1B22"/>
          <w:spacing w:val="-2"/>
        </w:rPr>
        <w:t>opportunities.</w:t>
      </w:r>
    </w:p>
    <w:p>
      <w:pPr>
        <w:pStyle w:val="BodyText"/>
        <w:spacing w:line="321" w:lineRule="auto" w:before="113"/>
        <w:ind w:right="41"/>
      </w:pPr>
      <w:r>
        <w:rPr>
          <w:color w:val="1B1B22"/>
        </w:rPr>
        <w:t>In June, our president, Tarciana Medeiros, participated as</w:t>
      </w:r>
      <w:r>
        <w:rPr>
          <w:color w:val="1B1B22"/>
          <w:spacing w:val="-1"/>
        </w:rPr>
        <w:t> </w:t>
      </w:r>
      <w:r>
        <w:rPr>
          <w:color w:val="1B1B22"/>
        </w:rPr>
        <w:t>a</w:t>
      </w:r>
      <w:r>
        <w:rPr>
          <w:color w:val="1B1B22"/>
          <w:spacing w:val="-2"/>
        </w:rPr>
        <w:t> </w:t>
      </w:r>
      <w:r>
        <w:rPr>
          <w:color w:val="1B1B22"/>
        </w:rPr>
        <w:t>speaker at</w:t>
      </w:r>
      <w:r>
        <w:rPr>
          <w:color w:val="1B1B22"/>
          <w:spacing w:val="-12"/>
        </w:rPr>
        <w:t> </w:t>
      </w:r>
      <w:r>
        <w:rPr>
          <w:color w:val="1B1B22"/>
        </w:rPr>
        <w:t>Tempo</w:t>
      </w:r>
      <w:r>
        <w:rPr>
          <w:color w:val="1B1B22"/>
          <w:spacing w:val="-2"/>
        </w:rPr>
        <w:t> </w:t>
      </w:r>
      <w:r>
        <w:rPr>
          <w:color w:val="1B1B22"/>
        </w:rPr>
        <w:t>de</w:t>
      </w:r>
      <w:r>
        <w:rPr>
          <w:color w:val="1B1B22"/>
          <w:spacing w:val="-2"/>
        </w:rPr>
        <w:t> </w:t>
      </w:r>
      <w:r>
        <w:rPr>
          <w:color w:val="1B1B22"/>
        </w:rPr>
        <w:t>Mulher,</w:t>
      </w:r>
      <w:r>
        <w:rPr>
          <w:color w:val="1B1B22"/>
          <w:spacing w:val="-2"/>
        </w:rPr>
        <w:t> </w:t>
      </w:r>
      <w:r>
        <w:rPr>
          <w:color w:val="1B1B22"/>
        </w:rPr>
        <w:t>the first</w:t>
      </w:r>
      <w:r>
        <w:rPr>
          <w:color w:val="1B1B22"/>
          <w:spacing w:val="-3"/>
        </w:rPr>
        <w:t> </w:t>
      </w:r>
      <w:r>
        <w:rPr>
          <w:color w:val="1B1B22"/>
        </w:rPr>
        <w:t>Brazilian</w:t>
      </w:r>
      <w:r>
        <w:rPr>
          <w:color w:val="1B1B22"/>
          <w:spacing w:val="-3"/>
        </w:rPr>
        <w:t> </w:t>
      </w:r>
      <w:r>
        <w:rPr>
          <w:color w:val="1B1B22"/>
        </w:rPr>
        <w:t>network</w:t>
      </w:r>
      <w:r>
        <w:rPr>
          <w:color w:val="1B1B22"/>
          <w:spacing w:val="-4"/>
        </w:rPr>
        <w:t> </w:t>
      </w:r>
      <w:r>
        <w:rPr>
          <w:color w:val="1B1B22"/>
        </w:rPr>
        <w:t>that</w:t>
      </w:r>
      <w:r>
        <w:rPr>
          <w:color w:val="1B1B22"/>
          <w:spacing w:val="-3"/>
        </w:rPr>
        <w:t> </w:t>
      </w:r>
      <w:r>
        <w:rPr>
          <w:color w:val="1B1B22"/>
        </w:rPr>
        <w:t>supports</w:t>
      </w:r>
      <w:r>
        <w:rPr>
          <w:color w:val="1B1B22"/>
          <w:spacing w:val="-2"/>
        </w:rPr>
        <w:t> </w:t>
      </w:r>
      <w:r>
        <w:rPr>
          <w:color w:val="1B1B22"/>
        </w:rPr>
        <w:t>and</w:t>
      </w:r>
      <w:r>
        <w:rPr>
          <w:color w:val="1B1B22"/>
          <w:spacing w:val="-4"/>
        </w:rPr>
        <w:t> </w:t>
      </w:r>
      <w:r>
        <w:rPr>
          <w:color w:val="1B1B22"/>
        </w:rPr>
        <w:t>connects top</w:t>
      </w:r>
      <w:r>
        <w:rPr>
          <w:color w:val="1B1B22"/>
          <w:spacing w:val="55"/>
        </w:rPr>
        <w:t> </w:t>
      </w:r>
      <w:r>
        <w:rPr>
          <w:color w:val="1B1B22"/>
        </w:rPr>
        <w:t>female</w:t>
      </w:r>
      <w:r>
        <w:rPr>
          <w:color w:val="1B1B22"/>
          <w:spacing w:val="56"/>
        </w:rPr>
        <w:t> </w:t>
      </w:r>
      <w:r>
        <w:rPr>
          <w:color w:val="1B1B22"/>
        </w:rPr>
        <w:t>executives</w:t>
      </w:r>
      <w:r>
        <w:rPr>
          <w:color w:val="1B1B22"/>
          <w:spacing w:val="57"/>
        </w:rPr>
        <w:t> </w:t>
      </w:r>
      <w:r>
        <w:rPr>
          <w:color w:val="1B1B22"/>
        </w:rPr>
        <w:t>and</w:t>
      </w:r>
      <w:r>
        <w:rPr>
          <w:color w:val="1B1B22"/>
          <w:spacing w:val="55"/>
        </w:rPr>
        <w:t> </w:t>
      </w:r>
      <w:r>
        <w:rPr>
          <w:color w:val="1B1B22"/>
        </w:rPr>
        <w:t>C-level</w:t>
      </w:r>
      <w:r>
        <w:rPr>
          <w:color w:val="1B1B22"/>
          <w:spacing w:val="56"/>
        </w:rPr>
        <w:t> </w:t>
      </w:r>
      <w:r>
        <w:rPr>
          <w:color w:val="1B1B22"/>
        </w:rPr>
        <w:t>leaders</w:t>
      </w:r>
      <w:r>
        <w:rPr>
          <w:color w:val="1B1B22"/>
          <w:spacing w:val="59"/>
        </w:rPr>
        <w:t> </w:t>
      </w:r>
      <w:r>
        <w:rPr>
          <w:color w:val="1B1B22"/>
          <w:spacing w:val="-5"/>
        </w:rPr>
        <w:t>and</w:t>
      </w:r>
    </w:p>
    <w:p>
      <w:pPr>
        <w:pStyle w:val="BodyText"/>
        <w:spacing w:line="321" w:lineRule="auto" w:before="78"/>
        <w:ind w:right="141"/>
      </w:pPr>
      <w:r>
        <w:rPr/>
        <w:br w:type="column"/>
      </w:r>
      <w:r>
        <w:rPr>
          <w:color w:val="1B1B22"/>
          <w:spacing w:val="-2"/>
        </w:rPr>
        <w:t>entrepreneurs</w:t>
      </w:r>
      <w:r>
        <w:rPr>
          <w:color w:val="1B1B22"/>
          <w:spacing w:val="-11"/>
        </w:rPr>
        <w:t> </w:t>
      </w:r>
      <w:r>
        <w:rPr>
          <w:color w:val="1B1B22"/>
          <w:spacing w:val="-2"/>
        </w:rPr>
        <w:t>in</w:t>
      </w:r>
      <w:r>
        <w:rPr>
          <w:color w:val="1B1B22"/>
          <w:spacing w:val="-10"/>
        </w:rPr>
        <w:t> </w:t>
      </w:r>
      <w:r>
        <w:rPr>
          <w:color w:val="1B1B22"/>
          <w:spacing w:val="-2"/>
        </w:rPr>
        <w:t>the</w:t>
      </w:r>
      <w:r>
        <w:rPr>
          <w:color w:val="1B1B22"/>
          <w:spacing w:val="-11"/>
        </w:rPr>
        <w:t> </w:t>
      </w:r>
      <w:r>
        <w:rPr>
          <w:color w:val="1B1B22"/>
          <w:spacing w:val="-2"/>
        </w:rPr>
        <w:t>country.</w:t>
      </w:r>
      <w:r>
        <w:rPr>
          <w:color w:val="1B1B22"/>
          <w:spacing w:val="-10"/>
        </w:rPr>
        <w:t> </w:t>
      </w:r>
      <w:r>
        <w:rPr>
          <w:color w:val="1B1B22"/>
          <w:spacing w:val="-2"/>
        </w:rPr>
        <w:t>Now</w:t>
      </w:r>
      <w:r>
        <w:rPr>
          <w:color w:val="1B1B22"/>
          <w:spacing w:val="-10"/>
        </w:rPr>
        <w:t> </w:t>
      </w:r>
      <w:r>
        <w:rPr>
          <w:color w:val="1B1B22"/>
          <w:spacing w:val="-2"/>
        </w:rPr>
        <w:t>in</w:t>
      </w:r>
      <w:r>
        <w:rPr>
          <w:color w:val="1B1B22"/>
          <w:spacing w:val="-11"/>
        </w:rPr>
        <w:t> </w:t>
      </w:r>
      <w:r>
        <w:rPr>
          <w:color w:val="1B1B22"/>
          <w:spacing w:val="-2"/>
        </w:rPr>
        <w:t>its</w:t>
      </w:r>
      <w:r>
        <w:rPr>
          <w:color w:val="1B1B22"/>
          <w:spacing w:val="-10"/>
        </w:rPr>
        <w:t> </w:t>
      </w:r>
      <w:r>
        <w:rPr>
          <w:color w:val="1B1B22"/>
          <w:spacing w:val="-2"/>
        </w:rPr>
        <w:t>5th</w:t>
      </w:r>
      <w:r>
        <w:rPr>
          <w:color w:val="1B1B22"/>
          <w:spacing w:val="-10"/>
        </w:rPr>
        <w:t> </w:t>
      </w:r>
      <w:r>
        <w:rPr>
          <w:color w:val="1B1B22"/>
          <w:spacing w:val="-2"/>
        </w:rPr>
        <w:t>edition, </w:t>
      </w:r>
      <w:r>
        <w:rPr>
          <w:color w:val="1B1B22"/>
        </w:rPr>
        <w:t>the event seeks to foster an environment of exchange</w:t>
      </w:r>
      <w:r>
        <w:rPr>
          <w:color w:val="1B1B22"/>
          <w:spacing w:val="-1"/>
        </w:rPr>
        <w:t> </w:t>
      </w:r>
      <w:r>
        <w:rPr>
          <w:color w:val="1B1B22"/>
        </w:rPr>
        <w:t>and</w:t>
      </w:r>
      <w:r>
        <w:rPr>
          <w:color w:val="1B1B22"/>
          <w:spacing w:val="-1"/>
        </w:rPr>
        <w:t> </w:t>
      </w:r>
      <w:r>
        <w:rPr>
          <w:color w:val="1B1B22"/>
        </w:rPr>
        <w:t>inspiration, where</w:t>
      </w:r>
      <w:r>
        <w:rPr>
          <w:color w:val="1B1B22"/>
          <w:spacing w:val="-2"/>
        </w:rPr>
        <w:t> </w:t>
      </w:r>
      <w:r>
        <w:rPr>
          <w:color w:val="1B1B22"/>
        </w:rPr>
        <w:t>women</w:t>
      </w:r>
      <w:r>
        <w:rPr>
          <w:color w:val="1B1B22"/>
          <w:spacing w:val="-1"/>
        </w:rPr>
        <w:t> </w:t>
      </w:r>
      <w:r>
        <w:rPr>
          <w:color w:val="1B1B22"/>
        </w:rPr>
        <w:t>can</w:t>
      </w:r>
      <w:r>
        <w:rPr>
          <w:color w:val="1B1B22"/>
          <w:spacing w:val="-1"/>
        </w:rPr>
        <w:t> </w:t>
      </w:r>
      <w:r>
        <w:rPr>
          <w:color w:val="1B1B22"/>
        </w:rPr>
        <w:t>share their professional trajectories, management strategies, and safe paths to growth within the corporate market.</w:t>
      </w:r>
    </w:p>
    <w:p>
      <w:pPr>
        <w:pStyle w:val="BodyText"/>
        <w:spacing w:line="321" w:lineRule="auto" w:before="116"/>
        <w:ind w:right="142"/>
      </w:pPr>
      <w:r>
        <w:rPr>
          <w:color w:val="1B1B22"/>
        </w:rPr>
        <w:t>Also in June, we supported Inovahack MBM São Paulo, an event created by the Black Money Movement, focusing on technological solutions with</w:t>
      </w:r>
      <w:r>
        <w:rPr>
          <w:color w:val="1B1B22"/>
          <w:spacing w:val="-13"/>
        </w:rPr>
        <w:t> </w:t>
      </w:r>
      <w:r>
        <w:rPr>
          <w:color w:val="1B1B22"/>
        </w:rPr>
        <w:t>social</w:t>
      </w:r>
      <w:r>
        <w:rPr>
          <w:color w:val="1B1B22"/>
          <w:spacing w:val="-10"/>
        </w:rPr>
        <w:t> </w:t>
      </w:r>
      <w:r>
        <w:rPr>
          <w:color w:val="1B1B22"/>
        </w:rPr>
        <w:t>impact</w:t>
      </w:r>
      <w:r>
        <w:rPr>
          <w:color w:val="1B1B22"/>
          <w:spacing w:val="-9"/>
        </w:rPr>
        <w:t> </w:t>
      </w:r>
      <w:r>
        <w:rPr>
          <w:color w:val="1B1B22"/>
        </w:rPr>
        <w:t>for</w:t>
      </w:r>
      <w:r>
        <w:rPr>
          <w:color w:val="1B1B22"/>
          <w:spacing w:val="-10"/>
        </w:rPr>
        <w:t> </w:t>
      </w:r>
      <w:r>
        <w:rPr>
          <w:color w:val="1B1B22"/>
        </w:rPr>
        <w:t>peripheral</w:t>
      </w:r>
      <w:r>
        <w:rPr>
          <w:color w:val="1B1B22"/>
          <w:spacing w:val="-10"/>
        </w:rPr>
        <w:t> </w:t>
      </w:r>
      <w:r>
        <w:rPr>
          <w:color w:val="1B1B22"/>
        </w:rPr>
        <w:t>communities.</w:t>
      </w:r>
      <w:r>
        <w:rPr>
          <w:color w:val="1B1B22"/>
          <w:spacing w:val="-13"/>
        </w:rPr>
        <w:t> </w:t>
      </w:r>
      <w:r>
        <w:rPr>
          <w:color w:val="1B1B22"/>
        </w:rPr>
        <w:t>The event promoted dialogue between leaders and entrepreneurs, with the theme "Peripheries in Focus: Innovation for Transformation," aiming at </w:t>
      </w:r>
      <w:r>
        <w:rPr>
          <w:color w:val="1B1B22"/>
          <w:spacing w:val="-2"/>
        </w:rPr>
        <w:t>the</w:t>
      </w:r>
      <w:r>
        <w:rPr>
          <w:color w:val="1B1B22"/>
          <w:spacing w:val="-9"/>
        </w:rPr>
        <w:t> </w:t>
      </w:r>
      <w:r>
        <w:rPr>
          <w:color w:val="1B1B22"/>
          <w:spacing w:val="-2"/>
        </w:rPr>
        <w:t>economic</w:t>
      </w:r>
      <w:r>
        <w:rPr>
          <w:color w:val="1B1B22"/>
          <w:spacing w:val="-9"/>
        </w:rPr>
        <w:t> </w:t>
      </w:r>
      <w:r>
        <w:rPr>
          <w:color w:val="1B1B22"/>
          <w:spacing w:val="-2"/>
        </w:rPr>
        <w:t>empowerment</w:t>
      </w:r>
      <w:r>
        <w:rPr>
          <w:color w:val="1B1B22"/>
          <w:spacing w:val="-8"/>
        </w:rPr>
        <w:t> </w:t>
      </w:r>
      <w:r>
        <w:rPr>
          <w:color w:val="1B1B22"/>
          <w:spacing w:val="-2"/>
        </w:rPr>
        <w:t>of</w:t>
      </w:r>
      <w:r>
        <w:rPr>
          <w:color w:val="1B1B22"/>
          <w:spacing w:val="-9"/>
        </w:rPr>
        <w:t> </w:t>
      </w:r>
      <w:r>
        <w:rPr>
          <w:color w:val="1B1B22"/>
          <w:spacing w:val="-2"/>
        </w:rPr>
        <w:t>Black</w:t>
      </w:r>
      <w:r>
        <w:rPr>
          <w:color w:val="1B1B22"/>
          <w:spacing w:val="-9"/>
        </w:rPr>
        <w:t> </w:t>
      </w:r>
      <w:r>
        <w:rPr>
          <w:color w:val="1B1B22"/>
          <w:spacing w:val="-2"/>
        </w:rPr>
        <w:t>communities. </w:t>
      </w:r>
      <w:r>
        <w:rPr>
          <w:color w:val="1B1B22"/>
        </w:rPr>
        <w:t>During</w:t>
      </w:r>
      <w:r>
        <w:rPr>
          <w:color w:val="1B1B22"/>
          <w:spacing w:val="-13"/>
        </w:rPr>
        <w:t> </w:t>
      </w:r>
      <w:r>
        <w:rPr>
          <w:color w:val="1B1B22"/>
        </w:rPr>
        <w:t>the</w:t>
      </w:r>
      <w:r>
        <w:rPr>
          <w:color w:val="1B1B22"/>
          <w:spacing w:val="-12"/>
        </w:rPr>
        <w:t> </w:t>
      </w:r>
      <w:r>
        <w:rPr>
          <w:color w:val="1B1B22"/>
        </w:rPr>
        <w:t>same</w:t>
      </w:r>
      <w:r>
        <w:rPr>
          <w:color w:val="1B1B22"/>
          <w:spacing w:val="-13"/>
        </w:rPr>
        <w:t> </w:t>
      </w:r>
      <w:r>
        <w:rPr>
          <w:color w:val="1B1B22"/>
        </w:rPr>
        <w:t>period,</w:t>
      </w:r>
      <w:r>
        <w:rPr>
          <w:color w:val="1B1B22"/>
          <w:spacing w:val="-12"/>
        </w:rPr>
        <w:t> </w:t>
      </w:r>
      <w:r>
        <w:rPr>
          <w:color w:val="1B1B22"/>
        </w:rPr>
        <w:t>we</w:t>
      </w:r>
      <w:r>
        <w:rPr>
          <w:color w:val="1B1B22"/>
          <w:spacing w:val="-12"/>
        </w:rPr>
        <w:t> </w:t>
      </w:r>
      <w:r>
        <w:rPr>
          <w:color w:val="1B1B22"/>
        </w:rPr>
        <w:t>participated</w:t>
      </w:r>
      <w:r>
        <w:rPr>
          <w:color w:val="1B1B22"/>
          <w:spacing w:val="-13"/>
        </w:rPr>
        <w:t> </w:t>
      </w:r>
      <w:r>
        <w:rPr>
          <w:color w:val="1B1B22"/>
        </w:rPr>
        <w:t>in</w:t>
      </w:r>
      <w:r>
        <w:rPr>
          <w:color w:val="1B1B22"/>
          <w:spacing w:val="-12"/>
        </w:rPr>
        <w:t> </w:t>
      </w:r>
      <w:r>
        <w:rPr>
          <w:color w:val="1B1B22"/>
        </w:rPr>
        <w:t>another edition</w:t>
      </w:r>
      <w:r>
        <w:rPr>
          <w:color w:val="1B1B22"/>
          <w:spacing w:val="-13"/>
        </w:rPr>
        <w:t> </w:t>
      </w:r>
      <w:r>
        <w:rPr>
          <w:color w:val="1B1B22"/>
        </w:rPr>
        <w:t>of</w:t>
      </w:r>
      <w:r>
        <w:rPr>
          <w:color w:val="1B1B22"/>
          <w:spacing w:val="-12"/>
        </w:rPr>
        <w:t> </w:t>
      </w:r>
      <w:r>
        <w:rPr>
          <w:color w:val="1B1B22"/>
        </w:rPr>
        <w:t>the</w:t>
      </w:r>
      <w:r>
        <w:rPr>
          <w:color w:val="1B1B22"/>
          <w:spacing w:val="-13"/>
        </w:rPr>
        <w:t> </w:t>
      </w:r>
      <w:r>
        <w:rPr>
          <w:color w:val="1B1B22"/>
        </w:rPr>
        <w:t>LGBT+</w:t>
      </w:r>
      <w:r>
        <w:rPr>
          <w:color w:val="1B1B22"/>
          <w:spacing w:val="-12"/>
        </w:rPr>
        <w:t> </w:t>
      </w:r>
      <w:r>
        <w:rPr>
          <w:color w:val="1B1B22"/>
        </w:rPr>
        <w:t>Diversity</w:t>
      </w:r>
      <w:r>
        <w:rPr>
          <w:color w:val="1B1B22"/>
          <w:spacing w:val="-12"/>
        </w:rPr>
        <w:t> </w:t>
      </w:r>
      <w:r>
        <w:rPr>
          <w:color w:val="1B1B22"/>
        </w:rPr>
        <w:t>Cultural</w:t>
      </w:r>
      <w:r>
        <w:rPr>
          <w:color w:val="1B1B22"/>
          <w:spacing w:val="-13"/>
        </w:rPr>
        <w:t> </w:t>
      </w:r>
      <w:r>
        <w:rPr>
          <w:color w:val="1B1B22"/>
        </w:rPr>
        <w:t>Fair,</w:t>
      </w:r>
      <w:r>
        <w:rPr>
          <w:color w:val="1B1B22"/>
          <w:spacing w:val="-12"/>
        </w:rPr>
        <w:t> </w:t>
      </w:r>
      <w:r>
        <w:rPr>
          <w:color w:val="1B1B22"/>
        </w:rPr>
        <w:t>held</w:t>
      </w:r>
      <w:r>
        <w:rPr>
          <w:color w:val="1B1B22"/>
          <w:spacing w:val="-12"/>
        </w:rPr>
        <w:t> </w:t>
      </w:r>
      <w:r>
        <w:rPr>
          <w:color w:val="1B1B22"/>
        </w:rPr>
        <w:t>at the Memorial da América Latina in São Paulo.</w:t>
      </w:r>
      <w:r>
        <w:rPr>
          <w:color w:val="1B1B22"/>
          <w:spacing w:val="-5"/>
        </w:rPr>
        <w:t> </w:t>
      </w:r>
      <w:r>
        <w:rPr>
          <w:color w:val="1B1B22"/>
        </w:rPr>
        <w:t>This event reaffirmed our commitment to equity, </w:t>
      </w:r>
      <w:r>
        <w:rPr>
          <w:color w:val="1B1B22"/>
          <w:spacing w:val="-2"/>
        </w:rPr>
        <w:t>inclusion,</w:t>
      </w:r>
      <w:r>
        <w:rPr>
          <w:color w:val="1B1B22"/>
          <w:spacing w:val="-11"/>
        </w:rPr>
        <w:t> </w:t>
      </w:r>
      <w:r>
        <w:rPr>
          <w:color w:val="1B1B22"/>
          <w:spacing w:val="-2"/>
        </w:rPr>
        <w:t>and</w:t>
      </w:r>
      <w:r>
        <w:rPr>
          <w:color w:val="1B1B22"/>
          <w:spacing w:val="-10"/>
        </w:rPr>
        <w:t> </w:t>
      </w:r>
      <w:r>
        <w:rPr>
          <w:color w:val="1B1B22"/>
          <w:spacing w:val="-2"/>
        </w:rPr>
        <w:t>sustainable</w:t>
      </w:r>
      <w:r>
        <w:rPr>
          <w:color w:val="1B1B22"/>
          <w:spacing w:val="-11"/>
        </w:rPr>
        <w:t> </w:t>
      </w:r>
      <w:r>
        <w:rPr>
          <w:color w:val="1B1B22"/>
          <w:spacing w:val="-2"/>
        </w:rPr>
        <w:t>development,</w:t>
      </w:r>
      <w:r>
        <w:rPr>
          <w:color w:val="1B1B22"/>
          <w:spacing w:val="-10"/>
        </w:rPr>
        <w:t> </w:t>
      </w:r>
      <w:r>
        <w:rPr>
          <w:color w:val="1B1B22"/>
          <w:spacing w:val="-2"/>
        </w:rPr>
        <w:t>promoting </w:t>
      </w:r>
      <w:r>
        <w:rPr>
          <w:color w:val="1B1B22"/>
        </w:rPr>
        <w:t>initiatives focused on entrepreneurship and professional development for the LGBTQIAPN+ </w:t>
      </w:r>
      <w:r>
        <w:rPr>
          <w:color w:val="1B1B22"/>
          <w:spacing w:val="-2"/>
        </w:rPr>
        <w:t>community.</w:t>
      </w:r>
    </w:p>
    <w:p>
      <w:pPr>
        <w:pStyle w:val="BodyText"/>
        <w:spacing w:line="321" w:lineRule="auto" w:before="110"/>
        <w:ind w:right="141"/>
      </w:pPr>
      <w:r>
        <w:rPr>
          <w:color w:val="1B1B22"/>
        </w:rPr>
        <w:t>The BB Foundation and Distrito Drag officially launched the Empregando Orgulho platform </w:t>
      </w:r>
      <w:r>
        <w:rPr>
          <w:color w:val="1B1B22"/>
          <w:spacing w:val="-2"/>
        </w:rPr>
        <w:t>(empregandoorgulho.com.br),</w:t>
      </w:r>
      <w:r>
        <w:rPr>
          <w:color w:val="1B1B22"/>
          <w:spacing w:val="-11"/>
        </w:rPr>
        <w:t> </w:t>
      </w:r>
      <w:r>
        <w:rPr>
          <w:color w:val="1B1B22"/>
          <w:spacing w:val="-2"/>
        </w:rPr>
        <w:t>an</w:t>
      </w:r>
      <w:r>
        <w:rPr>
          <w:color w:val="1B1B22"/>
          <w:spacing w:val="-10"/>
        </w:rPr>
        <w:t> </w:t>
      </w:r>
      <w:r>
        <w:rPr>
          <w:color w:val="1B1B22"/>
          <w:spacing w:val="-2"/>
        </w:rPr>
        <w:t>initiative</w:t>
      </w:r>
      <w:r>
        <w:rPr>
          <w:color w:val="1B1B22"/>
          <w:spacing w:val="-11"/>
        </w:rPr>
        <w:t> </w:t>
      </w:r>
      <w:r>
        <w:rPr>
          <w:color w:val="1B1B22"/>
          <w:spacing w:val="-2"/>
        </w:rPr>
        <w:t>focused </w:t>
      </w:r>
      <w:r>
        <w:rPr>
          <w:color w:val="1B1B22"/>
        </w:rPr>
        <w:t>on</w:t>
      </w:r>
      <w:r>
        <w:rPr>
          <w:color w:val="1B1B22"/>
          <w:spacing w:val="-12"/>
        </w:rPr>
        <w:t> </w:t>
      </w:r>
      <w:r>
        <w:rPr>
          <w:color w:val="1B1B22"/>
        </w:rPr>
        <w:t>employability,</w:t>
      </w:r>
      <w:r>
        <w:rPr>
          <w:color w:val="1B1B22"/>
          <w:spacing w:val="-12"/>
        </w:rPr>
        <w:t> </w:t>
      </w:r>
      <w:r>
        <w:rPr>
          <w:color w:val="1B1B22"/>
        </w:rPr>
        <w:t>entrepreneurship,</w:t>
      </w:r>
      <w:r>
        <w:rPr>
          <w:color w:val="1B1B22"/>
          <w:spacing w:val="-12"/>
        </w:rPr>
        <w:t> </w:t>
      </w:r>
      <w:r>
        <w:rPr>
          <w:color w:val="1B1B22"/>
        </w:rPr>
        <w:t>and</w:t>
      </w:r>
      <w:r>
        <w:rPr>
          <w:color w:val="1B1B22"/>
          <w:spacing w:val="-12"/>
        </w:rPr>
        <w:t> </w:t>
      </w:r>
      <w:r>
        <w:rPr>
          <w:color w:val="1B1B22"/>
        </w:rPr>
        <w:t>economic inclusion for the LGBTQIA+ community in the Federal District.</w:t>
      </w:r>
    </w:p>
    <w:p>
      <w:pPr>
        <w:pStyle w:val="BodyText"/>
        <w:spacing w:after="0" w:line="321" w:lineRule="auto"/>
        <w:sectPr>
          <w:type w:val="continuous"/>
          <w:pgSz w:w="11910" w:h="16850"/>
          <w:pgMar w:header="152" w:footer="591" w:top="1920" w:bottom="280" w:left="425" w:right="708"/>
          <w:cols w:num="2" w:equalWidth="0">
            <w:col w:w="5218" w:space="238"/>
            <w:col w:w="5321"/>
          </w:cols>
        </w:sectPr>
      </w:pPr>
    </w:p>
    <w:p>
      <w:pPr>
        <w:pStyle w:val="Heading1"/>
        <w:spacing w:before="297"/>
      </w:pPr>
      <w:r>
        <w:rPr>
          <w:color w:val="465EFF"/>
          <w:spacing w:val="31"/>
        </w:rPr>
        <w:t>Major</w:t>
      </w:r>
      <w:r>
        <w:rPr>
          <w:color w:val="465EFF"/>
          <w:spacing w:val="62"/>
        </w:rPr>
        <w:t> </w:t>
      </w:r>
      <w:r>
        <w:rPr>
          <w:color w:val="465EFF"/>
          <w:spacing w:val="24"/>
        </w:rPr>
        <w:t>Awards</w:t>
      </w:r>
      <w:r>
        <w:rPr>
          <w:color w:val="465EFF"/>
          <w:spacing w:val="69"/>
        </w:rPr>
        <w:t> </w:t>
      </w:r>
      <w:r>
        <w:rPr>
          <w:color w:val="465EFF"/>
          <w:spacing w:val="26"/>
        </w:rPr>
        <w:t>and</w:t>
      </w:r>
      <w:r>
        <w:rPr>
          <w:color w:val="465EFF"/>
          <w:spacing w:val="69"/>
        </w:rPr>
        <w:t> </w:t>
      </w:r>
      <w:r>
        <w:rPr>
          <w:color w:val="465EFF"/>
          <w:spacing w:val="31"/>
        </w:rPr>
        <w:t>Recognition</w:t>
      </w:r>
    </w:p>
    <w:p>
      <w:pPr>
        <w:pStyle w:val="BodyText"/>
        <w:spacing w:before="1"/>
        <w:ind w:left="0"/>
        <w:jc w:val="left"/>
        <w:rPr>
          <w:rFonts w:ascii="BancoDoBrasil Titulos"/>
        </w:rPr>
      </w:pPr>
    </w:p>
    <w:p>
      <w:pPr>
        <w:pStyle w:val="BodyText"/>
        <w:spacing w:after="0"/>
        <w:jc w:val="left"/>
        <w:rPr>
          <w:rFonts w:ascii="BancoDoBrasil Titulos"/>
        </w:rPr>
        <w:sectPr>
          <w:pgSz w:w="11910" w:h="16850"/>
          <w:pgMar w:header="152" w:footer="591" w:top="900" w:bottom="780" w:left="425" w:right="708"/>
        </w:sectPr>
      </w:pPr>
    </w:p>
    <w:p>
      <w:pPr>
        <w:pStyle w:val="Heading2"/>
        <w:spacing w:before="70"/>
        <w:jc w:val="left"/>
        <w:rPr>
          <w:b w:val="0"/>
        </w:rPr>
      </w:pPr>
      <w:r>
        <w:rPr>
          <w:b w:val="0"/>
          <w:color w:val="465EFF"/>
          <w:spacing w:val="14"/>
        </w:rPr>
        <w:t>March</w:t>
      </w:r>
    </w:p>
    <w:p>
      <w:pPr>
        <w:pStyle w:val="BodyText"/>
        <w:spacing w:line="321" w:lineRule="auto" w:before="250"/>
        <w:ind w:right="38"/>
      </w:pPr>
      <w:r>
        <w:rPr>
          <w:color w:val="1B1B22"/>
        </w:rPr>
        <w:t>We</w:t>
      </w:r>
      <w:r>
        <w:rPr>
          <w:color w:val="1B1B22"/>
          <w:spacing w:val="-10"/>
        </w:rPr>
        <w:t> </w:t>
      </w:r>
      <w:r>
        <w:rPr>
          <w:color w:val="1B1B22"/>
        </w:rPr>
        <w:t>received</w:t>
      </w:r>
      <w:r>
        <w:rPr>
          <w:color w:val="1B1B22"/>
          <w:spacing w:val="-7"/>
        </w:rPr>
        <w:t> </w:t>
      </w:r>
      <w:r>
        <w:rPr>
          <w:color w:val="1B1B22"/>
        </w:rPr>
        <w:t>two</w:t>
      </w:r>
      <w:r>
        <w:rPr>
          <w:color w:val="1B1B22"/>
          <w:spacing w:val="-7"/>
        </w:rPr>
        <w:t> </w:t>
      </w:r>
      <w:r>
        <w:rPr>
          <w:color w:val="1B1B22"/>
        </w:rPr>
        <w:t>awards</w:t>
      </w:r>
      <w:r>
        <w:rPr>
          <w:color w:val="1B1B22"/>
          <w:spacing w:val="-6"/>
        </w:rPr>
        <w:t> </w:t>
      </w:r>
      <w:r>
        <w:rPr>
          <w:color w:val="1B1B22"/>
        </w:rPr>
        <w:t>at</w:t>
      </w:r>
      <w:r>
        <w:rPr>
          <w:color w:val="1B1B22"/>
          <w:spacing w:val="-11"/>
        </w:rPr>
        <w:t> </w:t>
      </w:r>
      <w:r>
        <w:rPr>
          <w:color w:val="1B1B22"/>
        </w:rPr>
        <w:t>Agile</w:t>
      </w:r>
      <w:r>
        <w:rPr>
          <w:color w:val="1B1B22"/>
          <w:spacing w:val="-13"/>
        </w:rPr>
        <w:t> </w:t>
      </w:r>
      <w:r>
        <w:rPr>
          <w:color w:val="1B1B22"/>
        </w:rPr>
        <w:t>Trends</w:t>
      </w:r>
      <w:r>
        <w:rPr>
          <w:color w:val="1B1B22"/>
          <w:spacing w:val="-4"/>
        </w:rPr>
        <w:t> </w:t>
      </w:r>
      <w:r>
        <w:rPr>
          <w:color w:val="1B1B22"/>
        </w:rPr>
        <w:t>2025,</w:t>
      </w:r>
      <w:r>
        <w:rPr>
          <w:color w:val="1B1B22"/>
          <w:spacing w:val="-7"/>
        </w:rPr>
        <w:t> </w:t>
      </w:r>
      <w:r>
        <w:rPr>
          <w:color w:val="1B1B22"/>
        </w:rPr>
        <w:t>one of the largest agility and innovation events in the country. The two recognized cases demonstrate significant advances in automation, agile culture, and digital transformation: Agiliza – Automation and Self-Healing Portal; and Movimento Aceleração Digital – Creation and implementation of an agile framework in a 216-year-old bank.</w:t>
      </w:r>
    </w:p>
    <w:p>
      <w:pPr>
        <w:pStyle w:val="BodyText"/>
        <w:spacing w:line="321" w:lineRule="auto" w:before="115"/>
        <w:ind w:right="40"/>
      </w:pPr>
      <w:r>
        <w:rPr>
          <w:color w:val="1B1B22"/>
        </w:rPr>
        <w:t>We</w:t>
      </w:r>
      <w:r>
        <w:rPr>
          <w:color w:val="1B1B22"/>
          <w:spacing w:val="-11"/>
        </w:rPr>
        <w:t> </w:t>
      </w:r>
      <w:r>
        <w:rPr>
          <w:color w:val="1B1B22"/>
        </w:rPr>
        <w:t>were</w:t>
      </w:r>
      <w:r>
        <w:rPr>
          <w:color w:val="1B1B22"/>
          <w:spacing w:val="-11"/>
        </w:rPr>
        <w:t> </w:t>
      </w:r>
      <w:r>
        <w:rPr>
          <w:color w:val="1B1B22"/>
        </w:rPr>
        <w:t>recognized</w:t>
      </w:r>
      <w:r>
        <w:rPr>
          <w:color w:val="1B1B22"/>
          <w:spacing w:val="-11"/>
        </w:rPr>
        <w:t> </w:t>
      </w:r>
      <w:r>
        <w:rPr>
          <w:color w:val="1B1B22"/>
        </w:rPr>
        <w:t>in</w:t>
      </w:r>
      <w:r>
        <w:rPr>
          <w:color w:val="1B1B22"/>
          <w:spacing w:val="-10"/>
        </w:rPr>
        <w:t> </w:t>
      </w:r>
      <w:r>
        <w:rPr>
          <w:color w:val="1B1B22"/>
        </w:rPr>
        <w:t>three</w:t>
      </w:r>
      <w:r>
        <w:rPr>
          <w:color w:val="1B1B22"/>
          <w:spacing w:val="-11"/>
        </w:rPr>
        <w:t> </w:t>
      </w:r>
      <w:r>
        <w:rPr>
          <w:color w:val="1B1B22"/>
        </w:rPr>
        <w:t>categories</w:t>
      </w:r>
      <w:r>
        <w:rPr>
          <w:color w:val="1B1B22"/>
          <w:spacing w:val="-10"/>
        </w:rPr>
        <w:t> </w:t>
      </w:r>
      <w:r>
        <w:rPr>
          <w:color w:val="1B1B22"/>
        </w:rPr>
        <w:t>at</w:t>
      </w:r>
      <w:r>
        <w:rPr>
          <w:color w:val="1B1B22"/>
          <w:spacing w:val="-10"/>
        </w:rPr>
        <w:t> </w:t>
      </w:r>
      <w:r>
        <w:rPr>
          <w:color w:val="1B1B22"/>
        </w:rPr>
        <w:t>the</w:t>
      </w:r>
      <w:r>
        <w:rPr>
          <w:color w:val="1B1B22"/>
          <w:spacing w:val="-13"/>
        </w:rPr>
        <w:t> </w:t>
      </w:r>
      <w:r>
        <w:rPr>
          <w:color w:val="1B1B22"/>
        </w:rPr>
        <w:t>AI</w:t>
      </w:r>
      <w:r>
        <w:rPr>
          <w:color w:val="1B1B22"/>
          <w:spacing w:val="-10"/>
        </w:rPr>
        <w:t> </w:t>
      </w:r>
      <w:r>
        <w:rPr>
          <w:color w:val="1B1B22"/>
        </w:rPr>
        <w:t>in Finance</w:t>
      </w:r>
      <w:r>
        <w:rPr>
          <w:color w:val="1B1B22"/>
          <w:spacing w:val="-13"/>
        </w:rPr>
        <w:t> </w:t>
      </w:r>
      <w:r>
        <w:rPr>
          <w:color w:val="1B1B22"/>
        </w:rPr>
        <w:t>2025</w:t>
      </w:r>
      <w:r>
        <w:rPr>
          <w:color w:val="1B1B22"/>
          <w:spacing w:val="-12"/>
        </w:rPr>
        <w:t> </w:t>
      </w:r>
      <w:r>
        <w:rPr>
          <w:color w:val="1B1B22"/>
        </w:rPr>
        <w:t>Awards,</w:t>
      </w:r>
      <w:r>
        <w:rPr>
          <w:color w:val="1B1B22"/>
          <w:spacing w:val="-13"/>
        </w:rPr>
        <w:t> </w:t>
      </w:r>
      <w:r>
        <w:rPr>
          <w:color w:val="1B1B22"/>
        </w:rPr>
        <w:t>promoted</w:t>
      </w:r>
      <w:r>
        <w:rPr>
          <w:color w:val="1B1B22"/>
          <w:spacing w:val="-12"/>
        </w:rPr>
        <w:t> </w:t>
      </w:r>
      <w:r>
        <w:rPr>
          <w:color w:val="1B1B22"/>
        </w:rPr>
        <w:t>by</w:t>
      </w:r>
      <w:r>
        <w:rPr>
          <w:color w:val="1B1B22"/>
          <w:spacing w:val="-12"/>
        </w:rPr>
        <w:t> </w:t>
      </w:r>
      <w:r>
        <w:rPr>
          <w:color w:val="1B1B22"/>
        </w:rPr>
        <w:t>Global</w:t>
      </w:r>
      <w:r>
        <w:rPr>
          <w:color w:val="1B1B22"/>
          <w:spacing w:val="-13"/>
        </w:rPr>
        <w:t> </w:t>
      </w:r>
      <w:r>
        <w:rPr>
          <w:color w:val="1B1B22"/>
        </w:rPr>
        <w:t>Finance magazine, which highlights the most innovative financial institutions in the use of artificial </w:t>
      </w:r>
      <w:r>
        <w:rPr>
          <w:color w:val="1B1B22"/>
          <w:spacing w:val="-2"/>
        </w:rPr>
        <w:t>intelligence:</w:t>
      </w:r>
    </w:p>
    <w:p>
      <w:pPr>
        <w:pStyle w:val="BodyText"/>
        <w:spacing w:before="11"/>
        <w:ind w:left="0"/>
        <w:jc w:val="left"/>
        <w:rPr>
          <w:sz w:val="10"/>
        </w:rPr>
      </w:pPr>
    </w:p>
    <w:tbl>
      <w:tblPr>
        <w:tblW w:w="0" w:type="auto"/>
        <w:jc w:val="left"/>
        <w:tblInd w:w="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49"/>
        <w:gridCol w:w="610"/>
        <w:gridCol w:w="747"/>
        <w:gridCol w:w="378"/>
      </w:tblGrid>
      <w:tr>
        <w:trPr>
          <w:trHeight w:val="282" w:hRule="atLeast"/>
        </w:trPr>
        <w:tc>
          <w:tcPr>
            <w:tcW w:w="2749" w:type="dxa"/>
          </w:tcPr>
          <w:p>
            <w:pPr>
              <w:pStyle w:val="TableParagraph"/>
              <w:numPr>
                <w:ilvl w:val="0"/>
                <w:numId w:val="1"/>
              </w:numPr>
              <w:tabs>
                <w:tab w:pos="359" w:val="left" w:leader="none"/>
                <w:tab w:pos="1650" w:val="left" w:leader="none"/>
              </w:tabs>
              <w:spacing w:line="232" w:lineRule="exact" w:before="0" w:after="0"/>
              <w:ind w:left="359" w:right="127" w:hanging="359"/>
              <w:jc w:val="right"/>
              <w:rPr>
                <w:sz w:val="20"/>
              </w:rPr>
            </w:pPr>
            <w:r>
              <w:rPr>
                <w:color w:val="1B1B22"/>
                <w:spacing w:val="-2"/>
                <w:sz w:val="20"/>
              </w:rPr>
              <w:t>CONSUMER</w:t>
            </w:r>
            <w:r>
              <w:rPr>
                <w:color w:val="1B1B22"/>
                <w:sz w:val="20"/>
              </w:rPr>
              <w:tab/>
            </w:r>
            <w:r>
              <w:rPr>
                <w:color w:val="1B1B22"/>
                <w:spacing w:val="-2"/>
                <w:sz w:val="20"/>
              </w:rPr>
              <w:t>BANKING:</w:t>
            </w:r>
          </w:p>
        </w:tc>
        <w:tc>
          <w:tcPr>
            <w:tcW w:w="610" w:type="dxa"/>
          </w:tcPr>
          <w:p>
            <w:pPr>
              <w:pStyle w:val="TableParagraph"/>
              <w:spacing w:line="232" w:lineRule="exact"/>
              <w:ind w:left="22" w:right="59"/>
              <w:jc w:val="center"/>
              <w:rPr>
                <w:sz w:val="20"/>
              </w:rPr>
            </w:pPr>
            <w:r>
              <w:rPr>
                <w:color w:val="1B1B22"/>
                <w:spacing w:val="-4"/>
                <w:sz w:val="20"/>
              </w:rPr>
              <w:t>Best</w:t>
            </w:r>
          </w:p>
        </w:tc>
        <w:tc>
          <w:tcPr>
            <w:tcW w:w="747" w:type="dxa"/>
          </w:tcPr>
          <w:p>
            <w:pPr>
              <w:pStyle w:val="TableParagraph"/>
              <w:spacing w:line="232" w:lineRule="exact"/>
              <w:ind w:left="7" w:right="25"/>
              <w:jc w:val="center"/>
              <w:rPr>
                <w:sz w:val="20"/>
              </w:rPr>
            </w:pPr>
            <w:r>
              <w:rPr>
                <w:color w:val="1B1B22"/>
                <w:spacing w:val="-4"/>
                <w:sz w:val="20"/>
              </w:rPr>
              <w:t>Banks</w:t>
            </w:r>
          </w:p>
        </w:tc>
        <w:tc>
          <w:tcPr>
            <w:tcW w:w="378" w:type="dxa"/>
          </w:tcPr>
          <w:p>
            <w:pPr>
              <w:pStyle w:val="TableParagraph"/>
              <w:spacing w:line="232" w:lineRule="exact"/>
              <w:ind w:left="49"/>
              <w:jc w:val="center"/>
              <w:rPr>
                <w:sz w:val="20"/>
              </w:rPr>
            </w:pPr>
            <w:r>
              <w:rPr>
                <w:color w:val="1B1B22"/>
                <w:spacing w:val="-5"/>
                <w:sz w:val="20"/>
              </w:rPr>
              <w:t>by</w:t>
            </w:r>
          </w:p>
        </w:tc>
      </w:tr>
      <w:tr>
        <w:trPr>
          <w:trHeight w:val="340" w:hRule="atLeast"/>
        </w:trPr>
        <w:tc>
          <w:tcPr>
            <w:tcW w:w="2749" w:type="dxa"/>
          </w:tcPr>
          <w:p>
            <w:pPr>
              <w:pStyle w:val="TableParagraph"/>
              <w:spacing w:before="36"/>
              <w:ind w:left="409"/>
              <w:rPr>
                <w:sz w:val="20"/>
              </w:rPr>
            </w:pPr>
            <w:r>
              <w:rPr>
                <w:color w:val="1B1B22"/>
                <w:sz w:val="20"/>
              </w:rPr>
              <w:t>Country</w:t>
            </w:r>
            <w:r>
              <w:rPr>
                <w:color w:val="1B1B22"/>
                <w:spacing w:val="-9"/>
                <w:sz w:val="20"/>
              </w:rPr>
              <w:t> </w:t>
            </w:r>
            <w:r>
              <w:rPr>
                <w:color w:val="1B1B22"/>
                <w:sz w:val="20"/>
              </w:rPr>
              <w:t>–</w:t>
            </w:r>
            <w:r>
              <w:rPr>
                <w:color w:val="1B1B22"/>
                <w:spacing w:val="-9"/>
                <w:sz w:val="20"/>
              </w:rPr>
              <w:t> </w:t>
            </w:r>
            <w:r>
              <w:rPr>
                <w:color w:val="1B1B22"/>
                <w:spacing w:val="-2"/>
                <w:sz w:val="20"/>
              </w:rPr>
              <w:t>Brazil;</w:t>
            </w:r>
          </w:p>
        </w:tc>
        <w:tc>
          <w:tcPr>
            <w:tcW w:w="610" w:type="dxa"/>
          </w:tcPr>
          <w:p>
            <w:pPr>
              <w:pStyle w:val="TableParagraph"/>
              <w:rPr>
                <w:rFonts w:ascii="Times New Roman"/>
                <w:sz w:val="20"/>
              </w:rPr>
            </w:pPr>
          </w:p>
        </w:tc>
        <w:tc>
          <w:tcPr>
            <w:tcW w:w="747" w:type="dxa"/>
          </w:tcPr>
          <w:p>
            <w:pPr>
              <w:pStyle w:val="TableParagraph"/>
              <w:rPr>
                <w:rFonts w:ascii="Times New Roman"/>
                <w:sz w:val="20"/>
              </w:rPr>
            </w:pPr>
          </w:p>
        </w:tc>
        <w:tc>
          <w:tcPr>
            <w:tcW w:w="378" w:type="dxa"/>
          </w:tcPr>
          <w:p>
            <w:pPr>
              <w:pStyle w:val="TableParagraph"/>
              <w:rPr>
                <w:rFonts w:ascii="Times New Roman"/>
                <w:sz w:val="20"/>
              </w:rPr>
            </w:pPr>
          </w:p>
        </w:tc>
      </w:tr>
      <w:tr>
        <w:trPr>
          <w:trHeight w:val="341" w:hRule="atLeast"/>
        </w:trPr>
        <w:tc>
          <w:tcPr>
            <w:tcW w:w="2749" w:type="dxa"/>
          </w:tcPr>
          <w:p>
            <w:pPr>
              <w:pStyle w:val="TableParagraph"/>
              <w:numPr>
                <w:ilvl w:val="0"/>
                <w:numId w:val="2"/>
              </w:numPr>
              <w:tabs>
                <w:tab w:pos="359" w:val="left" w:leader="none"/>
              </w:tabs>
              <w:spacing w:line="240" w:lineRule="auto" w:before="36" w:after="0"/>
              <w:ind w:left="359" w:right="79" w:hanging="359"/>
              <w:jc w:val="right"/>
              <w:rPr>
                <w:sz w:val="20"/>
              </w:rPr>
            </w:pPr>
            <w:r>
              <w:rPr>
                <w:color w:val="1B1B22"/>
                <w:sz w:val="20"/>
              </w:rPr>
              <w:t>CORPORATE</w:t>
            </w:r>
            <w:r>
              <w:rPr>
                <w:color w:val="1B1B22"/>
                <w:spacing w:val="69"/>
                <w:w w:val="150"/>
                <w:sz w:val="20"/>
              </w:rPr>
              <w:t> </w:t>
            </w:r>
            <w:r>
              <w:rPr>
                <w:color w:val="1B1B22"/>
                <w:spacing w:val="-2"/>
                <w:sz w:val="20"/>
              </w:rPr>
              <w:t>BANKING:</w:t>
            </w:r>
          </w:p>
        </w:tc>
        <w:tc>
          <w:tcPr>
            <w:tcW w:w="610" w:type="dxa"/>
          </w:tcPr>
          <w:p>
            <w:pPr>
              <w:pStyle w:val="TableParagraph"/>
              <w:spacing w:before="36"/>
              <w:ind w:left="59" w:right="37"/>
              <w:jc w:val="center"/>
              <w:rPr>
                <w:sz w:val="20"/>
              </w:rPr>
            </w:pPr>
            <w:r>
              <w:rPr>
                <w:color w:val="1B1B22"/>
                <w:spacing w:val="-4"/>
                <w:sz w:val="20"/>
              </w:rPr>
              <w:t>Best</w:t>
            </w:r>
          </w:p>
        </w:tc>
        <w:tc>
          <w:tcPr>
            <w:tcW w:w="747" w:type="dxa"/>
          </w:tcPr>
          <w:p>
            <w:pPr>
              <w:pStyle w:val="TableParagraph"/>
              <w:spacing w:before="36"/>
              <w:ind w:left="25" w:right="18"/>
              <w:jc w:val="center"/>
              <w:rPr>
                <w:sz w:val="20"/>
              </w:rPr>
            </w:pPr>
            <w:r>
              <w:rPr>
                <w:color w:val="1B1B22"/>
                <w:spacing w:val="-4"/>
                <w:sz w:val="20"/>
              </w:rPr>
              <w:t>Banks</w:t>
            </w:r>
          </w:p>
        </w:tc>
        <w:tc>
          <w:tcPr>
            <w:tcW w:w="378" w:type="dxa"/>
          </w:tcPr>
          <w:p>
            <w:pPr>
              <w:pStyle w:val="TableParagraph"/>
              <w:spacing w:before="36"/>
              <w:ind w:left="49" w:right="1"/>
              <w:jc w:val="center"/>
              <w:rPr>
                <w:sz w:val="20"/>
              </w:rPr>
            </w:pPr>
            <w:r>
              <w:rPr>
                <w:color w:val="1B1B22"/>
                <w:spacing w:val="-5"/>
                <w:sz w:val="20"/>
              </w:rPr>
              <w:t>by</w:t>
            </w:r>
          </w:p>
        </w:tc>
      </w:tr>
      <w:tr>
        <w:trPr>
          <w:trHeight w:val="340" w:hRule="atLeast"/>
        </w:trPr>
        <w:tc>
          <w:tcPr>
            <w:tcW w:w="2749" w:type="dxa"/>
          </w:tcPr>
          <w:p>
            <w:pPr>
              <w:pStyle w:val="TableParagraph"/>
              <w:spacing w:before="36"/>
              <w:ind w:left="409"/>
              <w:rPr>
                <w:sz w:val="20"/>
              </w:rPr>
            </w:pPr>
            <w:r>
              <w:rPr>
                <w:color w:val="1B1B22"/>
                <w:sz w:val="20"/>
              </w:rPr>
              <w:t>Country</w:t>
            </w:r>
            <w:r>
              <w:rPr>
                <w:color w:val="1B1B22"/>
                <w:spacing w:val="-9"/>
                <w:sz w:val="20"/>
              </w:rPr>
              <w:t> </w:t>
            </w:r>
            <w:r>
              <w:rPr>
                <w:color w:val="1B1B22"/>
                <w:sz w:val="20"/>
              </w:rPr>
              <w:t>–</w:t>
            </w:r>
            <w:r>
              <w:rPr>
                <w:color w:val="1B1B22"/>
                <w:spacing w:val="-9"/>
                <w:sz w:val="20"/>
              </w:rPr>
              <w:t> </w:t>
            </w:r>
            <w:r>
              <w:rPr>
                <w:color w:val="1B1B22"/>
                <w:spacing w:val="-2"/>
                <w:sz w:val="20"/>
              </w:rPr>
              <w:t>Brazil;</w:t>
            </w:r>
          </w:p>
        </w:tc>
        <w:tc>
          <w:tcPr>
            <w:tcW w:w="610" w:type="dxa"/>
          </w:tcPr>
          <w:p>
            <w:pPr>
              <w:pStyle w:val="TableParagraph"/>
              <w:rPr>
                <w:rFonts w:ascii="Times New Roman"/>
                <w:sz w:val="20"/>
              </w:rPr>
            </w:pPr>
          </w:p>
        </w:tc>
        <w:tc>
          <w:tcPr>
            <w:tcW w:w="747" w:type="dxa"/>
          </w:tcPr>
          <w:p>
            <w:pPr>
              <w:pStyle w:val="TableParagraph"/>
              <w:rPr>
                <w:rFonts w:ascii="Times New Roman"/>
                <w:sz w:val="20"/>
              </w:rPr>
            </w:pPr>
          </w:p>
        </w:tc>
        <w:tc>
          <w:tcPr>
            <w:tcW w:w="378" w:type="dxa"/>
          </w:tcPr>
          <w:p>
            <w:pPr>
              <w:pStyle w:val="TableParagraph"/>
              <w:rPr>
                <w:rFonts w:ascii="Times New Roman"/>
                <w:sz w:val="20"/>
              </w:rPr>
            </w:pPr>
          </w:p>
        </w:tc>
      </w:tr>
      <w:tr>
        <w:trPr>
          <w:trHeight w:val="340" w:hRule="atLeast"/>
        </w:trPr>
        <w:tc>
          <w:tcPr>
            <w:tcW w:w="2749" w:type="dxa"/>
          </w:tcPr>
          <w:p>
            <w:pPr>
              <w:pStyle w:val="TableParagraph"/>
              <w:numPr>
                <w:ilvl w:val="0"/>
                <w:numId w:val="3"/>
              </w:numPr>
              <w:tabs>
                <w:tab w:pos="359" w:val="left" w:leader="none"/>
              </w:tabs>
              <w:spacing w:line="240" w:lineRule="auto" w:before="36" w:after="0"/>
              <w:ind w:left="359" w:right="79" w:hanging="359"/>
              <w:jc w:val="right"/>
              <w:rPr>
                <w:sz w:val="20"/>
              </w:rPr>
            </w:pPr>
            <w:r>
              <w:rPr>
                <w:color w:val="1B1B22"/>
                <w:sz w:val="20"/>
              </w:rPr>
              <w:t>CORPORATE</w:t>
            </w:r>
            <w:r>
              <w:rPr>
                <w:color w:val="1B1B22"/>
                <w:spacing w:val="69"/>
                <w:w w:val="150"/>
                <w:sz w:val="20"/>
              </w:rPr>
              <w:t> </w:t>
            </w:r>
            <w:r>
              <w:rPr>
                <w:color w:val="1B1B22"/>
                <w:spacing w:val="-2"/>
                <w:sz w:val="20"/>
              </w:rPr>
              <w:t>BANKING:</w:t>
            </w:r>
          </w:p>
        </w:tc>
        <w:tc>
          <w:tcPr>
            <w:tcW w:w="610" w:type="dxa"/>
          </w:tcPr>
          <w:p>
            <w:pPr>
              <w:pStyle w:val="TableParagraph"/>
              <w:spacing w:before="36"/>
              <w:ind w:left="59" w:right="37"/>
              <w:jc w:val="center"/>
              <w:rPr>
                <w:sz w:val="20"/>
              </w:rPr>
            </w:pPr>
            <w:r>
              <w:rPr>
                <w:color w:val="1B1B22"/>
                <w:spacing w:val="-4"/>
                <w:sz w:val="20"/>
              </w:rPr>
              <w:t>Best</w:t>
            </w:r>
          </w:p>
        </w:tc>
        <w:tc>
          <w:tcPr>
            <w:tcW w:w="747" w:type="dxa"/>
          </w:tcPr>
          <w:p>
            <w:pPr>
              <w:pStyle w:val="TableParagraph"/>
              <w:spacing w:before="36"/>
              <w:ind w:left="25" w:right="18"/>
              <w:jc w:val="center"/>
              <w:rPr>
                <w:sz w:val="20"/>
              </w:rPr>
            </w:pPr>
            <w:r>
              <w:rPr>
                <w:color w:val="1B1B22"/>
                <w:spacing w:val="-4"/>
                <w:sz w:val="20"/>
              </w:rPr>
              <w:t>Banks</w:t>
            </w:r>
          </w:p>
        </w:tc>
        <w:tc>
          <w:tcPr>
            <w:tcW w:w="378" w:type="dxa"/>
          </w:tcPr>
          <w:p>
            <w:pPr>
              <w:pStyle w:val="TableParagraph"/>
              <w:spacing w:before="36"/>
              <w:ind w:left="49" w:right="1"/>
              <w:jc w:val="center"/>
              <w:rPr>
                <w:sz w:val="20"/>
              </w:rPr>
            </w:pPr>
            <w:r>
              <w:rPr>
                <w:color w:val="1B1B22"/>
                <w:spacing w:val="-5"/>
                <w:sz w:val="20"/>
              </w:rPr>
              <w:t>by</w:t>
            </w:r>
          </w:p>
        </w:tc>
      </w:tr>
      <w:tr>
        <w:trPr>
          <w:trHeight w:val="282" w:hRule="atLeast"/>
        </w:trPr>
        <w:tc>
          <w:tcPr>
            <w:tcW w:w="2749" w:type="dxa"/>
          </w:tcPr>
          <w:p>
            <w:pPr>
              <w:pStyle w:val="TableParagraph"/>
              <w:spacing w:line="226" w:lineRule="exact" w:before="36"/>
              <w:ind w:right="132"/>
              <w:jc w:val="right"/>
              <w:rPr>
                <w:sz w:val="20"/>
              </w:rPr>
            </w:pPr>
            <w:r>
              <w:rPr>
                <w:color w:val="1B1B22"/>
                <w:sz w:val="20"/>
              </w:rPr>
              <w:t>Region</w:t>
            </w:r>
            <w:r>
              <w:rPr>
                <w:color w:val="1B1B22"/>
                <w:spacing w:val="-8"/>
                <w:sz w:val="20"/>
              </w:rPr>
              <w:t> </w:t>
            </w:r>
            <w:r>
              <w:rPr>
                <w:color w:val="1B1B22"/>
                <w:sz w:val="20"/>
              </w:rPr>
              <w:t>–</w:t>
            </w:r>
            <w:r>
              <w:rPr>
                <w:color w:val="1B1B22"/>
                <w:spacing w:val="-7"/>
                <w:sz w:val="20"/>
              </w:rPr>
              <w:t> </w:t>
            </w:r>
            <w:r>
              <w:rPr>
                <w:color w:val="1B1B22"/>
                <w:sz w:val="20"/>
              </w:rPr>
              <w:t>Latin</w:t>
            </w:r>
            <w:r>
              <w:rPr>
                <w:color w:val="1B1B22"/>
                <w:spacing w:val="-11"/>
                <w:sz w:val="20"/>
              </w:rPr>
              <w:t> </w:t>
            </w:r>
            <w:r>
              <w:rPr>
                <w:color w:val="1B1B22"/>
                <w:spacing w:val="-2"/>
                <w:sz w:val="20"/>
              </w:rPr>
              <w:t>America.</w:t>
            </w:r>
          </w:p>
        </w:tc>
        <w:tc>
          <w:tcPr>
            <w:tcW w:w="610" w:type="dxa"/>
          </w:tcPr>
          <w:p>
            <w:pPr>
              <w:pStyle w:val="TableParagraph"/>
              <w:rPr>
                <w:rFonts w:ascii="Times New Roman"/>
                <w:sz w:val="20"/>
              </w:rPr>
            </w:pPr>
          </w:p>
        </w:tc>
        <w:tc>
          <w:tcPr>
            <w:tcW w:w="747" w:type="dxa"/>
          </w:tcPr>
          <w:p>
            <w:pPr>
              <w:pStyle w:val="TableParagraph"/>
              <w:rPr>
                <w:rFonts w:ascii="Times New Roman"/>
                <w:sz w:val="20"/>
              </w:rPr>
            </w:pPr>
          </w:p>
        </w:tc>
        <w:tc>
          <w:tcPr>
            <w:tcW w:w="378" w:type="dxa"/>
          </w:tcPr>
          <w:p>
            <w:pPr>
              <w:pStyle w:val="TableParagraph"/>
              <w:rPr>
                <w:rFonts w:ascii="Times New Roman"/>
                <w:sz w:val="20"/>
              </w:rPr>
            </w:pPr>
          </w:p>
        </w:tc>
      </w:tr>
    </w:tbl>
    <w:p>
      <w:pPr>
        <w:pStyle w:val="BodyText"/>
        <w:spacing w:line="321" w:lineRule="auto" w:before="215"/>
        <w:ind w:right="40"/>
      </w:pPr>
      <w:r>
        <w:rPr>
          <w:color w:val="1B1B22"/>
        </w:rPr>
        <w:t>We</w:t>
      </w:r>
      <w:r>
        <w:rPr>
          <w:color w:val="1B1B22"/>
          <w:spacing w:val="-2"/>
        </w:rPr>
        <w:t> </w:t>
      </w:r>
      <w:r>
        <w:rPr>
          <w:color w:val="1B1B22"/>
        </w:rPr>
        <w:t>were</w:t>
      </w:r>
      <w:r>
        <w:rPr>
          <w:color w:val="1B1B22"/>
          <w:spacing w:val="-2"/>
        </w:rPr>
        <w:t> </w:t>
      </w:r>
      <w:r>
        <w:rPr>
          <w:color w:val="1B1B22"/>
        </w:rPr>
        <w:t>recognized</w:t>
      </w:r>
      <w:r>
        <w:rPr>
          <w:color w:val="1B1B22"/>
          <w:spacing w:val="-2"/>
        </w:rPr>
        <w:t> </w:t>
      </w:r>
      <w:r>
        <w:rPr>
          <w:color w:val="1B1B22"/>
        </w:rPr>
        <w:t>in</w:t>
      </w:r>
      <w:r>
        <w:rPr>
          <w:color w:val="1B1B22"/>
          <w:spacing w:val="-1"/>
        </w:rPr>
        <w:t> </w:t>
      </w:r>
      <w:r>
        <w:rPr>
          <w:color w:val="1B1B22"/>
        </w:rPr>
        <w:t>the</w:t>
      </w:r>
      <w:r>
        <w:rPr>
          <w:color w:val="1B1B22"/>
          <w:spacing w:val="-2"/>
        </w:rPr>
        <w:t> </w:t>
      </w:r>
      <w:r>
        <w:rPr>
          <w:color w:val="1B1B22"/>
        </w:rPr>
        <w:t>Innovation</w:t>
      </w:r>
      <w:r>
        <w:rPr>
          <w:color w:val="1B1B22"/>
          <w:spacing w:val="-1"/>
        </w:rPr>
        <w:t> </w:t>
      </w:r>
      <w:r>
        <w:rPr>
          <w:color w:val="1B1B22"/>
        </w:rPr>
        <w:t>category</w:t>
      </w:r>
      <w:r>
        <w:rPr>
          <w:color w:val="1B1B22"/>
          <w:spacing w:val="-2"/>
        </w:rPr>
        <w:t> </w:t>
      </w:r>
      <w:r>
        <w:rPr>
          <w:color w:val="1B1B22"/>
        </w:rPr>
        <w:t>of the 100+ Innovators in the Use of IT 2025 award, promoted by the IT Forum, with the Pix por Aproximação case study.</w:t>
      </w:r>
    </w:p>
    <w:p>
      <w:pPr>
        <w:pStyle w:val="BodyText"/>
        <w:spacing w:line="321" w:lineRule="auto" w:before="119"/>
        <w:ind w:right="39"/>
      </w:pPr>
      <w:r>
        <w:rPr>
          <w:color w:val="1B1B22"/>
        </w:rPr>
        <w:t>We were one of the winners of the Celent Model Bank Award 2025, receiving recognition in the "AI Innovation</w:t>
      </w:r>
      <w:r>
        <w:rPr>
          <w:color w:val="1B1B22"/>
          <w:spacing w:val="-13"/>
        </w:rPr>
        <w:t> </w:t>
      </w:r>
      <w:r>
        <w:rPr>
          <w:color w:val="1B1B22"/>
        </w:rPr>
        <w:t>for</w:t>
      </w:r>
      <w:r>
        <w:rPr>
          <w:color w:val="1B1B22"/>
          <w:spacing w:val="-12"/>
        </w:rPr>
        <w:t> </w:t>
      </w:r>
      <w:r>
        <w:rPr>
          <w:color w:val="1B1B22"/>
        </w:rPr>
        <w:t>Small</w:t>
      </w:r>
      <w:r>
        <w:rPr>
          <w:color w:val="1B1B22"/>
          <w:spacing w:val="-13"/>
        </w:rPr>
        <w:t> </w:t>
      </w:r>
      <w:r>
        <w:rPr>
          <w:color w:val="1B1B22"/>
        </w:rPr>
        <w:t>Business"</w:t>
      </w:r>
      <w:r>
        <w:rPr>
          <w:color w:val="1B1B22"/>
          <w:spacing w:val="-12"/>
        </w:rPr>
        <w:t> </w:t>
      </w:r>
      <w:r>
        <w:rPr>
          <w:color w:val="1B1B22"/>
        </w:rPr>
        <w:t>category</w:t>
      </w:r>
      <w:r>
        <w:rPr>
          <w:color w:val="1B1B22"/>
          <w:spacing w:val="-12"/>
        </w:rPr>
        <w:t> </w:t>
      </w:r>
      <w:r>
        <w:rPr>
          <w:color w:val="1B1B22"/>
        </w:rPr>
        <w:t>for</w:t>
      </w:r>
      <w:r>
        <w:rPr>
          <w:color w:val="1B1B22"/>
          <w:spacing w:val="-13"/>
        </w:rPr>
        <w:t> </w:t>
      </w:r>
      <w:r>
        <w:rPr>
          <w:color w:val="1B1B22"/>
        </w:rPr>
        <w:t>our</w:t>
      </w:r>
      <w:r>
        <w:rPr>
          <w:color w:val="1B1B22"/>
          <w:spacing w:val="-12"/>
        </w:rPr>
        <w:t> </w:t>
      </w:r>
      <w:r>
        <w:rPr>
          <w:color w:val="1B1B22"/>
        </w:rPr>
        <w:t>use of Generative Artificial Intelligence to offer personalized account insights to micro and small businesses through the ARI (Intelligent Recommendations Area). This award joins two others: Global Finance – The Innovators (Latin America)</w:t>
      </w:r>
      <w:r>
        <w:rPr>
          <w:color w:val="1B1B22"/>
          <w:spacing w:val="-7"/>
        </w:rPr>
        <w:t> </w:t>
      </w:r>
      <w:r>
        <w:rPr>
          <w:color w:val="1B1B22"/>
        </w:rPr>
        <w:t>and</w:t>
      </w:r>
      <w:r>
        <w:rPr>
          <w:color w:val="1B1B22"/>
          <w:spacing w:val="-9"/>
        </w:rPr>
        <w:t> </w:t>
      </w:r>
      <w:r>
        <w:rPr>
          <w:color w:val="1B1B22"/>
        </w:rPr>
        <w:t>AI</w:t>
      </w:r>
      <w:r>
        <w:rPr>
          <w:color w:val="1B1B22"/>
          <w:spacing w:val="-7"/>
        </w:rPr>
        <w:t> </w:t>
      </w:r>
      <w:r>
        <w:rPr>
          <w:color w:val="1B1B22"/>
        </w:rPr>
        <w:t>in</w:t>
      </w:r>
      <w:r>
        <w:rPr>
          <w:color w:val="1B1B22"/>
          <w:spacing w:val="-6"/>
        </w:rPr>
        <w:t> </w:t>
      </w:r>
      <w:r>
        <w:rPr>
          <w:color w:val="1B1B22"/>
        </w:rPr>
        <w:t>Finance</w:t>
      </w:r>
      <w:r>
        <w:rPr>
          <w:color w:val="1B1B22"/>
          <w:spacing w:val="-11"/>
        </w:rPr>
        <w:t> </w:t>
      </w:r>
      <w:r>
        <w:rPr>
          <w:color w:val="1B1B22"/>
        </w:rPr>
        <w:t>Awards</w:t>
      </w:r>
      <w:r>
        <w:rPr>
          <w:color w:val="1B1B22"/>
          <w:spacing w:val="-6"/>
        </w:rPr>
        <w:t> </w:t>
      </w:r>
      <w:r>
        <w:rPr>
          <w:color w:val="1B1B22"/>
        </w:rPr>
        <w:t>in</w:t>
      </w:r>
      <w:r>
        <w:rPr>
          <w:color w:val="1B1B22"/>
          <w:spacing w:val="-6"/>
        </w:rPr>
        <w:t> </w:t>
      </w:r>
      <w:r>
        <w:rPr>
          <w:color w:val="1B1B22"/>
        </w:rPr>
        <w:t>the</w:t>
      </w:r>
      <w:r>
        <w:rPr>
          <w:color w:val="1B1B22"/>
          <w:spacing w:val="-7"/>
        </w:rPr>
        <w:t> </w:t>
      </w:r>
      <w:r>
        <w:rPr>
          <w:color w:val="1B1B22"/>
        </w:rPr>
        <w:t>Enhanced Customer Experience and Personalized Financial Advice categories.</w:t>
      </w:r>
    </w:p>
    <w:p>
      <w:pPr>
        <w:pStyle w:val="BodyText"/>
        <w:spacing w:line="321" w:lineRule="auto" w:before="79"/>
        <w:ind w:right="141"/>
      </w:pPr>
      <w:r>
        <w:rPr/>
        <w:br w:type="column"/>
      </w:r>
      <w:r>
        <w:rPr>
          <w:color w:val="1B1B22"/>
        </w:rPr>
        <w:t>BB</w:t>
      </w:r>
      <w:r>
        <w:rPr>
          <w:color w:val="1B1B22"/>
          <w:spacing w:val="-9"/>
        </w:rPr>
        <w:t> </w:t>
      </w:r>
      <w:r>
        <w:rPr>
          <w:color w:val="1B1B22"/>
        </w:rPr>
        <w:t>Private</w:t>
      </w:r>
      <w:r>
        <w:rPr>
          <w:color w:val="1B1B22"/>
          <w:spacing w:val="-9"/>
        </w:rPr>
        <w:t> </w:t>
      </w:r>
      <w:r>
        <w:rPr>
          <w:color w:val="1B1B22"/>
        </w:rPr>
        <w:t>was</w:t>
      </w:r>
      <w:r>
        <w:rPr>
          <w:color w:val="1B1B22"/>
          <w:spacing w:val="-7"/>
        </w:rPr>
        <w:t> </w:t>
      </w:r>
      <w:r>
        <w:rPr>
          <w:color w:val="1B1B22"/>
        </w:rPr>
        <w:t>recognized</w:t>
      </w:r>
      <w:r>
        <w:rPr>
          <w:color w:val="1B1B22"/>
          <w:spacing w:val="-7"/>
        </w:rPr>
        <w:t> </w:t>
      </w:r>
      <w:r>
        <w:rPr>
          <w:color w:val="1B1B22"/>
        </w:rPr>
        <w:t>as</w:t>
      </w:r>
      <w:r>
        <w:rPr>
          <w:color w:val="1B1B22"/>
          <w:spacing w:val="-7"/>
        </w:rPr>
        <w:t> </w:t>
      </w:r>
      <w:r>
        <w:rPr>
          <w:color w:val="1B1B22"/>
        </w:rPr>
        <w:t>the</w:t>
      </w:r>
      <w:r>
        <w:rPr>
          <w:color w:val="1B1B22"/>
          <w:spacing w:val="-9"/>
        </w:rPr>
        <w:t> </w:t>
      </w:r>
      <w:r>
        <w:rPr>
          <w:color w:val="1B1B22"/>
        </w:rPr>
        <w:t>best</w:t>
      </w:r>
      <w:r>
        <w:rPr>
          <w:color w:val="1B1B22"/>
          <w:spacing w:val="-8"/>
        </w:rPr>
        <w:t> </w:t>
      </w:r>
      <w:r>
        <w:rPr>
          <w:color w:val="1B1B22"/>
        </w:rPr>
        <w:t>private</w:t>
      </w:r>
      <w:r>
        <w:rPr>
          <w:color w:val="1B1B22"/>
          <w:spacing w:val="-9"/>
        </w:rPr>
        <w:t> </w:t>
      </w:r>
      <w:r>
        <w:rPr>
          <w:color w:val="1B1B22"/>
        </w:rPr>
        <w:t>bank in</w:t>
      </w:r>
      <w:r>
        <w:rPr>
          <w:color w:val="1B1B22"/>
          <w:spacing w:val="-1"/>
        </w:rPr>
        <w:t> </w:t>
      </w:r>
      <w:r>
        <w:rPr>
          <w:color w:val="1B1B22"/>
        </w:rPr>
        <w:t>the</w:t>
      </w:r>
      <w:r>
        <w:rPr>
          <w:color w:val="1B1B22"/>
          <w:spacing w:val="-2"/>
        </w:rPr>
        <w:t> </w:t>
      </w:r>
      <w:r>
        <w:rPr>
          <w:color w:val="1B1B22"/>
        </w:rPr>
        <w:t>country</w:t>
      </w:r>
      <w:r>
        <w:rPr>
          <w:color w:val="1B1B22"/>
          <w:spacing w:val="-1"/>
        </w:rPr>
        <w:t> </w:t>
      </w:r>
      <w:r>
        <w:rPr>
          <w:color w:val="1B1B22"/>
        </w:rPr>
        <w:t>for</w:t>
      </w:r>
      <w:r>
        <w:rPr>
          <w:color w:val="1B1B22"/>
          <w:spacing w:val="-3"/>
        </w:rPr>
        <w:t> </w:t>
      </w:r>
      <w:r>
        <w:rPr>
          <w:color w:val="1B1B22"/>
        </w:rPr>
        <w:t>sustainability</w:t>
      </w:r>
      <w:r>
        <w:rPr>
          <w:color w:val="1B1B22"/>
          <w:spacing w:val="-1"/>
        </w:rPr>
        <w:t> </w:t>
      </w:r>
      <w:r>
        <w:rPr>
          <w:color w:val="1B1B22"/>
        </w:rPr>
        <w:t>at</w:t>
      </w:r>
      <w:r>
        <w:rPr>
          <w:color w:val="1B1B22"/>
          <w:spacing w:val="-1"/>
        </w:rPr>
        <w:t> </w:t>
      </w:r>
      <w:r>
        <w:rPr>
          <w:color w:val="1B1B22"/>
        </w:rPr>
        <w:t>the</w:t>
      </w:r>
      <w:r>
        <w:rPr>
          <w:color w:val="1B1B22"/>
          <w:spacing w:val="-2"/>
        </w:rPr>
        <w:t> </w:t>
      </w:r>
      <w:r>
        <w:rPr>
          <w:color w:val="1B1B22"/>
        </w:rPr>
        <w:t>Euromoney Private Banking Awards 2025, organized by the renowned</w:t>
      </w:r>
      <w:r>
        <w:rPr>
          <w:color w:val="1B1B22"/>
          <w:spacing w:val="-13"/>
        </w:rPr>
        <w:t> </w:t>
      </w:r>
      <w:r>
        <w:rPr>
          <w:color w:val="1B1B22"/>
        </w:rPr>
        <w:t>specialized</w:t>
      </w:r>
      <w:r>
        <w:rPr>
          <w:color w:val="1B1B22"/>
          <w:spacing w:val="-12"/>
        </w:rPr>
        <w:t> </w:t>
      </w:r>
      <w:r>
        <w:rPr>
          <w:color w:val="1B1B22"/>
        </w:rPr>
        <w:t>publication</w:t>
      </w:r>
      <w:r>
        <w:rPr>
          <w:color w:val="1B1B22"/>
          <w:spacing w:val="-13"/>
        </w:rPr>
        <w:t> </w:t>
      </w:r>
      <w:r>
        <w:rPr>
          <w:color w:val="1B1B22"/>
        </w:rPr>
        <w:t>Euromoney.</w:t>
      </w:r>
      <w:r>
        <w:rPr>
          <w:color w:val="1B1B22"/>
          <w:spacing w:val="-12"/>
        </w:rPr>
        <w:t> </w:t>
      </w:r>
      <w:r>
        <w:rPr>
          <w:color w:val="1B1B22"/>
        </w:rPr>
        <w:t>This is another unprecedented recognition for BB Private, embodying our commitment to actions that strengthen sustainability in our business.</w:t>
      </w:r>
    </w:p>
    <w:p>
      <w:pPr>
        <w:pStyle w:val="Heading2"/>
        <w:jc w:val="left"/>
        <w:rPr>
          <w:b w:val="0"/>
        </w:rPr>
      </w:pPr>
      <w:r>
        <w:rPr>
          <w:b w:val="0"/>
          <w:color w:val="465EFF"/>
          <w:spacing w:val="17"/>
        </w:rPr>
        <w:t>April</w:t>
      </w:r>
    </w:p>
    <w:p>
      <w:pPr>
        <w:pStyle w:val="BodyText"/>
        <w:spacing w:line="321" w:lineRule="auto" w:before="251"/>
        <w:ind w:right="141"/>
      </w:pPr>
      <w:r>
        <w:rPr>
          <w:color w:val="1B1B22"/>
          <w:spacing w:val="-2"/>
        </w:rPr>
        <w:t>We</w:t>
      </w:r>
      <w:r>
        <w:rPr>
          <w:color w:val="1B1B22"/>
          <w:spacing w:val="-10"/>
        </w:rPr>
        <w:t> </w:t>
      </w:r>
      <w:r>
        <w:rPr>
          <w:color w:val="1B1B22"/>
          <w:spacing w:val="-2"/>
        </w:rPr>
        <w:t>received</w:t>
      </w:r>
      <w:r>
        <w:rPr>
          <w:color w:val="1B1B22"/>
          <w:spacing w:val="-10"/>
        </w:rPr>
        <w:t> </w:t>
      </w:r>
      <w:r>
        <w:rPr>
          <w:color w:val="1B1B22"/>
          <w:spacing w:val="-2"/>
        </w:rPr>
        <w:t>the</w:t>
      </w:r>
      <w:r>
        <w:rPr>
          <w:color w:val="1B1B22"/>
          <w:spacing w:val="-10"/>
        </w:rPr>
        <w:t> </w:t>
      </w:r>
      <w:r>
        <w:rPr>
          <w:color w:val="1B1B22"/>
          <w:spacing w:val="-2"/>
        </w:rPr>
        <w:t>award</w:t>
      </w:r>
      <w:r>
        <w:rPr>
          <w:color w:val="1B1B22"/>
          <w:spacing w:val="-10"/>
        </w:rPr>
        <w:t> </w:t>
      </w:r>
      <w:r>
        <w:rPr>
          <w:color w:val="1B1B22"/>
          <w:spacing w:val="-2"/>
        </w:rPr>
        <w:t>for</w:t>
      </w:r>
      <w:r>
        <w:rPr>
          <w:color w:val="1B1B22"/>
          <w:spacing w:val="-10"/>
        </w:rPr>
        <w:t> </w:t>
      </w:r>
      <w:r>
        <w:rPr>
          <w:color w:val="1B1B22"/>
          <w:spacing w:val="-2"/>
        </w:rPr>
        <w:t>Best</w:t>
      </w:r>
      <w:r>
        <w:rPr>
          <w:color w:val="1B1B22"/>
          <w:spacing w:val="-9"/>
        </w:rPr>
        <w:t> </w:t>
      </w:r>
      <w:r>
        <w:rPr>
          <w:color w:val="1B1B22"/>
          <w:spacing w:val="-2"/>
        </w:rPr>
        <w:t>Public</w:t>
      </w:r>
      <w:r>
        <w:rPr>
          <w:color w:val="1B1B22"/>
          <w:spacing w:val="-10"/>
        </w:rPr>
        <w:t> </w:t>
      </w:r>
      <w:r>
        <w:rPr>
          <w:color w:val="1B1B22"/>
          <w:spacing w:val="-2"/>
        </w:rPr>
        <w:t>Institution</w:t>
      </w:r>
      <w:r>
        <w:rPr>
          <w:color w:val="1B1B22"/>
          <w:spacing w:val="-9"/>
        </w:rPr>
        <w:t> </w:t>
      </w:r>
      <w:r>
        <w:rPr>
          <w:color w:val="1B1B22"/>
          <w:spacing w:val="-2"/>
        </w:rPr>
        <w:t>of </w:t>
      </w:r>
      <w:r>
        <w:rPr>
          <w:color w:val="1B1B22"/>
        </w:rPr>
        <w:t>the</w:t>
      </w:r>
      <w:r>
        <w:rPr>
          <w:color w:val="1B1B22"/>
          <w:spacing w:val="-13"/>
        </w:rPr>
        <w:t> </w:t>
      </w:r>
      <w:r>
        <w:rPr>
          <w:color w:val="1B1B22"/>
        </w:rPr>
        <w:t>Year</w:t>
      </w:r>
      <w:r>
        <w:rPr>
          <w:color w:val="1B1B22"/>
          <w:spacing w:val="-2"/>
        </w:rPr>
        <w:t> </w:t>
      </w:r>
      <w:r>
        <w:rPr>
          <w:color w:val="1B1B22"/>
        </w:rPr>
        <w:t>during</w:t>
      </w:r>
      <w:r>
        <w:rPr>
          <w:color w:val="1B1B22"/>
          <w:spacing w:val="-2"/>
        </w:rPr>
        <w:t> </w:t>
      </w:r>
      <w:r>
        <w:rPr>
          <w:color w:val="1B1B22"/>
        </w:rPr>
        <w:t>the</w:t>
      </w:r>
      <w:r>
        <w:rPr>
          <w:color w:val="1B1B22"/>
          <w:spacing w:val="-2"/>
        </w:rPr>
        <w:t> </w:t>
      </w:r>
      <w:r>
        <w:rPr>
          <w:color w:val="1B1B22"/>
        </w:rPr>
        <w:t>II</w:t>
      </w:r>
      <w:r>
        <w:rPr>
          <w:color w:val="1B1B22"/>
          <w:spacing w:val="-2"/>
        </w:rPr>
        <w:t> </w:t>
      </w:r>
      <w:r>
        <w:rPr>
          <w:color w:val="1B1B22"/>
        </w:rPr>
        <w:t>Social</w:t>
      </w:r>
      <w:r>
        <w:rPr>
          <w:color w:val="1B1B22"/>
          <w:spacing w:val="-2"/>
        </w:rPr>
        <w:t> </w:t>
      </w:r>
      <w:r>
        <w:rPr>
          <w:color w:val="1B1B22"/>
        </w:rPr>
        <w:t>PPP</w:t>
      </w:r>
      <w:r>
        <w:rPr>
          <w:color w:val="1B1B22"/>
          <w:spacing w:val="-1"/>
        </w:rPr>
        <w:t> </w:t>
      </w:r>
      <w:r>
        <w:rPr>
          <w:color w:val="1B1B22"/>
        </w:rPr>
        <w:t>Forum,</w:t>
      </w:r>
      <w:r>
        <w:rPr>
          <w:color w:val="1B1B22"/>
          <w:spacing w:val="-2"/>
        </w:rPr>
        <w:t> </w:t>
      </w:r>
      <w:r>
        <w:rPr>
          <w:color w:val="1B1B22"/>
        </w:rPr>
        <w:t>presented by the PSP Hub – Infrastructure and Urbanism Studies research center and Hiria Nurnbergmesse Business.</w:t>
      </w:r>
      <w:r>
        <w:rPr>
          <w:color w:val="1B1B22"/>
          <w:spacing w:val="-13"/>
        </w:rPr>
        <w:t> </w:t>
      </w:r>
      <w:r>
        <w:rPr>
          <w:color w:val="1B1B22"/>
        </w:rPr>
        <w:t>The</w:t>
      </w:r>
      <w:r>
        <w:rPr>
          <w:color w:val="1B1B22"/>
          <w:spacing w:val="-12"/>
        </w:rPr>
        <w:t> </w:t>
      </w:r>
      <w:r>
        <w:rPr>
          <w:color w:val="1B1B22"/>
        </w:rPr>
        <w:t>award</w:t>
      </w:r>
      <w:r>
        <w:rPr>
          <w:color w:val="1B1B22"/>
          <w:spacing w:val="-7"/>
        </w:rPr>
        <w:t> </w:t>
      </w:r>
      <w:r>
        <w:rPr>
          <w:color w:val="1B1B22"/>
        </w:rPr>
        <w:t>recognizes</w:t>
      </w:r>
      <w:r>
        <w:rPr>
          <w:color w:val="1B1B22"/>
          <w:spacing w:val="-7"/>
        </w:rPr>
        <w:t> </w:t>
      </w:r>
      <w:r>
        <w:rPr>
          <w:color w:val="1B1B22"/>
        </w:rPr>
        <w:t>BB's</w:t>
      </w:r>
      <w:r>
        <w:rPr>
          <w:color w:val="1B1B22"/>
          <w:spacing w:val="-7"/>
        </w:rPr>
        <w:t> </w:t>
      </w:r>
      <w:r>
        <w:rPr>
          <w:color w:val="1B1B22"/>
        </w:rPr>
        <w:t>leading</w:t>
      </w:r>
      <w:r>
        <w:rPr>
          <w:color w:val="1B1B22"/>
          <w:spacing w:val="-7"/>
        </w:rPr>
        <w:t> </w:t>
      </w:r>
      <w:r>
        <w:rPr>
          <w:color w:val="1B1B22"/>
        </w:rPr>
        <w:t>role</w:t>
      </w:r>
      <w:r>
        <w:rPr>
          <w:color w:val="1B1B22"/>
          <w:spacing w:val="-7"/>
        </w:rPr>
        <w:t> </w:t>
      </w:r>
      <w:r>
        <w:rPr>
          <w:color w:val="1B1B22"/>
        </w:rPr>
        <w:t>in </w:t>
      </w:r>
      <w:r>
        <w:rPr>
          <w:color w:val="1B1B22"/>
          <w:spacing w:val="-2"/>
        </w:rPr>
        <w:t>strengthening</w:t>
      </w:r>
      <w:r>
        <w:rPr>
          <w:color w:val="1B1B22"/>
          <w:spacing w:val="-7"/>
        </w:rPr>
        <w:t> </w:t>
      </w:r>
      <w:r>
        <w:rPr>
          <w:color w:val="1B1B22"/>
          <w:spacing w:val="-2"/>
        </w:rPr>
        <w:t>the</w:t>
      </w:r>
      <w:r>
        <w:rPr>
          <w:color w:val="1B1B22"/>
          <w:spacing w:val="-10"/>
        </w:rPr>
        <w:t> </w:t>
      </w:r>
      <w:r>
        <w:rPr>
          <w:color w:val="1B1B22"/>
          <w:spacing w:val="-2"/>
        </w:rPr>
        <w:t>Public-Private</w:t>
      </w:r>
      <w:r>
        <w:rPr>
          <w:color w:val="1B1B22"/>
          <w:spacing w:val="-7"/>
        </w:rPr>
        <w:t> </w:t>
      </w:r>
      <w:r>
        <w:rPr>
          <w:color w:val="1B1B22"/>
          <w:spacing w:val="-2"/>
        </w:rPr>
        <w:t>Partnership</w:t>
      </w:r>
      <w:r>
        <w:rPr>
          <w:color w:val="1B1B22"/>
          <w:spacing w:val="-7"/>
        </w:rPr>
        <w:t> </w:t>
      </w:r>
      <w:r>
        <w:rPr>
          <w:color w:val="1B1B22"/>
          <w:spacing w:val="-2"/>
        </w:rPr>
        <w:t>(PPP) </w:t>
      </w:r>
      <w:r>
        <w:rPr>
          <w:color w:val="1B1B22"/>
        </w:rPr>
        <w:t>and concessions ecosystem.</w:t>
      </w:r>
    </w:p>
    <w:p>
      <w:pPr>
        <w:pStyle w:val="Heading2"/>
        <w:jc w:val="left"/>
        <w:rPr>
          <w:b w:val="0"/>
        </w:rPr>
      </w:pPr>
      <w:r>
        <w:rPr>
          <w:b w:val="0"/>
          <w:color w:val="465EFF"/>
          <w:spacing w:val="7"/>
        </w:rPr>
        <w:t>May</w:t>
      </w:r>
    </w:p>
    <w:p>
      <w:pPr>
        <w:pStyle w:val="BodyText"/>
        <w:spacing w:line="321" w:lineRule="auto" w:before="250"/>
        <w:ind w:right="141"/>
      </w:pPr>
      <w:r>
        <w:rPr>
          <w:color w:val="1B1B22"/>
        </w:rPr>
        <w:t>At the BNDES 2025 Recognition Awards, we were recognized in the "Finame 60</w:t>
      </w:r>
      <w:r>
        <w:rPr>
          <w:color w:val="1B1B22"/>
          <w:spacing w:val="-11"/>
        </w:rPr>
        <w:t> </w:t>
      </w:r>
      <w:r>
        <w:rPr>
          <w:color w:val="1B1B22"/>
        </w:rPr>
        <w:t>Years" and "Business Highlight" categories for our performance in disbursing credit lines using resources from the development bank. The event brought together the country's leading financial institutions.</w:t>
      </w:r>
    </w:p>
    <w:p>
      <w:pPr>
        <w:pStyle w:val="BodyText"/>
        <w:spacing w:line="321" w:lineRule="auto" w:before="116"/>
        <w:ind w:right="139"/>
      </w:pPr>
      <w:r>
        <w:rPr>
          <w:color w:val="1B1B22"/>
        </w:rPr>
        <w:t>For the second consecutive year, we were recognized for the work of our legal director Lucinéia Possar, winner of The Latin American </w:t>
      </w:r>
      <w:r>
        <w:rPr>
          <w:color w:val="1B1B22"/>
          <w:spacing w:val="-2"/>
        </w:rPr>
        <w:t>Lawyer</w:t>
      </w:r>
      <w:r>
        <w:rPr>
          <w:color w:val="1B1B22"/>
          <w:spacing w:val="-11"/>
        </w:rPr>
        <w:t> </w:t>
      </w:r>
      <w:r>
        <w:rPr>
          <w:color w:val="1B1B22"/>
          <w:spacing w:val="-2"/>
        </w:rPr>
        <w:t>Women</w:t>
      </w:r>
      <w:r>
        <w:rPr>
          <w:color w:val="1B1B22"/>
          <w:spacing w:val="-9"/>
        </w:rPr>
        <w:t> </w:t>
      </w:r>
      <w:r>
        <w:rPr>
          <w:color w:val="1B1B22"/>
          <w:spacing w:val="-2"/>
        </w:rPr>
        <w:t>Awards,</w:t>
      </w:r>
      <w:r>
        <w:rPr>
          <w:color w:val="1B1B22"/>
          <w:spacing w:val="-4"/>
        </w:rPr>
        <w:t> </w:t>
      </w:r>
      <w:r>
        <w:rPr>
          <w:color w:val="1B1B22"/>
          <w:spacing w:val="-2"/>
        </w:rPr>
        <w:t>in the</w:t>
      </w:r>
      <w:r>
        <w:rPr>
          <w:color w:val="1B1B22"/>
          <w:spacing w:val="-4"/>
        </w:rPr>
        <w:t> </w:t>
      </w:r>
      <w:r>
        <w:rPr>
          <w:color w:val="1B1B22"/>
          <w:spacing w:val="-2"/>
        </w:rPr>
        <w:t>In-House</w:t>
      </w:r>
      <w:r>
        <w:rPr>
          <w:color w:val="1B1B22"/>
          <w:spacing w:val="-4"/>
        </w:rPr>
        <w:t> </w:t>
      </w:r>
      <w:r>
        <w:rPr>
          <w:color w:val="1B1B22"/>
          <w:spacing w:val="-2"/>
        </w:rPr>
        <w:t>Counsel</w:t>
      </w:r>
      <w:r>
        <w:rPr>
          <w:color w:val="1B1B22"/>
          <w:spacing w:val="-4"/>
        </w:rPr>
        <w:t> </w:t>
      </w:r>
      <w:r>
        <w:rPr>
          <w:color w:val="1B1B22"/>
          <w:spacing w:val="-2"/>
        </w:rPr>
        <w:t>of </w:t>
      </w:r>
      <w:r>
        <w:rPr>
          <w:color w:val="1B1B22"/>
        </w:rPr>
        <w:t>the Year Banking &amp; Finance category.</w:t>
      </w:r>
    </w:p>
    <w:p>
      <w:pPr>
        <w:pStyle w:val="Heading2"/>
        <w:spacing w:before="108"/>
        <w:jc w:val="left"/>
        <w:rPr>
          <w:b w:val="0"/>
        </w:rPr>
      </w:pPr>
      <w:r>
        <w:rPr>
          <w:b w:val="0"/>
          <w:color w:val="465EFF"/>
          <w:spacing w:val="13"/>
        </w:rPr>
        <w:t>June</w:t>
      </w:r>
    </w:p>
    <w:p>
      <w:pPr>
        <w:pStyle w:val="BodyText"/>
        <w:spacing w:line="321" w:lineRule="auto" w:before="249"/>
        <w:ind w:right="144"/>
      </w:pPr>
      <w:r>
        <w:rPr>
          <w:color w:val="1B1B22"/>
        </w:rPr>
        <w:t>We received our 11th Broadcast Analysts Award, reaffirming</w:t>
      </w:r>
      <w:r>
        <w:rPr>
          <w:color w:val="1B1B22"/>
          <w:spacing w:val="-5"/>
        </w:rPr>
        <w:t> </w:t>
      </w:r>
      <w:r>
        <w:rPr>
          <w:color w:val="1B1B22"/>
        </w:rPr>
        <w:t>our</w:t>
      </w:r>
      <w:r>
        <w:rPr>
          <w:color w:val="1B1B22"/>
          <w:spacing w:val="-5"/>
        </w:rPr>
        <w:t> </w:t>
      </w:r>
      <w:r>
        <w:rPr>
          <w:color w:val="1B1B22"/>
        </w:rPr>
        <w:t>prominent</w:t>
      </w:r>
      <w:r>
        <w:rPr>
          <w:color w:val="1B1B22"/>
          <w:spacing w:val="-4"/>
        </w:rPr>
        <w:t> </w:t>
      </w:r>
      <w:r>
        <w:rPr>
          <w:color w:val="1B1B22"/>
        </w:rPr>
        <w:t>position</w:t>
      </w:r>
      <w:r>
        <w:rPr>
          <w:color w:val="1B1B22"/>
          <w:spacing w:val="-5"/>
        </w:rPr>
        <w:t> </w:t>
      </w:r>
      <w:r>
        <w:rPr>
          <w:color w:val="1B1B22"/>
        </w:rPr>
        <w:t>in</w:t>
      </w:r>
      <w:r>
        <w:rPr>
          <w:color w:val="1B1B22"/>
          <w:spacing w:val="-6"/>
        </w:rPr>
        <w:t> </w:t>
      </w:r>
      <w:r>
        <w:rPr>
          <w:color w:val="1B1B22"/>
        </w:rPr>
        <w:t>the</w:t>
      </w:r>
      <w:r>
        <w:rPr>
          <w:color w:val="1B1B22"/>
          <w:spacing w:val="-7"/>
        </w:rPr>
        <w:t> </w:t>
      </w:r>
      <w:r>
        <w:rPr>
          <w:color w:val="1B1B22"/>
        </w:rPr>
        <w:t>financial </w:t>
      </w:r>
      <w:r>
        <w:rPr>
          <w:color w:val="1B1B22"/>
          <w:spacing w:val="-2"/>
        </w:rPr>
        <w:t>market.</w:t>
      </w:r>
    </w:p>
    <w:p>
      <w:pPr>
        <w:pStyle w:val="BodyText"/>
        <w:spacing w:after="0" w:line="321" w:lineRule="auto"/>
        <w:sectPr>
          <w:type w:val="continuous"/>
          <w:pgSz w:w="11910" w:h="16850"/>
          <w:pgMar w:header="152" w:footer="591" w:top="1920" w:bottom="280" w:left="425" w:right="708"/>
          <w:cols w:num="2" w:equalWidth="0">
            <w:col w:w="5215" w:space="242"/>
            <w:col w:w="5320"/>
          </w:cols>
        </w:sectPr>
      </w:pPr>
    </w:p>
    <w:p>
      <w:pPr>
        <w:pStyle w:val="BodyText"/>
        <w:spacing w:before="19"/>
        <w:ind w:left="0"/>
        <w:jc w:val="left"/>
      </w:pPr>
    </w:p>
    <w:p>
      <w:pPr>
        <w:pStyle w:val="BodyText"/>
        <w:spacing w:after="0"/>
        <w:jc w:val="left"/>
        <w:sectPr>
          <w:pgSz w:w="11910" w:h="16850"/>
          <w:pgMar w:header="152" w:footer="591" w:top="900" w:bottom="780" w:left="425" w:right="708"/>
        </w:sectPr>
      </w:pPr>
    </w:p>
    <w:p>
      <w:pPr>
        <w:pStyle w:val="Heading1"/>
        <w:spacing w:before="52"/>
      </w:pPr>
      <w:r>
        <w:rPr>
          <w:color w:val="465EFF"/>
          <w:spacing w:val="35"/>
        </w:rPr>
        <w:t>Independent</w:t>
      </w:r>
      <w:r>
        <w:rPr>
          <w:color w:val="465EFF"/>
          <w:spacing w:val="48"/>
        </w:rPr>
        <w:t> </w:t>
      </w:r>
      <w:r>
        <w:rPr>
          <w:color w:val="465EFF"/>
          <w:spacing w:val="28"/>
        </w:rPr>
        <w:t>Audit</w:t>
      </w:r>
    </w:p>
    <w:p>
      <w:pPr>
        <w:pStyle w:val="BodyText"/>
        <w:spacing w:line="321" w:lineRule="auto" w:before="335"/>
        <w:ind w:right="40"/>
      </w:pPr>
      <w:r>
        <w:rPr>
          <w:color w:val="1B1B22"/>
        </w:rPr>
        <w:t>BB strictly follows all applicable laws and regulations for independent auditing, ensuring transparency and compliance in its processes. KPMG Auditores Independentes Ltda. is </w:t>
      </w:r>
      <w:r>
        <w:rPr>
          <w:color w:val="1B1B22"/>
        </w:rPr>
        <w:t>the</w:t>
      </w:r>
      <w:r>
        <w:rPr>
          <w:color w:val="1B1B22"/>
        </w:rPr>
        <w:t> company contracted to provide external audit services for the financial statements.</w:t>
      </w:r>
    </w:p>
    <w:p>
      <w:pPr>
        <w:pStyle w:val="BodyText"/>
        <w:spacing w:line="321" w:lineRule="auto" w:before="115"/>
        <w:ind w:right="38"/>
      </w:pPr>
      <w:r>
        <w:rPr>
          <w:color w:val="1B1B22"/>
        </w:rPr>
        <w:t>Regarding</w:t>
      </w:r>
      <w:r>
        <w:rPr>
          <w:color w:val="1B1B22"/>
          <w:spacing w:val="-13"/>
        </w:rPr>
        <w:t> </w:t>
      </w:r>
      <w:r>
        <w:rPr>
          <w:color w:val="1B1B22"/>
        </w:rPr>
        <w:t>the</w:t>
      </w:r>
      <w:r>
        <w:rPr>
          <w:color w:val="1B1B22"/>
          <w:spacing w:val="-12"/>
        </w:rPr>
        <w:t> </w:t>
      </w:r>
      <w:r>
        <w:rPr>
          <w:color w:val="1B1B22"/>
        </w:rPr>
        <w:t>non-audit</w:t>
      </w:r>
      <w:r>
        <w:rPr>
          <w:color w:val="1B1B22"/>
          <w:spacing w:val="-13"/>
        </w:rPr>
        <w:t> </w:t>
      </w:r>
      <w:r>
        <w:rPr>
          <w:color w:val="1B1B22"/>
        </w:rPr>
        <w:t>services</w:t>
      </w:r>
      <w:r>
        <w:rPr>
          <w:color w:val="1B1B22"/>
          <w:spacing w:val="-12"/>
        </w:rPr>
        <w:t> </w:t>
      </w:r>
      <w:r>
        <w:rPr>
          <w:color w:val="1B1B22"/>
        </w:rPr>
        <w:t>it</w:t>
      </w:r>
      <w:r>
        <w:rPr>
          <w:color w:val="1B1B22"/>
          <w:spacing w:val="-12"/>
        </w:rPr>
        <w:t> </w:t>
      </w:r>
      <w:r>
        <w:rPr>
          <w:color w:val="1B1B22"/>
        </w:rPr>
        <w:t>provides</w:t>
      </w:r>
      <w:r>
        <w:rPr>
          <w:color w:val="1B1B22"/>
          <w:spacing w:val="-13"/>
        </w:rPr>
        <w:t> </w:t>
      </w:r>
      <w:r>
        <w:rPr>
          <w:color w:val="1B1B22"/>
        </w:rPr>
        <w:t>within BB,</w:t>
      </w:r>
      <w:r>
        <w:rPr>
          <w:color w:val="1B1B22"/>
          <w:spacing w:val="-8"/>
        </w:rPr>
        <w:t> </w:t>
      </w:r>
      <w:r>
        <w:rPr>
          <w:color w:val="1B1B22"/>
        </w:rPr>
        <w:t>they</w:t>
      </w:r>
      <w:r>
        <w:rPr>
          <w:color w:val="1B1B22"/>
          <w:spacing w:val="-8"/>
        </w:rPr>
        <w:t> </w:t>
      </w:r>
      <w:r>
        <w:rPr>
          <w:color w:val="1B1B22"/>
        </w:rPr>
        <w:t>do</w:t>
      </w:r>
      <w:r>
        <w:rPr>
          <w:color w:val="1B1B22"/>
          <w:spacing w:val="-9"/>
        </w:rPr>
        <w:t> </w:t>
      </w:r>
      <w:r>
        <w:rPr>
          <w:color w:val="1B1B22"/>
        </w:rPr>
        <w:t>not</w:t>
      </w:r>
      <w:r>
        <w:rPr>
          <w:color w:val="1B1B22"/>
          <w:spacing w:val="-8"/>
        </w:rPr>
        <w:t> </w:t>
      </w:r>
      <w:r>
        <w:rPr>
          <w:color w:val="1B1B22"/>
        </w:rPr>
        <w:t>represent</w:t>
      </w:r>
      <w:r>
        <w:rPr>
          <w:color w:val="1B1B22"/>
          <w:spacing w:val="-6"/>
        </w:rPr>
        <w:t> </w:t>
      </w:r>
      <w:r>
        <w:rPr>
          <w:color w:val="1B1B22"/>
        </w:rPr>
        <w:t>a</w:t>
      </w:r>
      <w:r>
        <w:rPr>
          <w:color w:val="1B1B22"/>
          <w:spacing w:val="-9"/>
        </w:rPr>
        <w:t> </w:t>
      </w:r>
      <w:r>
        <w:rPr>
          <w:color w:val="1B1B22"/>
        </w:rPr>
        <w:t>conflict</w:t>
      </w:r>
      <w:r>
        <w:rPr>
          <w:color w:val="1B1B22"/>
          <w:spacing w:val="-8"/>
        </w:rPr>
        <w:t> </w:t>
      </w:r>
      <w:r>
        <w:rPr>
          <w:color w:val="1B1B22"/>
        </w:rPr>
        <w:t>of</w:t>
      </w:r>
      <w:r>
        <w:rPr>
          <w:color w:val="1B1B22"/>
          <w:spacing w:val="-9"/>
        </w:rPr>
        <w:t> </w:t>
      </w:r>
      <w:r>
        <w:rPr>
          <w:color w:val="1B1B22"/>
        </w:rPr>
        <w:t>interest</w:t>
      </w:r>
      <w:r>
        <w:rPr>
          <w:color w:val="1B1B22"/>
          <w:spacing w:val="-8"/>
        </w:rPr>
        <w:t> </w:t>
      </w:r>
      <w:r>
        <w:rPr>
          <w:color w:val="1B1B22"/>
        </w:rPr>
        <w:t>nor do they compromise its independence in the execution</w:t>
      </w:r>
      <w:r>
        <w:rPr>
          <w:color w:val="1B1B22"/>
          <w:spacing w:val="-13"/>
        </w:rPr>
        <w:t> </w:t>
      </w:r>
      <w:r>
        <w:rPr>
          <w:color w:val="1B1B22"/>
        </w:rPr>
        <w:t>of</w:t>
      </w:r>
      <w:r>
        <w:rPr>
          <w:color w:val="1B1B22"/>
          <w:spacing w:val="-12"/>
        </w:rPr>
        <w:t> </w:t>
      </w:r>
      <w:r>
        <w:rPr>
          <w:color w:val="1B1B22"/>
        </w:rPr>
        <w:t>its</w:t>
      </w:r>
      <w:r>
        <w:rPr>
          <w:color w:val="1B1B22"/>
          <w:spacing w:val="-13"/>
        </w:rPr>
        <w:t> </w:t>
      </w:r>
      <w:r>
        <w:rPr>
          <w:color w:val="1B1B22"/>
        </w:rPr>
        <w:t>work.</w:t>
      </w:r>
      <w:r>
        <w:rPr>
          <w:color w:val="1B1B22"/>
          <w:spacing w:val="-12"/>
        </w:rPr>
        <w:t> </w:t>
      </w:r>
      <w:r>
        <w:rPr>
          <w:color w:val="1B1B22"/>
        </w:rPr>
        <w:t>Information</w:t>
      </w:r>
      <w:r>
        <w:rPr>
          <w:color w:val="1B1B22"/>
          <w:spacing w:val="-12"/>
        </w:rPr>
        <w:t> </w:t>
      </w:r>
      <w:r>
        <w:rPr>
          <w:color w:val="1B1B22"/>
        </w:rPr>
        <w:t>on</w:t>
      </w:r>
      <w:r>
        <w:rPr>
          <w:color w:val="1B1B22"/>
          <w:spacing w:val="-13"/>
        </w:rPr>
        <w:t> </w:t>
      </w:r>
      <w:r>
        <w:rPr>
          <w:color w:val="1B1B22"/>
        </w:rPr>
        <w:t>fees</w:t>
      </w:r>
      <w:r>
        <w:rPr>
          <w:color w:val="1B1B22"/>
          <w:spacing w:val="-12"/>
        </w:rPr>
        <w:t> </w:t>
      </w:r>
      <w:r>
        <w:rPr>
          <w:color w:val="1B1B22"/>
        </w:rPr>
        <w:t>for</w:t>
      </w:r>
      <w:r>
        <w:rPr>
          <w:color w:val="1B1B22"/>
          <w:spacing w:val="-12"/>
        </w:rPr>
        <w:t> </w:t>
      </w:r>
      <w:r>
        <w:rPr>
          <w:color w:val="1B1B22"/>
        </w:rPr>
        <w:t>non- </w:t>
      </w:r>
      <w:r>
        <w:rPr>
          <w:color w:val="1B1B22"/>
          <w:spacing w:val="-2"/>
        </w:rPr>
        <w:t>audit</w:t>
      </w:r>
      <w:r>
        <w:rPr>
          <w:color w:val="1B1B22"/>
          <w:spacing w:val="-6"/>
        </w:rPr>
        <w:t> </w:t>
      </w:r>
      <w:r>
        <w:rPr>
          <w:color w:val="1B1B22"/>
          <w:spacing w:val="-2"/>
        </w:rPr>
        <w:t>services</w:t>
      </w:r>
      <w:r>
        <w:rPr>
          <w:color w:val="1B1B22"/>
          <w:spacing w:val="-6"/>
        </w:rPr>
        <w:t> </w:t>
      </w:r>
      <w:r>
        <w:rPr>
          <w:color w:val="1B1B22"/>
          <w:spacing w:val="-2"/>
        </w:rPr>
        <w:t>is</w:t>
      </w:r>
      <w:r>
        <w:rPr>
          <w:color w:val="1B1B22"/>
          <w:spacing w:val="-5"/>
        </w:rPr>
        <w:t> </w:t>
      </w:r>
      <w:r>
        <w:rPr>
          <w:color w:val="1B1B22"/>
          <w:spacing w:val="-2"/>
        </w:rPr>
        <w:t>disclosed</w:t>
      </w:r>
      <w:r>
        <w:rPr>
          <w:color w:val="1B1B22"/>
          <w:spacing w:val="-4"/>
        </w:rPr>
        <w:t> </w:t>
      </w:r>
      <w:r>
        <w:rPr>
          <w:color w:val="1B1B22"/>
          <w:spacing w:val="-2"/>
        </w:rPr>
        <w:t>annually</w:t>
      </w:r>
      <w:r>
        <w:rPr>
          <w:color w:val="1B1B22"/>
          <w:spacing w:val="-6"/>
        </w:rPr>
        <w:t> </w:t>
      </w:r>
      <w:r>
        <w:rPr>
          <w:color w:val="1B1B22"/>
          <w:spacing w:val="-2"/>
        </w:rPr>
        <w:t>in</w:t>
      </w:r>
      <w:r>
        <w:rPr>
          <w:color w:val="1B1B22"/>
          <w:spacing w:val="-6"/>
        </w:rPr>
        <w:t> </w:t>
      </w:r>
      <w:r>
        <w:rPr>
          <w:color w:val="1B1B22"/>
          <w:spacing w:val="-2"/>
        </w:rPr>
        <w:t>our</w:t>
      </w:r>
      <w:r>
        <w:rPr>
          <w:color w:val="1B1B22"/>
          <w:spacing w:val="-7"/>
        </w:rPr>
        <w:t> </w:t>
      </w:r>
      <w:r>
        <w:rPr>
          <w:color w:val="1B1B22"/>
          <w:spacing w:val="-2"/>
        </w:rPr>
        <w:t>Reference </w:t>
      </w:r>
      <w:r>
        <w:rPr>
          <w:color w:val="1B1B22"/>
        </w:rPr>
        <w:t>Form, in accordance with CVM Resolution </w:t>
      </w:r>
      <w:r>
        <w:rPr>
          <w:color w:val="1B1B22"/>
          <w:spacing w:val="-2"/>
        </w:rPr>
        <w:t>162/2022.</w:t>
      </w:r>
    </w:p>
    <w:p>
      <w:pPr>
        <w:pStyle w:val="Heading1"/>
        <w:spacing w:before="90"/>
      </w:pPr>
      <w:r>
        <w:rPr>
          <w:color w:val="465EFF"/>
          <w:spacing w:val="32"/>
        </w:rPr>
        <w:t>Additional</w:t>
      </w:r>
    </w:p>
    <w:p>
      <w:pPr>
        <w:spacing w:before="13"/>
        <w:ind w:left="427" w:right="0" w:firstLine="0"/>
        <w:jc w:val="left"/>
        <w:rPr>
          <w:rFonts w:ascii="BancoDoBrasil Titulos"/>
          <w:sz w:val="44"/>
        </w:rPr>
      </w:pPr>
      <w:r>
        <w:rPr>
          <w:rFonts w:ascii="BancoDoBrasil Titulos"/>
          <w:color w:val="465EFF"/>
          <w:spacing w:val="34"/>
          <w:sz w:val="44"/>
        </w:rPr>
        <w:t>Clarifications</w:t>
      </w:r>
    </w:p>
    <w:p>
      <w:pPr>
        <w:pStyle w:val="BodyText"/>
        <w:spacing w:line="321" w:lineRule="auto" w:before="162"/>
        <w:ind w:right="40"/>
      </w:pPr>
      <w:r>
        <w:rPr>
          <w:color w:val="1B1B22"/>
        </w:rPr>
        <w:t>We</w:t>
      </w:r>
      <w:r>
        <w:rPr>
          <w:color w:val="1B1B22"/>
          <w:spacing w:val="-4"/>
        </w:rPr>
        <w:t> </w:t>
      </w:r>
      <w:r>
        <w:rPr>
          <w:color w:val="1B1B22"/>
        </w:rPr>
        <w:t>have</w:t>
      </w:r>
      <w:r>
        <w:rPr>
          <w:color w:val="1B1B22"/>
          <w:spacing w:val="-4"/>
        </w:rPr>
        <w:t> </w:t>
      </w:r>
      <w:r>
        <w:rPr>
          <w:color w:val="1B1B22"/>
        </w:rPr>
        <w:t>R$1.1</w:t>
      </w:r>
      <w:r>
        <w:rPr>
          <w:color w:val="1B1B22"/>
          <w:spacing w:val="-3"/>
        </w:rPr>
        <w:t> </w:t>
      </w:r>
      <w:r>
        <w:rPr>
          <w:color w:val="1B1B22"/>
        </w:rPr>
        <w:t>billion</w:t>
      </w:r>
      <w:r>
        <w:rPr>
          <w:color w:val="1B1B22"/>
          <w:spacing w:val="-3"/>
        </w:rPr>
        <w:t> </w:t>
      </w:r>
      <w:r>
        <w:rPr>
          <w:color w:val="1B1B22"/>
        </w:rPr>
        <w:t>(consolidated)</w:t>
      </w:r>
      <w:r>
        <w:rPr>
          <w:color w:val="1B1B22"/>
          <w:spacing w:val="-4"/>
        </w:rPr>
        <w:t> </w:t>
      </w:r>
      <w:r>
        <w:rPr>
          <w:color w:val="1B1B22"/>
        </w:rPr>
        <w:t>in</w:t>
      </w:r>
      <w:r>
        <w:rPr>
          <w:color w:val="1B1B22"/>
          <w:spacing w:val="-3"/>
        </w:rPr>
        <w:t> </w:t>
      </w:r>
      <w:r>
        <w:rPr>
          <w:color w:val="1B1B22"/>
        </w:rPr>
        <w:t>unused</w:t>
      </w:r>
      <w:r>
        <w:rPr>
          <w:color w:val="1B1B22"/>
          <w:spacing w:val="-4"/>
        </w:rPr>
        <w:t> </w:t>
      </w:r>
      <w:r>
        <w:rPr>
          <w:color w:val="1B1B22"/>
        </w:rPr>
        <w:t>tax credits, presented in explanatory note 22 -</w:t>
      </w:r>
      <w:r>
        <w:rPr>
          <w:color w:val="1B1B22"/>
          <w:spacing w:val="-3"/>
        </w:rPr>
        <w:t> </w:t>
      </w:r>
      <w:r>
        <w:rPr>
          <w:color w:val="1B1B22"/>
        </w:rPr>
        <w:t>Taxes </w:t>
      </w:r>
      <w:r>
        <w:rPr>
          <w:color w:val="1B1B22"/>
          <w:spacing w:val="-2"/>
        </w:rPr>
        <w:t>(subitem</w:t>
      </w:r>
      <w:r>
        <w:rPr>
          <w:color w:val="1B1B22"/>
          <w:spacing w:val="-10"/>
        </w:rPr>
        <w:t> </w:t>
      </w:r>
      <w:r>
        <w:rPr>
          <w:color w:val="1B1B22"/>
          <w:spacing w:val="-2"/>
        </w:rPr>
        <w:t>"f").</w:t>
      </w:r>
      <w:r>
        <w:rPr>
          <w:color w:val="1B1B22"/>
          <w:spacing w:val="-10"/>
        </w:rPr>
        <w:t> </w:t>
      </w:r>
      <w:r>
        <w:rPr>
          <w:color w:val="1B1B22"/>
          <w:spacing w:val="-2"/>
        </w:rPr>
        <w:t>In</w:t>
      </w:r>
      <w:r>
        <w:rPr>
          <w:color w:val="1B1B22"/>
          <w:spacing w:val="-9"/>
        </w:rPr>
        <w:t> </w:t>
      </w:r>
      <w:r>
        <w:rPr>
          <w:color w:val="1B1B22"/>
          <w:spacing w:val="-2"/>
        </w:rPr>
        <w:t>compliance</w:t>
      </w:r>
      <w:r>
        <w:rPr>
          <w:color w:val="1B1B22"/>
          <w:spacing w:val="-10"/>
        </w:rPr>
        <w:t> </w:t>
      </w:r>
      <w:r>
        <w:rPr>
          <w:color w:val="1B1B22"/>
          <w:spacing w:val="-2"/>
        </w:rPr>
        <w:t>with</w:t>
      </w:r>
      <w:r>
        <w:rPr>
          <w:color w:val="1B1B22"/>
          <w:spacing w:val="-11"/>
        </w:rPr>
        <w:t> </w:t>
      </w:r>
      <w:r>
        <w:rPr>
          <w:color w:val="1B1B22"/>
          <w:spacing w:val="-2"/>
        </w:rPr>
        <w:t>Article</w:t>
      </w:r>
      <w:r>
        <w:rPr>
          <w:color w:val="1B1B22"/>
          <w:spacing w:val="-9"/>
        </w:rPr>
        <w:t> </w:t>
      </w:r>
      <w:r>
        <w:rPr>
          <w:color w:val="1B1B22"/>
          <w:spacing w:val="-2"/>
        </w:rPr>
        <w:t>243</w:t>
      </w:r>
      <w:r>
        <w:rPr>
          <w:color w:val="1B1B22"/>
          <w:spacing w:val="-9"/>
        </w:rPr>
        <w:t> </w:t>
      </w:r>
      <w:r>
        <w:rPr>
          <w:color w:val="1B1B22"/>
          <w:spacing w:val="-2"/>
        </w:rPr>
        <w:t>of</w:t>
      </w:r>
      <w:r>
        <w:rPr>
          <w:color w:val="1B1B22"/>
          <w:spacing w:val="-10"/>
        </w:rPr>
        <w:t> </w:t>
      </w:r>
      <w:r>
        <w:rPr>
          <w:color w:val="1B1B22"/>
          <w:spacing w:val="-2"/>
        </w:rPr>
        <w:t>Law </w:t>
      </w:r>
      <w:r>
        <w:rPr>
          <w:color w:val="1B1B22"/>
        </w:rPr>
        <w:t>6,404/1976, we hereby inform you that the company's</w:t>
      </w:r>
      <w:r>
        <w:rPr>
          <w:color w:val="1B1B22"/>
          <w:spacing w:val="-13"/>
        </w:rPr>
        <w:t> </w:t>
      </w:r>
      <w:r>
        <w:rPr>
          <w:color w:val="1B1B22"/>
        </w:rPr>
        <w:t>investments</w:t>
      </w:r>
      <w:r>
        <w:rPr>
          <w:color w:val="1B1B22"/>
          <w:spacing w:val="-12"/>
        </w:rPr>
        <w:t> </w:t>
      </w:r>
      <w:r>
        <w:rPr>
          <w:color w:val="1B1B22"/>
        </w:rPr>
        <w:t>in</w:t>
      </w:r>
      <w:r>
        <w:rPr>
          <w:color w:val="1B1B22"/>
          <w:spacing w:val="-13"/>
        </w:rPr>
        <w:t> </w:t>
      </w:r>
      <w:r>
        <w:rPr>
          <w:color w:val="1B1B22"/>
        </w:rPr>
        <w:t>affiliated</w:t>
      </w:r>
      <w:r>
        <w:rPr>
          <w:color w:val="1B1B22"/>
          <w:spacing w:val="-12"/>
        </w:rPr>
        <w:t> </w:t>
      </w:r>
      <w:r>
        <w:rPr>
          <w:color w:val="1B1B22"/>
        </w:rPr>
        <w:t>and</w:t>
      </w:r>
      <w:r>
        <w:rPr>
          <w:color w:val="1B1B22"/>
          <w:spacing w:val="-12"/>
        </w:rPr>
        <w:t> </w:t>
      </w:r>
      <w:r>
        <w:rPr>
          <w:color w:val="1B1B22"/>
        </w:rPr>
        <w:t>controlled companies are listed in the explanatory notes</w:t>
      </w:r>
    </w:p>
    <w:p>
      <w:pPr>
        <w:pStyle w:val="BodyText"/>
        <w:spacing w:line="321" w:lineRule="auto" w:before="116"/>
        <w:ind w:right="40"/>
      </w:pPr>
      <w:r>
        <w:rPr>
          <w:color w:val="1B1B22"/>
        </w:rPr>
        <w:t>2 – Presentation of Financial Statements and 14 – </w:t>
      </w:r>
      <w:r>
        <w:rPr>
          <w:color w:val="1B1B22"/>
          <w:spacing w:val="-2"/>
        </w:rPr>
        <w:t>Investments.</w:t>
      </w:r>
    </w:p>
    <w:p>
      <w:pPr>
        <w:pStyle w:val="BodyText"/>
        <w:spacing w:line="321" w:lineRule="auto" w:before="119"/>
        <w:ind w:right="44"/>
      </w:pPr>
      <w:r>
        <w:rPr>
          <w:color w:val="1B1B22"/>
        </w:rPr>
        <w:t>We publish annually the investments made in public policies in our Annual Public Policy and Corporate Governance Letter, available at </w:t>
      </w:r>
      <w:r>
        <w:rPr>
          <w:color w:val="1B1B22"/>
          <w:spacing w:val="-2"/>
        </w:rPr>
        <w:t>ri.bb.com.br.</w:t>
      </w:r>
    </w:p>
    <w:p>
      <w:pPr>
        <w:pStyle w:val="BodyText"/>
        <w:spacing w:line="321" w:lineRule="auto" w:before="117"/>
        <w:ind w:right="41"/>
      </w:pPr>
      <w:r>
        <w:rPr>
          <w:color w:val="1B1B22"/>
        </w:rPr>
        <w:t>Banco do Brasil, its shareholders, directors, and </w:t>
      </w:r>
      <w:r>
        <w:rPr>
          <w:color w:val="1B1B22"/>
          <w:spacing w:val="-2"/>
        </w:rPr>
        <w:t>members</w:t>
      </w:r>
      <w:r>
        <w:rPr>
          <w:color w:val="1B1B22"/>
          <w:spacing w:val="-8"/>
        </w:rPr>
        <w:t> </w:t>
      </w:r>
      <w:r>
        <w:rPr>
          <w:color w:val="1B1B22"/>
          <w:spacing w:val="-2"/>
        </w:rPr>
        <w:t>of</w:t>
      </w:r>
      <w:r>
        <w:rPr>
          <w:color w:val="1B1B22"/>
          <w:spacing w:val="-9"/>
        </w:rPr>
        <w:t> </w:t>
      </w:r>
      <w:r>
        <w:rPr>
          <w:color w:val="1B1B22"/>
          <w:spacing w:val="-2"/>
        </w:rPr>
        <w:t>the</w:t>
      </w:r>
      <w:r>
        <w:rPr>
          <w:color w:val="1B1B22"/>
          <w:spacing w:val="-9"/>
        </w:rPr>
        <w:t> </w:t>
      </w:r>
      <w:r>
        <w:rPr>
          <w:color w:val="1B1B22"/>
          <w:spacing w:val="-2"/>
        </w:rPr>
        <w:t>Fiscal</w:t>
      </w:r>
      <w:r>
        <w:rPr>
          <w:color w:val="1B1B22"/>
          <w:spacing w:val="-7"/>
        </w:rPr>
        <w:t> </w:t>
      </w:r>
      <w:r>
        <w:rPr>
          <w:color w:val="1B1B22"/>
          <w:spacing w:val="-2"/>
        </w:rPr>
        <w:t>Council</w:t>
      </w:r>
      <w:r>
        <w:rPr>
          <w:color w:val="1B1B22"/>
          <w:spacing w:val="-9"/>
        </w:rPr>
        <w:t> </w:t>
      </w:r>
      <w:r>
        <w:rPr>
          <w:color w:val="1B1B22"/>
          <w:spacing w:val="-2"/>
        </w:rPr>
        <w:t>undertake</w:t>
      </w:r>
      <w:r>
        <w:rPr>
          <w:color w:val="1B1B22"/>
          <w:spacing w:val="-9"/>
        </w:rPr>
        <w:t> </w:t>
      </w:r>
      <w:r>
        <w:rPr>
          <w:color w:val="1B1B22"/>
          <w:spacing w:val="-2"/>
        </w:rPr>
        <w:t>to</w:t>
      </w:r>
      <w:r>
        <w:rPr>
          <w:color w:val="1B1B22"/>
          <w:spacing w:val="-9"/>
        </w:rPr>
        <w:t> </w:t>
      </w:r>
      <w:r>
        <w:rPr>
          <w:color w:val="1B1B22"/>
          <w:spacing w:val="-2"/>
        </w:rPr>
        <w:t>resolve </w:t>
      </w:r>
      <w:r>
        <w:rPr>
          <w:color w:val="1B1B22"/>
        </w:rPr>
        <w:t>any</w:t>
      </w:r>
      <w:r>
        <w:rPr>
          <w:color w:val="1B1B22"/>
          <w:spacing w:val="-13"/>
        </w:rPr>
        <w:t> </w:t>
      </w:r>
      <w:r>
        <w:rPr>
          <w:color w:val="1B1B22"/>
        </w:rPr>
        <w:t>and</w:t>
      </w:r>
      <w:r>
        <w:rPr>
          <w:color w:val="1B1B22"/>
          <w:spacing w:val="-12"/>
        </w:rPr>
        <w:t> </w:t>
      </w:r>
      <w:r>
        <w:rPr>
          <w:color w:val="1B1B22"/>
        </w:rPr>
        <w:t>all</w:t>
      </w:r>
      <w:r>
        <w:rPr>
          <w:color w:val="1B1B22"/>
          <w:spacing w:val="-13"/>
        </w:rPr>
        <w:t> </w:t>
      </w:r>
      <w:r>
        <w:rPr>
          <w:color w:val="1B1B22"/>
        </w:rPr>
        <w:t>disputes</w:t>
      </w:r>
      <w:r>
        <w:rPr>
          <w:color w:val="1B1B22"/>
          <w:spacing w:val="-12"/>
        </w:rPr>
        <w:t> </w:t>
      </w:r>
      <w:r>
        <w:rPr>
          <w:color w:val="1B1B22"/>
        </w:rPr>
        <w:t>or</w:t>
      </w:r>
      <w:r>
        <w:rPr>
          <w:color w:val="1B1B22"/>
          <w:spacing w:val="-12"/>
        </w:rPr>
        <w:t> </w:t>
      </w:r>
      <w:r>
        <w:rPr>
          <w:color w:val="1B1B22"/>
        </w:rPr>
        <w:t>controversies</w:t>
      </w:r>
      <w:r>
        <w:rPr>
          <w:color w:val="1B1B22"/>
          <w:spacing w:val="-13"/>
        </w:rPr>
        <w:t> </w:t>
      </w:r>
      <w:r>
        <w:rPr>
          <w:color w:val="1B1B22"/>
        </w:rPr>
        <w:t>related</w:t>
      </w:r>
      <w:r>
        <w:rPr>
          <w:color w:val="1B1B22"/>
          <w:spacing w:val="-12"/>
        </w:rPr>
        <w:t> </w:t>
      </w:r>
      <w:r>
        <w:rPr>
          <w:color w:val="1B1B22"/>
        </w:rPr>
        <w:t>to</w:t>
      </w:r>
      <w:r>
        <w:rPr>
          <w:color w:val="1B1B22"/>
          <w:spacing w:val="-12"/>
        </w:rPr>
        <w:t> </w:t>
      </w:r>
      <w:r>
        <w:rPr>
          <w:color w:val="1B1B22"/>
        </w:rPr>
        <w:t>the Novo Mercado Regulation through the B3 Arbitration Chamber, in accordance with the arbitration clause contained in Banco do Brasil's </w:t>
      </w:r>
      <w:r>
        <w:rPr>
          <w:color w:val="1B1B22"/>
          <w:spacing w:val="-2"/>
        </w:rPr>
        <w:t>Bylaws.</w:t>
      </w:r>
    </w:p>
    <w:p>
      <w:pPr>
        <w:pStyle w:val="BodyText"/>
        <w:spacing w:line="321" w:lineRule="auto" w:before="115"/>
        <w:ind w:right="44"/>
      </w:pPr>
      <w:r>
        <w:rPr>
          <w:color w:val="1B1B22"/>
        </w:rPr>
        <w:t>This Management Report was prepared based on the</w:t>
      </w:r>
      <w:r>
        <w:rPr>
          <w:color w:val="1B1B22"/>
          <w:spacing w:val="58"/>
          <w:w w:val="150"/>
        </w:rPr>
        <w:t>  </w:t>
      </w:r>
      <w:r>
        <w:rPr>
          <w:color w:val="1B1B22"/>
        </w:rPr>
        <w:t>Individual</w:t>
      </w:r>
      <w:r>
        <w:rPr>
          <w:color w:val="1B1B22"/>
          <w:spacing w:val="58"/>
          <w:w w:val="150"/>
        </w:rPr>
        <w:t>  </w:t>
      </w:r>
      <w:r>
        <w:rPr>
          <w:color w:val="1B1B22"/>
        </w:rPr>
        <w:t>and</w:t>
      </w:r>
      <w:r>
        <w:rPr>
          <w:color w:val="1B1B22"/>
          <w:spacing w:val="59"/>
          <w:w w:val="150"/>
        </w:rPr>
        <w:t>  </w:t>
      </w:r>
      <w:r>
        <w:rPr>
          <w:color w:val="1B1B22"/>
        </w:rPr>
        <w:t>Consolidated</w:t>
      </w:r>
      <w:r>
        <w:rPr>
          <w:color w:val="1B1B22"/>
          <w:spacing w:val="58"/>
          <w:w w:val="150"/>
        </w:rPr>
        <w:t>  </w:t>
      </w:r>
      <w:r>
        <w:rPr>
          <w:color w:val="1B1B22"/>
          <w:spacing w:val="-2"/>
        </w:rPr>
        <w:t>Financial</w:t>
      </w:r>
    </w:p>
    <w:p>
      <w:pPr>
        <w:pStyle w:val="BodyText"/>
        <w:spacing w:line="321" w:lineRule="auto" w:before="78"/>
        <w:ind w:right="140"/>
      </w:pPr>
      <w:r>
        <w:rPr/>
        <w:br w:type="column"/>
      </w:r>
      <w:r>
        <w:rPr>
          <w:color w:val="1B1B22"/>
        </w:rPr>
        <w:t>Statements prepared in accordance with the </w:t>
      </w:r>
      <w:r>
        <w:rPr>
          <w:color w:val="1B1B22"/>
          <w:spacing w:val="-2"/>
        </w:rPr>
        <w:t>Accounting</w:t>
      </w:r>
      <w:r>
        <w:rPr>
          <w:color w:val="1B1B22"/>
          <w:spacing w:val="-9"/>
        </w:rPr>
        <w:t> </w:t>
      </w:r>
      <w:r>
        <w:rPr>
          <w:color w:val="1B1B22"/>
          <w:spacing w:val="-2"/>
        </w:rPr>
        <w:t>Standards</w:t>
      </w:r>
      <w:r>
        <w:rPr>
          <w:color w:val="1B1B22"/>
          <w:spacing w:val="-9"/>
        </w:rPr>
        <w:t> </w:t>
      </w:r>
      <w:r>
        <w:rPr>
          <w:color w:val="1B1B22"/>
          <w:spacing w:val="-2"/>
        </w:rPr>
        <w:t>for</w:t>
      </w:r>
      <w:r>
        <w:rPr>
          <w:color w:val="1B1B22"/>
          <w:spacing w:val="-10"/>
        </w:rPr>
        <w:t> </w:t>
      </w:r>
      <w:r>
        <w:rPr>
          <w:color w:val="1B1B22"/>
          <w:spacing w:val="-2"/>
        </w:rPr>
        <w:t>Institutions</w:t>
      </w:r>
      <w:r>
        <w:rPr>
          <w:color w:val="1B1B22"/>
          <w:spacing w:val="-9"/>
        </w:rPr>
        <w:t> </w:t>
      </w:r>
      <w:r>
        <w:rPr>
          <w:color w:val="1B1B22"/>
          <w:spacing w:val="-2"/>
        </w:rPr>
        <w:t>Regulated</w:t>
      </w:r>
      <w:r>
        <w:rPr>
          <w:color w:val="1B1B22"/>
          <w:spacing w:val="-10"/>
        </w:rPr>
        <w:t> </w:t>
      </w:r>
      <w:r>
        <w:rPr>
          <w:color w:val="1B1B22"/>
          <w:spacing w:val="-2"/>
        </w:rPr>
        <w:t>by </w:t>
      </w:r>
      <w:r>
        <w:rPr>
          <w:color w:val="1B1B22"/>
        </w:rPr>
        <w:t>the Central Bank of Brazil (COSIF). For more information, the Reference Form, Performance Analysis</w:t>
      </w:r>
      <w:r>
        <w:rPr>
          <w:color w:val="1B1B22"/>
          <w:spacing w:val="-5"/>
        </w:rPr>
        <w:t> </w:t>
      </w:r>
      <w:r>
        <w:rPr>
          <w:color w:val="1B1B22"/>
        </w:rPr>
        <w:t>Report,</w:t>
      </w:r>
      <w:r>
        <w:rPr>
          <w:color w:val="1B1B22"/>
          <w:spacing w:val="-5"/>
        </w:rPr>
        <w:t> </w:t>
      </w:r>
      <w:r>
        <w:rPr>
          <w:color w:val="1B1B22"/>
        </w:rPr>
        <w:t>and</w:t>
      </w:r>
      <w:r>
        <w:rPr>
          <w:color w:val="1B1B22"/>
          <w:spacing w:val="-6"/>
        </w:rPr>
        <w:t> </w:t>
      </w:r>
      <w:r>
        <w:rPr>
          <w:color w:val="1B1B22"/>
        </w:rPr>
        <w:t>Institutional</w:t>
      </w:r>
      <w:r>
        <w:rPr>
          <w:color w:val="1B1B22"/>
          <w:spacing w:val="-6"/>
        </w:rPr>
        <w:t> </w:t>
      </w:r>
      <w:r>
        <w:rPr>
          <w:color w:val="1B1B22"/>
        </w:rPr>
        <w:t>Presentation</w:t>
      </w:r>
      <w:r>
        <w:rPr>
          <w:color w:val="1B1B22"/>
          <w:spacing w:val="-4"/>
        </w:rPr>
        <w:t> </w:t>
      </w:r>
      <w:r>
        <w:rPr>
          <w:color w:val="1B1B22"/>
        </w:rPr>
        <w:t>are available at ri.bb.com.br.</w:t>
      </w:r>
    </w:p>
    <w:p>
      <w:pPr>
        <w:pStyle w:val="Heading1"/>
        <w:spacing w:before="90"/>
      </w:pPr>
      <w:r>
        <w:rPr>
          <w:color w:val="465EFF"/>
          <w:spacing w:val="31"/>
        </w:rPr>
        <w:t>Acknowledgements</w:t>
      </w:r>
    </w:p>
    <w:p>
      <w:pPr>
        <w:pStyle w:val="BodyText"/>
        <w:spacing w:line="321" w:lineRule="auto" w:before="334"/>
        <w:ind w:right="139"/>
      </w:pPr>
      <w:r>
        <w:rPr>
          <w:color w:val="1B1B22"/>
        </w:rPr>
        <w:t>We deeply thank all our employees who demonstrate commitment, dedication, and capacity for innovation every day. Their commitment</w:t>
      </w:r>
      <w:r>
        <w:rPr>
          <w:color w:val="1B1B22"/>
          <w:spacing w:val="-2"/>
        </w:rPr>
        <w:t> </w:t>
      </w:r>
      <w:r>
        <w:rPr>
          <w:color w:val="1B1B22"/>
        </w:rPr>
        <w:t>to</w:t>
      </w:r>
      <w:r>
        <w:rPr>
          <w:color w:val="1B1B22"/>
          <w:spacing w:val="-2"/>
        </w:rPr>
        <w:t> </w:t>
      </w:r>
      <w:r>
        <w:rPr>
          <w:color w:val="1B1B22"/>
        </w:rPr>
        <w:t>adapting, creating,</w:t>
      </w:r>
      <w:r>
        <w:rPr>
          <w:color w:val="1B1B22"/>
          <w:spacing w:val="-2"/>
        </w:rPr>
        <w:t> </w:t>
      </w:r>
      <w:r>
        <w:rPr>
          <w:color w:val="1B1B22"/>
        </w:rPr>
        <w:t>and</w:t>
      </w:r>
      <w:r>
        <w:rPr>
          <w:color w:val="1B1B22"/>
          <w:spacing w:val="-2"/>
        </w:rPr>
        <w:t> </w:t>
      </w:r>
      <w:r>
        <w:rPr>
          <w:color w:val="1B1B22"/>
        </w:rPr>
        <w:t>improving solutions and maintaining a focus on excellent relationships with our customers is essential to achieving our purpose. We also extend our gratitude to our customers and shareholders, whose trust is fundamental. We reinforce our commitment to generating value sustainably, balancing consistent results with social, environmental,</w:t>
      </w:r>
      <w:r>
        <w:rPr>
          <w:color w:val="1B1B22"/>
          <w:spacing w:val="-4"/>
        </w:rPr>
        <w:t> </w:t>
      </w:r>
      <w:r>
        <w:rPr>
          <w:color w:val="1B1B22"/>
        </w:rPr>
        <w:t>and</w:t>
      </w:r>
      <w:r>
        <w:rPr>
          <w:color w:val="1B1B22"/>
          <w:spacing w:val="-4"/>
        </w:rPr>
        <w:t> </w:t>
      </w:r>
      <w:r>
        <w:rPr>
          <w:color w:val="1B1B22"/>
        </w:rPr>
        <w:t>ethical</w:t>
      </w:r>
      <w:r>
        <w:rPr>
          <w:color w:val="1B1B22"/>
          <w:spacing w:val="-4"/>
        </w:rPr>
        <w:t> </w:t>
      </w:r>
      <w:r>
        <w:rPr>
          <w:color w:val="1B1B22"/>
        </w:rPr>
        <w:t>responsibility</w:t>
      </w:r>
      <w:r>
        <w:rPr>
          <w:color w:val="1B1B22"/>
          <w:spacing w:val="-3"/>
        </w:rPr>
        <w:t> </w:t>
      </w:r>
      <w:r>
        <w:rPr>
          <w:color w:val="1B1B22"/>
        </w:rPr>
        <w:t>in</w:t>
      </w:r>
      <w:r>
        <w:rPr>
          <w:color w:val="1B1B22"/>
          <w:spacing w:val="-3"/>
        </w:rPr>
        <w:t> </w:t>
      </w:r>
      <w:r>
        <w:rPr>
          <w:color w:val="1B1B22"/>
        </w:rPr>
        <w:t>all</w:t>
      </w:r>
      <w:r>
        <w:rPr>
          <w:color w:val="1B1B22"/>
          <w:spacing w:val="-2"/>
        </w:rPr>
        <w:t> </w:t>
      </w:r>
      <w:r>
        <w:rPr>
          <w:color w:val="1B1B22"/>
        </w:rPr>
        <w:t>our </w:t>
      </w:r>
      <w:r>
        <w:rPr>
          <w:color w:val="1B1B22"/>
          <w:spacing w:val="-2"/>
        </w:rPr>
        <w:t>actions.</w:t>
      </w:r>
    </w:p>
    <w:sectPr>
      <w:type w:val="continuous"/>
      <w:pgSz w:w="11910" w:h="16850"/>
      <w:pgMar w:header="152" w:footer="591" w:top="1920" w:bottom="280" w:left="425" w:right="708"/>
      <w:cols w:num="2" w:equalWidth="0">
        <w:col w:w="5218" w:space="239"/>
        <w:col w:w="532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BancoDoBrasil Textos Light">
    <w:altName w:val="BancoDoBrasil Textos Light"/>
    <w:charset w:val="0"/>
    <w:family w:val="auto"/>
    <w:pitch w:val="variable"/>
  </w:font>
  <w:font w:name="BancoDoBrasil Textos Medium">
    <w:altName w:val="BancoDoBrasil Textos Medium"/>
    <w:charset w:val="0"/>
    <w:family w:val="auto"/>
    <w:pitch w:val="variable"/>
  </w:font>
  <w:font w:name="BancoDoBrasil Textos">
    <w:altName w:val="BancoDoBrasil Textos"/>
    <w:charset w:val="0"/>
    <w:family w:val="auto"/>
    <w:pitch w:val="variable"/>
  </w:font>
  <w:font w:name="BancoDoBrasil Titulos">
    <w:altName w:val="BancoDoBrasil Titulos"/>
    <w:charset w:val="0"/>
    <w:family w:val="auto"/>
    <w:pitch w:val="variable"/>
  </w:font>
  <w:font w:name="BancoDoBrasil Titulos Light">
    <w:altName w:val="BancoDoBrasil Titulos Light"/>
    <w:charset w:val="0"/>
    <w:family w:val="auto"/>
    <w:pitch w:val="variable"/>
  </w:font>
  <w:font w:name="BancoDoBrasil Titulos Medium">
    <w:altName w:val="BancoDoBrasil Titulos Medium"/>
    <w:charset w:val="0"/>
    <w:family w:val="auto"/>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pPr>
    <w:r>
      <w:rPr/>
      <mc:AlternateContent>
        <mc:Choice Requires="wps">
          <w:drawing>
            <wp:anchor distT="0" distB="0" distL="0" distR="0" allowOverlap="1" layoutInCell="1" locked="0" behindDoc="1" simplePos="0" relativeHeight="487394816">
              <wp:simplePos x="0" y="0"/>
              <wp:positionH relativeFrom="page">
                <wp:posOffset>4572</wp:posOffset>
              </wp:positionH>
              <wp:positionV relativeFrom="page">
                <wp:posOffset>10154411</wp:posOffset>
              </wp:positionV>
              <wp:extent cx="7556500" cy="539750"/>
              <wp:effectExtent l="0" t="0" r="0" b="0"/>
              <wp:wrapNone/>
              <wp:docPr id="12" name="Graphic 12"/>
              <wp:cNvGraphicFramePr>
                <a:graphicFrameLocks/>
              </wp:cNvGraphicFramePr>
              <a:graphic>
                <a:graphicData uri="http://schemas.microsoft.com/office/word/2010/wordprocessingShape">
                  <wps:wsp>
                    <wps:cNvPr id="12" name="Graphic 12"/>
                    <wps:cNvSpPr/>
                    <wps:spPr>
                      <a:xfrm>
                        <a:off x="0" y="0"/>
                        <a:ext cx="7556500" cy="539750"/>
                      </a:xfrm>
                      <a:custGeom>
                        <a:avLst/>
                        <a:gdLst/>
                        <a:ahLst/>
                        <a:cxnLst/>
                        <a:rect l="l" t="t" r="r" b="b"/>
                        <a:pathLst>
                          <a:path w="7556500" h="539750">
                            <a:moveTo>
                              <a:pt x="7555992" y="0"/>
                            </a:moveTo>
                            <a:lnTo>
                              <a:pt x="7026910" y="0"/>
                            </a:lnTo>
                            <a:lnTo>
                              <a:pt x="6487414" y="0"/>
                            </a:lnTo>
                            <a:lnTo>
                              <a:pt x="541020" y="0"/>
                            </a:lnTo>
                            <a:lnTo>
                              <a:pt x="0" y="0"/>
                            </a:lnTo>
                            <a:lnTo>
                              <a:pt x="0" y="539496"/>
                            </a:lnTo>
                            <a:lnTo>
                              <a:pt x="541020" y="539496"/>
                            </a:lnTo>
                            <a:lnTo>
                              <a:pt x="6487414" y="539496"/>
                            </a:lnTo>
                            <a:lnTo>
                              <a:pt x="7026910" y="539496"/>
                            </a:lnTo>
                            <a:lnTo>
                              <a:pt x="7555992" y="539496"/>
                            </a:lnTo>
                            <a:lnTo>
                              <a:pt x="7555992" y="0"/>
                            </a:lnTo>
                            <a:close/>
                          </a:path>
                        </a:pathLst>
                      </a:custGeom>
                      <a:solidFill>
                        <a:srgbClr val="FBFB2F"/>
                      </a:solidFill>
                    </wps:spPr>
                    <wps:bodyPr wrap="square" lIns="0" tIns="0" rIns="0" bIns="0" rtlCol="0">
                      <a:prstTxWarp prst="textNoShape">
                        <a:avLst/>
                      </a:prstTxWarp>
                      <a:noAutofit/>
                    </wps:bodyPr>
                  </wps:wsp>
                </a:graphicData>
              </a:graphic>
            </wp:anchor>
          </w:drawing>
        </mc:Choice>
        <mc:Fallback>
          <w:pict>
            <v:shape style="position:absolute;margin-left:.36pt;margin-top:799.559998pt;width:595pt;height:42.5pt;mso-position-horizontal-relative:page;mso-position-vertical-relative:page;z-index:-15921664" id="docshape11" coordorigin="7,15991" coordsize="11900,850" path="m11906,15991l11073,15991,10224,15991,859,15991,7,15991,7,16841,859,16841,10224,16841,11073,16841,11906,16841,11906,15991xe" filled="true" fillcolor="#fbfb2f" stroked="false">
              <v:path arrowok="t"/>
              <v:fill type="solid"/>
              <w10:wrap type="none"/>
            </v:shape>
          </w:pict>
        </mc:Fallback>
      </mc:AlternateContent>
    </w:r>
    <w:r>
      <w:rPr/>
      <mc:AlternateContent>
        <mc:Choice Requires="wps">
          <w:drawing>
            <wp:anchor distT="0" distB="0" distL="0" distR="0" allowOverlap="1" layoutInCell="1" locked="0" behindDoc="1" simplePos="0" relativeHeight="487395328">
              <wp:simplePos x="0" y="0"/>
              <wp:positionH relativeFrom="page">
                <wp:posOffset>532891</wp:posOffset>
              </wp:positionH>
              <wp:positionV relativeFrom="page">
                <wp:posOffset>10341066</wp:posOffset>
              </wp:positionV>
              <wp:extent cx="2813050" cy="16827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2813050" cy="168275"/>
                      </a:xfrm>
                      <a:prstGeom prst="rect">
                        <a:avLst/>
                      </a:prstGeom>
                    </wps:spPr>
                    <wps:txbx>
                      <w:txbxContent>
                        <w:p>
                          <w:pPr>
                            <w:pStyle w:val="BodyText"/>
                            <w:spacing w:line="252" w:lineRule="exact"/>
                            <w:ind w:left="20"/>
                            <w:jc w:val="left"/>
                            <w:rPr>
                              <w:rFonts w:ascii="BancoDoBrasil Titulos Light"/>
                              <w:b w:val="0"/>
                            </w:rPr>
                          </w:pPr>
                          <w:r>
                            <w:rPr>
                              <w:rFonts w:ascii="BancoDoBrasil Titulos Medium"/>
                              <w:b w:val="0"/>
                              <w:color w:val="465EFF"/>
                              <w:spacing w:val="15"/>
                            </w:rPr>
                            <w:t>Banco</w:t>
                          </w:r>
                          <w:r>
                            <w:rPr>
                              <w:rFonts w:ascii="BancoDoBrasil Titulos Medium"/>
                              <w:b w:val="0"/>
                              <w:color w:val="465EFF"/>
                              <w:spacing w:val="40"/>
                            </w:rPr>
                            <w:t> </w:t>
                          </w:r>
                          <w:r>
                            <w:rPr>
                              <w:rFonts w:ascii="BancoDoBrasil Titulos Medium"/>
                              <w:b w:val="0"/>
                              <w:color w:val="465EFF"/>
                              <w:spacing w:val="10"/>
                            </w:rPr>
                            <w:t>do</w:t>
                          </w:r>
                          <w:r>
                            <w:rPr>
                              <w:rFonts w:ascii="BancoDoBrasil Titulos Medium"/>
                              <w:b w:val="0"/>
                              <w:color w:val="465EFF"/>
                              <w:spacing w:val="43"/>
                            </w:rPr>
                            <w:t> </w:t>
                          </w:r>
                          <w:r>
                            <w:rPr>
                              <w:rFonts w:ascii="BancoDoBrasil Titulos Medium"/>
                              <w:b w:val="0"/>
                              <w:color w:val="465EFF"/>
                              <w:spacing w:val="15"/>
                            </w:rPr>
                            <w:t>Brasil</w:t>
                          </w:r>
                          <w:r>
                            <w:rPr>
                              <w:rFonts w:ascii="BancoDoBrasil Titulos Medium"/>
                              <w:b w:val="0"/>
                              <w:color w:val="465EFF"/>
                              <w:spacing w:val="41"/>
                            </w:rPr>
                            <w:t> </w:t>
                          </w:r>
                          <w:r>
                            <w:rPr>
                              <w:rFonts w:ascii="BancoDoBrasil Titulos Medium"/>
                              <w:b w:val="0"/>
                              <w:color w:val="465EFF"/>
                            </w:rPr>
                            <w:t>S.</w:t>
                          </w:r>
                          <w:r>
                            <w:rPr>
                              <w:rFonts w:ascii="BancoDoBrasil Titulos Medium"/>
                              <w:b w:val="0"/>
                              <w:color w:val="465EFF"/>
                              <w:spacing w:val="-27"/>
                            </w:rPr>
                            <w:t> </w:t>
                          </w:r>
                          <w:r>
                            <w:rPr>
                              <w:rFonts w:ascii="BancoDoBrasil Titulos Medium"/>
                              <w:b w:val="0"/>
                              <w:color w:val="465EFF"/>
                            </w:rPr>
                            <w:t>A.</w:t>
                          </w:r>
                          <w:r>
                            <w:rPr>
                              <w:rFonts w:ascii="BancoDoBrasil Titulos Medium"/>
                              <w:b w:val="0"/>
                              <w:color w:val="465EFF"/>
                              <w:spacing w:val="49"/>
                            </w:rPr>
                            <w:t> </w:t>
                          </w:r>
                          <w:r>
                            <w:rPr>
                              <w:rFonts w:ascii="BancoDoBrasil Titulos Medium"/>
                              <w:b w:val="0"/>
                              <w:color w:val="465EFF"/>
                            </w:rPr>
                            <w:t>|</w:t>
                          </w:r>
                          <w:r>
                            <w:rPr>
                              <w:rFonts w:ascii="BancoDoBrasil Titulos Medium"/>
                              <w:b w:val="0"/>
                              <w:color w:val="465EFF"/>
                              <w:spacing w:val="41"/>
                            </w:rPr>
                            <w:t> </w:t>
                          </w:r>
                          <w:r>
                            <w:rPr>
                              <w:rFonts w:ascii="BancoDoBrasil Titulos Light"/>
                              <w:b w:val="0"/>
                              <w:color w:val="465EFF"/>
                              <w:spacing w:val="15"/>
                            </w:rPr>
                            <w:t>Investor</w:t>
                          </w:r>
                          <w:r>
                            <w:rPr>
                              <w:rFonts w:ascii="BancoDoBrasil Titulos Light"/>
                              <w:b w:val="0"/>
                              <w:color w:val="465EFF"/>
                              <w:spacing w:val="41"/>
                            </w:rPr>
                            <w:t> </w:t>
                          </w:r>
                          <w:r>
                            <w:rPr>
                              <w:rFonts w:ascii="BancoDoBrasil Titulos Light"/>
                              <w:b w:val="0"/>
                              <w:color w:val="465EFF"/>
                              <w:spacing w:val="14"/>
                            </w:rPr>
                            <w:t>Relations</w:t>
                          </w:r>
                        </w:p>
                      </w:txbxContent>
                    </wps:txbx>
                    <wps:bodyPr wrap="square" lIns="0" tIns="0" rIns="0" bIns="0" rtlCol="0">
                      <a:noAutofit/>
                    </wps:bodyPr>
                  </wps:wsp>
                </a:graphicData>
              </a:graphic>
            </wp:anchor>
          </w:drawing>
        </mc:Choice>
        <mc:Fallback>
          <w:pict>
            <v:shape style="position:absolute;margin-left:41.959999pt;margin-top:814.257202pt;width:221.5pt;height:13.25pt;mso-position-horizontal-relative:page;mso-position-vertical-relative:page;z-index:-15921152" type="#_x0000_t202" id="docshape12" filled="false" stroked="false">
              <v:textbox inset="0,0,0,0">
                <w:txbxContent>
                  <w:p>
                    <w:pPr>
                      <w:pStyle w:val="BodyText"/>
                      <w:spacing w:line="252" w:lineRule="exact"/>
                      <w:ind w:left="20"/>
                      <w:jc w:val="left"/>
                      <w:rPr>
                        <w:rFonts w:ascii="BancoDoBrasil Titulos Light"/>
                        <w:b w:val="0"/>
                      </w:rPr>
                    </w:pPr>
                    <w:r>
                      <w:rPr>
                        <w:rFonts w:ascii="BancoDoBrasil Titulos Medium"/>
                        <w:b w:val="0"/>
                        <w:color w:val="465EFF"/>
                        <w:spacing w:val="15"/>
                      </w:rPr>
                      <w:t>Banco</w:t>
                    </w:r>
                    <w:r>
                      <w:rPr>
                        <w:rFonts w:ascii="BancoDoBrasil Titulos Medium"/>
                        <w:b w:val="0"/>
                        <w:color w:val="465EFF"/>
                        <w:spacing w:val="40"/>
                      </w:rPr>
                      <w:t> </w:t>
                    </w:r>
                    <w:r>
                      <w:rPr>
                        <w:rFonts w:ascii="BancoDoBrasil Titulos Medium"/>
                        <w:b w:val="0"/>
                        <w:color w:val="465EFF"/>
                        <w:spacing w:val="10"/>
                      </w:rPr>
                      <w:t>do</w:t>
                    </w:r>
                    <w:r>
                      <w:rPr>
                        <w:rFonts w:ascii="BancoDoBrasil Titulos Medium"/>
                        <w:b w:val="0"/>
                        <w:color w:val="465EFF"/>
                        <w:spacing w:val="43"/>
                      </w:rPr>
                      <w:t> </w:t>
                    </w:r>
                    <w:r>
                      <w:rPr>
                        <w:rFonts w:ascii="BancoDoBrasil Titulos Medium"/>
                        <w:b w:val="0"/>
                        <w:color w:val="465EFF"/>
                        <w:spacing w:val="15"/>
                      </w:rPr>
                      <w:t>Brasil</w:t>
                    </w:r>
                    <w:r>
                      <w:rPr>
                        <w:rFonts w:ascii="BancoDoBrasil Titulos Medium"/>
                        <w:b w:val="0"/>
                        <w:color w:val="465EFF"/>
                        <w:spacing w:val="41"/>
                      </w:rPr>
                      <w:t> </w:t>
                    </w:r>
                    <w:r>
                      <w:rPr>
                        <w:rFonts w:ascii="BancoDoBrasil Titulos Medium"/>
                        <w:b w:val="0"/>
                        <w:color w:val="465EFF"/>
                      </w:rPr>
                      <w:t>S.</w:t>
                    </w:r>
                    <w:r>
                      <w:rPr>
                        <w:rFonts w:ascii="BancoDoBrasil Titulos Medium"/>
                        <w:b w:val="0"/>
                        <w:color w:val="465EFF"/>
                        <w:spacing w:val="-27"/>
                      </w:rPr>
                      <w:t> </w:t>
                    </w:r>
                    <w:r>
                      <w:rPr>
                        <w:rFonts w:ascii="BancoDoBrasil Titulos Medium"/>
                        <w:b w:val="0"/>
                        <w:color w:val="465EFF"/>
                      </w:rPr>
                      <w:t>A.</w:t>
                    </w:r>
                    <w:r>
                      <w:rPr>
                        <w:rFonts w:ascii="BancoDoBrasil Titulos Medium"/>
                        <w:b w:val="0"/>
                        <w:color w:val="465EFF"/>
                        <w:spacing w:val="49"/>
                      </w:rPr>
                      <w:t> </w:t>
                    </w:r>
                    <w:r>
                      <w:rPr>
                        <w:rFonts w:ascii="BancoDoBrasil Titulos Medium"/>
                        <w:b w:val="0"/>
                        <w:color w:val="465EFF"/>
                      </w:rPr>
                      <w:t>|</w:t>
                    </w:r>
                    <w:r>
                      <w:rPr>
                        <w:rFonts w:ascii="BancoDoBrasil Titulos Medium"/>
                        <w:b w:val="0"/>
                        <w:color w:val="465EFF"/>
                        <w:spacing w:val="41"/>
                      </w:rPr>
                      <w:t> </w:t>
                    </w:r>
                    <w:r>
                      <w:rPr>
                        <w:rFonts w:ascii="BancoDoBrasil Titulos Light"/>
                        <w:b w:val="0"/>
                        <w:color w:val="465EFF"/>
                        <w:spacing w:val="15"/>
                      </w:rPr>
                      <w:t>Investor</w:t>
                    </w:r>
                    <w:r>
                      <w:rPr>
                        <w:rFonts w:ascii="BancoDoBrasil Titulos Light"/>
                        <w:b w:val="0"/>
                        <w:color w:val="465EFF"/>
                        <w:spacing w:val="41"/>
                      </w:rPr>
                      <w:t> </w:t>
                    </w:r>
                    <w:r>
                      <w:rPr>
                        <w:rFonts w:ascii="BancoDoBrasil Titulos Light"/>
                        <w:b w:val="0"/>
                        <w:color w:val="465EFF"/>
                        <w:spacing w:val="14"/>
                      </w:rPr>
                      <w:t>Relations</w:t>
                    </w:r>
                  </w:p>
                </w:txbxContent>
              </v:textbox>
              <w10:wrap type="none"/>
            </v:shape>
          </w:pict>
        </mc:Fallback>
      </mc:AlternateContent>
    </w:r>
    <w:r>
      <w:rPr/>
      <mc:AlternateContent>
        <mc:Choice Requires="wps">
          <w:drawing>
            <wp:anchor distT="0" distB="0" distL="0" distR="0" allowOverlap="1" layoutInCell="1" locked="0" behindDoc="1" simplePos="0" relativeHeight="487395840">
              <wp:simplePos x="0" y="0"/>
              <wp:positionH relativeFrom="page">
                <wp:posOffset>6904990</wp:posOffset>
              </wp:positionH>
              <wp:positionV relativeFrom="page">
                <wp:posOffset>10341066</wp:posOffset>
              </wp:positionV>
              <wp:extent cx="164465" cy="168275"/>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164465" cy="168275"/>
                      </a:xfrm>
                      <a:prstGeom prst="rect">
                        <a:avLst/>
                      </a:prstGeom>
                    </wps:spPr>
                    <wps:txbx>
                      <w:txbxContent>
                        <w:p>
                          <w:pPr>
                            <w:pStyle w:val="BodyText"/>
                            <w:spacing w:line="252" w:lineRule="exact"/>
                            <w:ind w:left="60"/>
                            <w:jc w:val="left"/>
                            <w:rPr>
                              <w:rFonts w:ascii="BancoDoBrasil Titulos Medium"/>
                              <w:b w:val="0"/>
                            </w:rPr>
                          </w:pPr>
                          <w:r>
                            <w:rPr>
                              <w:rFonts w:ascii="BancoDoBrasil Titulos Medium"/>
                              <w:b w:val="0"/>
                              <w:color w:val="465EFF"/>
                              <w:spacing w:val="-10"/>
                            </w:rPr>
                            <w:fldChar w:fldCharType="begin"/>
                          </w:r>
                          <w:r>
                            <w:rPr>
                              <w:rFonts w:ascii="BancoDoBrasil Titulos Medium"/>
                              <w:b w:val="0"/>
                              <w:color w:val="465EFF"/>
                              <w:spacing w:val="-10"/>
                            </w:rPr>
                            <w:instrText> PAGE </w:instrText>
                          </w:r>
                          <w:r>
                            <w:rPr>
                              <w:rFonts w:ascii="BancoDoBrasil Titulos Medium"/>
                              <w:b w:val="0"/>
                              <w:color w:val="465EFF"/>
                              <w:spacing w:val="-10"/>
                            </w:rPr>
                            <w:fldChar w:fldCharType="separate"/>
                          </w:r>
                          <w:r>
                            <w:rPr>
                              <w:rFonts w:ascii="BancoDoBrasil Titulos Medium"/>
                              <w:b w:val="0"/>
                              <w:color w:val="465EFF"/>
                              <w:spacing w:val="-10"/>
                            </w:rPr>
                            <w:t>2</w:t>
                          </w:r>
                          <w:r>
                            <w:rPr>
                              <w:rFonts w:ascii="BancoDoBrasil Titulos Medium"/>
                              <w:b w:val="0"/>
                              <w:color w:val="465EFF"/>
                              <w:spacing w:val="-10"/>
                            </w:rPr>
                            <w:fldChar w:fldCharType="end"/>
                          </w:r>
                        </w:p>
                      </w:txbxContent>
                    </wps:txbx>
                    <wps:bodyPr wrap="square" lIns="0" tIns="0" rIns="0" bIns="0" rtlCol="0">
                      <a:noAutofit/>
                    </wps:bodyPr>
                  </wps:wsp>
                </a:graphicData>
              </a:graphic>
            </wp:anchor>
          </w:drawing>
        </mc:Choice>
        <mc:Fallback>
          <w:pict>
            <v:shape style="position:absolute;margin-left:543.700012pt;margin-top:814.257202pt;width:12.95pt;height:13.25pt;mso-position-horizontal-relative:page;mso-position-vertical-relative:page;z-index:-15920640" type="#_x0000_t202" id="docshape13" filled="false" stroked="false">
              <v:textbox inset="0,0,0,0">
                <w:txbxContent>
                  <w:p>
                    <w:pPr>
                      <w:pStyle w:val="BodyText"/>
                      <w:spacing w:line="252" w:lineRule="exact"/>
                      <w:ind w:left="60"/>
                      <w:jc w:val="left"/>
                      <w:rPr>
                        <w:rFonts w:ascii="BancoDoBrasil Titulos Medium"/>
                        <w:b w:val="0"/>
                      </w:rPr>
                    </w:pPr>
                    <w:r>
                      <w:rPr>
                        <w:rFonts w:ascii="BancoDoBrasil Titulos Medium"/>
                        <w:b w:val="0"/>
                        <w:color w:val="465EFF"/>
                        <w:spacing w:val="-10"/>
                      </w:rPr>
                      <w:fldChar w:fldCharType="begin"/>
                    </w:r>
                    <w:r>
                      <w:rPr>
                        <w:rFonts w:ascii="BancoDoBrasil Titulos Medium"/>
                        <w:b w:val="0"/>
                        <w:color w:val="465EFF"/>
                        <w:spacing w:val="-10"/>
                      </w:rPr>
                      <w:instrText> PAGE </w:instrText>
                    </w:r>
                    <w:r>
                      <w:rPr>
                        <w:rFonts w:ascii="BancoDoBrasil Titulos Medium"/>
                        <w:b w:val="0"/>
                        <w:color w:val="465EFF"/>
                        <w:spacing w:val="-10"/>
                      </w:rPr>
                      <w:fldChar w:fldCharType="separate"/>
                    </w:r>
                    <w:r>
                      <w:rPr>
                        <w:rFonts w:ascii="BancoDoBrasil Titulos Medium"/>
                        <w:b w:val="0"/>
                        <w:color w:val="465EFF"/>
                        <w:spacing w:val="-10"/>
                      </w:rPr>
                      <w:t>2</w:t>
                    </w:r>
                    <w:r>
                      <w:rPr>
                        <w:rFonts w:ascii="BancoDoBrasil Titulos Medium"/>
                        <w:b w:val="0"/>
                        <w:color w:val="465EFF"/>
                        <w:spacing w:val="-10"/>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pPr>
    <w:r>
      <w:rPr/>
      <mc:AlternateContent>
        <mc:Choice Requires="wps">
          <w:drawing>
            <wp:anchor distT="0" distB="0" distL="0" distR="0" allowOverlap="1" layoutInCell="1" locked="0" behindDoc="1" simplePos="0" relativeHeight="487397888">
              <wp:simplePos x="0" y="0"/>
              <wp:positionH relativeFrom="page">
                <wp:posOffset>4572</wp:posOffset>
              </wp:positionH>
              <wp:positionV relativeFrom="page">
                <wp:posOffset>10140708</wp:posOffset>
              </wp:positionV>
              <wp:extent cx="7556500" cy="539750"/>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7556500" cy="539750"/>
                      </a:xfrm>
                      <a:custGeom>
                        <a:avLst/>
                        <a:gdLst/>
                        <a:ahLst/>
                        <a:cxnLst/>
                        <a:rect l="l" t="t" r="r" b="b"/>
                        <a:pathLst>
                          <a:path w="7556500" h="539750">
                            <a:moveTo>
                              <a:pt x="7555992" y="0"/>
                            </a:moveTo>
                            <a:lnTo>
                              <a:pt x="7026910" y="0"/>
                            </a:lnTo>
                            <a:lnTo>
                              <a:pt x="6487414" y="0"/>
                            </a:lnTo>
                            <a:lnTo>
                              <a:pt x="541020" y="0"/>
                            </a:lnTo>
                            <a:lnTo>
                              <a:pt x="0" y="0"/>
                            </a:lnTo>
                            <a:lnTo>
                              <a:pt x="0" y="539483"/>
                            </a:lnTo>
                            <a:lnTo>
                              <a:pt x="541020" y="539483"/>
                            </a:lnTo>
                            <a:lnTo>
                              <a:pt x="6487414" y="539483"/>
                            </a:lnTo>
                            <a:lnTo>
                              <a:pt x="7026910" y="539483"/>
                            </a:lnTo>
                            <a:lnTo>
                              <a:pt x="7555992" y="539483"/>
                            </a:lnTo>
                            <a:lnTo>
                              <a:pt x="7555992" y="0"/>
                            </a:lnTo>
                            <a:close/>
                          </a:path>
                        </a:pathLst>
                      </a:custGeom>
                      <a:solidFill>
                        <a:srgbClr val="FBFB2F"/>
                      </a:solidFill>
                    </wps:spPr>
                    <wps:bodyPr wrap="square" lIns="0" tIns="0" rIns="0" bIns="0" rtlCol="0">
                      <a:prstTxWarp prst="textNoShape">
                        <a:avLst/>
                      </a:prstTxWarp>
                      <a:noAutofit/>
                    </wps:bodyPr>
                  </wps:wsp>
                </a:graphicData>
              </a:graphic>
            </wp:anchor>
          </w:drawing>
        </mc:Choice>
        <mc:Fallback>
          <w:pict>
            <v:shape style="position:absolute;margin-left:.36pt;margin-top:798.480957pt;width:595pt;height:42.5pt;mso-position-horizontal-relative:page;mso-position-vertical-relative:page;z-index:-15918592" id="docshape17" coordorigin="7,15970" coordsize="11900,850" path="m11906,15970l11073,15970,10224,15970,859,15970,7,15970,7,16819,859,16819,10224,16819,11073,16819,11906,16819,11906,15970xe" filled="true" fillcolor="#fbfb2f" stroked="false">
              <v:path arrowok="t"/>
              <v:fill type="solid"/>
              <w10:wrap type="none"/>
            </v:shape>
          </w:pict>
        </mc:Fallback>
      </mc:AlternateContent>
    </w:r>
    <w:r>
      <w:rPr/>
      <mc:AlternateContent>
        <mc:Choice Requires="wps">
          <w:drawing>
            <wp:anchor distT="0" distB="0" distL="0" distR="0" allowOverlap="1" layoutInCell="1" locked="0" behindDoc="1" simplePos="0" relativeHeight="487398400">
              <wp:simplePos x="0" y="0"/>
              <wp:positionH relativeFrom="page">
                <wp:posOffset>532891</wp:posOffset>
              </wp:positionH>
              <wp:positionV relativeFrom="page">
                <wp:posOffset>10327350</wp:posOffset>
              </wp:positionV>
              <wp:extent cx="2813050" cy="168275"/>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2813050" cy="168275"/>
                      </a:xfrm>
                      <a:prstGeom prst="rect">
                        <a:avLst/>
                      </a:prstGeom>
                    </wps:spPr>
                    <wps:txbx>
                      <w:txbxContent>
                        <w:p>
                          <w:pPr>
                            <w:pStyle w:val="BodyText"/>
                            <w:spacing w:line="252" w:lineRule="exact"/>
                            <w:ind w:left="20"/>
                            <w:jc w:val="left"/>
                            <w:rPr>
                              <w:rFonts w:ascii="BancoDoBrasil Titulos Light"/>
                              <w:b w:val="0"/>
                            </w:rPr>
                          </w:pPr>
                          <w:r>
                            <w:rPr>
                              <w:rFonts w:ascii="BancoDoBrasil Titulos Medium"/>
                              <w:b w:val="0"/>
                              <w:color w:val="465EFF"/>
                              <w:spacing w:val="15"/>
                            </w:rPr>
                            <w:t>Banco</w:t>
                          </w:r>
                          <w:r>
                            <w:rPr>
                              <w:rFonts w:ascii="BancoDoBrasil Titulos Medium"/>
                              <w:b w:val="0"/>
                              <w:color w:val="465EFF"/>
                              <w:spacing w:val="40"/>
                            </w:rPr>
                            <w:t> </w:t>
                          </w:r>
                          <w:r>
                            <w:rPr>
                              <w:rFonts w:ascii="BancoDoBrasil Titulos Medium"/>
                              <w:b w:val="0"/>
                              <w:color w:val="465EFF"/>
                              <w:spacing w:val="10"/>
                            </w:rPr>
                            <w:t>do</w:t>
                          </w:r>
                          <w:r>
                            <w:rPr>
                              <w:rFonts w:ascii="BancoDoBrasil Titulos Medium"/>
                              <w:b w:val="0"/>
                              <w:color w:val="465EFF"/>
                              <w:spacing w:val="43"/>
                            </w:rPr>
                            <w:t> </w:t>
                          </w:r>
                          <w:r>
                            <w:rPr>
                              <w:rFonts w:ascii="BancoDoBrasil Titulos Medium"/>
                              <w:b w:val="0"/>
                              <w:color w:val="465EFF"/>
                              <w:spacing w:val="15"/>
                            </w:rPr>
                            <w:t>Brasil</w:t>
                          </w:r>
                          <w:r>
                            <w:rPr>
                              <w:rFonts w:ascii="BancoDoBrasil Titulos Medium"/>
                              <w:b w:val="0"/>
                              <w:color w:val="465EFF"/>
                              <w:spacing w:val="41"/>
                            </w:rPr>
                            <w:t> </w:t>
                          </w:r>
                          <w:r>
                            <w:rPr>
                              <w:rFonts w:ascii="BancoDoBrasil Titulos Medium"/>
                              <w:b w:val="0"/>
                              <w:color w:val="465EFF"/>
                            </w:rPr>
                            <w:t>S.</w:t>
                          </w:r>
                          <w:r>
                            <w:rPr>
                              <w:rFonts w:ascii="BancoDoBrasil Titulos Medium"/>
                              <w:b w:val="0"/>
                              <w:color w:val="465EFF"/>
                              <w:spacing w:val="-27"/>
                            </w:rPr>
                            <w:t> </w:t>
                          </w:r>
                          <w:r>
                            <w:rPr>
                              <w:rFonts w:ascii="BancoDoBrasil Titulos Medium"/>
                              <w:b w:val="0"/>
                              <w:color w:val="465EFF"/>
                            </w:rPr>
                            <w:t>A.</w:t>
                          </w:r>
                          <w:r>
                            <w:rPr>
                              <w:rFonts w:ascii="BancoDoBrasil Titulos Medium"/>
                              <w:b w:val="0"/>
                              <w:color w:val="465EFF"/>
                              <w:spacing w:val="49"/>
                            </w:rPr>
                            <w:t> </w:t>
                          </w:r>
                          <w:r>
                            <w:rPr>
                              <w:rFonts w:ascii="BancoDoBrasil Titulos Medium"/>
                              <w:b w:val="0"/>
                              <w:color w:val="465EFF"/>
                            </w:rPr>
                            <w:t>|</w:t>
                          </w:r>
                          <w:r>
                            <w:rPr>
                              <w:rFonts w:ascii="BancoDoBrasil Titulos Medium"/>
                              <w:b w:val="0"/>
                              <w:color w:val="465EFF"/>
                              <w:spacing w:val="41"/>
                            </w:rPr>
                            <w:t> </w:t>
                          </w:r>
                          <w:r>
                            <w:rPr>
                              <w:rFonts w:ascii="BancoDoBrasil Titulos Light"/>
                              <w:b w:val="0"/>
                              <w:color w:val="465EFF"/>
                              <w:spacing w:val="15"/>
                            </w:rPr>
                            <w:t>Investor</w:t>
                          </w:r>
                          <w:r>
                            <w:rPr>
                              <w:rFonts w:ascii="BancoDoBrasil Titulos Light"/>
                              <w:b w:val="0"/>
                              <w:color w:val="465EFF"/>
                              <w:spacing w:val="41"/>
                            </w:rPr>
                            <w:t> </w:t>
                          </w:r>
                          <w:r>
                            <w:rPr>
                              <w:rFonts w:ascii="BancoDoBrasil Titulos Light"/>
                              <w:b w:val="0"/>
                              <w:color w:val="465EFF"/>
                              <w:spacing w:val="14"/>
                            </w:rPr>
                            <w:t>Relations</w:t>
                          </w:r>
                        </w:p>
                      </w:txbxContent>
                    </wps:txbx>
                    <wps:bodyPr wrap="square" lIns="0" tIns="0" rIns="0" bIns="0" rtlCol="0">
                      <a:noAutofit/>
                    </wps:bodyPr>
                  </wps:wsp>
                </a:graphicData>
              </a:graphic>
            </wp:anchor>
          </w:drawing>
        </mc:Choice>
        <mc:Fallback>
          <w:pict>
            <v:shape style="position:absolute;margin-left:41.959999pt;margin-top:813.177185pt;width:221.5pt;height:13.25pt;mso-position-horizontal-relative:page;mso-position-vertical-relative:page;z-index:-15918080" type="#_x0000_t202" id="docshape18" filled="false" stroked="false">
              <v:textbox inset="0,0,0,0">
                <w:txbxContent>
                  <w:p>
                    <w:pPr>
                      <w:pStyle w:val="BodyText"/>
                      <w:spacing w:line="252" w:lineRule="exact"/>
                      <w:ind w:left="20"/>
                      <w:jc w:val="left"/>
                      <w:rPr>
                        <w:rFonts w:ascii="BancoDoBrasil Titulos Light"/>
                        <w:b w:val="0"/>
                      </w:rPr>
                    </w:pPr>
                    <w:r>
                      <w:rPr>
                        <w:rFonts w:ascii="BancoDoBrasil Titulos Medium"/>
                        <w:b w:val="0"/>
                        <w:color w:val="465EFF"/>
                        <w:spacing w:val="15"/>
                      </w:rPr>
                      <w:t>Banco</w:t>
                    </w:r>
                    <w:r>
                      <w:rPr>
                        <w:rFonts w:ascii="BancoDoBrasil Titulos Medium"/>
                        <w:b w:val="0"/>
                        <w:color w:val="465EFF"/>
                        <w:spacing w:val="40"/>
                      </w:rPr>
                      <w:t> </w:t>
                    </w:r>
                    <w:r>
                      <w:rPr>
                        <w:rFonts w:ascii="BancoDoBrasil Titulos Medium"/>
                        <w:b w:val="0"/>
                        <w:color w:val="465EFF"/>
                        <w:spacing w:val="10"/>
                      </w:rPr>
                      <w:t>do</w:t>
                    </w:r>
                    <w:r>
                      <w:rPr>
                        <w:rFonts w:ascii="BancoDoBrasil Titulos Medium"/>
                        <w:b w:val="0"/>
                        <w:color w:val="465EFF"/>
                        <w:spacing w:val="43"/>
                      </w:rPr>
                      <w:t> </w:t>
                    </w:r>
                    <w:r>
                      <w:rPr>
                        <w:rFonts w:ascii="BancoDoBrasil Titulos Medium"/>
                        <w:b w:val="0"/>
                        <w:color w:val="465EFF"/>
                        <w:spacing w:val="15"/>
                      </w:rPr>
                      <w:t>Brasil</w:t>
                    </w:r>
                    <w:r>
                      <w:rPr>
                        <w:rFonts w:ascii="BancoDoBrasil Titulos Medium"/>
                        <w:b w:val="0"/>
                        <w:color w:val="465EFF"/>
                        <w:spacing w:val="41"/>
                      </w:rPr>
                      <w:t> </w:t>
                    </w:r>
                    <w:r>
                      <w:rPr>
                        <w:rFonts w:ascii="BancoDoBrasil Titulos Medium"/>
                        <w:b w:val="0"/>
                        <w:color w:val="465EFF"/>
                      </w:rPr>
                      <w:t>S.</w:t>
                    </w:r>
                    <w:r>
                      <w:rPr>
                        <w:rFonts w:ascii="BancoDoBrasil Titulos Medium"/>
                        <w:b w:val="0"/>
                        <w:color w:val="465EFF"/>
                        <w:spacing w:val="-27"/>
                      </w:rPr>
                      <w:t> </w:t>
                    </w:r>
                    <w:r>
                      <w:rPr>
                        <w:rFonts w:ascii="BancoDoBrasil Titulos Medium"/>
                        <w:b w:val="0"/>
                        <w:color w:val="465EFF"/>
                      </w:rPr>
                      <w:t>A.</w:t>
                    </w:r>
                    <w:r>
                      <w:rPr>
                        <w:rFonts w:ascii="BancoDoBrasil Titulos Medium"/>
                        <w:b w:val="0"/>
                        <w:color w:val="465EFF"/>
                        <w:spacing w:val="49"/>
                      </w:rPr>
                      <w:t> </w:t>
                    </w:r>
                    <w:r>
                      <w:rPr>
                        <w:rFonts w:ascii="BancoDoBrasil Titulos Medium"/>
                        <w:b w:val="0"/>
                        <w:color w:val="465EFF"/>
                      </w:rPr>
                      <w:t>|</w:t>
                    </w:r>
                    <w:r>
                      <w:rPr>
                        <w:rFonts w:ascii="BancoDoBrasil Titulos Medium"/>
                        <w:b w:val="0"/>
                        <w:color w:val="465EFF"/>
                        <w:spacing w:val="41"/>
                      </w:rPr>
                      <w:t> </w:t>
                    </w:r>
                    <w:r>
                      <w:rPr>
                        <w:rFonts w:ascii="BancoDoBrasil Titulos Light"/>
                        <w:b w:val="0"/>
                        <w:color w:val="465EFF"/>
                        <w:spacing w:val="15"/>
                      </w:rPr>
                      <w:t>Investor</w:t>
                    </w:r>
                    <w:r>
                      <w:rPr>
                        <w:rFonts w:ascii="BancoDoBrasil Titulos Light"/>
                        <w:b w:val="0"/>
                        <w:color w:val="465EFF"/>
                        <w:spacing w:val="41"/>
                      </w:rPr>
                      <w:t> </w:t>
                    </w:r>
                    <w:r>
                      <w:rPr>
                        <w:rFonts w:ascii="BancoDoBrasil Titulos Light"/>
                        <w:b w:val="0"/>
                        <w:color w:val="465EFF"/>
                        <w:spacing w:val="14"/>
                      </w:rPr>
                      <w:t>Relations</w:t>
                    </w:r>
                  </w:p>
                </w:txbxContent>
              </v:textbox>
              <w10:wrap type="none"/>
            </v:shape>
          </w:pict>
        </mc:Fallback>
      </mc:AlternateContent>
    </w:r>
    <w:r>
      <w:rPr/>
      <mc:AlternateContent>
        <mc:Choice Requires="wps">
          <w:drawing>
            <wp:anchor distT="0" distB="0" distL="0" distR="0" allowOverlap="1" layoutInCell="1" locked="0" behindDoc="1" simplePos="0" relativeHeight="487398912">
              <wp:simplePos x="0" y="0"/>
              <wp:positionH relativeFrom="page">
                <wp:posOffset>6846569</wp:posOffset>
              </wp:positionH>
              <wp:positionV relativeFrom="page">
                <wp:posOffset>10327350</wp:posOffset>
              </wp:positionV>
              <wp:extent cx="235585" cy="168275"/>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235585" cy="168275"/>
                      </a:xfrm>
                      <a:prstGeom prst="rect">
                        <a:avLst/>
                      </a:prstGeom>
                    </wps:spPr>
                    <wps:txbx>
                      <w:txbxContent>
                        <w:p>
                          <w:pPr>
                            <w:pStyle w:val="BodyText"/>
                            <w:spacing w:line="252" w:lineRule="exact"/>
                            <w:ind w:left="20"/>
                            <w:jc w:val="left"/>
                            <w:rPr>
                              <w:rFonts w:ascii="BancoDoBrasil Titulos Medium"/>
                              <w:b w:val="0"/>
                            </w:rPr>
                          </w:pPr>
                          <w:r>
                            <w:rPr>
                              <w:rFonts w:ascii="BancoDoBrasil Titulos Medium"/>
                              <w:b w:val="0"/>
                              <w:color w:val="465EFF"/>
                              <w:spacing w:val="-5"/>
                            </w:rPr>
                            <w:fldChar w:fldCharType="begin"/>
                          </w:r>
                          <w:r>
                            <w:rPr>
                              <w:rFonts w:ascii="BancoDoBrasil Titulos Medium"/>
                              <w:b w:val="0"/>
                              <w:color w:val="465EFF"/>
                              <w:spacing w:val="-5"/>
                            </w:rPr>
                            <w:instrText> PAGE </w:instrText>
                          </w:r>
                          <w:r>
                            <w:rPr>
                              <w:rFonts w:ascii="BancoDoBrasil Titulos Medium"/>
                              <w:b w:val="0"/>
                              <w:color w:val="465EFF"/>
                              <w:spacing w:val="-5"/>
                            </w:rPr>
                            <w:fldChar w:fldCharType="separate"/>
                          </w:r>
                          <w:r>
                            <w:rPr>
                              <w:rFonts w:ascii="BancoDoBrasil Titulos Medium"/>
                              <w:b w:val="0"/>
                              <w:color w:val="465EFF"/>
                              <w:spacing w:val="-5"/>
                            </w:rPr>
                            <w:t>10</w:t>
                          </w:r>
                          <w:r>
                            <w:rPr>
                              <w:rFonts w:ascii="BancoDoBrasil Titulos Medium"/>
                              <w:b w:val="0"/>
                              <w:color w:val="465EFF"/>
                              <w:spacing w:val="-5"/>
                            </w:rPr>
                            <w:fldChar w:fldCharType="end"/>
                          </w:r>
                          <w:r>
                            <w:rPr>
                              <w:rFonts w:ascii="BancoDoBrasil Titulos Medium"/>
                              <w:b w:val="0"/>
                              <w:color w:val="465EFF"/>
                              <w:spacing w:val="-5"/>
                            </w:rPr>
                            <w:t> </w:t>
                          </w:r>
                        </w:p>
                      </w:txbxContent>
                    </wps:txbx>
                    <wps:bodyPr wrap="square" lIns="0" tIns="0" rIns="0" bIns="0" rtlCol="0">
                      <a:noAutofit/>
                    </wps:bodyPr>
                  </wps:wsp>
                </a:graphicData>
              </a:graphic>
            </wp:anchor>
          </w:drawing>
        </mc:Choice>
        <mc:Fallback>
          <w:pict>
            <v:shape style="position:absolute;margin-left:539.099976pt;margin-top:813.177185pt;width:18.55pt;height:13.25pt;mso-position-horizontal-relative:page;mso-position-vertical-relative:page;z-index:-15917568" type="#_x0000_t202" id="docshape19" filled="false" stroked="false">
              <v:textbox inset="0,0,0,0">
                <w:txbxContent>
                  <w:p>
                    <w:pPr>
                      <w:pStyle w:val="BodyText"/>
                      <w:spacing w:line="252" w:lineRule="exact"/>
                      <w:ind w:left="20"/>
                      <w:jc w:val="left"/>
                      <w:rPr>
                        <w:rFonts w:ascii="BancoDoBrasil Titulos Medium"/>
                        <w:b w:val="0"/>
                      </w:rPr>
                    </w:pPr>
                    <w:r>
                      <w:rPr>
                        <w:rFonts w:ascii="BancoDoBrasil Titulos Medium"/>
                        <w:b w:val="0"/>
                        <w:color w:val="465EFF"/>
                        <w:spacing w:val="-5"/>
                      </w:rPr>
                      <w:fldChar w:fldCharType="begin"/>
                    </w:r>
                    <w:r>
                      <w:rPr>
                        <w:rFonts w:ascii="BancoDoBrasil Titulos Medium"/>
                        <w:b w:val="0"/>
                        <w:color w:val="465EFF"/>
                        <w:spacing w:val="-5"/>
                      </w:rPr>
                      <w:instrText> PAGE </w:instrText>
                    </w:r>
                    <w:r>
                      <w:rPr>
                        <w:rFonts w:ascii="BancoDoBrasil Titulos Medium"/>
                        <w:b w:val="0"/>
                        <w:color w:val="465EFF"/>
                        <w:spacing w:val="-5"/>
                      </w:rPr>
                      <w:fldChar w:fldCharType="separate"/>
                    </w:r>
                    <w:r>
                      <w:rPr>
                        <w:rFonts w:ascii="BancoDoBrasil Titulos Medium"/>
                        <w:b w:val="0"/>
                        <w:color w:val="465EFF"/>
                        <w:spacing w:val="-5"/>
                      </w:rPr>
                      <w:t>10</w:t>
                    </w:r>
                    <w:r>
                      <w:rPr>
                        <w:rFonts w:ascii="BancoDoBrasil Titulos Medium"/>
                        <w:b w:val="0"/>
                        <w:color w:val="465EFF"/>
                        <w:spacing w:val="-5"/>
                      </w:rPr>
                      <w:fldChar w:fldCharType="end"/>
                    </w:r>
                    <w:r>
                      <w:rPr>
                        <w:rFonts w:ascii="BancoDoBrasil Titulos Medium"/>
                        <w:b w:val="0"/>
                        <w:color w:val="465EFF"/>
                        <w:spacing w:val="-5"/>
                      </w:rPr>
                      <w:t> </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pPr>
    <w:r>
      <w:rPr/>
      <mc:AlternateContent>
        <mc:Choice Requires="wps">
          <w:drawing>
            <wp:anchor distT="0" distB="0" distL="0" distR="0" allowOverlap="1" layoutInCell="1" locked="0" behindDoc="1" simplePos="0" relativeHeight="487393280">
              <wp:simplePos x="0" y="0"/>
              <wp:positionH relativeFrom="page">
                <wp:posOffset>6659181</wp:posOffset>
              </wp:positionH>
              <wp:positionV relativeFrom="page">
                <wp:posOffset>96531</wp:posOffset>
              </wp:positionV>
              <wp:extent cx="353695" cy="346710"/>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353695" cy="346710"/>
                      </a:xfrm>
                      <a:custGeom>
                        <a:avLst/>
                        <a:gdLst/>
                        <a:ahLst/>
                        <a:cxnLst/>
                        <a:rect l="l" t="t" r="r" b="b"/>
                        <a:pathLst>
                          <a:path w="353695" h="346710">
                            <a:moveTo>
                              <a:pt x="71615" y="300278"/>
                            </a:moveTo>
                            <a:lnTo>
                              <a:pt x="35052" y="275628"/>
                            </a:lnTo>
                            <a:lnTo>
                              <a:pt x="0" y="297815"/>
                            </a:lnTo>
                            <a:lnTo>
                              <a:pt x="0" y="346506"/>
                            </a:lnTo>
                            <a:lnTo>
                              <a:pt x="71615" y="300278"/>
                            </a:lnTo>
                            <a:close/>
                          </a:path>
                          <a:path w="353695" h="346710">
                            <a:moveTo>
                              <a:pt x="350850" y="230276"/>
                            </a:moveTo>
                            <a:lnTo>
                              <a:pt x="278193" y="181483"/>
                            </a:lnTo>
                            <a:lnTo>
                              <a:pt x="192201" y="239649"/>
                            </a:lnTo>
                            <a:lnTo>
                              <a:pt x="228282" y="263994"/>
                            </a:lnTo>
                            <a:lnTo>
                              <a:pt x="180835" y="296824"/>
                            </a:lnTo>
                            <a:lnTo>
                              <a:pt x="76568" y="226834"/>
                            </a:lnTo>
                            <a:lnTo>
                              <a:pt x="245579" y="117411"/>
                            </a:lnTo>
                            <a:lnTo>
                              <a:pt x="208013" y="92748"/>
                            </a:lnTo>
                            <a:lnTo>
                              <a:pt x="0" y="230276"/>
                            </a:lnTo>
                            <a:lnTo>
                              <a:pt x="176707" y="346506"/>
                            </a:lnTo>
                            <a:lnTo>
                              <a:pt x="350850" y="230276"/>
                            </a:lnTo>
                            <a:close/>
                          </a:path>
                          <a:path w="353695" h="346710">
                            <a:moveTo>
                              <a:pt x="350850" y="115430"/>
                            </a:moveTo>
                            <a:lnTo>
                              <a:pt x="176707" y="0"/>
                            </a:lnTo>
                            <a:lnTo>
                              <a:pt x="0" y="113461"/>
                            </a:lnTo>
                            <a:lnTo>
                              <a:pt x="74091" y="162750"/>
                            </a:lnTo>
                            <a:lnTo>
                              <a:pt x="159092" y="106070"/>
                            </a:lnTo>
                            <a:lnTo>
                              <a:pt x="123507" y="80429"/>
                            </a:lnTo>
                            <a:lnTo>
                              <a:pt x="171945" y="48399"/>
                            </a:lnTo>
                            <a:lnTo>
                              <a:pt x="274243" y="116916"/>
                            </a:lnTo>
                            <a:lnTo>
                              <a:pt x="108191" y="228803"/>
                            </a:lnTo>
                            <a:lnTo>
                              <a:pt x="143281" y="252463"/>
                            </a:lnTo>
                            <a:lnTo>
                              <a:pt x="350850" y="115430"/>
                            </a:lnTo>
                            <a:close/>
                          </a:path>
                          <a:path w="353695" h="346710">
                            <a:moveTo>
                              <a:pt x="353402" y="0"/>
                            </a:moveTo>
                            <a:lnTo>
                              <a:pt x="282155" y="45440"/>
                            </a:lnTo>
                            <a:lnTo>
                              <a:pt x="320205" y="72059"/>
                            </a:lnTo>
                            <a:lnTo>
                              <a:pt x="353402" y="50368"/>
                            </a:lnTo>
                            <a:lnTo>
                              <a:pt x="353402" y="0"/>
                            </a:lnTo>
                            <a:close/>
                          </a:path>
                        </a:pathLst>
                      </a:custGeom>
                      <a:solidFill>
                        <a:srgbClr val="465EFF"/>
                      </a:solidFill>
                    </wps:spPr>
                    <wps:bodyPr wrap="square" lIns="0" tIns="0" rIns="0" bIns="0" rtlCol="0">
                      <a:prstTxWarp prst="textNoShape">
                        <a:avLst/>
                      </a:prstTxWarp>
                      <a:noAutofit/>
                    </wps:bodyPr>
                  </wps:wsp>
                </a:graphicData>
              </a:graphic>
            </wp:anchor>
          </w:drawing>
        </mc:Choice>
        <mc:Fallback>
          <w:pict>
            <v:shape style="position:absolute;margin-left:524.345032pt;margin-top:7.600938pt;width:27.85pt;height:27.3pt;mso-position-horizontal-relative:page;mso-position-vertical-relative:page;z-index:-15923200" id="docshape8" coordorigin="10487,152" coordsize="557,546" path="m10600,625l10542,586,10487,621,10487,698,10600,625xm11039,515l10925,438,10790,529,10846,568,10772,619,10607,509,10874,337,10814,298,10487,515,10765,698,11039,515xm11039,334l10765,152,10487,331,10604,408,10737,319,10681,279,10758,228,10919,336,10657,512,10713,550,11039,334xm11043,152l10931,224,10991,265,11043,231,11043,152xe" filled="true" fillcolor="#465eff" stroked="false">
              <v:path arrowok="t"/>
              <v:fill type="solid"/>
              <w10:wrap type="none"/>
            </v:shape>
          </w:pict>
        </mc:Fallback>
      </mc:AlternateContent>
    </w:r>
    <w:r>
      <w:rPr/>
      <mc:AlternateContent>
        <mc:Choice Requires="wps">
          <w:drawing>
            <wp:anchor distT="0" distB="0" distL="0" distR="0" allowOverlap="1" layoutInCell="1" locked="0" behindDoc="1" simplePos="0" relativeHeight="487393792">
              <wp:simplePos x="0" y="0"/>
              <wp:positionH relativeFrom="page">
                <wp:posOffset>0</wp:posOffset>
              </wp:positionH>
              <wp:positionV relativeFrom="page">
                <wp:posOffset>539495</wp:posOffset>
              </wp:positionV>
              <wp:extent cx="7560945" cy="38100"/>
              <wp:effectExtent l="0" t="0" r="0" b="0"/>
              <wp:wrapNone/>
              <wp:docPr id="10" name="Graphic 10"/>
              <wp:cNvGraphicFramePr>
                <a:graphicFrameLocks/>
              </wp:cNvGraphicFramePr>
              <a:graphic>
                <a:graphicData uri="http://schemas.microsoft.com/office/word/2010/wordprocessingShape">
                  <wps:wsp>
                    <wps:cNvPr id="10" name="Graphic 10"/>
                    <wps:cNvSpPr/>
                    <wps:spPr>
                      <a:xfrm>
                        <a:off x="0" y="0"/>
                        <a:ext cx="7560945" cy="38100"/>
                      </a:xfrm>
                      <a:custGeom>
                        <a:avLst/>
                        <a:gdLst/>
                        <a:ahLst/>
                        <a:cxnLst/>
                        <a:rect l="l" t="t" r="r" b="b"/>
                        <a:pathLst>
                          <a:path w="7560945" h="38100">
                            <a:moveTo>
                              <a:pt x="7560564" y="0"/>
                            </a:moveTo>
                            <a:lnTo>
                              <a:pt x="7560564" y="0"/>
                            </a:lnTo>
                            <a:lnTo>
                              <a:pt x="0" y="0"/>
                            </a:lnTo>
                            <a:lnTo>
                              <a:pt x="0" y="38100"/>
                            </a:lnTo>
                            <a:lnTo>
                              <a:pt x="7560564" y="38100"/>
                            </a:lnTo>
                            <a:lnTo>
                              <a:pt x="7560564" y="0"/>
                            </a:lnTo>
                            <a:close/>
                          </a:path>
                        </a:pathLst>
                      </a:custGeom>
                      <a:solidFill>
                        <a:srgbClr val="FCF429"/>
                      </a:solidFill>
                    </wps:spPr>
                    <wps:bodyPr wrap="square" lIns="0" tIns="0" rIns="0" bIns="0" rtlCol="0">
                      <a:prstTxWarp prst="textNoShape">
                        <a:avLst/>
                      </a:prstTxWarp>
                      <a:noAutofit/>
                    </wps:bodyPr>
                  </wps:wsp>
                </a:graphicData>
              </a:graphic>
            </wp:anchor>
          </w:drawing>
        </mc:Choice>
        <mc:Fallback>
          <w:pict>
            <v:rect style="position:absolute;margin-left:0pt;margin-top:42.479939pt;width:595.320028pt;height:3.0pt;mso-position-horizontal-relative:page;mso-position-vertical-relative:page;z-index:-15922688" id="docshape9" filled="true" fillcolor="#fcf429" stroked="false">
              <v:fill type="solid"/>
              <w10:wrap type="none"/>
            </v:rect>
          </w:pict>
        </mc:Fallback>
      </mc:AlternateContent>
    </w:r>
    <w:r>
      <w:rPr/>
      <mc:AlternateContent>
        <mc:Choice Requires="wps">
          <w:drawing>
            <wp:anchor distT="0" distB="0" distL="0" distR="0" allowOverlap="1" layoutInCell="1" locked="0" behindDoc="1" simplePos="0" relativeHeight="487394304">
              <wp:simplePos x="0" y="0"/>
              <wp:positionH relativeFrom="page">
                <wp:posOffset>525272</wp:posOffset>
              </wp:positionH>
              <wp:positionV relativeFrom="page">
                <wp:posOffset>186654</wp:posOffset>
              </wp:positionV>
              <wp:extent cx="1965960" cy="168275"/>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1965960" cy="168275"/>
                      </a:xfrm>
                      <a:prstGeom prst="rect">
                        <a:avLst/>
                      </a:prstGeom>
                    </wps:spPr>
                    <wps:txbx>
                      <w:txbxContent>
                        <w:p>
                          <w:pPr>
                            <w:pStyle w:val="BodyText"/>
                            <w:spacing w:line="252" w:lineRule="exact"/>
                            <w:ind w:left="20"/>
                            <w:jc w:val="left"/>
                            <w:rPr>
                              <w:rFonts w:ascii="BancoDoBrasil Textos Medium"/>
                              <w:b w:val="0"/>
                            </w:rPr>
                          </w:pPr>
                          <w:r>
                            <w:rPr>
                              <w:rFonts w:ascii="BancoDoBrasil Textos Medium"/>
                              <w:b w:val="0"/>
                              <w:color w:val="465EFF"/>
                              <w:spacing w:val="17"/>
                            </w:rPr>
                            <w:t>Management</w:t>
                          </w:r>
                          <w:r>
                            <w:rPr>
                              <w:rFonts w:ascii="BancoDoBrasil Textos Medium"/>
                              <w:b w:val="0"/>
                              <w:color w:val="465EFF"/>
                              <w:spacing w:val="33"/>
                            </w:rPr>
                            <w:t> </w:t>
                          </w:r>
                          <w:r>
                            <w:rPr>
                              <w:rFonts w:ascii="BancoDoBrasil Textos Medium"/>
                              <w:b w:val="0"/>
                              <w:color w:val="465EFF"/>
                              <w:spacing w:val="15"/>
                            </w:rPr>
                            <w:t>Report</w:t>
                          </w:r>
                          <w:r>
                            <w:rPr>
                              <w:rFonts w:ascii="BancoDoBrasil Textos Medium"/>
                              <w:b w:val="0"/>
                              <w:color w:val="465EFF"/>
                              <w:spacing w:val="38"/>
                            </w:rPr>
                            <w:t> </w:t>
                          </w:r>
                          <w:r>
                            <w:rPr>
                              <w:rFonts w:ascii="BancoDoBrasil Textos Light"/>
                              <w:b w:val="0"/>
                              <w:color w:val="465EFF"/>
                            </w:rPr>
                            <w:t>|</w:t>
                          </w:r>
                          <w:r>
                            <w:rPr>
                              <w:rFonts w:ascii="BancoDoBrasil Textos Light"/>
                              <w:b w:val="0"/>
                              <w:color w:val="465EFF"/>
                              <w:spacing w:val="37"/>
                            </w:rPr>
                            <w:t> </w:t>
                          </w:r>
                          <w:r>
                            <w:rPr>
                              <w:rFonts w:ascii="BancoDoBrasil Textos Medium"/>
                              <w:b w:val="0"/>
                              <w:color w:val="465EFF"/>
                            </w:rPr>
                            <w:t>1</w:t>
                          </w:r>
                          <w:r>
                            <w:rPr>
                              <w:rFonts w:ascii="BancoDoBrasil Textos Medium"/>
                              <w:b w:val="0"/>
                              <w:color w:val="465EFF"/>
                              <w:spacing w:val="-30"/>
                            </w:rPr>
                            <w:t> </w:t>
                          </w:r>
                          <w:r>
                            <w:rPr>
                              <w:rFonts w:ascii="BancoDoBrasil Textos Medium"/>
                              <w:b w:val="0"/>
                              <w:color w:val="465EFF"/>
                            </w:rPr>
                            <w:t>H</w:t>
                          </w:r>
                          <w:r>
                            <w:rPr>
                              <w:rFonts w:ascii="BancoDoBrasil Textos Medium"/>
                              <w:b w:val="0"/>
                              <w:color w:val="465EFF"/>
                              <w:spacing w:val="-26"/>
                            </w:rPr>
                            <w:t> </w:t>
                          </w:r>
                          <w:r>
                            <w:rPr>
                              <w:rFonts w:ascii="BancoDoBrasil Textos Medium"/>
                              <w:b w:val="0"/>
                              <w:color w:val="465EFF"/>
                              <w:spacing w:val="4"/>
                            </w:rPr>
                            <w:t>25</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1.360001pt;margin-top:14.697178pt;width:154.8pt;height:13.25pt;mso-position-horizontal-relative:page;mso-position-vertical-relative:page;z-index:-15922176" type="#_x0000_t202" id="docshape10" filled="false" stroked="false">
              <v:textbox inset="0,0,0,0">
                <w:txbxContent>
                  <w:p>
                    <w:pPr>
                      <w:pStyle w:val="BodyText"/>
                      <w:spacing w:line="252" w:lineRule="exact"/>
                      <w:ind w:left="20"/>
                      <w:jc w:val="left"/>
                      <w:rPr>
                        <w:rFonts w:ascii="BancoDoBrasil Textos Medium"/>
                        <w:b w:val="0"/>
                      </w:rPr>
                    </w:pPr>
                    <w:r>
                      <w:rPr>
                        <w:rFonts w:ascii="BancoDoBrasil Textos Medium"/>
                        <w:b w:val="0"/>
                        <w:color w:val="465EFF"/>
                        <w:spacing w:val="17"/>
                      </w:rPr>
                      <w:t>Management</w:t>
                    </w:r>
                    <w:r>
                      <w:rPr>
                        <w:rFonts w:ascii="BancoDoBrasil Textos Medium"/>
                        <w:b w:val="0"/>
                        <w:color w:val="465EFF"/>
                        <w:spacing w:val="33"/>
                      </w:rPr>
                      <w:t> </w:t>
                    </w:r>
                    <w:r>
                      <w:rPr>
                        <w:rFonts w:ascii="BancoDoBrasil Textos Medium"/>
                        <w:b w:val="0"/>
                        <w:color w:val="465EFF"/>
                        <w:spacing w:val="15"/>
                      </w:rPr>
                      <w:t>Report</w:t>
                    </w:r>
                    <w:r>
                      <w:rPr>
                        <w:rFonts w:ascii="BancoDoBrasil Textos Medium"/>
                        <w:b w:val="0"/>
                        <w:color w:val="465EFF"/>
                        <w:spacing w:val="38"/>
                      </w:rPr>
                      <w:t> </w:t>
                    </w:r>
                    <w:r>
                      <w:rPr>
                        <w:rFonts w:ascii="BancoDoBrasil Textos Light"/>
                        <w:b w:val="0"/>
                        <w:color w:val="465EFF"/>
                      </w:rPr>
                      <w:t>|</w:t>
                    </w:r>
                    <w:r>
                      <w:rPr>
                        <w:rFonts w:ascii="BancoDoBrasil Textos Light"/>
                        <w:b w:val="0"/>
                        <w:color w:val="465EFF"/>
                        <w:spacing w:val="37"/>
                      </w:rPr>
                      <w:t> </w:t>
                    </w:r>
                    <w:r>
                      <w:rPr>
                        <w:rFonts w:ascii="BancoDoBrasil Textos Medium"/>
                        <w:b w:val="0"/>
                        <w:color w:val="465EFF"/>
                      </w:rPr>
                      <w:t>1</w:t>
                    </w:r>
                    <w:r>
                      <w:rPr>
                        <w:rFonts w:ascii="BancoDoBrasil Textos Medium"/>
                        <w:b w:val="0"/>
                        <w:color w:val="465EFF"/>
                        <w:spacing w:val="-30"/>
                      </w:rPr>
                      <w:t> </w:t>
                    </w:r>
                    <w:r>
                      <w:rPr>
                        <w:rFonts w:ascii="BancoDoBrasil Textos Medium"/>
                        <w:b w:val="0"/>
                        <w:color w:val="465EFF"/>
                      </w:rPr>
                      <w:t>H</w:t>
                    </w:r>
                    <w:r>
                      <w:rPr>
                        <w:rFonts w:ascii="BancoDoBrasil Textos Medium"/>
                        <w:b w:val="0"/>
                        <w:color w:val="465EFF"/>
                        <w:spacing w:val="-26"/>
                      </w:rPr>
                      <w:t> </w:t>
                    </w:r>
                    <w:r>
                      <w:rPr>
                        <w:rFonts w:ascii="BancoDoBrasil Textos Medium"/>
                        <w:b w:val="0"/>
                        <w:color w:val="465EFF"/>
                        <w:spacing w:val="4"/>
                      </w:rPr>
                      <w:t>25</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pPr>
    <w:r>
      <w:rPr/>
      <mc:AlternateContent>
        <mc:Choice Requires="wps">
          <w:drawing>
            <wp:anchor distT="0" distB="0" distL="0" distR="0" allowOverlap="1" layoutInCell="1" locked="0" behindDoc="1" simplePos="0" relativeHeight="487396352">
              <wp:simplePos x="0" y="0"/>
              <wp:positionH relativeFrom="page">
                <wp:posOffset>6659181</wp:posOffset>
              </wp:positionH>
              <wp:positionV relativeFrom="page">
                <wp:posOffset>96531</wp:posOffset>
              </wp:positionV>
              <wp:extent cx="353695" cy="34671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353695" cy="346710"/>
                      </a:xfrm>
                      <a:custGeom>
                        <a:avLst/>
                        <a:gdLst/>
                        <a:ahLst/>
                        <a:cxnLst/>
                        <a:rect l="l" t="t" r="r" b="b"/>
                        <a:pathLst>
                          <a:path w="353695" h="346710">
                            <a:moveTo>
                              <a:pt x="71615" y="300278"/>
                            </a:moveTo>
                            <a:lnTo>
                              <a:pt x="35052" y="275628"/>
                            </a:lnTo>
                            <a:lnTo>
                              <a:pt x="0" y="297815"/>
                            </a:lnTo>
                            <a:lnTo>
                              <a:pt x="0" y="346506"/>
                            </a:lnTo>
                            <a:lnTo>
                              <a:pt x="71615" y="300278"/>
                            </a:lnTo>
                            <a:close/>
                          </a:path>
                          <a:path w="353695" h="346710">
                            <a:moveTo>
                              <a:pt x="350850" y="230276"/>
                            </a:moveTo>
                            <a:lnTo>
                              <a:pt x="278193" y="181483"/>
                            </a:lnTo>
                            <a:lnTo>
                              <a:pt x="192201" y="239649"/>
                            </a:lnTo>
                            <a:lnTo>
                              <a:pt x="228282" y="263994"/>
                            </a:lnTo>
                            <a:lnTo>
                              <a:pt x="180835" y="296824"/>
                            </a:lnTo>
                            <a:lnTo>
                              <a:pt x="76568" y="226834"/>
                            </a:lnTo>
                            <a:lnTo>
                              <a:pt x="245579" y="117411"/>
                            </a:lnTo>
                            <a:lnTo>
                              <a:pt x="208013" y="92748"/>
                            </a:lnTo>
                            <a:lnTo>
                              <a:pt x="0" y="230276"/>
                            </a:lnTo>
                            <a:lnTo>
                              <a:pt x="176707" y="346506"/>
                            </a:lnTo>
                            <a:lnTo>
                              <a:pt x="350850" y="230276"/>
                            </a:lnTo>
                            <a:close/>
                          </a:path>
                          <a:path w="353695" h="346710">
                            <a:moveTo>
                              <a:pt x="350850" y="115430"/>
                            </a:moveTo>
                            <a:lnTo>
                              <a:pt x="176707" y="0"/>
                            </a:lnTo>
                            <a:lnTo>
                              <a:pt x="0" y="113461"/>
                            </a:lnTo>
                            <a:lnTo>
                              <a:pt x="74091" y="162750"/>
                            </a:lnTo>
                            <a:lnTo>
                              <a:pt x="159092" y="106070"/>
                            </a:lnTo>
                            <a:lnTo>
                              <a:pt x="123507" y="80429"/>
                            </a:lnTo>
                            <a:lnTo>
                              <a:pt x="171945" y="48399"/>
                            </a:lnTo>
                            <a:lnTo>
                              <a:pt x="274243" y="116916"/>
                            </a:lnTo>
                            <a:lnTo>
                              <a:pt x="108191" y="228803"/>
                            </a:lnTo>
                            <a:lnTo>
                              <a:pt x="143281" y="252463"/>
                            </a:lnTo>
                            <a:lnTo>
                              <a:pt x="350850" y="115430"/>
                            </a:lnTo>
                            <a:close/>
                          </a:path>
                          <a:path w="353695" h="346710">
                            <a:moveTo>
                              <a:pt x="353402" y="0"/>
                            </a:moveTo>
                            <a:lnTo>
                              <a:pt x="282155" y="45440"/>
                            </a:lnTo>
                            <a:lnTo>
                              <a:pt x="320205" y="72059"/>
                            </a:lnTo>
                            <a:lnTo>
                              <a:pt x="353402" y="50368"/>
                            </a:lnTo>
                            <a:lnTo>
                              <a:pt x="353402" y="0"/>
                            </a:lnTo>
                            <a:close/>
                          </a:path>
                        </a:pathLst>
                      </a:custGeom>
                      <a:solidFill>
                        <a:srgbClr val="465EFF"/>
                      </a:solidFill>
                    </wps:spPr>
                    <wps:bodyPr wrap="square" lIns="0" tIns="0" rIns="0" bIns="0" rtlCol="0">
                      <a:prstTxWarp prst="textNoShape">
                        <a:avLst/>
                      </a:prstTxWarp>
                      <a:noAutofit/>
                    </wps:bodyPr>
                  </wps:wsp>
                </a:graphicData>
              </a:graphic>
            </wp:anchor>
          </w:drawing>
        </mc:Choice>
        <mc:Fallback>
          <w:pict>
            <v:shape style="position:absolute;margin-left:524.345032pt;margin-top:7.600938pt;width:27.85pt;height:27.3pt;mso-position-horizontal-relative:page;mso-position-vertical-relative:page;z-index:-15920128" id="docshape14" coordorigin="10487,152" coordsize="557,546" path="m10600,625l10542,586,10487,621,10487,698,10600,625xm11039,515l10925,438,10790,529,10846,568,10772,619,10607,509,10874,337,10814,298,10487,515,10765,698,11039,515xm11039,334l10765,152,10487,331,10604,408,10737,319,10681,279,10758,228,10919,336,10657,512,10713,550,11039,334xm11043,152l10931,224,10991,265,11043,231,11043,152xe" filled="true" fillcolor="#465eff" stroked="false">
              <v:path arrowok="t"/>
              <v:fill type="solid"/>
              <w10:wrap type="none"/>
            </v:shape>
          </w:pict>
        </mc:Fallback>
      </mc:AlternateContent>
    </w:r>
    <w:r>
      <w:rPr/>
      <mc:AlternateContent>
        <mc:Choice Requires="wps">
          <w:drawing>
            <wp:anchor distT="0" distB="0" distL="0" distR="0" allowOverlap="1" layoutInCell="1" locked="0" behindDoc="1" simplePos="0" relativeHeight="487396864">
              <wp:simplePos x="0" y="0"/>
              <wp:positionH relativeFrom="page">
                <wp:posOffset>0</wp:posOffset>
              </wp:positionH>
              <wp:positionV relativeFrom="page">
                <wp:posOffset>539495</wp:posOffset>
              </wp:positionV>
              <wp:extent cx="7560945" cy="38100"/>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7560945" cy="38100"/>
                      </a:xfrm>
                      <a:custGeom>
                        <a:avLst/>
                        <a:gdLst/>
                        <a:ahLst/>
                        <a:cxnLst/>
                        <a:rect l="l" t="t" r="r" b="b"/>
                        <a:pathLst>
                          <a:path w="7560945" h="38100">
                            <a:moveTo>
                              <a:pt x="7560564" y="0"/>
                            </a:moveTo>
                            <a:lnTo>
                              <a:pt x="7560564" y="0"/>
                            </a:lnTo>
                            <a:lnTo>
                              <a:pt x="0" y="0"/>
                            </a:lnTo>
                            <a:lnTo>
                              <a:pt x="0" y="38100"/>
                            </a:lnTo>
                            <a:lnTo>
                              <a:pt x="7560564" y="38100"/>
                            </a:lnTo>
                            <a:lnTo>
                              <a:pt x="7560564" y="0"/>
                            </a:lnTo>
                            <a:close/>
                          </a:path>
                        </a:pathLst>
                      </a:custGeom>
                      <a:solidFill>
                        <a:srgbClr val="FCF429"/>
                      </a:solidFill>
                    </wps:spPr>
                    <wps:bodyPr wrap="square" lIns="0" tIns="0" rIns="0" bIns="0" rtlCol="0">
                      <a:prstTxWarp prst="textNoShape">
                        <a:avLst/>
                      </a:prstTxWarp>
                      <a:noAutofit/>
                    </wps:bodyPr>
                  </wps:wsp>
                </a:graphicData>
              </a:graphic>
            </wp:anchor>
          </w:drawing>
        </mc:Choice>
        <mc:Fallback>
          <w:pict>
            <v:rect style="position:absolute;margin-left:0pt;margin-top:42.479939pt;width:595.320028pt;height:3.0pt;mso-position-horizontal-relative:page;mso-position-vertical-relative:page;z-index:-15919616" id="docshape15" filled="true" fillcolor="#fcf429" stroked="false">
              <v:fill type="solid"/>
              <w10:wrap type="none"/>
            </v:rect>
          </w:pict>
        </mc:Fallback>
      </mc:AlternateContent>
    </w:r>
    <w:r>
      <w:rPr/>
      <mc:AlternateContent>
        <mc:Choice Requires="wps">
          <w:drawing>
            <wp:anchor distT="0" distB="0" distL="0" distR="0" allowOverlap="1" layoutInCell="1" locked="0" behindDoc="1" simplePos="0" relativeHeight="487397376">
              <wp:simplePos x="0" y="0"/>
              <wp:positionH relativeFrom="page">
                <wp:posOffset>525272</wp:posOffset>
              </wp:positionH>
              <wp:positionV relativeFrom="page">
                <wp:posOffset>186654</wp:posOffset>
              </wp:positionV>
              <wp:extent cx="1974214" cy="168275"/>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1974214" cy="168275"/>
                      </a:xfrm>
                      <a:prstGeom prst="rect">
                        <a:avLst/>
                      </a:prstGeom>
                    </wps:spPr>
                    <wps:txbx>
                      <w:txbxContent>
                        <w:p>
                          <w:pPr>
                            <w:pStyle w:val="BodyText"/>
                            <w:spacing w:line="252" w:lineRule="exact"/>
                            <w:ind w:left="20"/>
                            <w:jc w:val="left"/>
                            <w:rPr>
                              <w:rFonts w:ascii="BancoDoBrasil Textos Medium"/>
                              <w:b w:val="0"/>
                            </w:rPr>
                          </w:pPr>
                          <w:r>
                            <w:rPr>
                              <w:rFonts w:ascii="BancoDoBrasil Textos Medium"/>
                              <w:b w:val="0"/>
                              <w:color w:val="465EFF"/>
                              <w:spacing w:val="17"/>
                            </w:rPr>
                            <w:t>Management</w:t>
                          </w:r>
                          <w:r>
                            <w:rPr>
                              <w:rFonts w:ascii="BancoDoBrasil Textos Medium"/>
                              <w:b w:val="0"/>
                              <w:color w:val="465EFF"/>
                              <w:spacing w:val="33"/>
                            </w:rPr>
                            <w:t> </w:t>
                          </w:r>
                          <w:r>
                            <w:rPr>
                              <w:rFonts w:ascii="BancoDoBrasil Textos Medium"/>
                              <w:b w:val="0"/>
                              <w:color w:val="465EFF"/>
                              <w:spacing w:val="15"/>
                            </w:rPr>
                            <w:t>Report</w:t>
                          </w:r>
                          <w:r>
                            <w:rPr>
                              <w:rFonts w:ascii="BancoDoBrasil Textos Medium"/>
                              <w:b w:val="0"/>
                              <w:color w:val="465EFF"/>
                              <w:spacing w:val="38"/>
                            </w:rPr>
                            <w:t> </w:t>
                          </w:r>
                          <w:r>
                            <w:rPr>
                              <w:rFonts w:ascii="BancoDoBrasil Textos Light"/>
                              <w:b w:val="0"/>
                              <w:color w:val="465EFF"/>
                            </w:rPr>
                            <w:t>|</w:t>
                          </w:r>
                          <w:r>
                            <w:rPr>
                              <w:rFonts w:ascii="BancoDoBrasil Textos Light"/>
                              <w:b w:val="0"/>
                              <w:color w:val="465EFF"/>
                              <w:spacing w:val="37"/>
                            </w:rPr>
                            <w:t> </w:t>
                          </w:r>
                          <w:r>
                            <w:rPr>
                              <w:rFonts w:ascii="BancoDoBrasil Textos Medium"/>
                              <w:b w:val="0"/>
                              <w:color w:val="465EFF"/>
                            </w:rPr>
                            <w:t>1</w:t>
                          </w:r>
                          <w:r>
                            <w:rPr>
                              <w:rFonts w:ascii="BancoDoBrasil Textos Medium"/>
                              <w:b w:val="0"/>
                              <w:color w:val="465EFF"/>
                              <w:spacing w:val="-28"/>
                            </w:rPr>
                            <w:t> </w:t>
                          </w:r>
                          <w:r>
                            <w:rPr>
                              <w:rFonts w:ascii="BancoDoBrasil Textos Medium"/>
                              <w:b w:val="0"/>
                              <w:color w:val="465EFF"/>
                            </w:rPr>
                            <w:t>Q</w:t>
                          </w:r>
                          <w:r>
                            <w:rPr>
                              <w:rFonts w:ascii="BancoDoBrasil Textos Medium"/>
                              <w:b w:val="0"/>
                              <w:color w:val="465EFF"/>
                              <w:spacing w:val="-28"/>
                            </w:rPr>
                            <w:t> </w:t>
                          </w:r>
                          <w:r>
                            <w:rPr>
                              <w:rFonts w:ascii="BancoDoBrasil Textos Medium"/>
                              <w:b w:val="0"/>
                              <w:color w:val="465EFF"/>
                              <w:spacing w:val="-5"/>
                            </w:rPr>
                            <w:t>25</w:t>
                          </w:r>
                        </w:p>
                      </w:txbxContent>
                    </wps:txbx>
                    <wps:bodyPr wrap="square" lIns="0" tIns="0" rIns="0" bIns="0" rtlCol="0">
                      <a:noAutofit/>
                    </wps:bodyPr>
                  </wps:wsp>
                </a:graphicData>
              </a:graphic>
            </wp:anchor>
          </w:drawing>
        </mc:Choice>
        <mc:Fallback>
          <w:pict>
            <v:shape style="position:absolute;margin-left:41.360001pt;margin-top:14.697178pt;width:155.450pt;height:13.25pt;mso-position-horizontal-relative:page;mso-position-vertical-relative:page;z-index:-15919104" type="#_x0000_t202" id="docshape16" filled="false" stroked="false">
              <v:textbox inset="0,0,0,0">
                <w:txbxContent>
                  <w:p>
                    <w:pPr>
                      <w:pStyle w:val="BodyText"/>
                      <w:spacing w:line="252" w:lineRule="exact"/>
                      <w:ind w:left="20"/>
                      <w:jc w:val="left"/>
                      <w:rPr>
                        <w:rFonts w:ascii="BancoDoBrasil Textos Medium"/>
                        <w:b w:val="0"/>
                      </w:rPr>
                    </w:pPr>
                    <w:r>
                      <w:rPr>
                        <w:rFonts w:ascii="BancoDoBrasil Textos Medium"/>
                        <w:b w:val="0"/>
                        <w:color w:val="465EFF"/>
                        <w:spacing w:val="17"/>
                      </w:rPr>
                      <w:t>Management</w:t>
                    </w:r>
                    <w:r>
                      <w:rPr>
                        <w:rFonts w:ascii="BancoDoBrasil Textos Medium"/>
                        <w:b w:val="0"/>
                        <w:color w:val="465EFF"/>
                        <w:spacing w:val="33"/>
                      </w:rPr>
                      <w:t> </w:t>
                    </w:r>
                    <w:r>
                      <w:rPr>
                        <w:rFonts w:ascii="BancoDoBrasil Textos Medium"/>
                        <w:b w:val="0"/>
                        <w:color w:val="465EFF"/>
                        <w:spacing w:val="15"/>
                      </w:rPr>
                      <w:t>Report</w:t>
                    </w:r>
                    <w:r>
                      <w:rPr>
                        <w:rFonts w:ascii="BancoDoBrasil Textos Medium"/>
                        <w:b w:val="0"/>
                        <w:color w:val="465EFF"/>
                        <w:spacing w:val="38"/>
                      </w:rPr>
                      <w:t> </w:t>
                    </w:r>
                    <w:r>
                      <w:rPr>
                        <w:rFonts w:ascii="BancoDoBrasil Textos Light"/>
                        <w:b w:val="0"/>
                        <w:color w:val="465EFF"/>
                      </w:rPr>
                      <w:t>|</w:t>
                    </w:r>
                    <w:r>
                      <w:rPr>
                        <w:rFonts w:ascii="BancoDoBrasil Textos Light"/>
                        <w:b w:val="0"/>
                        <w:color w:val="465EFF"/>
                        <w:spacing w:val="37"/>
                      </w:rPr>
                      <w:t> </w:t>
                    </w:r>
                    <w:r>
                      <w:rPr>
                        <w:rFonts w:ascii="BancoDoBrasil Textos Medium"/>
                        <w:b w:val="0"/>
                        <w:color w:val="465EFF"/>
                      </w:rPr>
                      <w:t>1</w:t>
                    </w:r>
                    <w:r>
                      <w:rPr>
                        <w:rFonts w:ascii="BancoDoBrasil Textos Medium"/>
                        <w:b w:val="0"/>
                        <w:color w:val="465EFF"/>
                        <w:spacing w:val="-28"/>
                      </w:rPr>
                      <w:t> </w:t>
                    </w:r>
                    <w:r>
                      <w:rPr>
                        <w:rFonts w:ascii="BancoDoBrasil Textos Medium"/>
                        <w:b w:val="0"/>
                        <w:color w:val="465EFF"/>
                      </w:rPr>
                      <w:t>Q</w:t>
                    </w:r>
                    <w:r>
                      <w:rPr>
                        <w:rFonts w:ascii="BancoDoBrasil Textos Medium"/>
                        <w:b w:val="0"/>
                        <w:color w:val="465EFF"/>
                        <w:spacing w:val="-28"/>
                      </w:rPr>
                      <w:t> </w:t>
                    </w:r>
                    <w:r>
                      <w:rPr>
                        <w:rFonts w:ascii="BancoDoBrasil Textos Medium"/>
                        <w:b w:val="0"/>
                        <w:color w:val="465EFF"/>
                        <w:spacing w:val="-5"/>
                      </w:rPr>
                      <w:t>25</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410" w:hanging="360"/>
      </w:pPr>
      <w:rPr>
        <w:rFonts w:hint="default" w:ascii="BancoDoBrasil Textos" w:hAnsi="BancoDoBrasil Textos" w:eastAsia="BancoDoBrasil Textos" w:cs="BancoDoBrasil Textos"/>
        <w:b w:val="0"/>
        <w:bCs w:val="0"/>
        <w:i w:val="0"/>
        <w:iCs w:val="0"/>
        <w:color w:val="1B1B22"/>
        <w:spacing w:val="0"/>
        <w:w w:val="99"/>
        <w:sz w:val="20"/>
        <w:szCs w:val="20"/>
        <w:lang w:val="en-US" w:eastAsia="en-US" w:bidi="ar-SA"/>
      </w:rPr>
    </w:lvl>
    <w:lvl w:ilvl="1">
      <w:start w:val="0"/>
      <w:numFmt w:val="bullet"/>
      <w:lvlText w:val="•"/>
      <w:lvlJc w:val="left"/>
      <w:pPr>
        <w:ind w:left="634" w:hanging="360"/>
      </w:pPr>
      <w:rPr>
        <w:rFonts w:hint="default"/>
        <w:lang w:val="en-US" w:eastAsia="en-US" w:bidi="ar-SA"/>
      </w:rPr>
    </w:lvl>
    <w:lvl w:ilvl="2">
      <w:start w:val="0"/>
      <w:numFmt w:val="bullet"/>
      <w:lvlText w:val="•"/>
      <w:lvlJc w:val="left"/>
      <w:pPr>
        <w:ind w:left="869" w:hanging="360"/>
      </w:pPr>
      <w:rPr>
        <w:rFonts w:hint="default"/>
        <w:lang w:val="en-US" w:eastAsia="en-US" w:bidi="ar-SA"/>
      </w:rPr>
    </w:lvl>
    <w:lvl w:ilvl="3">
      <w:start w:val="0"/>
      <w:numFmt w:val="bullet"/>
      <w:lvlText w:val="•"/>
      <w:lvlJc w:val="left"/>
      <w:pPr>
        <w:ind w:left="1104" w:hanging="360"/>
      </w:pPr>
      <w:rPr>
        <w:rFonts w:hint="default"/>
        <w:lang w:val="en-US" w:eastAsia="en-US" w:bidi="ar-SA"/>
      </w:rPr>
    </w:lvl>
    <w:lvl w:ilvl="4">
      <w:start w:val="0"/>
      <w:numFmt w:val="bullet"/>
      <w:lvlText w:val="•"/>
      <w:lvlJc w:val="left"/>
      <w:pPr>
        <w:ind w:left="1339" w:hanging="360"/>
      </w:pPr>
      <w:rPr>
        <w:rFonts w:hint="default"/>
        <w:lang w:val="en-US" w:eastAsia="en-US" w:bidi="ar-SA"/>
      </w:rPr>
    </w:lvl>
    <w:lvl w:ilvl="5">
      <w:start w:val="0"/>
      <w:numFmt w:val="bullet"/>
      <w:lvlText w:val="•"/>
      <w:lvlJc w:val="left"/>
      <w:pPr>
        <w:ind w:left="1574" w:hanging="360"/>
      </w:pPr>
      <w:rPr>
        <w:rFonts w:hint="default"/>
        <w:lang w:val="en-US" w:eastAsia="en-US" w:bidi="ar-SA"/>
      </w:rPr>
    </w:lvl>
    <w:lvl w:ilvl="6">
      <w:start w:val="0"/>
      <w:numFmt w:val="bullet"/>
      <w:lvlText w:val="•"/>
      <w:lvlJc w:val="left"/>
      <w:pPr>
        <w:ind w:left="1809" w:hanging="360"/>
      </w:pPr>
      <w:rPr>
        <w:rFonts w:hint="default"/>
        <w:lang w:val="en-US" w:eastAsia="en-US" w:bidi="ar-SA"/>
      </w:rPr>
    </w:lvl>
    <w:lvl w:ilvl="7">
      <w:start w:val="0"/>
      <w:numFmt w:val="bullet"/>
      <w:lvlText w:val="•"/>
      <w:lvlJc w:val="left"/>
      <w:pPr>
        <w:ind w:left="2044" w:hanging="360"/>
      </w:pPr>
      <w:rPr>
        <w:rFonts w:hint="default"/>
        <w:lang w:val="en-US" w:eastAsia="en-US" w:bidi="ar-SA"/>
      </w:rPr>
    </w:lvl>
    <w:lvl w:ilvl="8">
      <w:start w:val="0"/>
      <w:numFmt w:val="bullet"/>
      <w:lvlText w:val="•"/>
      <w:lvlJc w:val="left"/>
      <w:pPr>
        <w:ind w:left="2279" w:hanging="360"/>
      </w:pPr>
      <w:rPr>
        <w:rFonts w:hint="default"/>
        <w:lang w:val="en-US" w:eastAsia="en-US" w:bidi="ar-SA"/>
      </w:rPr>
    </w:lvl>
  </w:abstractNum>
  <w:abstractNum w:abstractNumId="1">
    <w:multiLevelType w:val="hybridMultilevel"/>
    <w:lvl w:ilvl="0">
      <w:start w:val="0"/>
      <w:numFmt w:val="bullet"/>
      <w:lvlText w:val="•"/>
      <w:lvlJc w:val="left"/>
      <w:pPr>
        <w:ind w:left="410" w:hanging="360"/>
      </w:pPr>
      <w:rPr>
        <w:rFonts w:hint="default" w:ascii="BancoDoBrasil Textos" w:hAnsi="BancoDoBrasil Textos" w:eastAsia="BancoDoBrasil Textos" w:cs="BancoDoBrasil Textos"/>
        <w:b w:val="0"/>
        <w:bCs w:val="0"/>
        <w:i w:val="0"/>
        <w:iCs w:val="0"/>
        <w:color w:val="1B1B22"/>
        <w:spacing w:val="0"/>
        <w:w w:val="99"/>
        <w:sz w:val="20"/>
        <w:szCs w:val="20"/>
        <w:lang w:val="en-US" w:eastAsia="en-US" w:bidi="ar-SA"/>
      </w:rPr>
    </w:lvl>
    <w:lvl w:ilvl="1">
      <w:start w:val="0"/>
      <w:numFmt w:val="bullet"/>
      <w:lvlText w:val="•"/>
      <w:lvlJc w:val="left"/>
      <w:pPr>
        <w:ind w:left="634" w:hanging="360"/>
      </w:pPr>
      <w:rPr>
        <w:rFonts w:hint="default"/>
        <w:lang w:val="en-US" w:eastAsia="en-US" w:bidi="ar-SA"/>
      </w:rPr>
    </w:lvl>
    <w:lvl w:ilvl="2">
      <w:start w:val="0"/>
      <w:numFmt w:val="bullet"/>
      <w:lvlText w:val="•"/>
      <w:lvlJc w:val="left"/>
      <w:pPr>
        <w:ind w:left="869" w:hanging="360"/>
      </w:pPr>
      <w:rPr>
        <w:rFonts w:hint="default"/>
        <w:lang w:val="en-US" w:eastAsia="en-US" w:bidi="ar-SA"/>
      </w:rPr>
    </w:lvl>
    <w:lvl w:ilvl="3">
      <w:start w:val="0"/>
      <w:numFmt w:val="bullet"/>
      <w:lvlText w:val="•"/>
      <w:lvlJc w:val="left"/>
      <w:pPr>
        <w:ind w:left="1104" w:hanging="360"/>
      </w:pPr>
      <w:rPr>
        <w:rFonts w:hint="default"/>
        <w:lang w:val="en-US" w:eastAsia="en-US" w:bidi="ar-SA"/>
      </w:rPr>
    </w:lvl>
    <w:lvl w:ilvl="4">
      <w:start w:val="0"/>
      <w:numFmt w:val="bullet"/>
      <w:lvlText w:val="•"/>
      <w:lvlJc w:val="left"/>
      <w:pPr>
        <w:ind w:left="1339" w:hanging="360"/>
      </w:pPr>
      <w:rPr>
        <w:rFonts w:hint="default"/>
        <w:lang w:val="en-US" w:eastAsia="en-US" w:bidi="ar-SA"/>
      </w:rPr>
    </w:lvl>
    <w:lvl w:ilvl="5">
      <w:start w:val="0"/>
      <w:numFmt w:val="bullet"/>
      <w:lvlText w:val="•"/>
      <w:lvlJc w:val="left"/>
      <w:pPr>
        <w:ind w:left="1574" w:hanging="360"/>
      </w:pPr>
      <w:rPr>
        <w:rFonts w:hint="default"/>
        <w:lang w:val="en-US" w:eastAsia="en-US" w:bidi="ar-SA"/>
      </w:rPr>
    </w:lvl>
    <w:lvl w:ilvl="6">
      <w:start w:val="0"/>
      <w:numFmt w:val="bullet"/>
      <w:lvlText w:val="•"/>
      <w:lvlJc w:val="left"/>
      <w:pPr>
        <w:ind w:left="1809" w:hanging="360"/>
      </w:pPr>
      <w:rPr>
        <w:rFonts w:hint="default"/>
        <w:lang w:val="en-US" w:eastAsia="en-US" w:bidi="ar-SA"/>
      </w:rPr>
    </w:lvl>
    <w:lvl w:ilvl="7">
      <w:start w:val="0"/>
      <w:numFmt w:val="bullet"/>
      <w:lvlText w:val="•"/>
      <w:lvlJc w:val="left"/>
      <w:pPr>
        <w:ind w:left="2044" w:hanging="360"/>
      </w:pPr>
      <w:rPr>
        <w:rFonts w:hint="default"/>
        <w:lang w:val="en-US" w:eastAsia="en-US" w:bidi="ar-SA"/>
      </w:rPr>
    </w:lvl>
    <w:lvl w:ilvl="8">
      <w:start w:val="0"/>
      <w:numFmt w:val="bullet"/>
      <w:lvlText w:val="•"/>
      <w:lvlJc w:val="left"/>
      <w:pPr>
        <w:ind w:left="2279" w:hanging="360"/>
      </w:pPr>
      <w:rPr>
        <w:rFonts w:hint="default"/>
        <w:lang w:val="en-US" w:eastAsia="en-US" w:bidi="ar-SA"/>
      </w:rPr>
    </w:lvl>
  </w:abstractNum>
  <w:abstractNum w:abstractNumId="0">
    <w:multiLevelType w:val="hybridMultilevel"/>
    <w:lvl w:ilvl="0">
      <w:start w:val="0"/>
      <w:numFmt w:val="bullet"/>
      <w:lvlText w:val="•"/>
      <w:lvlJc w:val="left"/>
      <w:pPr>
        <w:ind w:left="410" w:hanging="360"/>
      </w:pPr>
      <w:rPr>
        <w:rFonts w:hint="default" w:ascii="BancoDoBrasil Textos" w:hAnsi="BancoDoBrasil Textos" w:eastAsia="BancoDoBrasil Textos" w:cs="BancoDoBrasil Textos"/>
        <w:b w:val="0"/>
        <w:bCs w:val="0"/>
        <w:i w:val="0"/>
        <w:iCs w:val="0"/>
        <w:color w:val="1B1B22"/>
        <w:spacing w:val="0"/>
        <w:w w:val="99"/>
        <w:sz w:val="20"/>
        <w:szCs w:val="20"/>
        <w:lang w:val="en-US" w:eastAsia="en-US" w:bidi="ar-SA"/>
      </w:rPr>
    </w:lvl>
    <w:lvl w:ilvl="1">
      <w:start w:val="0"/>
      <w:numFmt w:val="bullet"/>
      <w:lvlText w:val="•"/>
      <w:lvlJc w:val="left"/>
      <w:pPr>
        <w:ind w:left="634" w:hanging="360"/>
      </w:pPr>
      <w:rPr>
        <w:rFonts w:hint="default"/>
        <w:lang w:val="en-US" w:eastAsia="en-US" w:bidi="ar-SA"/>
      </w:rPr>
    </w:lvl>
    <w:lvl w:ilvl="2">
      <w:start w:val="0"/>
      <w:numFmt w:val="bullet"/>
      <w:lvlText w:val="•"/>
      <w:lvlJc w:val="left"/>
      <w:pPr>
        <w:ind w:left="869" w:hanging="360"/>
      </w:pPr>
      <w:rPr>
        <w:rFonts w:hint="default"/>
        <w:lang w:val="en-US" w:eastAsia="en-US" w:bidi="ar-SA"/>
      </w:rPr>
    </w:lvl>
    <w:lvl w:ilvl="3">
      <w:start w:val="0"/>
      <w:numFmt w:val="bullet"/>
      <w:lvlText w:val="•"/>
      <w:lvlJc w:val="left"/>
      <w:pPr>
        <w:ind w:left="1104" w:hanging="360"/>
      </w:pPr>
      <w:rPr>
        <w:rFonts w:hint="default"/>
        <w:lang w:val="en-US" w:eastAsia="en-US" w:bidi="ar-SA"/>
      </w:rPr>
    </w:lvl>
    <w:lvl w:ilvl="4">
      <w:start w:val="0"/>
      <w:numFmt w:val="bullet"/>
      <w:lvlText w:val="•"/>
      <w:lvlJc w:val="left"/>
      <w:pPr>
        <w:ind w:left="1339" w:hanging="360"/>
      </w:pPr>
      <w:rPr>
        <w:rFonts w:hint="default"/>
        <w:lang w:val="en-US" w:eastAsia="en-US" w:bidi="ar-SA"/>
      </w:rPr>
    </w:lvl>
    <w:lvl w:ilvl="5">
      <w:start w:val="0"/>
      <w:numFmt w:val="bullet"/>
      <w:lvlText w:val="•"/>
      <w:lvlJc w:val="left"/>
      <w:pPr>
        <w:ind w:left="1574" w:hanging="360"/>
      </w:pPr>
      <w:rPr>
        <w:rFonts w:hint="default"/>
        <w:lang w:val="en-US" w:eastAsia="en-US" w:bidi="ar-SA"/>
      </w:rPr>
    </w:lvl>
    <w:lvl w:ilvl="6">
      <w:start w:val="0"/>
      <w:numFmt w:val="bullet"/>
      <w:lvlText w:val="•"/>
      <w:lvlJc w:val="left"/>
      <w:pPr>
        <w:ind w:left="1809" w:hanging="360"/>
      </w:pPr>
      <w:rPr>
        <w:rFonts w:hint="default"/>
        <w:lang w:val="en-US" w:eastAsia="en-US" w:bidi="ar-SA"/>
      </w:rPr>
    </w:lvl>
    <w:lvl w:ilvl="7">
      <w:start w:val="0"/>
      <w:numFmt w:val="bullet"/>
      <w:lvlText w:val="•"/>
      <w:lvlJc w:val="left"/>
      <w:pPr>
        <w:ind w:left="2044" w:hanging="360"/>
      </w:pPr>
      <w:rPr>
        <w:rFonts w:hint="default"/>
        <w:lang w:val="en-US" w:eastAsia="en-US" w:bidi="ar-SA"/>
      </w:rPr>
    </w:lvl>
    <w:lvl w:ilvl="8">
      <w:start w:val="0"/>
      <w:numFmt w:val="bullet"/>
      <w:lvlText w:val="•"/>
      <w:lvlJc w:val="left"/>
      <w:pPr>
        <w:ind w:left="2279" w:hanging="360"/>
      </w:pPr>
      <w:rPr>
        <w:rFonts w:hint="default"/>
        <w:lang w:val="en-US"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BancoDoBrasil Textos" w:hAnsi="BancoDoBrasil Textos" w:eastAsia="BancoDoBrasil Textos" w:cs="BancoDoBrasil Textos"/>
      <w:lang w:val="en-US" w:eastAsia="en-US" w:bidi="ar-SA"/>
    </w:rPr>
  </w:style>
  <w:style w:styleId="BodyText" w:type="paragraph">
    <w:name w:val="Body Text"/>
    <w:basedOn w:val="Normal"/>
    <w:uiPriority w:val="1"/>
    <w:qFormat/>
    <w:pPr>
      <w:ind w:left="427"/>
      <w:jc w:val="both"/>
    </w:pPr>
    <w:rPr>
      <w:rFonts w:ascii="BancoDoBrasil Textos" w:hAnsi="BancoDoBrasil Textos" w:eastAsia="BancoDoBrasil Textos" w:cs="BancoDoBrasil Textos"/>
      <w:sz w:val="20"/>
      <w:szCs w:val="20"/>
      <w:lang w:val="en-US" w:eastAsia="en-US" w:bidi="ar-SA"/>
    </w:rPr>
  </w:style>
  <w:style w:styleId="Heading1" w:type="paragraph">
    <w:name w:val="Heading 1"/>
    <w:basedOn w:val="Normal"/>
    <w:uiPriority w:val="1"/>
    <w:qFormat/>
    <w:pPr>
      <w:ind w:left="427"/>
      <w:outlineLvl w:val="1"/>
    </w:pPr>
    <w:rPr>
      <w:rFonts w:ascii="BancoDoBrasil Titulos" w:hAnsi="BancoDoBrasil Titulos" w:eastAsia="BancoDoBrasil Titulos" w:cs="BancoDoBrasil Titulos"/>
      <w:sz w:val="44"/>
      <w:szCs w:val="44"/>
      <w:lang w:val="en-US" w:eastAsia="en-US" w:bidi="ar-SA"/>
    </w:rPr>
  </w:style>
  <w:style w:styleId="Heading2" w:type="paragraph">
    <w:name w:val="Heading 2"/>
    <w:basedOn w:val="Normal"/>
    <w:uiPriority w:val="1"/>
    <w:qFormat/>
    <w:pPr>
      <w:spacing w:before="106"/>
      <w:ind w:left="427"/>
      <w:jc w:val="both"/>
      <w:outlineLvl w:val="2"/>
    </w:pPr>
    <w:rPr>
      <w:rFonts w:ascii="BancoDoBrasil Textos Medium" w:hAnsi="BancoDoBrasil Textos Medium" w:eastAsia="BancoDoBrasil Textos Medium" w:cs="BancoDoBrasil Textos Medium"/>
      <w:sz w:val="28"/>
      <w:szCs w:val="28"/>
      <w:lang w:val="en-US" w:eastAsia="en-US" w:bidi="ar-SA"/>
    </w:rPr>
  </w:style>
  <w:style w:styleId="Title" w:type="paragraph">
    <w:name w:val="Title"/>
    <w:basedOn w:val="Normal"/>
    <w:uiPriority w:val="1"/>
    <w:qFormat/>
    <w:pPr>
      <w:spacing w:line="1460" w:lineRule="exact"/>
      <w:ind w:left="1589"/>
    </w:pPr>
    <w:rPr>
      <w:rFonts w:ascii="BancoDoBrasil Titulos" w:hAnsi="BancoDoBrasil Titulos" w:eastAsia="BancoDoBrasil Titulos" w:cs="BancoDoBrasil Titulos"/>
      <w:b/>
      <w:bCs/>
      <w:sz w:val="120"/>
      <w:szCs w:val="120"/>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rFonts w:ascii="BancoDoBrasil Textos" w:hAnsi="BancoDoBrasil Textos" w:eastAsia="BancoDoBrasil Textos" w:cs="BancoDoBrasil Textos"/>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header" Target="header2.xml"/><Relationship Id="rId10" Type="http://schemas.openxmlformats.org/officeDocument/2006/relationships/footer" Target="footer2.xml"/><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Luiz Fernando de Almeida</dc:creator>
  <dcterms:created xsi:type="dcterms:W3CDTF">2025-08-14T16:59:04Z</dcterms:created>
  <dcterms:modified xsi:type="dcterms:W3CDTF">2025-08-14T16:59:04Z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2025-08-12T00:00:00Z</vt:filetime>
  </property>
  <property fmtid="{D5CDD505-2E9C-101B-9397-08002B2CF9AE}" pid="3" name="Creator">
    <vt:lpwstr>Microsoft® Word para Microsoft 365</vt:lpwstr>
  </property>
  <property fmtid="{D5CDD505-2E9C-101B-9397-08002B2CF9AE}" pid="4" name="LastSaved">
    <vt:filetime>2025-08-14T00:00:00Z</vt:filetime>
  </property>
  <property fmtid="{D5CDD505-2E9C-101B-9397-08002B2CF9AE}" pid="5" name="MSIP_Label_40881dc9-f7f2-41de-a334-ceff3dc15b31_Enabled">
    <vt:lpwstr>true</vt:lpwstr>
  </property>
  <property fmtid="{D5CDD505-2E9C-101B-9397-08002B2CF9AE}" pid="6" name="MSIP_Label_40881dc9-f7f2-41de-a334-ceff3dc15b31_Method">
    <vt:lpwstr>Standard</vt:lpwstr>
  </property>
  <property fmtid="{D5CDD505-2E9C-101B-9397-08002B2CF9AE}" pid="7" name="MSIP_Label_40881dc9-f7f2-41de-a334-ceff3dc15b31_SiteId">
    <vt:lpwstr>ea0c2907-38d2-4181-8750-b0b190b60443</vt:lpwstr>
  </property>
  <property fmtid="{D5CDD505-2E9C-101B-9397-08002B2CF9AE}" pid="8" name="Producer">
    <vt:lpwstr>Microsoft® Word para Microsoft 365</vt:lpwstr>
  </property>
</Properties>
</file>