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core.xml" ContentType="application/vnd.openxmlformats-package.core-properties+xml"/>
  <Default Extension="png" ContentType="image/png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Default Extension="jpeg" ContentType="image/jpeg"/>
  <Override PartName="/docProps/custom.xml" ContentType="application/vnd.openxmlformats-officedocument.custom-properties+xml"/>
  <Override PartName="/word/numbering.xml" ContentType="application/vnd.openxmlformats-officedocument.wordprocessingml.numbering+xml"/>
</Types>
</file>

<file path=_rels/.rels><?xml version="1.0" encoding="UTF-8" standalone="yes"?>
<Relationships xmlns="http://schemas.openxmlformats.org/package/2006/relationships"><Relationship Id="rId1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3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
</file>

<file path=word/document.xml><?xml version="1.0" encoding="utf-8"?>
<w:document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body>
    <w:p>
      <w:pPr>
        <w:pStyle w:val="BodyText"/>
        <w:jc w:val="left"/>
        <w:rPr>
          <w:rFonts w:ascii="Times New Roman"/>
          <w:sz w:val="26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264256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2215" cy="10694035"/>
                <wp:effectExtent l="0" t="0" r="0" b="0"/>
                <wp:wrapNone/>
                <wp:docPr id="1" name="Graphic 1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1" name="Graphic 1"/>
                      <wps:cNvSpPr/>
                      <wps:spPr>
                        <a:xfrm>
                          <a:off x="0" y="0"/>
                          <a:ext cx="7562215" cy="106940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62215" h="10694035">
                              <a:moveTo>
                                <a:pt x="7562215" y="0"/>
                              </a:moveTo>
                              <a:lnTo>
                                <a:pt x="0" y="0"/>
                              </a:lnTo>
                              <a:lnTo>
                                <a:pt x="0" y="10694035"/>
                              </a:lnTo>
                              <a:lnTo>
                                <a:pt x="7562215" y="10694035"/>
                              </a:lnTo>
                              <a:lnTo>
                                <a:pt x="7562215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65E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0pt;margin-top:-.000017pt;width:595.450pt;height:842.05pt;mso-position-horizontal-relative:page;mso-position-vertical-relative:page;z-index:-16052224" id="docshape1" filled="true" fillcolor="#465eff" stroked="false">
                <v:fill type="solid"/>
                <w10:wrap type="none"/>
              </v:rect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264768">
                <wp:simplePos x="0" y="0"/>
                <wp:positionH relativeFrom="page">
                  <wp:posOffset>0</wp:posOffset>
                </wp:positionH>
                <wp:positionV relativeFrom="page">
                  <wp:posOffset>-3395</wp:posOffset>
                </wp:positionV>
                <wp:extent cx="7564120" cy="10694670"/>
                <wp:effectExtent l="0" t="0" r="0" b="0"/>
                <wp:wrapNone/>
                <wp:docPr id="2" name="Group 2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" name="Group 2"/>
                      <wpg:cNvGrpSpPr/>
                      <wpg:grpSpPr>
                        <a:xfrm>
                          <a:off x="0" y="0"/>
                          <a:ext cx="7564120" cy="10694670"/>
                          <a:chExt cx="7564120" cy="10694670"/>
                        </a:xfrm>
                      </wpg:grpSpPr>
                      <pic:pic>
                        <pic:nvPicPr>
                          <pic:cNvPr id="3" name="Image 3"/>
                          <pic:cNvPicPr/>
                        </pic:nvPicPr>
                        <pic:blipFill>
                          <a:blip r:embed="rId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450163" y="2774296"/>
                            <a:ext cx="7110400" cy="7920204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4" name="Graphic 4"/>
                        <wps:cNvSpPr/>
                        <wps:spPr>
                          <a:xfrm>
                            <a:off x="2081171" y="3395"/>
                            <a:ext cx="5479415" cy="372427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79415" h="3724275">
                                <a:moveTo>
                                  <a:pt x="5479392" y="3724237"/>
                                </a:moveTo>
                                <a:lnTo>
                                  <a:pt x="3997302" y="2744596"/>
                                </a:lnTo>
                                <a:lnTo>
                                  <a:pt x="3928595" y="2699257"/>
                                </a:lnTo>
                                <a:lnTo>
                                  <a:pt x="3913924" y="2688407"/>
                                </a:lnTo>
                                <a:lnTo>
                                  <a:pt x="3880081" y="2646044"/>
                                </a:lnTo>
                                <a:lnTo>
                                  <a:pt x="3863888" y="2579623"/>
                                </a:lnTo>
                                <a:lnTo>
                                  <a:pt x="3867937" y="2545675"/>
                                </a:lnTo>
                                <a:lnTo>
                                  <a:pt x="3889536" y="2497637"/>
                                </a:lnTo>
                                <a:lnTo>
                                  <a:pt x="3928595" y="2459989"/>
                                </a:lnTo>
                                <a:lnTo>
                                  <a:pt x="5479392" y="1442693"/>
                                </a:lnTo>
                              </a:path>
                              <a:path w="5479415" h="3724275">
                                <a:moveTo>
                                  <a:pt x="5479392" y="1098884"/>
                                </a:moveTo>
                                <a:lnTo>
                                  <a:pt x="3694534" y="2316860"/>
                                </a:lnTo>
                                <a:lnTo>
                                  <a:pt x="3656053" y="2335291"/>
                                </a:lnTo>
                                <a:lnTo>
                                  <a:pt x="3613762" y="2341625"/>
                                </a:lnTo>
                                <a:lnTo>
                                  <a:pt x="3592978" y="2340115"/>
                                </a:lnTo>
                                <a:lnTo>
                                  <a:pt x="3572741" y="2335640"/>
                                </a:lnTo>
                                <a:lnTo>
                                  <a:pt x="3553362" y="2328284"/>
                                </a:lnTo>
                                <a:lnTo>
                                  <a:pt x="3535149" y="2318130"/>
                                </a:lnTo>
                                <a:lnTo>
                                  <a:pt x="0" y="0"/>
                                </a:lnTo>
                              </a:path>
                            </a:pathLst>
                          </a:custGeom>
                          <a:ln w="6790">
                            <a:solidFill>
                              <a:srgbClr val="FFFFFF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5" name="Graphic 5"/>
                        <wps:cNvSpPr/>
                        <wps:spPr>
                          <a:xfrm>
                            <a:off x="0" y="1204306"/>
                            <a:ext cx="5425440" cy="948880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5425440" h="9488805">
                                <a:moveTo>
                                  <a:pt x="1537335" y="1055624"/>
                                </a:moveTo>
                                <a:lnTo>
                                  <a:pt x="1415923" y="973201"/>
                                </a:lnTo>
                                <a:lnTo>
                                  <a:pt x="1297559" y="1055624"/>
                                </a:lnTo>
                                <a:lnTo>
                                  <a:pt x="1297559" y="1226820"/>
                                </a:lnTo>
                                <a:lnTo>
                                  <a:pt x="1537335" y="1055624"/>
                                </a:lnTo>
                                <a:close/>
                              </a:path>
                              <a:path w="5425440" h="9488805">
                                <a:moveTo>
                                  <a:pt x="2474849" y="814705"/>
                                </a:moveTo>
                                <a:lnTo>
                                  <a:pt x="2235073" y="646684"/>
                                </a:lnTo>
                                <a:lnTo>
                                  <a:pt x="1936115" y="849503"/>
                                </a:lnTo>
                                <a:lnTo>
                                  <a:pt x="2063750" y="932053"/>
                                </a:lnTo>
                                <a:lnTo>
                                  <a:pt x="1898650" y="1049274"/>
                                </a:lnTo>
                                <a:lnTo>
                                  <a:pt x="1549908" y="808355"/>
                                </a:lnTo>
                                <a:lnTo>
                                  <a:pt x="2113661" y="412115"/>
                                </a:lnTo>
                                <a:lnTo>
                                  <a:pt x="2001520" y="332867"/>
                                </a:lnTo>
                                <a:lnTo>
                                  <a:pt x="1297559" y="814705"/>
                                </a:lnTo>
                                <a:lnTo>
                                  <a:pt x="1886204" y="1220470"/>
                                </a:lnTo>
                                <a:lnTo>
                                  <a:pt x="2134552" y="1049274"/>
                                </a:lnTo>
                                <a:lnTo>
                                  <a:pt x="2474849" y="814705"/>
                                </a:lnTo>
                                <a:close/>
                              </a:path>
                              <a:path w="5425440" h="9488805">
                                <a:moveTo>
                                  <a:pt x="2474976" y="405765"/>
                                </a:moveTo>
                                <a:lnTo>
                                  <a:pt x="2134679" y="171196"/>
                                </a:lnTo>
                                <a:lnTo>
                                  <a:pt x="1886331" y="0"/>
                                </a:lnTo>
                                <a:lnTo>
                                  <a:pt x="1297559" y="405765"/>
                                </a:lnTo>
                                <a:lnTo>
                                  <a:pt x="1543558" y="573786"/>
                                </a:lnTo>
                                <a:lnTo>
                                  <a:pt x="1836420" y="374015"/>
                                </a:lnTo>
                                <a:lnTo>
                                  <a:pt x="1708658" y="288544"/>
                                </a:lnTo>
                                <a:lnTo>
                                  <a:pt x="1873758" y="171196"/>
                                </a:lnTo>
                                <a:lnTo>
                                  <a:pt x="2222627" y="412115"/>
                                </a:lnTo>
                                <a:lnTo>
                                  <a:pt x="1658874" y="808355"/>
                                </a:lnTo>
                                <a:lnTo>
                                  <a:pt x="1777238" y="887603"/>
                                </a:lnTo>
                                <a:lnTo>
                                  <a:pt x="2474976" y="405765"/>
                                </a:lnTo>
                                <a:close/>
                              </a:path>
                              <a:path w="5425440" h="9488805">
                                <a:moveTo>
                                  <a:pt x="2481199" y="6350"/>
                                </a:moveTo>
                                <a:lnTo>
                                  <a:pt x="2241296" y="171196"/>
                                </a:lnTo>
                                <a:lnTo>
                                  <a:pt x="2359660" y="256794"/>
                                </a:lnTo>
                                <a:lnTo>
                                  <a:pt x="2481199" y="171196"/>
                                </a:lnTo>
                                <a:lnTo>
                                  <a:pt x="2481199" y="6350"/>
                                </a:lnTo>
                                <a:close/>
                              </a:path>
                              <a:path w="5425440" h="9488805">
                                <a:moveTo>
                                  <a:pt x="5425122" y="8757031"/>
                                </a:moveTo>
                                <a:lnTo>
                                  <a:pt x="5408930" y="8690635"/>
                                </a:lnTo>
                                <a:lnTo>
                                  <a:pt x="5375021" y="8648243"/>
                                </a:lnTo>
                                <a:lnTo>
                                  <a:pt x="268655" y="5298186"/>
                                </a:lnTo>
                                <a:lnTo>
                                  <a:pt x="230009" y="5280418"/>
                                </a:lnTo>
                                <a:lnTo>
                                  <a:pt x="188734" y="5274729"/>
                                </a:lnTo>
                                <a:lnTo>
                                  <a:pt x="147548" y="5281079"/>
                                </a:lnTo>
                                <a:lnTo>
                                  <a:pt x="109194" y="5299456"/>
                                </a:lnTo>
                                <a:lnTo>
                                  <a:pt x="0" y="5373967"/>
                                </a:lnTo>
                                <a:lnTo>
                                  <a:pt x="0" y="9488564"/>
                                </a:lnTo>
                                <a:lnTo>
                                  <a:pt x="4434332" y="9488576"/>
                                </a:lnTo>
                                <a:lnTo>
                                  <a:pt x="5360416" y="8876652"/>
                                </a:lnTo>
                                <a:lnTo>
                                  <a:pt x="5399456" y="8839009"/>
                                </a:lnTo>
                                <a:lnTo>
                                  <a:pt x="5421071" y="8790965"/>
                                </a:lnTo>
                                <a:lnTo>
                                  <a:pt x="5425122" y="8757031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BFB2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.0pt;margin-top:-.267325pt;width:595.6pt;height:842.1pt;mso-position-horizontal-relative:page;mso-position-vertical-relative:page;z-index:-16051712" id="docshapegroup2" coordorigin="0,-5" coordsize="11912,16842">
                <v:shape style="position:absolute;left:708;top:4363;width:11198;height:12473" type="#_x0000_t75" id="docshape3" stroked="false">
                  <v:imagedata r:id="rId5" o:title=""/>
                </v:shape>
                <v:shape style="position:absolute;left:3277;top:0;width:8629;height:5865" id="docshape4" coordorigin="3277,0" coordsize="8629,5865" path="m11906,5865l9572,4322,9464,4251,9441,4234,9421,4214,9403,4192,9388,4167,9369,4116,9362,4062,9369,4009,9388,3958,9403,3933,9421,3911,9441,3891,9464,3874,11906,2272m11906,1731l9096,3649,9066,3665,9035,3678,9002,3685,8968,3688,8936,3685,8904,3678,8873,3667,8845,3651,3277,0e" filled="false" stroked="true" strokeweight=".534650pt" strokecolor="#ffffff">
                  <v:path arrowok="t"/>
                  <v:stroke dashstyle="solid"/>
                </v:shape>
                <v:shape style="position:absolute;left:0;top:1891;width:8544;height:14943" id="docshape5" coordorigin="0,1891" coordsize="8544,14943" path="m2421,3554l2230,3424,2043,3554,2043,3823,2421,3554xm3897,3174l3520,2910,3049,3229,3250,3359,2990,3544,2441,3164,3329,2540,3152,2415,2043,3174,2970,3813,3362,3544,3897,3174xm3898,2530l3362,2161,2971,1891,2043,2530,2431,2795,2892,2480,2691,2346,2951,2161,3500,2540,2612,3164,2799,3289,3898,2530xm3907,1901l3530,2161,3716,2296,3907,2161,3907,1901xm8544,15682l8537,15628,8518,15577,8503,15553,8485,15530,8465,15510,8442,15493,423,10235,362,10207,297,10198,232,10208,172,10237,0,10354,0,16834,6983,16834,8442,15870,8465,15853,8485,15833,8503,15811,8518,15786,8537,15735,8544,15682xe" filled="true" fillcolor="#fbfb2f" stroked="false">
                  <v:path arrowok="t"/>
                  <v:fill type="solid"/>
                </v:shape>
                <w10:wrap type="none"/>
              </v:group>
            </w:pict>
          </mc:Fallback>
        </mc:AlternateContent>
      </w:r>
    </w:p>
    <w:p>
      <w:pPr>
        <w:pStyle w:val="BodyText"/>
        <w:jc w:val="left"/>
        <w:rPr>
          <w:rFonts w:ascii="Times New Roman"/>
          <w:sz w:val="26"/>
        </w:rPr>
      </w:pPr>
    </w:p>
    <w:p>
      <w:pPr>
        <w:pStyle w:val="BodyText"/>
        <w:jc w:val="left"/>
        <w:rPr>
          <w:rFonts w:ascii="Times New Roman"/>
          <w:sz w:val="26"/>
        </w:rPr>
      </w:pPr>
    </w:p>
    <w:p>
      <w:pPr>
        <w:pStyle w:val="BodyText"/>
        <w:jc w:val="left"/>
        <w:rPr>
          <w:rFonts w:ascii="Times New Roman"/>
          <w:sz w:val="26"/>
        </w:rPr>
      </w:pPr>
    </w:p>
    <w:p>
      <w:pPr>
        <w:pStyle w:val="BodyText"/>
        <w:jc w:val="left"/>
        <w:rPr>
          <w:rFonts w:ascii="Times New Roman"/>
          <w:sz w:val="26"/>
        </w:rPr>
      </w:pPr>
    </w:p>
    <w:p>
      <w:pPr>
        <w:pStyle w:val="BodyText"/>
        <w:jc w:val="left"/>
        <w:rPr>
          <w:rFonts w:ascii="Times New Roman"/>
          <w:sz w:val="26"/>
        </w:rPr>
      </w:pPr>
    </w:p>
    <w:p>
      <w:pPr>
        <w:pStyle w:val="BodyText"/>
        <w:spacing w:before="43"/>
        <w:jc w:val="left"/>
        <w:rPr>
          <w:rFonts w:ascii="Times New Roman"/>
          <w:sz w:val="26"/>
        </w:rPr>
      </w:pPr>
    </w:p>
    <w:p>
      <w:pPr>
        <w:spacing w:line="272" w:lineRule="exact" w:before="0"/>
        <w:ind w:left="1850" w:right="0" w:firstLine="0"/>
        <w:jc w:val="left"/>
        <w:rPr>
          <w:rFonts w:ascii="BancoDoBrasil Titulos" w:hAnsi="BancoDoBrasil Titulos"/>
          <w:b/>
          <w:sz w:val="26"/>
        </w:rPr>
      </w:pPr>
      <w:bookmarkStart w:name="Capa_Relad_Português" w:id="1"/>
      <w:bookmarkEnd w:id="1"/>
      <w:r>
        <w:rPr/>
      </w:r>
      <w:r>
        <w:rPr>
          <w:rFonts w:ascii="BancoDoBrasil Titulos" w:hAnsi="BancoDoBrasil Titulos"/>
          <w:b/>
          <w:color w:val="FFF8F8"/>
          <w:spacing w:val="-2"/>
          <w:sz w:val="26"/>
        </w:rPr>
        <w:t>Relatório</w:t>
      </w:r>
      <w:r>
        <w:rPr>
          <w:rFonts w:ascii="BancoDoBrasil Titulos" w:hAnsi="BancoDoBrasil Titulos"/>
          <w:b/>
          <w:color w:val="FFF8F8"/>
          <w:spacing w:val="-12"/>
          <w:sz w:val="26"/>
        </w:rPr>
        <w:t> </w:t>
      </w:r>
      <w:r>
        <w:rPr>
          <w:rFonts w:ascii="BancoDoBrasil Titulos" w:hAnsi="BancoDoBrasil Titulos"/>
          <w:b/>
          <w:color w:val="FFF8F8"/>
          <w:spacing w:val="-7"/>
          <w:sz w:val="26"/>
        </w:rPr>
        <w:t>da</w:t>
      </w:r>
    </w:p>
    <w:p>
      <w:pPr>
        <w:spacing w:line="512" w:lineRule="exact" w:before="0"/>
        <w:ind w:left="1812" w:right="0" w:firstLine="0"/>
        <w:jc w:val="left"/>
        <w:rPr>
          <w:rFonts w:ascii="BancoDoBrasil Titulos" w:hAnsi="BancoDoBrasil Titulos"/>
          <w:b/>
          <w:sz w:val="48"/>
        </w:rPr>
      </w:pPr>
      <w:r>
        <w:rPr>
          <w:rFonts w:ascii="BancoDoBrasil Titulos" w:hAnsi="BancoDoBrasil Titulos"/>
          <w:b/>
          <w:color w:val="FFF8F8"/>
          <w:spacing w:val="-2"/>
          <w:sz w:val="48"/>
        </w:rPr>
        <w:t>Administração</w:t>
      </w:r>
    </w:p>
    <w:p>
      <w:pPr>
        <w:pStyle w:val="Title"/>
      </w:pPr>
      <w:r>
        <w:rPr>
          <w:color w:val="FFFFFF"/>
        </w:rPr>
        <w:t>30</w:t>
      </w:r>
      <w:r>
        <w:rPr>
          <w:color w:val="FFFFFF"/>
          <w:spacing w:val="-12"/>
        </w:rPr>
        <w:t> </w:t>
      </w:r>
      <w:r>
        <w:rPr>
          <w:color w:val="FFFFFF"/>
        </w:rPr>
        <w:t>de</w:t>
      </w:r>
      <w:r>
        <w:rPr>
          <w:color w:val="FFFFFF"/>
          <w:spacing w:val="-11"/>
        </w:rPr>
        <w:t> </w:t>
      </w:r>
      <w:r>
        <w:rPr>
          <w:color w:val="FFFFFF"/>
          <w:spacing w:val="-2"/>
        </w:rPr>
        <w:t>setembro</w:t>
      </w:r>
    </w:p>
    <w:p>
      <w:pPr>
        <w:pStyle w:val="Title"/>
        <w:spacing w:line="1499" w:lineRule="exact"/>
      </w:pPr>
      <w:r>
        <w:rPr>
          <w:color w:val="FFFFFF"/>
        </w:rPr>
        <w:t>de </w:t>
      </w:r>
      <w:r>
        <w:rPr>
          <w:color w:val="FFFFFF"/>
          <w:spacing w:val="-4"/>
        </w:rPr>
        <w:t>2024</w:t>
      </w:r>
    </w:p>
    <w:p>
      <w:pPr>
        <w:spacing w:after="0" w:line="1499" w:lineRule="exact"/>
        <w:sectPr>
          <w:type w:val="continuous"/>
          <w:pgSz w:w="11910" w:h="16840"/>
          <w:pgMar w:top="1920" w:bottom="280" w:left="180" w:right="220"/>
        </w:sectPr>
      </w:pPr>
    </w:p>
    <w:p>
      <w:pPr>
        <w:spacing w:before="110"/>
        <w:ind w:left="379" w:right="0" w:firstLine="0"/>
        <w:jc w:val="left"/>
        <w:rPr>
          <w:rFonts w:ascii="BancoDoBrasil Titulos Medium" w:hAnsi="BancoDoBrasil Titulos Medium"/>
          <w:b w:val="0"/>
          <w:sz w:val="32"/>
        </w:rPr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0176">
                <wp:simplePos x="0" y="0"/>
                <wp:positionH relativeFrom="page">
                  <wp:posOffset>6412128</wp:posOffset>
                </wp:positionH>
                <wp:positionV relativeFrom="paragraph">
                  <wp:posOffset>-2324</wp:posOffset>
                </wp:positionV>
                <wp:extent cx="424815" cy="416559"/>
                <wp:effectExtent l="0" t="0" r="0" b="0"/>
                <wp:wrapNone/>
                <wp:docPr id="6" name="Graphic 6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6" name="Graphic 6"/>
                      <wps:cNvSpPr/>
                      <wps:spPr>
                        <a:xfrm>
                          <a:off x="0" y="0"/>
                          <a:ext cx="424815" cy="416559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424815" h="416559">
                              <a:moveTo>
                                <a:pt x="86004" y="360565"/>
                              </a:moveTo>
                              <a:lnTo>
                                <a:pt x="42087" y="330974"/>
                              </a:lnTo>
                              <a:lnTo>
                                <a:pt x="0" y="357619"/>
                              </a:lnTo>
                              <a:lnTo>
                                <a:pt x="0" y="416090"/>
                              </a:lnTo>
                              <a:lnTo>
                                <a:pt x="86004" y="360565"/>
                              </a:lnTo>
                              <a:close/>
                            </a:path>
                            <a:path w="424815" h="416559">
                              <a:moveTo>
                                <a:pt x="421297" y="276517"/>
                              </a:moveTo>
                              <a:lnTo>
                                <a:pt x="334060" y="217919"/>
                              </a:lnTo>
                              <a:lnTo>
                                <a:pt x="230797" y="287769"/>
                              </a:lnTo>
                              <a:lnTo>
                                <a:pt x="274116" y="317004"/>
                              </a:lnTo>
                              <a:lnTo>
                                <a:pt x="217144" y="356425"/>
                              </a:lnTo>
                              <a:lnTo>
                                <a:pt x="91935" y="272376"/>
                              </a:lnTo>
                              <a:lnTo>
                                <a:pt x="294894" y="140982"/>
                              </a:lnTo>
                              <a:lnTo>
                                <a:pt x="249783" y="111379"/>
                              </a:lnTo>
                              <a:lnTo>
                                <a:pt x="0" y="276517"/>
                              </a:lnTo>
                              <a:lnTo>
                                <a:pt x="212191" y="416090"/>
                              </a:lnTo>
                              <a:lnTo>
                                <a:pt x="421297" y="276517"/>
                              </a:lnTo>
                              <a:close/>
                            </a:path>
                            <a:path w="424815" h="416559">
                              <a:moveTo>
                                <a:pt x="421297" y="138607"/>
                              </a:moveTo>
                              <a:lnTo>
                                <a:pt x="212191" y="0"/>
                              </a:lnTo>
                              <a:lnTo>
                                <a:pt x="0" y="136232"/>
                              </a:lnTo>
                              <a:lnTo>
                                <a:pt x="88963" y="195427"/>
                              </a:lnTo>
                              <a:lnTo>
                                <a:pt x="191046" y="127368"/>
                              </a:lnTo>
                              <a:lnTo>
                                <a:pt x="148310" y="96583"/>
                              </a:lnTo>
                              <a:lnTo>
                                <a:pt x="206476" y="58115"/>
                              </a:lnTo>
                              <a:lnTo>
                                <a:pt x="329311" y="140385"/>
                              </a:lnTo>
                              <a:lnTo>
                                <a:pt x="129908" y="274751"/>
                              </a:lnTo>
                              <a:lnTo>
                                <a:pt x="172046" y="303149"/>
                              </a:lnTo>
                              <a:lnTo>
                                <a:pt x="421297" y="138607"/>
                              </a:lnTo>
                              <a:close/>
                            </a:path>
                            <a:path w="424815" h="416559">
                              <a:moveTo>
                                <a:pt x="424357" y="0"/>
                              </a:moveTo>
                              <a:lnTo>
                                <a:pt x="338810" y="54559"/>
                              </a:lnTo>
                              <a:lnTo>
                                <a:pt x="384505" y="86525"/>
                              </a:lnTo>
                              <a:lnTo>
                                <a:pt x="424357" y="60477"/>
                              </a:lnTo>
                              <a:lnTo>
                                <a:pt x="424357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BFB2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504.892029pt;margin-top:-.183038pt;width:33.450pt;height:32.8pt;mso-position-horizontal-relative:page;mso-position-vertical-relative:paragraph;z-index:15730176" id="docshape6" coordorigin="10098,-4" coordsize="669,656" path="m10233,564l10164,518,10098,560,10098,652,10233,564xm10761,432l10624,340,10461,450,10530,496,10440,558,10243,425,10562,218,10491,172,10098,432,10432,652,10761,432xm10761,215l10432,-4,10098,211,10238,304,10399,197,10331,148,10423,88,10616,217,10302,429,10369,474,10761,215xm10766,-4l10631,82,10703,133,10766,92,10766,-4xe" filled="true" fillcolor="#fbfb2f" stroked="false">
                <v:path arrowok="t"/>
                <v:fill type="solid"/>
                <w10:wrap type="none"/>
              </v:shape>
            </w:pict>
          </mc:Fallback>
        </mc:AlternateContent>
      </w:r>
      <w:bookmarkStart w:name="RELAD_3T24 - Cosif" w:id="2"/>
      <w:bookmarkEnd w:id="2"/>
      <w:r>
        <w:rPr/>
      </w:r>
      <w:r>
        <w:rPr>
          <w:rFonts w:ascii="BancoDoBrasil Titulos Medium" w:hAnsi="BancoDoBrasil Titulos Medium"/>
          <w:b w:val="0"/>
          <w:color w:val="FFFFFF"/>
          <w:spacing w:val="14"/>
          <w:sz w:val="32"/>
        </w:rPr>
        <w:t>Relatório</w:t>
      </w:r>
      <w:r>
        <w:rPr>
          <w:rFonts w:ascii="BancoDoBrasil Titulos Medium" w:hAnsi="BancoDoBrasil Titulos Medium"/>
          <w:b w:val="0"/>
          <w:color w:val="FFFFFF"/>
          <w:spacing w:val="31"/>
          <w:sz w:val="32"/>
        </w:rPr>
        <w:t> </w:t>
      </w:r>
      <w:r>
        <w:rPr>
          <w:rFonts w:ascii="BancoDoBrasil Titulos Medium" w:hAnsi="BancoDoBrasil Titulos Medium"/>
          <w:b w:val="0"/>
          <w:color w:val="FFFFFF"/>
          <w:spacing w:val="11"/>
          <w:sz w:val="32"/>
        </w:rPr>
        <w:t>da</w:t>
      </w:r>
      <w:r>
        <w:rPr>
          <w:rFonts w:ascii="BancoDoBrasil Titulos Medium" w:hAnsi="BancoDoBrasil Titulos Medium"/>
          <w:b w:val="0"/>
          <w:color w:val="FFFFFF"/>
          <w:spacing w:val="28"/>
          <w:sz w:val="32"/>
        </w:rPr>
        <w:t> </w:t>
      </w:r>
      <w:r>
        <w:rPr>
          <w:rFonts w:ascii="BancoDoBrasil Titulos Medium" w:hAnsi="BancoDoBrasil Titulos Medium"/>
          <w:b w:val="0"/>
          <w:color w:val="FFFFFF"/>
          <w:spacing w:val="16"/>
          <w:sz w:val="32"/>
        </w:rPr>
        <w:t>Administração</w:t>
      </w:r>
      <w:r>
        <w:rPr>
          <w:rFonts w:ascii="BancoDoBrasil Titulos Medium" w:hAnsi="BancoDoBrasil Titulos Medium"/>
          <w:b w:val="0"/>
          <w:color w:val="FFFFFF"/>
          <w:spacing w:val="40"/>
          <w:sz w:val="32"/>
        </w:rPr>
        <w:t> </w:t>
      </w:r>
      <w:r>
        <w:rPr>
          <w:rFonts w:ascii="BancoDoBrasil Textos Light" w:hAnsi="BancoDoBrasil Textos Light"/>
          <w:b w:val="0"/>
          <w:color w:val="FFFFFF"/>
          <w:sz w:val="32"/>
        </w:rPr>
        <w:t>|</w:t>
      </w:r>
      <w:r>
        <w:rPr>
          <w:rFonts w:ascii="BancoDoBrasil Textos Light" w:hAnsi="BancoDoBrasil Textos Light"/>
          <w:b w:val="0"/>
          <w:color w:val="FFFFFF"/>
          <w:spacing w:val="35"/>
          <w:sz w:val="32"/>
        </w:rPr>
        <w:t> </w:t>
      </w:r>
      <w:r>
        <w:rPr>
          <w:rFonts w:ascii="BancoDoBrasil Titulos Medium" w:hAnsi="BancoDoBrasil Titulos Medium"/>
          <w:b w:val="0"/>
          <w:color w:val="FFFFFF"/>
          <w:spacing w:val="9"/>
          <w:sz w:val="32"/>
        </w:rPr>
        <w:t>9M24</w:t>
      </w:r>
    </w:p>
    <w:p>
      <w:pPr>
        <w:pStyle w:val="BodyText"/>
        <w:jc w:val="left"/>
        <w:rPr>
          <w:rFonts w:ascii="BancoDoBrasil Titulos Medium"/>
          <w:b w:val="0"/>
        </w:rPr>
      </w:pPr>
    </w:p>
    <w:p>
      <w:pPr>
        <w:pStyle w:val="BodyText"/>
        <w:jc w:val="left"/>
        <w:rPr>
          <w:rFonts w:ascii="BancoDoBrasil Titulos Medium"/>
          <w:b w:val="0"/>
        </w:rPr>
      </w:pPr>
    </w:p>
    <w:p>
      <w:pPr>
        <w:pStyle w:val="BodyText"/>
        <w:jc w:val="left"/>
        <w:rPr>
          <w:rFonts w:ascii="BancoDoBrasil Titulos Medium"/>
          <w:b w:val="0"/>
        </w:rPr>
      </w:pPr>
    </w:p>
    <w:p>
      <w:pPr>
        <w:pStyle w:val="BodyText"/>
        <w:jc w:val="left"/>
        <w:rPr>
          <w:rFonts w:ascii="BancoDoBrasil Titulos Medium"/>
          <w:b w:val="0"/>
        </w:rPr>
      </w:pPr>
    </w:p>
    <w:p>
      <w:pPr>
        <w:pStyle w:val="BodyText"/>
        <w:jc w:val="left"/>
        <w:rPr>
          <w:rFonts w:ascii="BancoDoBrasil Titulos Medium"/>
          <w:b w:val="0"/>
        </w:rPr>
      </w:pPr>
    </w:p>
    <w:p>
      <w:pPr>
        <w:pStyle w:val="BodyText"/>
        <w:spacing w:before="93"/>
        <w:jc w:val="left"/>
        <w:rPr>
          <w:rFonts w:ascii="BancoDoBrasil Titulos Medium"/>
          <w:b w:val="0"/>
        </w:rPr>
      </w:pPr>
    </w:p>
    <w:p>
      <w:pPr>
        <w:spacing w:after="0"/>
        <w:jc w:val="left"/>
        <w:rPr>
          <w:rFonts w:ascii="BancoDoBrasil Titulos Medium"/>
        </w:rPr>
        <w:sectPr>
          <w:pgSz w:w="11910" w:h="16850"/>
          <w:pgMar w:top="740" w:bottom="280" w:left="180" w:right="220"/>
        </w:sectPr>
      </w:pPr>
    </w:p>
    <w:p>
      <w:pPr>
        <w:spacing w:before="71"/>
        <w:ind w:left="672" w:right="0" w:firstLine="0"/>
        <w:jc w:val="both"/>
        <w:rPr>
          <w:rFonts w:ascii="BancoDoBrasil Textos Medium"/>
          <w:b w:val="0"/>
          <w:sz w:val="28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265280">
                <wp:simplePos x="0" y="0"/>
                <wp:positionH relativeFrom="page">
                  <wp:posOffset>0</wp:posOffset>
                </wp:positionH>
                <wp:positionV relativeFrom="page">
                  <wp:posOffset>0</wp:posOffset>
                </wp:positionV>
                <wp:extent cx="7560945" cy="10694035"/>
                <wp:effectExtent l="0" t="0" r="0" b="0"/>
                <wp:wrapNone/>
                <wp:docPr id="7" name="Graphic 7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7" name="Graphic 7"/>
                      <wps:cNvSpPr/>
                      <wps:spPr>
                        <a:xfrm>
                          <a:off x="0" y="0"/>
                          <a:ext cx="7560945" cy="1069403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60945" h="10694035">
                              <a:moveTo>
                                <a:pt x="7560564" y="0"/>
                              </a:moveTo>
                              <a:lnTo>
                                <a:pt x="0" y="0"/>
                              </a:lnTo>
                              <a:lnTo>
                                <a:pt x="0" y="10693907"/>
                              </a:lnTo>
                              <a:lnTo>
                                <a:pt x="7560564" y="10693907"/>
                              </a:lnTo>
                              <a:lnTo>
                                <a:pt x="75605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465E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0pt;margin-top:0pt;width:595.320007pt;height:842.039978pt;mso-position-horizontal-relative:page;mso-position-vertical-relative:page;z-index:-16051200" id="docshape7" filled="true" fillcolor="#465eff" stroked="false">
                <v:fill type="solid"/>
                <w10:wrap type="none"/>
              </v:rect>
            </w:pict>
          </mc:Fallback>
        </mc:AlternateContent>
      </w:r>
      <w:r>
        <w:rPr>
          <w:rFonts w:ascii="BancoDoBrasil Textos Medium"/>
          <w:b w:val="0"/>
          <w:color w:val="FBFB2F"/>
          <w:spacing w:val="14"/>
          <w:sz w:val="28"/>
        </w:rPr>
        <w:t>Caro</w:t>
      </w:r>
      <w:r>
        <w:rPr>
          <w:rFonts w:ascii="BancoDoBrasil Textos Medium"/>
          <w:b w:val="0"/>
          <w:color w:val="FBFB2F"/>
          <w:spacing w:val="45"/>
          <w:sz w:val="28"/>
        </w:rPr>
        <w:t> </w:t>
      </w:r>
      <w:r>
        <w:rPr>
          <w:rFonts w:ascii="BancoDoBrasil Textos Medium"/>
          <w:b w:val="0"/>
          <w:color w:val="FBFB2F"/>
          <w:spacing w:val="11"/>
          <w:sz w:val="28"/>
        </w:rPr>
        <w:t>leitor,</w:t>
      </w:r>
    </w:p>
    <w:p>
      <w:pPr>
        <w:pStyle w:val="BodyText"/>
        <w:spacing w:line="321" w:lineRule="auto" w:before="170"/>
        <w:ind w:left="672"/>
      </w:pPr>
      <w:r>
        <w:rPr>
          <w:color w:val="FFFFFF"/>
        </w:rPr>
        <w:t>Nos nove primeiros meses de 2024, registramos lucro</w:t>
      </w:r>
      <w:r>
        <w:rPr>
          <w:color w:val="FFFFFF"/>
          <w:spacing w:val="-5"/>
        </w:rPr>
        <w:t> </w:t>
      </w:r>
      <w:r>
        <w:rPr>
          <w:color w:val="FFFFFF"/>
        </w:rPr>
        <w:t>líquido</w:t>
      </w:r>
      <w:r>
        <w:rPr>
          <w:color w:val="FFFFFF"/>
          <w:spacing w:val="-5"/>
        </w:rPr>
        <w:t> </w:t>
      </w:r>
      <w:r>
        <w:rPr>
          <w:color w:val="FFFFFF"/>
        </w:rPr>
        <w:t>de</w:t>
      </w:r>
      <w:r>
        <w:rPr>
          <w:color w:val="FFFFFF"/>
          <w:spacing w:val="-5"/>
        </w:rPr>
        <w:t> </w:t>
      </w:r>
      <w:r>
        <w:rPr>
          <w:color w:val="FFFFFF"/>
        </w:rPr>
        <w:t>R$</w:t>
      </w:r>
      <w:r>
        <w:rPr>
          <w:color w:val="FFFFFF"/>
          <w:spacing w:val="-5"/>
        </w:rPr>
        <w:t> </w:t>
      </w:r>
      <w:r>
        <w:rPr>
          <w:color w:val="FFFFFF"/>
        </w:rPr>
        <w:t>26,7</w:t>
      </w:r>
      <w:r>
        <w:rPr>
          <w:color w:val="FFFFFF"/>
          <w:spacing w:val="-5"/>
        </w:rPr>
        <w:t> </w:t>
      </w:r>
      <w:r>
        <w:rPr>
          <w:color w:val="FFFFFF"/>
        </w:rPr>
        <w:t>bilhões,</w:t>
      </w:r>
      <w:r>
        <w:rPr>
          <w:color w:val="FFFFFF"/>
          <w:spacing w:val="-5"/>
        </w:rPr>
        <w:t> </w:t>
      </w:r>
      <w:r>
        <w:rPr>
          <w:color w:val="FFFFFF"/>
        </w:rPr>
        <w:t>evolução</w:t>
      </w:r>
      <w:r>
        <w:rPr>
          <w:color w:val="FFFFFF"/>
          <w:spacing w:val="-5"/>
        </w:rPr>
        <w:t> </w:t>
      </w:r>
      <w:r>
        <w:rPr>
          <w:color w:val="FFFFFF"/>
        </w:rPr>
        <w:t>de</w:t>
      </w:r>
      <w:r>
        <w:rPr>
          <w:color w:val="FFFFFF"/>
          <w:spacing w:val="-5"/>
        </w:rPr>
        <w:t> </w:t>
      </w:r>
      <w:r>
        <w:rPr>
          <w:color w:val="FFFFFF"/>
        </w:rPr>
        <w:t>6,9% se comparado ao mesmo período de 2023, amparado pela execução bem-sucedida do nosso planejamento estratégico. Temos trabalhado continuamente para entregar um Banco do Brasil para cada um de nossos clientes, com relacionamento próximo e experiência figital. Desta forma, a geração de negócios é feita de </w:t>
      </w:r>
      <w:r>
        <w:rPr>
          <w:color w:val="FFFFFF"/>
          <w:spacing w:val="-2"/>
        </w:rPr>
        <w:t>forma</w:t>
      </w:r>
      <w:r>
        <w:rPr>
          <w:color w:val="FFFFFF"/>
          <w:spacing w:val="-10"/>
        </w:rPr>
        <w:t> </w:t>
      </w:r>
      <w:r>
        <w:rPr>
          <w:color w:val="FFFFFF"/>
          <w:spacing w:val="-2"/>
        </w:rPr>
        <w:t>sustentável</w:t>
      </w:r>
      <w:r>
        <w:rPr>
          <w:color w:val="FFFFFF"/>
          <w:spacing w:val="-9"/>
        </w:rPr>
        <w:t> </w:t>
      </w:r>
      <w:r>
        <w:rPr>
          <w:color w:val="FFFFFF"/>
          <w:spacing w:val="-2"/>
        </w:rPr>
        <w:t>e</w:t>
      </w:r>
      <w:r>
        <w:rPr>
          <w:color w:val="FFFFFF"/>
          <w:spacing w:val="-9"/>
        </w:rPr>
        <w:t> </w:t>
      </w:r>
      <w:r>
        <w:rPr>
          <w:color w:val="FFFFFF"/>
          <w:spacing w:val="-2"/>
        </w:rPr>
        <w:t>o</w:t>
      </w:r>
      <w:r>
        <w:rPr>
          <w:color w:val="FFFFFF"/>
          <w:spacing w:val="-9"/>
        </w:rPr>
        <w:t> </w:t>
      </w:r>
      <w:r>
        <w:rPr>
          <w:color w:val="FFFFFF"/>
          <w:spacing w:val="-2"/>
        </w:rPr>
        <w:t>retorno</w:t>
      </w:r>
      <w:r>
        <w:rPr>
          <w:color w:val="FFFFFF"/>
          <w:spacing w:val="-9"/>
        </w:rPr>
        <w:t> </w:t>
      </w:r>
      <w:r>
        <w:rPr>
          <w:color w:val="FFFFFF"/>
          <w:spacing w:val="-2"/>
        </w:rPr>
        <w:t>aos</w:t>
      </w:r>
      <w:r>
        <w:rPr>
          <w:color w:val="FFFFFF"/>
          <w:spacing w:val="-8"/>
        </w:rPr>
        <w:t> </w:t>
      </w:r>
      <w:r>
        <w:rPr>
          <w:color w:val="FFFFFF"/>
          <w:spacing w:val="-2"/>
        </w:rPr>
        <w:t>nossos</w:t>
      </w:r>
      <w:r>
        <w:rPr>
          <w:color w:val="FFFFFF"/>
          <w:spacing w:val="-8"/>
        </w:rPr>
        <w:t> </w:t>
      </w:r>
      <w:r>
        <w:rPr>
          <w:color w:val="FFFFFF"/>
          <w:spacing w:val="-2"/>
        </w:rPr>
        <w:t>acionistas </w:t>
      </w:r>
      <w:r>
        <w:rPr>
          <w:color w:val="FFFFFF"/>
        </w:rPr>
        <w:t>e à sociedade é uma consequência orgânica do nosso jeito de ser BB.</w:t>
      </w:r>
    </w:p>
    <w:p>
      <w:pPr>
        <w:pStyle w:val="BodyText"/>
        <w:spacing w:line="321" w:lineRule="auto" w:before="112"/>
        <w:ind w:left="672"/>
      </w:pPr>
      <w:r>
        <w:rPr>
          <w:color w:val="FFFFFF"/>
        </w:rPr>
        <w:t>Além</w:t>
      </w:r>
      <w:r>
        <w:rPr>
          <w:color w:val="FFFFFF"/>
          <w:spacing w:val="-7"/>
        </w:rPr>
        <w:t> </w:t>
      </w:r>
      <w:r>
        <w:rPr>
          <w:color w:val="FFFFFF"/>
        </w:rPr>
        <w:t>de</w:t>
      </w:r>
      <w:r>
        <w:rPr>
          <w:color w:val="FFFFFF"/>
          <w:spacing w:val="-6"/>
        </w:rPr>
        <w:t> </w:t>
      </w:r>
      <w:r>
        <w:rPr>
          <w:color w:val="FFFFFF"/>
        </w:rPr>
        <w:t>ser</w:t>
      </w:r>
      <w:r>
        <w:rPr>
          <w:color w:val="FFFFFF"/>
          <w:spacing w:val="-7"/>
        </w:rPr>
        <w:t> </w:t>
      </w:r>
      <w:r>
        <w:rPr>
          <w:color w:val="FFFFFF"/>
        </w:rPr>
        <w:t>um</w:t>
      </w:r>
      <w:r>
        <w:rPr>
          <w:color w:val="FFFFFF"/>
          <w:spacing w:val="-7"/>
        </w:rPr>
        <w:t> </w:t>
      </w:r>
      <w:r>
        <w:rPr>
          <w:color w:val="FFFFFF"/>
        </w:rPr>
        <w:t>resultado</w:t>
      </w:r>
      <w:r>
        <w:rPr>
          <w:color w:val="FFFFFF"/>
          <w:spacing w:val="-5"/>
        </w:rPr>
        <w:t> </w:t>
      </w:r>
      <w:r>
        <w:rPr>
          <w:color w:val="FFFFFF"/>
        </w:rPr>
        <w:t>que</w:t>
      </w:r>
      <w:r>
        <w:rPr>
          <w:color w:val="FFFFFF"/>
          <w:spacing w:val="-7"/>
        </w:rPr>
        <w:t> </w:t>
      </w:r>
      <w:r>
        <w:rPr>
          <w:color w:val="FFFFFF"/>
        </w:rPr>
        <w:t>remunera</w:t>
      </w:r>
      <w:r>
        <w:rPr>
          <w:color w:val="FFFFFF"/>
          <w:spacing w:val="-7"/>
        </w:rPr>
        <w:t> </w:t>
      </w:r>
      <w:r>
        <w:rPr>
          <w:color w:val="FFFFFF"/>
        </w:rPr>
        <w:t>acionistas e</w:t>
      </w:r>
      <w:r>
        <w:rPr>
          <w:color w:val="FFFFFF"/>
          <w:spacing w:val="-13"/>
        </w:rPr>
        <w:t> </w:t>
      </w:r>
      <w:r>
        <w:rPr>
          <w:color w:val="FFFFFF"/>
        </w:rPr>
        <w:t>sustenta</w:t>
      </w:r>
      <w:r>
        <w:rPr>
          <w:color w:val="FFFFFF"/>
          <w:spacing w:val="-12"/>
        </w:rPr>
        <w:t> </w:t>
      </w:r>
      <w:r>
        <w:rPr>
          <w:color w:val="FFFFFF"/>
        </w:rPr>
        <w:t>o</w:t>
      </w:r>
      <w:r>
        <w:rPr>
          <w:color w:val="FFFFFF"/>
          <w:spacing w:val="-13"/>
        </w:rPr>
        <w:t> </w:t>
      </w:r>
      <w:r>
        <w:rPr>
          <w:color w:val="FFFFFF"/>
        </w:rPr>
        <w:t>crescimento</w:t>
      </w:r>
      <w:r>
        <w:rPr>
          <w:color w:val="FFFFFF"/>
          <w:spacing w:val="-12"/>
        </w:rPr>
        <w:t> </w:t>
      </w:r>
      <w:r>
        <w:rPr>
          <w:color w:val="FFFFFF"/>
        </w:rPr>
        <w:t>do</w:t>
      </w:r>
      <w:r>
        <w:rPr>
          <w:color w:val="FFFFFF"/>
          <w:spacing w:val="-12"/>
        </w:rPr>
        <w:t> </w:t>
      </w:r>
      <w:r>
        <w:rPr>
          <w:color w:val="FFFFFF"/>
        </w:rPr>
        <w:t>crédito,</w:t>
      </w:r>
      <w:r>
        <w:rPr>
          <w:color w:val="FFFFFF"/>
          <w:spacing w:val="-13"/>
        </w:rPr>
        <w:t> </w:t>
      </w:r>
      <w:r>
        <w:rPr>
          <w:color w:val="FFFFFF"/>
        </w:rPr>
        <w:t>contando</w:t>
      </w:r>
      <w:r>
        <w:rPr>
          <w:color w:val="FFFFFF"/>
          <w:spacing w:val="-12"/>
        </w:rPr>
        <w:t> </w:t>
      </w:r>
      <w:r>
        <w:rPr>
          <w:color w:val="FFFFFF"/>
        </w:rPr>
        <w:t>com R$ 63,4 bilhões em valor adicionado à sociedade, quando consideramos impostos, salários, dividendos e demais componentes. A carteira classificada superou R$ 1,0 trilhão, com evoluções importantes em todos os segmentos em que </w:t>
      </w:r>
      <w:r>
        <w:rPr>
          <w:color w:val="FFFFFF"/>
          <w:spacing w:val="-2"/>
        </w:rPr>
        <w:t>atuamos.</w:t>
      </w:r>
    </w:p>
    <w:p>
      <w:pPr>
        <w:pStyle w:val="BodyText"/>
        <w:tabs>
          <w:tab w:pos="1853" w:val="left" w:leader="none"/>
          <w:tab w:pos="3494" w:val="left" w:leader="none"/>
          <w:tab w:pos="4367" w:val="left" w:leader="none"/>
        </w:tabs>
        <w:spacing w:line="321" w:lineRule="auto" w:before="115"/>
        <w:ind w:left="672"/>
      </w:pPr>
      <w:r>
        <w:rPr>
          <w:color w:val="FFFFFF"/>
        </w:rPr>
        <w:t>Na carteira PF, destaque para as operações de </w:t>
      </w:r>
      <w:r>
        <w:rPr>
          <w:color w:val="FFFFFF"/>
          <w:spacing w:val="-2"/>
        </w:rPr>
        <w:t>crédito</w:t>
      </w:r>
      <w:r>
        <w:rPr>
          <w:color w:val="FFFFFF"/>
        </w:rPr>
        <w:tab/>
      </w:r>
      <w:r>
        <w:rPr>
          <w:color w:val="FFFFFF"/>
          <w:spacing w:val="-2"/>
        </w:rPr>
        <w:t>consignado,</w:t>
      </w:r>
      <w:r>
        <w:rPr>
          <w:color w:val="FFFFFF"/>
        </w:rPr>
        <w:tab/>
      </w:r>
      <w:r>
        <w:rPr>
          <w:color w:val="FFFFFF"/>
          <w:spacing w:val="-4"/>
        </w:rPr>
        <w:t>que</w:t>
      </w:r>
      <w:r>
        <w:rPr>
          <w:color w:val="FFFFFF"/>
        </w:rPr>
        <w:tab/>
      </w:r>
      <w:r>
        <w:rPr>
          <w:color w:val="FFFFFF"/>
          <w:spacing w:val="-2"/>
        </w:rPr>
        <w:t>alcançaram </w:t>
      </w:r>
      <w:r>
        <w:rPr>
          <w:color w:val="FFFFFF"/>
        </w:rPr>
        <w:t>R$ 137,2 bilhões. Na PJ, tanto MPME quanto grandes empresas e o segmento governo apresentaram</w:t>
      </w:r>
      <w:r>
        <w:rPr>
          <w:color w:val="FFFFFF"/>
          <w:spacing w:val="-13"/>
        </w:rPr>
        <w:t> </w:t>
      </w:r>
      <w:r>
        <w:rPr>
          <w:color w:val="FFFFFF"/>
        </w:rPr>
        <w:t>crescimento,</w:t>
      </w:r>
      <w:r>
        <w:rPr>
          <w:color w:val="FFFFFF"/>
          <w:spacing w:val="-12"/>
        </w:rPr>
        <w:t> </w:t>
      </w:r>
      <w:r>
        <w:rPr>
          <w:color w:val="FFFFFF"/>
        </w:rPr>
        <w:t>demonstrando</w:t>
      </w:r>
      <w:r>
        <w:rPr>
          <w:color w:val="FFFFFF"/>
          <w:spacing w:val="-13"/>
        </w:rPr>
        <w:t> </w:t>
      </w:r>
      <w:r>
        <w:rPr>
          <w:color w:val="FFFFFF"/>
        </w:rPr>
        <w:t>o</w:t>
      </w:r>
      <w:r>
        <w:rPr>
          <w:color w:val="FFFFFF"/>
          <w:spacing w:val="-12"/>
        </w:rPr>
        <w:t> </w:t>
      </w:r>
      <w:r>
        <w:rPr>
          <w:color w:val="FFFFFF"/>
        </w:rPr>
        <w:t>nosso compromisso junto a esses segmentos.</w:t>
      </w:r>
    </w:p>
    <w:p>
      <w:pPr>
        <w:pStyle w:val="BodyText"/>
        <w:spacing w:line="321" w:lineRule="auto" w:before="116"/>
        <w:ind w:left="672" w:right="1"/>
      </w:pPr>
      <w:r>
        <w:rPr>
          <w:color w:val="FFFFFF"/>
        </w:rPr>
        <w:t>No agronegócio, destacamos o desempenho </w:t>
      </w:r>
      <w:r>
        <w:rPr>
          <w:color w:val="FFFFFF"/>
          <w:spacing w:val="-2"/>
        </w:rPr>
        <w:t>positivo da carteira ampliada (13,7%), comparando </w:t>
      </w:r>
      <w:r>
        <w:rPr>
          <w:color w:val="FFFFFF"/>
        </w:rPr>
        <w:t>com o mesmo período do ano anterior. No Plano Safra</w:t>
      </w:r>
      <w:r>
        <w:rPr>
          <w:color w:val="FFFFFF"/>
          <w:spacing w:val="-13"/>
        </w:rPr>
        <w:t> </w:t>
      </w:r>
      <w:r>
        <w:rPr>
          <w:color w:val="FFFFFF"/>
        </w:rPr>
        <w:t>2024/2025,</w:t>
      </w:r>
      <w:r>
        <w:rPr>
          <w:color w:val="FFFFFF"/>
          <w:spacing w:val="-12"/>
        </w:rPr>
        <w:t> </w:t>
      </w:r>
      <w:r>
        <w:rPr>
          <w:color w:val="FFFFFF"/>
        </w:rPr>
        <w:t>desembolsamos</w:t>
      </w:r>
      <w:r>
        <w:rPr>
          <w:color w:val="FFFFFF"/>
          <w:spacing w:val="-13"/>
        </w:rPr>
        <w:t> </w:t>
      </w:r>
      <w:r>
        <w:rPr>
          <w:color w:val="FFFFFF"/>
        </w:rPr>
        <w:t>R$</w:t>
      </w:r>
      <w:r>
        <w:rPr>
          <w:color w:val="FFFFFF"/>
          <w:spacing w:val="-12"/>
        </w:rPr>
        <w:t> </w:t>
      </w:r>
      <w:r>
        <w:rPr>
          <w:color w:val="FFFFFF"/>
        </w:rPr>
        <w:t>63,4</w:t>
      </w:r>
      <w:r>
        <w:rPr>
          <w:color w:val="FFFFFF"/>
          <w:spacing w:val="-12"/>
        </w:rPr>
        <w:t> </w:t>
      </w:r>
      <w:r>
        <w:rPr>
          <w:color w:val="FFFFFF"/>
        </w:rPr>
        <w:t>bilhões. Além</w:t>
      </w:r>
      <w:r>
        <w:rPr>
          <w:color w:val="FFFFFF"/>
          <w:spacing w:val="9"/>
        </w:rPr>
        <w:t> </w:t>
      </w:r>
      <w:r>
        <w:rPr>
          <w:color w:val="FFFFFF"/>
        </w:rPr>
        <w:t>disso,</w:t>
      </w:r>
      <w:r>
        <w:rPr>
          <w:color w:val="FFFFFF"/>
          <w:spacing w:val="10"/>
        </w:rPr>
        <w:t> </w:t>
      </w:r>
      <w:r>
        <w:rPr>
          <w:color w:val="FFFFFF"/>
        </w:rPr>
        <w:t>houve</w:t>
      </w:r>
      <w:r>
        <w:rPr>
          <w:color w:val="FFFFFF"/>
          <w:spacing w:val="9"/>
        </w:rPr>
        <w:t> </w:t>
      </w:r>
      <w:r>
        <w:rPr>
          <w:color w:val="FFFFFF"/>
        </w:rPr>
        <w:t>desembolso</w:t>
      </w:r>
      <w:r>
        <w:rPr>
          <w:color w:val="FFFFFF"/>
          <w:spacing w:val="10"/>
        </w:rPr>
        <w:t> </w:t>
      </w:r>
      <w:r>
        <w:rPr>
          <w:color w:val="FFFFFF"/>
        </w:rPr>
        <w:t>de</w:t>
      </w:r>
      <w:r>
        <w:rPr>
          <w:color w:val="FFFFFF"/>
          <w:spacing w:val="10"/>
        </w:rPr>
        <w:t> </w:t>
      </w:r>
      <w:r>
        <w:rPr>
          <w:color w:val="FFFFFF"/>
        </w:rPr>
        <w:t>R$</w:t>
      </w:r>
      <w:r>
        <w:rPr>
          <w:color w:val="FFFFFF"/>
          <w:spacing w:val="9"/>
        </w:rPr>
        <w:t> </w:t>
      </w:r>
      <w:r>
        <w:rPr>
          <w:color w:val="FFFFFF"/>
        </w:rPr>
        <w:t>11,0</w:t>
      </w:r>
      <w:r>
        <w:rPr>
          <w:color w:val="FFFFFF"/>
          <w:spacing w:val="10"/>
        </w:rPr>
        <w:t> </w:t>
      </w:r>
      <w:r>
        <w:rPr>
          <w:color w:val="FFFFFF"/>
          <w:spacing w:val="-2"/>
        </w:rPr>
        <w:t>bilhões</w:t>
      </w:r>
    </w:p>
    <w:p>
      <w:pPr>
        <w:spacing w:line="240" w:lineRule="auto" w:before="0"/>
        <w:rPr>
          <w:sz w:val="20"/>
        </w:rPr>
      </w:pPr>
      <w:r>
        <w:rPr/>
        <w:br w:type="column"/>
      </w:r>
      <w:r>
        <w:rPr>
          <w:sz w:val="20"/>
        </w:rPr>
      </w:r>
    </w:p>
    <w:p>
      <w:pPr>
        <w:pStyle w:val="BodyText"/>
        <w:spacing w:before="88"/>
        <w:jc w:val="left"/>
      </w:pPr>
    </w:p>
    <w:p>
      <w:pPr>
        <w:pStyle w:val="BodyText"/>
        <w:spacing w:line="321" w:lineRule="auto" w:before="1"/>
        <w:ind w:left="667" w:right="630"/>
      </w:pPr>
      <w:r>
        <w:rPr>
          <w:color w:val="FFFFFF"/>
        </w:rPr>
        <w:t>na cadeia de valor do agro, totalizando assim R$ 74,4 bilhões. Foram mais de 200 mil operações contratadas no período em mais de 4,8 mil </w:t>
      </w:r>
      <w:r>
        <w:rPr>
          <w:color w:val="FFFFFF"/>
          <w:spacing w:val="-2"/>
        </w:rPr>
        <w:t>municípios</w:t>
      </w:r>
      <w:r>
        <w:rPr>
          <w:color w:val="FFFFFF"/>
          <w:spacing w:val="-6"/>
        </w:rPr>
        <w:t> </w:t>
      </w:r>
      <w:r>
        <w:rPr>
          <w:color w:val="FFFFFF"/>
          <w:spacing w:val="-2"/>
        </w:rPr>
        <w:t>em</w:t>
      </w:r>
      <w:r>
        <w:rPr>
          <w:color w:val="FFFFFF"/>
          <w:spacing w:val="-8"/>
        </w:rPr>
        <w:t> </w:t>
      </w:r>
      <w:r>
        <w:rPr>
          <w:color w:val="FFFFFF"/>
          <w:spacing w:val="-2"/>
        </w:rPr>
        <w:t>todo</w:t>
      </w:r>
      <w:r>
        <w:rPr>
          <w:color w:val="FFFFFF"/>
          <w:spacing w:val="-7"/>
        </w:rPr>
        <w:t> </w:t>
      </w:r>
      <w:r>
        <w:rPr>
          <w:color w:val="FFFFFF"/>
          <w:spacing w:val="-2"/>
        </w:rPr>
        <w:t>o</w:t>
      </w:r>
      <w:r>
        <w:rPr>
          <w:color w:val="FFFFFF"/>
          <w:spacing w:val="-7"/>
        </w:rPr>
        <w:t> </w:t>
      </w:r>
      <w:r>
        <w:rPr>
          <w:color w:val="FFFFFF"/>
          <w:spacing w:val="-2"/>
        </w:rPr>
        <w:t>país,</w:t>
      </w:r>
      <w:r>
        <w:rPr>
          <w:color w:val="FFFFFF"/>
          <w:spacing w:val="-7"/>
        </w:rPr>
        <w:t> </w:t>
      </w:r>
      <w:r>
        <w:rPr>
          <w:color w:val="FFFFFF"/>
          <w:spacing w:val="-2"/>
        </w:rPr>
        <w:t>sendo</w:t>
      </w:r>
      <w:r>
        <w:rPr>
          <w:color w:val="FFFFFF"/>
          <w:spacing w:val="-6"/>
        </w:rPr>
        <w:t> </w:t>
      </w:r>
      <w:r>
        <w:rPr>
          <w:color w:val="FFFFFF"/>
          <w:spacing w:val="-2"/>
        </w:rPr>
        <w:t>69,8%</w:t>
      </w:r>
      <w:r>
        <w:rPr>
          <w:color w:val="FFFFFF"/>
          <w:spacing w:val="-7"/>
        </w:rPr>
        <w:t> </w:t>
      </w:r>
      <w:r>
        <w:rPr>
          <w:color w:val="FFFFFF"/>
          <w:spacing w:val="-2"/>
        </w:rPr>
        <w:t>destinadas a</w:t>
      </w:r>
      <w:r>
        <w:rPr>
          <w:color w:val="FFFFFF"/>
          <w:spacing w:val="-4"/>
        </w:rPr>
        <w:t> </w:t>
      </w:r>
      <w:r>
        <w:rPr>
          <w:color w:val="FFFFFF"/>
          <w:spacing w:val="-2"/>
        </w:rPr>
        <w:t>agricultura familiar (Pronaf)</w:t>
      </w:r>
      <w:r>
        <w:rPr>
          <w:color w:val="FFFFFF"/>
          <w:spacing w:val="-3"/>
        </w:rPr>
        <w:t> </w:t>
      </w:r>
      <w:r>
        <w:rPr>
          <w:color w:val="FFFFFF"/>
          <w:spacing w:val="-2"/>
        </w:rPr>
        <w:t>e</w:t>
      </w:r>
      <w:r>
        <w:rPr>
          <w:color w:val="FFFFFF"/>
          <w:spacing w:val="-4"/>
        </w:rPr>
        <w:t> </w:t>
      </w:r>
      <w:r>
        <w:rPr>
          <w:color w:val="FFFFFF"/>
          <w:spacing w:val="-2"/>
        </w:rPr>
        <w:t>médios produtores (Pronamp).</w:t>
      </w:r>
    </w:p>
    <w:p>
      <w:pPr>
        <w:pStyle w:val="BodyText"/>
        <w:spacing w:line="321" w:lineRule="auto" w:before="116"/>
        <w:ind w:left="667" w:right="626"/>
      </w:pPr>
      <w:r>
        <w:rPr>
          <w:color w:val="FFFFFF"/>
        </w:rPr>
        <w:t>Em setembro, fomos protagonistas ao liderar a </w:t>
      </w:r>
      <w:r>
        <w:rPr>
          <w:color w:val="FFFFFF"/>
          <w:spacing w:val="-2"/>
        </w:rPr>
        <w:t>pauta</w:t>
      </w:r>
      <w:r>
        <w:rPr>
          <w:color w:val="FFFFFF"/>
          <w:spacing w:val="-6"/>
        </w:rPr>
        <w:t> </w:t>
      </w:r>
      <w:r>
        <w:rPr>
          <w:color w:val="FFFFFF"/>
          <w:spacing w:val="-2"/>
        </w:rPr>
        <w:t>da</w:t>
      </w:r>
      <w:r>
        <w:rPr>
          <w:color w:val="FFFFFF"/>
          <w:spacing w:val="-6"/>
        </w:rPr>
        <w:t> </w:t>
      </w:r>
      <w:r>
        <w:rPr>
          <w:color w:val="FFFFFF"/>
          <w:spacing w:val="-2"/>
        </w:rPr>
        <w:t>economia</w:t>
      </w:r>
      <w:r>
        <w:rPr>
          <w:color w:val="FFFFFF"/>
          <w:spacing w:val="-6"/>
        </w:rPr>
        <w:t> </w:t>
      </w:r>
      <w:r>
        <w:rPr>
          <w:color w:val="FFFFFF"/>
          <w:spacing w:val="-2"/>
        </w:rPr>
        <w:t>sustentável</w:t>
      </w:r>
      <w:r>
        <w:rPr>
          <w:color w:val="FFFFFF"/>
          <w:spacing w:val="-6"/>
        </w:rPr>
        <w:t> </w:t>
      </w:r>
      <w:r>
        <w:rPr>
          <w:color w:val="FFFFFF"/>
          <w:spacing w:val="-2"/>
        </w:rPr>
        <w:t>e</w:t>
      </w:r>
      <w:r>
        <w:rPr>
          <w:color w:val="FFFFFF"/>
          <w:spacing w:val="-4"/>
        </w:rPr>
        <w:t> </w:t>
      </w:r>
      <w:r>
        <w:rPr>
          <w:color w:val="FFFFFF"/>
          <w:spacing w:val="-2"/>
        </w:rPr>
        <w:t>ao</w:t>
      </w:r>
      <w:r>
        <w:rPr>
          <w:color w:val="FFFFFF"/>
          <w:spacing w:val="-5"/>
        </w:rPr>
        <w:t> </w:t>
      </w:r>
      <w:r>
        <w:rPr>
          <w:color w:val="FFFFFF"/>
          <w:spacing w:val="-2"/>
        </w:rPr>
        <w:t>apresentarmos </w:t>
      </w:r>
      <w:r>
        <w:rPr>
          <w:color w:val="FFFFFF"/>
        </w:rPr>
        <w:t>a</w:t>
      </w:r>
      <w:r>
        <w:rPr>
          <w:color w:val="FFFFFF"/>
          <w:spacing w:val="-5"/>
        </w:rPr>
        <w:t> </w:t>
      </w:r>
      <w:r>
        <w:rPr>
          <w:color w:val="FFFFFF"/>
        </w:rPr>
        <w:t>força</w:t>
      </w:r>
      <w:r>
        <w:rPr>
          <w:color w:val="FFFFFF"/>
          <w:spacing w:val="-5"/>
        </w:rPr>
        <w:t> </w:t>
      </w:r>
      <w:r>
        <w:rPr>
          <w:color w:val="FFFFFF"/>
        </w:rPr>
        <w:t>do</w:t>
      </w:r>
      <w:r>
        <w:rPr>
          <w:color w:val="FFFFFF"/>
          <w:spacing w:val="-4"/>
        </w:rPr>
        <w:t> </w:t>
      </w:r>
      <w:r>
        <w:rPr>
          <w:color w:val="FFFFFF"/>
        </w:rPr>
        <w:t>BB</w:t>
      </w:r>
      <w:r>
        <w:rPr>
          <w:color w:val="FFFFFF"/>
          <w:spacing w:val="-5"/>
        </w:rPr>
        <w:t> </w:t>
      </w:r>
      <w:r>
        <w:rPr>
          <w:color w:val="FFFFFF"/>
        </w:rPr>
        <w:t>na</w:t>
      </w:r>
      <w:r>
        <w:rPr>
          <w:color w:val="FFFFFF"/>
          <w:spacing w:val="-5"/>
        </w:rPr>
        <w:t> </w:t>
      </w:r>
      <w:r>
        <w:rPr>
          <w:color w:val="FFFFFF"/>
        </w:rPr>
        <w:t>agenda</w:t>
      </w:r>
      <w:r>
        <w:rPr>
          <w:color w:val="FFFFFF"/>
          <w:spacing w:val="-7"/>
        </w:rPr>
        <w:t> </w:t>
      </w:r>
      <w:r>
        <w:rPr>
          <w:color w:val="FFFFFF"/>
        </w:rPr>
        <w:t>ASG</w:t>
      </w:r>
      <w:r>
        <w:rPr>
          <w:color w:val="FFFFFF"/>
          <w:spacing w:val="-4"/>
        </w:rPr>
        <w:t> </w:t>
      </w:r>
      <w:r>
        <w:rPr>
          <w:color w:val="FFFFFF"/>
        </w:rPr>
        <w:t>nos</w:t>
      </w:r>
      <w:r>
        <w:rPr>
          <w:color w:val="FFFFFF"/>
          <w:spacing w:val="-4"/>
        </w:rPr>
        <w:t> </w:t>
      </w:r>
      <w:r>
        <w:rPr>
          <w:color w:val="FFFFFF"/>
        </w:rPr>
        <w:t>eventos</w:t>
      </w:r>
      <w:r>
        <w:rPr>
          <w:color w:val="FFFFFF"/>
          <w:spacing w:val="-4"/>
        </w:rPr>
        <w:t> </w:t>
      </w:r>
      <w:r>
        <w:rPr>
          <w:color w:val="FFFFFF"/>
        </w:rPr>
        <w:t>do</w:t>
      </w:r>
      <w:r>
        <w:rPr>
          <w:color w:val="FFFFFF"/>
          <w:spacing w:val="-4"/>
        </w:rPr>
        <w:t> </w:t>
      </w:r>
      <w:r>
        <w:rPr>
          <w:color w:val="FFFFFF"/>
        </w:rPr>
        <w:t>Pacto </w:t>
      </w:r>
      <w:r>
        <w:rPr>
          <w:color w:val="FFFFFF"/>
          <w:spacing w:val="-2"/>
        </w:rPr>
        <w:t>Global,</w:t>
      </w:r>
      <w:r>
        <w:rPr>
          <w:color w:val="FFFFFF"/>
          <w:spacing w:val="-11"/>
        </w:rPr>
        <w:t> </w:t>
      </w:r>
      <w:r>
        <w:rPr>
          <w:color w:val="FFFFFF"/>
          <w:spacing w:val="-2"/>
        </w:rPr>
        <w:t>da</w:t>
      </w:r>
      <w:r>
        <w:rPr>
          <w:color w:val="FFFFFF"/>
          <w:spacing w:val="-10"/>
        </w:rPr>
        <w:t> </w:t>
      </w:r>
      <w:r>
        <w:rPr>
          <w:color w:val="FFFFFF"/>
          <w:spacing w:val="-2"/>
        </w:rPr>
        <w:t>ONU,</w:t>
      </w:r>
      <w:r>
        <w:rPr>
          <w:color w:val="FFFFFF"/>
          <w:spacing w:val="-11"/>
        </w:rPr>
        <w:t> </w:t>
      </w:r>
      <w:r>
        <w:rPr>
          <w:color w:val="FFFFFF"/>
          <w:spacing w:val="-2"/>
        </w:rPr>
        <w:t>e</w:t>
      </w:r>
      <w:r>
        <w:rPr>
          <w:color w:val="FFFFFF"/>
          <w:spacing w:val="-10"/>
        </w:rPr>
        <w:t> </w:t>
      </w:r>
      <w:r>
        <w:rPr>
          <w:color w:val="FFFFFF"/>
          <w:spacing w:val="-2"/>
        </w:rPr>
        <w:t>do</w:t>
      </w:r>
      <w:r>
        <w:rPr>
          <w:color w:val="FFFFFF"/>
          <w:spacing w:val="-10"/>
        </w:rPr>
        <w:t> </w:t>
      </w:r>
      <w:r>
        <w:rPr>
          <w:i/>
          <w:color w:val="FFFFFF"/>
          <w:spacing w:val="-2"/>
        </w:rPr>
        <w:t>Climate</w:t>
      </w:r>
      <w:r>
        <w:rPr>
          <w:i/>
          <w:color w:val="FFFFFF"/>
          <w:spacing w:val="-11"/>
        </w:rPr>
        <w:t> </w:t>
      </w:r>
      <w:r>
        <w:rPr>
          <w:i/>
          <w:color w:val="FFFFFF"/>
          <w:spacing w:val="-2"/>
        </w:rPr>
        <w:t>Week</w:t>
      </w:r>
      <w:r>
        <w:rPr>
          <w:color w:val="FFFFFF"/>
          <w:spacing w:val="-2"/>
        </w:rPr>
        <w:t>,</w:t>
      </w:r>
      <w:r>
        <w:rPr>
          <w:color w:val="FFFFFF"/>
          <w:spacing w:val="-10"/>
        </w:rPr>
        <w:t> </w:t>
      </w:r>
      <w:r>
        <w:rPr>
          <w:color w:val="FFFFFF"/>
          <w:spacing w:val="-2"/>
        </w:rPr>
        <w:t>ambos</w:t>
      </w:r>
      <w:r>
        <w:rPr>
          <w:color w:val="FFFFFF"/>
          <w:spacing w:val="-11"/>
        </w:rPr>
        <w:t> </w:t>
      </w:r>
      <w:r>
        <w:rPr>
          <w:color w:val="FFFFFF"/>
          <w:spacing w:val="-2"/>
        </w:rPr>
        <w:t>em</w:t>
      </w:r>
      <w:r>
        <w:rPr>
          <w:color w:val="FFFFFF"/>
          <w:spacing w:val="-10"/>
        </w:rPr>
        <w:t> </w:t>
      </w:r>
      <w:r>
        <w:rPr>
          <w:color w:val="FFFFFF"/>
          <w:spacing w:val="-2"/>
        </w:rPr>
        <w:t>Nova </w:t>
      </w:r>
      <w:r>
        <w:rPr>
          <w:color w:val="FFFFFF"/>
        </w:rPr>
        <w:t>Iorque/EUA. Destacamos o BB como principal </w:t>
      </w:r>
      <w:r>
        <w:rPr>
          <w:i/>
          <w:color w:val="FFFFFF"/>
        </w:rPr>
        <w:t>hub</w:t>
      </w:r>
      <w:r>
        <w:rPr>
          <w:i/>
          <w:color w:val="FFFFFF"/>
        </w:rPr>
        <w:t> </w:t>
      </w:r>
      <w:r>
        <w:rPr>
          <w:color w:val="FFFFFF"/>
        </w:rPr>
        <w:t>de captação de recursos externos para iniciativas verdes no país, bem como somos pioneiros em soluções de bioeconomia e crédito de carbono, estando essas pautas já avançando em nosso </w:t>
      </w:r>
      <w:r>
        <w:rPr>
          <w:color w:val="FFFFFF"/>
          <w:spacing w:val="-2"/>
        </w:rPr>
        <w:t>portfólio.</w:t>
      </w:r>
    </w:p>
    <w:p>
      <w:pPr>
        <w:pStyle w:val="BodyText"/>
        <w:spacing w:line="321" w:lineRule="auto" w:before="114"/>
        <w:ind w:left="667" w:right="629"/>
      </w:pPr>
      <w:r>
        <w:rPr>
          <w:color w:val="FFFFFF"/>
        </w:rPr>
        <w:t>Além</w:t>
      </w:r>
      <w:r>
        <w:rPr>
          <w:color w:val="FFFFFF"/>
          <w:spacing w:val="-13"/>
        </w:rPr>
        <w:t> </w:t>
      </w:r>
      <w:r>
        <w:rPr>
          <w:color w:val="FFFFFF"/>
        </w:rPr>
        <w:t>disso,</w:t>
      </w:r>
      <w:r>
        <w:rPr>
          <w:color w:val="FFFFFF"/>
          <w:spacing w:val="-11"/>
        </w:rPr>
        <w:t> </w:t>
      </w:r>
      <w:r>
        <w:rPr>
          <w:color w:val="FFFFFF"/>
        </w:rPr>
        <w:t>na</w:t>
      </w:r>
      <w:r>
        <w:rPr>
          <w:color w:val="FFFFFF"/>
          <w:spacing w:val="-13"/>
        </w:rPr>
        <w:t> </w:t>
      </w:r>
      <w:r>
        <w:rPr>
          <w:color w:val="FFFFFF"/>
        </w:rPr>
        <w:t>mesma</w:t>
      </w:r>
      <w:r>
        <w:rPr>
          <w:color w:val="FFFFFF"/>
          <w:spacing w:val="-12"/>
        </w:rPr>
        <w:t> </w:t>
      </w:r>
      <w:r>
        <w:rPr>
          <w:color w:val="FFFFFF"/>
        </w:rPr>
        <w:t>oportunidade,</w:t>
      </w:r>
      <w:r>
        <w:rPr>
          <w:color w:val="FFFFFF"/>
          <w:spacing w:val="-11"/>
        </w:rPr>
        <w:t> </w:t>
      </w:r>
      <w:r>
        <w:rPr>
          <w:color w:val="FFFFFF"/>
        </w:rPr>
        <w:t>promovemos a primeira edição do Investor Day nos EUA, um evento que reuniu investidores institucionais relevantes, analistas de mercado e outros profissionais do mercado financeiro.</w:t>
      </w:r>
    </w:p>
    <w:p>
      <w:pPr>
        <w:pStyle w:val="BodyText"/>
        <w:spacing w:line="321" w:lineRule="auto" w:before="116"/>
        <w:ind w:left="667" w:right="629"/>
      </w:pPr>
      <w:r>
        <w:rPr>
          <w:color w:val="FFFFFF"/>
        </w:rPr>
        <w:t>No 3T24, continuamos nos destacando pela redução das reclamações procedentes no Ranking de Reclamações do Banco Central. Foi mantido o 14º lugar entre 15 instituições financeiras e de pagamentos, seguimos com o nosso melhor resultado pelo 9º trimestre consecutivo.</w:t>
      </w:r>
    </w:p>
    <w:p>
      <w:pPr>
        <w:pStyle w:val="BodyText"/>
        <w:spacing w:line="321" w:lineRule="auto" w:before="116"/>
        <w:ind w:left="667" w:right="633"/>
      </w:pPr>
      <w:r>
        <w:rPr>
          <w:color w:val="FFFFFF"/>
        </w:rPr>
        <w:t>Convidamos você a conhecer mais sobre as nossas entregas nas próximas páginas.</w:t>
      </w:r>
    </w:p>
    <w:p>
      <w:pPr>
        <w:pStyle w:val="BodyText"/>
        <w:spacing w:before="119"/>
        <w:ind w:left="667"/>
      </w:pPr>
      <w:r>
        <w:rPr>
          <w:color w:val="FFFFFF"/>
        </w:rPr>
        <w:t>Boa</w:t>
      </w:r>
      <w:r>
        <w:rPr>
          <w:color w:val="FFFFFF"/>
          <w:spacing w:val="-6"/>
        </w:rPr>
        <w:t> </w:t>
      </w:r>
      <w:r>
        <w:rPr>
          <w:color w:val="FFFFFF"/>
          <w:spacing w:val="-2"/>
        </w:rPr>
        <w:t>leitura!</w:t>
      </w:r>
    </w:p>
    <w:p>
      <w:pPr>
        <w:spacing w:after="0"/>
        <w:sectPr>
          <w:type w:val="continuous"/>
          <w:pgSz w:w="11910" w:h="16850"/>
          <w:pgMar w:top="1920" w:bottom="280" w:left="180" w:right="220"/>
          <w:cols w:num="2" w:equalWidth="0">
            <w:col w:w="5421" w:space="40"/>
            <w:col w:w="6049"/>
          </w:cols>
        </w:sectPr>
      </w:pPr>
    </w:p>
    <w:p>
      <w:pPr>
        <w:pStyle w:val="Heading1"/>
        <w:spacing w:line="213" w:lineRule="auto" w:before="234"/>
        <w:ind w:right="1506"/>
      </w:pPr>
      <w:r>
        <w:rPr>
          <w:color w:val="465EFF"/>
          <w:spacing w:val="30"/>
        </w:rPr>
        <w:t>Resultado</w:t>
      </w:r>
      <w:r>
        <w:rPr>
          <w:color w:val="465EFF"/>
          <w:spacing w:val="30"/>
        </w:rPr>
        <w:t> </w:t>
      </w:r>
      <w:r>
        <w:rPr>
          <w:color w:val="465EFF"/>
          <w:spacing w:val="26"/>
        </w:rPr>
        <w:t>das</w:t>
      </w:r>
      <w:r>
        <w:rPr>
          <w:color w:val="465EFF"/>
          <w:spacing w:val="26"/>
        </w:rPr>
        <w:t> </w:t>
      </w:r>
      <w:r>
        <w:rPr>
          <w:color w:val="465EFF"/>
          <w:spacing w:val="34"/>
        </w:rPr>
        <w:t>Demonstrações </w:t>
      </w:r>
      <w:r>
        <w:rPr>
          <w:color w:val="465EFF"/>
          <w:spacing w:val="32"/>
        </w:rPr>
        <w:t>Contábeis</w:t>
      </w:r>
      <w:r>
        <w:rPr>
          <w:color w:val="465EFF"/>
          <w:spacing w:val="32"/>
        </w:rPr>
        <w:t> </w:t>
      </w:r>
      <w:r>
        <w:rPr>
          <w:color w:val="465EFF"/>
          <w:spacing w:val="34"/>
        </w:rPr>
        <w:t>Consolidadas</w:t>
      </w:r>
    </w:p>
    <w:p>
      <w:pPr>
        <w:pStyle w:val="BodyText"/>
        <w:spacing w:line="321" w:lineRule="auto" w:before="217"/>
        <w:ind w:left="672" w:right="625"/>
      </w:pPr>
      <w:r>
        <w:rPr>
          <w:color w:val="1B1B22"/>
          <w:spacing w:val="-2"/>
        </w:rPr>
        <w:t>Alcançamos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lucro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líquido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R$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26,7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bilhões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9M24,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reflexo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do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bom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desempenho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crédito,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nas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captações, </w:t>
      </w:r>
      <w:r>
        <w:rPr>
          <w:color w:val="1B1B22"/>
        </w:rPr>
        <w:t>serviços, negócios do conglomerado e foco no controle de custos. A nossa carteira de crédito classificada superou</w:t>
      </w:r>
      <w:r>
        <w:rPr>
          <w:color w:val="1B1B22"/>
          <w:spacing w:val="-13"/>
        </w:rPr>
        <w:t> </w:t>
      </w:r>
      <w:r>
        <w:rPr>
          <w:color w:val="1B1B22"/>
        </w:rPr>
        <w:t>R$</w:t>
      </w:r>
      <w:r>
        <w:rPr>
          <w:color w:val="1B1B22"/>
          <w:spacing w:val="-12"/>
        </w:rPr>
        <w:t> </w:t>
      </w:r>
      <w:r>
        <w:rPr>
          <w:color w:val="1B1B22"/>
        </w:rPr>
        <w:t>1,0</w:t>
      </w:r>
      <w:r>
        <w:rPr>
          <w:color w:val="1B1B22"/>
          <w:spacing w:val="-12"/>
        </w:rPr>
        <w:t> </w:t>
      </w:r>
      <w:r>
        <w:rPr>
          <w:color w:val="1B1B22"/>
        </w:rPr>
        <w:t>trilhão,</w:t>
      </w:r>
      <w:r>
        <w:rPr>
          <w:color w:val="1B1B22"/>
          <w:spacing w:val="-11"/>
        </w:rPr>
        <w:t> </w:t>
      </w:r>
      <w:r>
        <w:rPr>
          <w:color w:val="1B1B22"/>
        </w:rPr>
        <w:t>crescimento</w:t>
      </w:r>
      <w:r>
        <w:rPr>
          <w:color w:val="1B1B22"/>
          <w:spacing w:val="-12"/>
        </w:rPr>
        <w:t> </w:t>
      </w:r>
      <w:r>
        <w:rPr>
          <w:color w:val="1B1B22"/>
        </w:rPr>
        <w:t>de</w:t>
      </w:r>
      <w:r>
        <w:rPr>
          <w:color w:val="1B1B22"/>
          <w:spacing w:val="-11"/>
        </w:rPr>
        <w:t> </w:t>
      </w:r>
      <w:r>
        <w:rPr>
          <w:color w:val="1B1B22"/>
        </w:rPr>
        <w:t>11,1%</w:t>
      </w:r>
      <w:r>
        <w:rPr>
          <w:color w:val="1B1B22"/>
          <w:spacing w:val="-11"/>
        </w:rPr>
        <w:t> </w:t>
      </w:r>
      <w:r>
        <w:rPr>
          <w:color w:val="1B1B22"/>
        </w:rPr>
        <w:t>em</w:t>
      </w:r>
      <w:r>
        <w:rPr>
          <w:color w:val="1B1B22"/>
          <w:spacing w:val="-13"/>
        </w:rPr>
        <w:t> </w:t>
      </w:r>
      <w:r>
        <w:rPr>
          <w:color w:val="1B1B22"/>
        </w:rPr>
        <w:t>relação</w:t>
      </w:r>
      <w:r>
        <w:rPr>
          <w:color w:val="1B1B22"/>
          <w:spacing w:val="-9"/>
        </w:rPr>
        <w:t> </w:t>
      </w:r>
      <w:r>
        <w:rPr>
          <w:color w:val="1B1B22"/>
        </w:rPr>
        <w:t>a</w:t>
      </w:r>
      <w:r>
        <w:rPr>
          <w:color w:val="1B1B22"/>
          <w:spacing w:val="-11"/>
        </w:rPr>
        <w:t> </w:t>
      </w:r>
      <w:r>
        <w:rPr>
          <w:color w:val="1B1B22"/>
        </w:rPr>
        <w:t>setembro/23.</w:t>
      </w:r>
      <w:r>
        <w:rPr>
          <w:color w:val="1B1B22"/>
          <w:spacing w:val="-13"/>
        </w:rPr>
        <w:t> </w:t>
      </w:r>
      <w:r>
        <w:rPr>
          <w:color w:val="1B1B22"/>
        </w:rPr>
        <w:t>A</w:t>
      </w:r>
      <w:r>
        <w:rPr>
          <w:color w:val="1B1B22"/>
          <w:spacing w:val="-12"/>
        </w:rPr>
        <w:t> </w:t>
      </w:r>
      <w:r>
        <w:rPr>
          <w:color w:val="1B1B22"/>
        </w:rPr>
        <w:t>carteira</w:t>
      </w:r>
      <w:r>
        <w:rPr>
          <w:color w:val="1B1B22"/>
          <w:spacing w:val="-10"/>
        </w:rPr>
        <w:t> </w:t>
      </w:r>
      <w:r>
        <w:rPr>
          <w:color w:val="1B1B22"/>
        </w:rPr>
        <w:t>para</w:t>
      </w:r>
      <w:r>
        <w:rPr>
          <w:color w:val="1B1B22"/>
          <w:spacing w:val="-12"/>
        </w:rPr>
        <w:t> </w:t>
      </w:r>
      <w:r>
        <w:rPr>
          <w:color w:val="1B1B22"/>
        </w:rPr>
        <w:t>pessoas</w:t>
      </w:r>
      <w:r>
        <w:rPr>
          <w:color w:val="1B1B22"/>
          <w:spacing w:val="-11"/>
        </w:rPr>
        <w:t> </w:t>
      </w:r>
      <w:r>
        <w:rPr>
          <w:color w:val="1B1B22"/>
        </w:rPr>
        <w:t>físicas</w:t>
      </w:r>
      <w:r>
        <w:rPr>
          <w:color w:val="1B1B22"/>
          <w:spacing w:val="-11"/>
        </w:rPr>
        <w:t> </w:t>
      </w:r>
      <w:r>
        <w:rPr>
          <w:color w:val="1B1B22"/>
        </w:rPr>
        <w:t>cresceu 7,5%.</w:t>
      </w:r>
      <w:r>
        <w:rPr>
          <w:color w:val="1B1B22"/>
          <w:spacing w:val="-8"/>
        </w:rPr>
        <w:t> </w:t>
      </w:r>
      <w:r>
        <w:rPr>
          <w:color w:val="1B1B22"/>
        </w:rPr>
        <w:t>Já</w:t>
      </w:r>
      <w:r>
        <w:rPr>
          <w:color w:val="1B1B22"/>
          <w:spacing w:val="-9"/>
        </w:rPr>
        <w:t> </w:t>
      </w:r>
      <w:r>
        <w:rPr>
          <w:color w:val="1B1B22"/>
        </w:rPr>
        <w:t>a</w:t>
      </w:r>
      <w:r>
        <w:rPr>
          <w:color w:val="1B1B22"/>
          <w:spacing w:val="-9"/>
        </w:rPr>
        <w:t> </w:t>
      </w:r>
      <w:r>
        <w:rPr>
          <w:color w:val="1B1B22"/>
        </w:rPr>
        <w:t>carteira</w:t>
      </w:r>
      <w:r>
        <w:rPr>
          <w:color w:val="1B1B22"/>
          <w:spacing w:val="-9"/>
        </w:rPr>
        <w:t> </w:t>
      </w:r>
      <w:r>
        <w:rPr>
          <w:color w:val="1B1B22"/>
        </w:rPr>
        <w:t>PJ,</w:t>
      </w:r>
      <w:r>
        <w:rPr>
          <w:color w:val="1B1B22"/>
          <w:spacing w:val="-8"/>
        </w:rPr>
        <w:t> </w:t>
      </w:r>
      <w:r>
        <w:rPr>
          <w:color w:val="1B1B22"/>
        </w:rPr>
        <w:t>sem</w:t>
      </w:r>
      <w:r>
        <w:rPr>
          <w:color w:val="1B1B22"/>
          <w:spacing w:val="-7"/>
        </w:rPr>
        <w:t> </w:t>
      </w:r>
      <w:r>
        <w:rPr>
          <w:color w:val="1B1B22"/>
        </w:rPr>
        <w:t>empresas</w:t>
      </w:r>
      <w:r>
        <w:rPr>
          <w:color w:val="1B1B22"/>
          <w:spacing w:val="-7"/>
        </w:rPr>
        <w:t> </w:t>
      </w:r>
      <w:r>
        <w:rPr>
          <w:color w:val="1B1B22"/>
        </w:rPr>
        <w:t>do</w:t>
      </w:r>
      <w:r>
        <w:rPr>
          <w:color w:val="1B1B22"/>
          <w:spacing w:val="-8"/>
        </w:rPr>
        <w:t> </w:t>
      </w:r>
      <w:r>
        <w:rPr>
          <w:color w:val="1B1B22"/>
        </w:rPr>
        <w:t>agro,</w:t>
      </w:r>
      <w:r>
        <w:rPr>
          <w:color w:val="1B1B22"/>
          <w:spacing w:val="-8"/>
        </w:rPr>
        <w:t> </w:t>
      </w:r>
      <w:r>
        <w:rPr>
          <w:color w:val="1B1B22"/>
        </w:rPr>
        <w:t>cresceu</w:t>
      </w:r>
      <w:r>
        <w:rPr>
          <w:color w:val="1B1B22"/>
          <w:spacing w:val="-5"/>
        </w:rPr>
        <w:t> </w:t>
      </w:r>
      <w:r>
        <w:rPr>
          <w:color w:val="1B1B22"/>
        </w:rPr>
        <w:t>10,4%</w:t>
      </w:r>
      <w:r>
        <w:rPr>
          <w:color w:val="1B1B22"/>
          <w:spacing w:val="-9"/>
        </w:rPr>
        <w:t> </w:t>
      </w:r>
      <w:r>
        <w:rPr>
          <w:color w:val="1B1B22"/>
        </w:rPr>
        <w:t>com</w:t>
      </w:r>
      <w:r>
        <w:rPr>
          <w:color w:val="1B1B22"/>
          <w:spacing w:val="-9"/>
        </w:rPr>
        <w:t> </w:t>
      </w:r>
      <w:r>
        <w:rPr>
          <w:color w:val="1B1B22"/>
        </w:rPr>
        <w:t>destaque</w:t>
      </w:r>
      <w:r>
        <w:rPr>
          <w:color w:val="1B1B22"/>
          <w:spacing w:val="-8"/>
        </w:rPr>
        <w:t> </w:t>
      </w:r>
      <w:r>
        <w:rPr>
          <w:color w:val="1B1B22"/>
        </w:rPr>
        <w:t>para</w:t>
      </w:r>
      <w:r>
        <w:rPr>
          <w:color w:val="1B1B22"/>
          <w:spacing w:val="-9"/>
        </w:rPr>
        <w:t> </w:t>
      </w:r>
      <w:r>
        <w:rPr>
          <w:color w:val="1B1B22"/>
        </w:rPr>
        <w:t>o</w:t>
      </w:r>
      <w:r>
        <w:rPr>
          <w:color w:val="1B1B22"/>
          <w:spacing w:val="-8"/>
        </w:rPr>
        <w:t> </w:t>
      </w:r>
      <w:r>
        <w:rPr>
          <w:color w:val="1B1B22"/>
        </w:rPr>
        <w:t>saldo</w:t>
      </w:r>
      <w:r>
        <w:rPr>
          <w:color w:val="1B1B22"/>
          <w:spacing w:val="-8"/>
        </w:rPr>
        <w:t> </w:t>
      </w:r>
      <w:r>
        <w:rPr>
          <w:color w:val="1B1B22"/>
        </w:rPr>
        <w:t>com</w:t>
      </w:r>
      <w:r>
        <w:rPr>
          <w:color w:val="1B1B22"/>
          <w:spacing w:val="-9"/>
        </w:rPr>
        <w:t> </w:t>
      </w:r>
      <w:r>
        <w:rPr>
          <w:color w:val="1B1B22"/>
        </w:rPr>
        <w:t>clientes</w:t>
      </w:r>
      <w:r>
        <w:rPr>
          <w:color w:val="1B1B22"/>
          <w:spacing w:val="-5"/>
        </w:rPr>
        <w:t> </w:t>
      </w:r>
      <w:r>
        <w:rPr>
          <w:color w:val="1B1B22"/>
        </w:rPr>
        <w:t>Grandes Empresas que avançou para R$ 132,3 bilhões. As operações de crédito no agronegócio, com os produtores rurais de pequeno, médio e grande porte e com as empresas que atuam no segmento, apresentaram crescimento</w:t>
      </w:r>
      <w:r>
        <w:rPr>
          <w:color w:val="1B1B22"/>
          <w:spacing w:val="-2"/>
        </w:rPr>
        <w:t> </w:t>
      </w:r>
      <w:r>
        <w:rPr>
          <w:color w:val="1B1B22"/>
        </w:rPr>
        <w:t>de</w:t>
      </w:r>
      <w:r>
        <w:rPr>
          <w:color w:val="1B1B22"/>
          <w:spacing w:val="-3"/>
        </w:rPr>
        <w:t> </w:t>
      </w:r>
      <w:r>
        <w:rPr>
          <w:color w:val="1B1B22"/>
        </w:rPr>
        <w:t>12,2%</w:t>
      </w:r>
      <w:r>
        <w:rPr>
          <w:color w:val="1B1B22"/>
          <w:spacing w:val="-3"/>
        </w:rPr>
        <w:t> </w:t>
      </w:r>
      <w:r>
        <w:rPr>
          <w:color w:val="1B1B22"/>
        </w:rPr>
        <w:t>no</w:t>
      </w:r>
      <w:r>
        <w:rPr>
          <w:color w:val="1B1B22"/>
          <w:spacing w:val="-3"/>
        </w:rPr>
        <w:t> </w:t>
      </w:r>
      <w:r>
        <w:rPr>
          <w:color w:val="1B1B22"/>
        </w:rPr>
        <w:t>mesmo</w:t>
      </w:r>
      <w:r>
        <w:rPr>
          <w:color w:val="1B1B22"/>
          <w:spacing w:val="-3"/>
        </w:rPr>
        <w:t> </w:t>
      </w:r>
      <w:r>
        <w:rPr>
          <w:color w:val="1B1B22"/>
        </w:rPr>
        <w:t>período.</w:t>
      </w:r>
      <w:r>
        <w:rPr>
          <w:color w:val="1B1B22"/>
          <w:spacing w:val="-3"/>
        </w:rPr>
        <w:t> </w:t>
      </w:r>
      <w:r>
        <w:rPr>
          <w:color w:val="1B1B22"/>
        </w:rPr>
        <w:t>O</w:t>
      </w:r>
      <w:r>
        <w:rPr>
          <w:color w:val="1B1B22"/>
          <w:spacing w:val="-3"/>
        </w:rPr>
        <w:t> </w:t>
      </w:r>
      <w:r>
        <w:rPr>
          <w:color w:val="1B1B22"/>
        </w:rPr>
        <w:t>Índice</w:t>
      </w:r>
      <w:r>
        <w:rPr>
          <w:color w:val="1B1B22"/>
          <w:spacing w:val="-1"/>
        </w:rPr>
        <w:t> </w:t>
      </w:r>
      <w:r>
        <w:rPr>
          <w:color w:val="1B1B22"/>
        </w:rPr>
        <w:t>de</w:t>
      </w:r>
      <w:r>
        <w:rPr>
          <w:color w:val="1B1B22"/>
          <w:spacing w:val="-3"/>
        </w:rPr>
        <w:t> </w:t>
      </w:r>
      <w:r>
        <w:rPr>
          <w:color w:val="1B1B22"/>
        </w:rPr>
        <w:t>Basileia</w:t>
      </w:r>
      <w:r>
        <w:rPr>
          <w:color w:val="1B1B22"/>
          <w:spacing w:val="-3"/>
        </w:rPr>
        <w:t> </w:t>
      </w:r>
      <w:r>
        <w:rPr>
          <w:color w:val="1B1B22"/>
        </w:rPr>
        <w:t>alcançou</w:t>
      </w:r>
      <w:r>
        <w:rPr>
          <w:color w:val="1B1B22"/>
          <w:spacing w:val="-1"/>
        </w:rPr>
        <w:t> </w:t>
      </w:r>
      <w:r>
        <w:rPr>
          <w:color w:val="1B1B22"/>
        </w:rPr>
        <w:t>14,66%</w:t>
      </w:r>
      <w:r>
        <w:rPr>
          <w:color w:val="1B1B22"/>
          <w:spacing w:val="-3"/>
        </w:rPr>
        <w:t> </w:t>
      </w:r>
      <w:r>
        <w:rPr>
          <w:color w:val="1B1B22"/>
        </w:rPr>
        <w:t>e</w:t>
      </w:r>
      <w:r>
        <w:rPr>
          <w:color w:val="1B1B22"/>
          <w:spacing w:val="-3"/>
        </w:rPr>
        <w:t> </w:t>
      </w:r>
      <w:r>
        <w:rPr>
          <w:color w:val="1B1B22"/>
        </w:rPr>
        <w:t>o</w:t>
      </w:r>
      <w:r>
        <w:rPr>
          <w:color w:val="1B1B22"/>
          <w:spacing w:val="-3"/>
        </w:rPr>
        <w:t> </w:t>
      </w:r>
      <w:r>
        <w:rPr>
          <w:color w:val="1B1B22"/>
        </w:rPr>
        <w:t>Índice</w:t>
      </w:r>
      <w:r>
        <w:rPr>
          <w:color w:val="1B1B22"/>
          <w:spacing w:val="-3"/>
        </w:rPr>
        <w:t> </w:t>
      </w:r>
      <w:r>
        <w:rPr>
          <w:color w:val="1B1B22"/>
        </w:rPr>
        <w:t>de</w:t>
      </w:r>
      <w:r>
        <w:rPr>
          <w:color w:val="1B1B22"/>
          <w:spacing w:val="-3"/>
        </w:rPr>
        <w:t> </w:t>
      </w:r>
      <w:r>
        <w:rPr>
          <w:color w:val="1B1B22"/>
        </w:rPr>
        <w:t>Capital</w:t>
      </w:r>
      <w:r>
        <w:rPr>
          <w:color w:val="1B1B22"/>
          <w:spacing w:val="-3"/>
        </w:rPr>
        <w:t> </w:t>
      </w:r>
      <w:r>
        <w:rPr>
          <w:color w:val="1B1B22"/>
        </w:rPr>
        <w:t>Principal finalizou setembro em 11,77%.</w:t>
      </w:r>
    </w:p>
    <w:p>
      <w:pPr>
        <w:pStyle w:val="BodyText"/>
        <w:spacing w:line="321" w:lineRule="auto" w:before="116"/>
        <w:ind w:left="672" w:right="628"/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89888">
                <wp:simplePos x="0" y="0"/>
                <wp:positionH relativeFrom="page">
                  <wp:posOffset>184150</wp:posOffset>
                </wp:positionH>
                <wp:positionV relativeFrom="paragraph">
                  <wp:posOffset>516810</wp:posOffset>
                </wp:positionV>
                <wp:extent cx="3444875" cy="1453515"/>
                <wp:effectExtent l="0" t="0" r="0" b="0"/>
                <wp:wrapTopAndBottom/>
                <wp:docPr id="14" name="Group 14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4" name="Group 14"/>
                      <wpg:cNvGrpSpPr/>
                      <wpg:grpSpPr>
                        <a:xfrm>
                          <a:off x="0" y="0"/>
                          <a:ext cx="3444875" cy="1453515"/>
                          <a:chExt cx="3444875" cy="1453515"/>
                        </a:xfrm>
                      </wpg:grpSpPr>
                      <wps:wsp>
                        <wps:cNvPr id="15" name="Graphic 15"/>
                        <wps:cNvSpPr/>
                        <wps:spPr>
                          <a:xfrm>
                            <a:off x="0" y="0"/>
                            <a:ext cx="3444875" cy="1453515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4875" h="1453515">
                                <a:moveTo>
                                  <a:pt x="3377691" y="0"/>
                                </a:moveTo>
                                <a:lnTo>
                                  <a:pt x="67144" y="0"/>
                                </a:lnTo>
                                <a:lnTo>
                                  <a:pt x="41008" y="5282"/>
                                </a:lnTo>
                                <a:lnTo>
                                  <a:pt x="19665" y="19684"/>
                                </a:lnTo>
                                <a:lnTo>
                                  <a:pt x="5276" y="41040"/>
                                </a:lnTo>
                                <a:lnTo>
                                  <a:pt x="0" y="67182"/>
                                </a:lnTo>
                                <a:lnTo>
                                  <a:pt x="0" y="1385951"/>
                                </a:lnTo>
                                <a:lnTo>
                                  <a:pt x="5276" y="1412093"/>
                                </a:lnTo>
                                <a:lnTo>
                                  <a:pt x="19665" y="1433449"/>
                                </a:lnTo>
                                <a:lnTo>
                                  <a:pt x="41008" y="1447851"/>
                                </a:lnTo>
                                <a:lnTo>
                                  <a:pt x="67144" y="1453134"/>
                                </a:lnTo>
                                <a:lnTo>
                                  <a:pt x="3377691" y="1453134"/>
                                </a:lnTo>
                                <a:lnTo>
                                  <a:pt x="3403834" y="1447851"/>
                                </a:lnTo>
                                <a:lnTo>
                                  <a:pt x="3425190" y="1433449"/>
                                </a:lnTo>
                                <a:lnTo>
                                  <a:pt x="3439592" y="1412093"/>
                                </a:lnTo>
                                <a:lnTo>
                                  <a:pt x="3444875" y="1385951"/>
                                </a:lnTo>
                                <a:lnTo>
                                  <a:pt x="3444875" y="67182"/>
                                </a:lnTo>
                                <a:lnTo>
                                  <a:pt x="3439592" y="41040"/>
                                </a:lnTo>
                                <a:lnTo>
                                  <a:pt x="3425190" y="19685"/>
                                </a:lnTo>
                                <a:lnTo>
                                  <a:pt x="3403834" y="5282"/>
                                </a:lnTo>
                                <a:lnTo>
                                  <a:pt x="337769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6D91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6" name="Textbox 16"/>
                        <wps:cNvSpPr txBox="1"/>
                        <wps:spPr>
                          <a:xfrm>
                            <a:off x="0" y="0"/>
                            <a:ext cx="3444875" cy="1453515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before="190"/>
                                <w:ind w:left="670" w:right="0" w:firstLine="0"/>
                                <w:jc w:val="left"/>
                                <w:rPr>
                                  <w:rFonts w:ascii="BancoDoBrasil Titulos" w:hAnsi="BancoDoBrasil Titulos"/>
                                  <w:sz w:val="32"/>
                                </w:rPr>
                              </w:pP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4"/>
                                  <w:sz w:val="32"/>
                                </w:rPr>
                                <w:t>Lucro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10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2"/>
                                  <w:sz w:val="32"/>
                                </w:rPr>
                                <w:t>Líquido</w:t>
                              </w:r>
                            </w:p>
                            <w:p>
                              <w:pPr>
                                <w:spacing w:line="283" w:lineRule="auto" w:before="78"/>
                                <w:ind w:left="670" w:right="1686" w:firstLine="0"/>
                                <w:jc w:val="left"/>
                                <w:rPr>
                                  <w:rFonts w:ascii="BancoDoBrasil Titulos" w:hAnsi="BancoDoBrasil Titulos"/>
                                  <w:sz w:val="32"/>
                                </w:rPr>
                              </w:pP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z w:val="32"/>
                                </w:rPr>
                                <w:t>de </w:t>
                              </w:r>
                              <w:r>
                                <w:rPr>
                                  <w:rFonts w:ascii="BancoDoBrasil Titulos" w:hAnsi="BancoDoBrasil Titulos"/>
                                  <w:b/>
                                  <w:color w:val="FBFB2F"/>
                                  <w:sz w:val="32"/>
                                </w:rPr>
                                <w:t>R$ 26,7 bilhões 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2"/>
                                  <w:sz w:val="32"/>
                                </w:rPr>
                                <w:t>crescimento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18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2"/>
                                  <w:sz w:val="32"/>
                                </w:rPr>
                                <w:t>de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18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2"/>
                                  <w:sz w:val="32"/>
                                </w:rPr>
                                <w:t>6,9% 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z w:val="32"/>
                                </w:rPr>
                                <w:t>em relação ao 9M23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14.5pt;margin-top:40.693722pt;width:271.25pt;height:114.45pt;mso-position-horizontal-relative:page;mso-position-vertical-relative:paragraph;z-index:-15726592;mso-wrap-distance-left:0;mso-wrap-distance-right:0" id="docshapegroup14" coordorigin="290,814" coordsize="5425,2289">
                <v:shape style="position:absolute;left:290;top:813;width:5425;height:2289" id="docshape15" coordorigin="290,814" coordsize="5425,2289" path="m5609,814l396,814,355,822,321,845,298,879,290,920,290,2996,298,3038,321,3071,355,3094,396,3102,5609,3102,5650,3094,5684,3071,5707,3038,5715,2996,5715,920,5707,879,5684,845,5650,822,5609,814xe" filled="true" fillcolor="#ff6d91" stroked="false">
                  <v:path arrowok="t"/>
                  <v:fill type="solid"/>
                </v:shape>
                <v:shape style="position:absolute;left:290;top:813;width:5425;height:2289" type="#_x0000_t202" id="docshape16" filled="false" stroked="false">
                  <v:textbox inset="0,0,0,0">
                    <w:txbxContent>
                      <w:p>
                        <w:pPr>
                          <w:spacing w:before="190"/>
                          <w:ind w:left="670" w:right="0" w:firstLine="0"/>
                          <w:jc w:val="left"/>
                          <w:rPr>
                            <w:rFonts w:ascii="BancoDoBrasil Titulos" w:hAnsi="BancoDoBrasil Titulos"/>
                            <w:sz w:val="32"/>
                          </w:rPr>
                        </w:pPr>
                        <w:r>
                          <w:rPr>
                            <w:rFonts w:ascii="BancoDoBrasil Titulos" w:hAnsi="BancoDoBrasil Titulos"/>
                            <w:color w:val="FBFB2F"/>
                            <w:spacing w:val="-4"/>
                            <w:sz w:val="32"/>
                          </w:rPr>
                          <w:t>Lucro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10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2"/>
                            <w:sz w:val="32"/>
                          </w:rPr>
                          <w:t>Líquido</w:t>
                        </w:r>
                      </w:p>
                      <w:p>
                        <w:pPr>
                          <w:spacing w:line="283" w:lineRule="auto" w:before="78"/>
                          <w:ind w:left="670" w:right="1686" w:firstLine="0"/>
                          <w:jc w:val="left"/>
                          <w:rPr>
                            <w:rFonts w:ascii="BancoDoBrasil Titulos" w:hAnsi="BancoDoBrasil Titulos"/>
                            <w:sz w:val="32"/>
                          </w:rPr>
                        </w:pPr>
                        <w:r>
                          <w:rPr>
                            <w:rFonts w:ascii="BancoDoBrasil Titulos" w:hAnsi="BancoDoBrasil Titulos"/>
                            <w:color w:val="FBFB2F"/>
                            <w:sz w:val="32"/>
                          </w:rPr>
                          <w:t>de </w:t>
                        </w:r>
                        <w:r>
                          <w:rPr>
                            <w:rFonts w:ascii="BancoDoBrasil Titulos" w:hAnsi="BancoDoBrasil Titulos"/>
                            <w:b/>
                            <w:color w:val="FBFB2F"/>
                            <w:sz w:val="32"/>
                          </w:rPr>
                          <w:t>R$ 26,7 bilhões 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2"/>
                            <w:sz w:val="32"/>
                          </w:rPr>
                          <w:t>crescimento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18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2"/>
                            <w:sz w:val="32"/>
                          </w:rPr>
                          <w:t>de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18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2"/>
                            <w:sz w:val="32"/>
                          </w:rPr>
                          <w:t>6,9% 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z w:val="32"/>
                          </w:rPr>
                          <w:t>em relação ao 9M23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0400">
                <wp:simplePos x="0" y="0"/>
                <wp:positionH relativeFrom="page">
                  <wp:posOffset>3886200</wp:posOffset>
                </wp:positionH>
                <wp:positionV relativeFrom="paragraph">
                  <wp:posOffset>524430</wp:posOffset>
                </wp:positionV>
                <wp:extent cx="3444875" cy="1452880"/>
                <wp:effectExtent l="0" t="0" r="0" b="0"/>
                <wp:wrapTopAndBottom/>
                <wp:docPr id="17" name="Group 17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17" name="Group 17"/>
                      <wpg:cNvGrpSpPr/>
                      <wpg:grpSpPr>
                        <a:xfrm>
                          <a:off x="0" y="0"/>
                          <a:ext cx="3444875" cy="1452880"/>
                          <a:chExt cx="3444875" cy="1452880"/>
                        </a:xfrm>
                      </wpg:grpSpPr>
                      <wps:wsp>
                        <wps:cNvPr id="18" name="Graphic 18"/>
                        <wps:cNvSpPr/>
                        <wps:spPr>
                          <a:xfrm>
                            <a:off x="0" y="0"/>
                            <a:ext cx="3444875" cy="145288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444875" h="1452880">
                                <a:moveTo>
                                  <a:pt x="3377692" y="0"/>
                                </a:moveTo>
                                <a:lnTo>
                                  <a:pt x="67183" y="0"/>
                                </a:lnTo>
                                <a:lnTo>
                                  <a:pt x="41040" y="5282"/>
                                </a:lnTo>
                                <a:lnTo>
                                  <a:pt x="19685" y="19684"/>
                                </a:lnTo>
                                <a:lnTo>
                                  <a:pt x="5282" y="41040"/>
                                </a:lnTo>
                                <a:lnTo>
                                  <a:pt x="0" y="67182"/>
                                </a:lnTo>
                                <a:lnTo>
                                  <a:pt x="0" y="1385696"/>
                                </a:lnTo>
                                <a:lnTo>
                                  <a:pt x="5282" y="1411839"/>
                                </a:lnTo>
                                <a:lnTo>
                                  <a:pt x="19685" y="1433194"/>
                                </a:lnTo>
                                <a:lnTo>
                                  <a:pt x="41040" y="1447597"/>
                                </a:lnTo>
                                <a:lnTo>
                                  <a:pt x="67183" y="1452879"/>
                                </a:lnTo>
                                <a:lnTo>
                                  <a:pt x="3377692" y="1452879"/>
                                </a:lnTo>
                                <a:lnTo>
                                  <a:pt x="3403834" y="1447597"/>
                                </a:lnTo>
                                <a:lnTo>
                                  <a:pt x="3425189" y="1433194"/>
                                </a:lnTo>
                                <a:lnTo>
                                  <a:pt x="3439592" y="1411839"/>
                                </a:lnTo>
                                <a:lnTo>
                                  <a:pt x="3444875" y="1385696"/>
                                </a:lnTo>
                                <a:lnTo>
                                  <a:pt x="3444875" y="67182"/>
                                </a:lnTo>
                                <a:lnTo>
                                  <a:pt x="3439592" y="41040"/>
                                </a:lnTo>
                                <a:lnTo>
                                  <a:pt x="3425190" y="19685"/>
                                </a:lnTo>
                                <a:lnTo>
                                  <a:pt x="3403834" y="5282"/>
                                </a:lnTo>
                                <a:lnTo>
                                  <a:pt x="3377692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53DCFB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19" name="Textbox 19"/>
                        <wps:cNvSpPr txBox="1"/>
                        <wps:spPr>
                          <a:xfrm>
                            <a:off x="0" y="0"/>
                            <a:ext cx="3444875" cy="1452880"/>
                          </a:xfrm>
                          <a:prstGeom prst="rect">
                            <a:avLst/>
                          </a:prstGeom>
                        </wps:spPr>
                        <wps:txbx>
                          <w:txbxContent>
                            <w:p>
                              <w:pPr>
                                <w:spacing w:line="385" w:lineRule="exact" w:before="207"/>
                                <w:ind w:left="186" w:right="0" w:firstLine="0"/>
                                <w:jc w:val="left"/>
                                <w:rPr>
                                  <w:rFonts w:ascii="BancoDoBrasil Titulos" w:hAnsi="BancoDoBrasil Titulos"/>
                                  <w:sz w:val="32"/>
                                </w:rPr>
                              </w:pP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2"/>
                                  <w:sz w:val="32"/>
                                </w:rPr>
                                <w:t>Carteira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10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2"/>
                                  <w:sz w:val="32"/>
                                </w:rPr>
                                <w:t>de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11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2"/>
                                  <w:sz w:val="32"/>
                                </w:rPr>
                                <w:t>Crédito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9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2"/>
                                  <w:sz w:val="32"/>
                                </w:rPr>
                                <w:t>Classificada</w:t>
                              </w:r>
                            </w:p>
                            <w:p>
                              <w:pPr>
                                <w:spacing w:line="385" w:lineRule="exact" w:before="0"/>
                                <w:ind w:left="186" w:right="0" w:firstLine="0"/>
                                <w:jc w:val="left"/>
                                <w:rPr>
                                  <w:rFonts w:ascii="BancoDoBrasil Titulos" w:hAnsi="BancoDoBrasil Titulos"/>
                                  <w:b/>
                                  <w:sz w:val="32"/>
                                </w:rPr>
                              </w:pPr>
                              <w:r>
                                <w:rPr>
                                  <w:rFonts w:ascii="BancoDoBrasil Titulos" w:hAnsi="BancoDoBrasil Titulos"/>
                                  <w:b/>
                                  <w:color w:val="FBFB2F"/>
                                  <w:sz w:val="32"/>
                                </w:rPr>
                                <w:t>R$</w:t>
                              </w:r>
                              <w:r>
                                <w:rPr>
                                  <w:rFonts w:ascii="BancoDoBrasil Titulos" w:hAnsi="BancoDoBrasil Titulos"/>
                                  <w:b/>
                                  <w:color w:val="FBFB2F"/>
                                  <w:spacing w:val="-15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 w:hAnsi="BancoDoBrasil Titulos"/>
                                  <w:b/>
                                  <w:color w:val="FBFB2F"/>
                                  <w:sz w:val="32"/>
                                </w:rPr>
                                <w:t>1,0</w:t>
                              </w:r>
                              <w:r>
                                <w:rPr>
                                  <w:rFonts w:ascii="BancoDoBrasil Titulos" w:hAnsi="BancoDoBrasil Titulos"/>
                                  <w:b/>
                                  <w:color w:val="FBFB2F"/>
                                  <w:spacing w:val="-15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 w:hAnsi="BancoDoBrasil Titulos"/>
                                  <w:b/>
                                  <w:color w:val="FBFB2F"/>
                                  <w:spacing w:val="-2"/>
                                  <w:sz w:val="32"/>
                                </w:rPr>
                                <w:t>trilhão</w:t>
                              </w:r>
                            </w:p>
                            <w:p>
                              <w:pPr>
                                <w:spacing w:before="75"/>
                                <w:ind w:left="186" w:right="0" w:firstLine="0"/>
                                <w:jc w:val="left"/>
                                <w:rPr>
                                  <w:rFonts w:ascii="BancoDoBrasil Titulos"/>
                                  <w:sz w:val="32"/>
                                </w:rPr>
                              </w:pPr>
                              <w:r>
                                <w:rPr>
                                  <w:rFonts w:ascii="BancoDoBrasil Titulos"/>
                                  <w:color w:val="FBFB2F"/>
                                  <w:spacing w:val="-2"/>
                                  <w:sz w:val="32"/>
                                </w:rPr>
                                <w:t>crescimento</w:t>
                              </w:r>
                              <w:r>
                                <w:rPr>
                                  <w:rFonts w:ascii="BancoDoBrasil Titulos"/>
                                  <w:color w:val="FBFB2F"/>
                                  <w:spacing w:val="-13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/>
                                  <w:color w:val="FBFB2F"/>
                                  <w:spacing w:val="-2"/>
                                  <w:sz w:val="32"/>
                                </w:rPr>
                                <w:t>de</w:t>
                              </w:r>
                              <w:r>
                                <w:rPr>
                                  <w:rFonts w:ascii="BancoDoBrasil Titulos"/>
                                  <w:color w:val="FBFB2F"/>
                                  <w:spacing w:val="-10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/>
                                  <w:color w:val="FBFB2F"/>
                                  <w:spacing w:val="-2"/>
                                  <w:sz w:val="32"/>
                                </w:rPr>
                                <w:t>11,1%</w:t>
                              </w:r>
                            </w:p>
                            <w:p>
                              <w:pPr>
                                <w:spacing w:before="77"/>
                                <w:ind w:left="186" w:right="0" w:firstLine="0"/>
                                <w:jc w:val="left"/>
                                <w:rPr>
                                  <w:rFonts w:ascii="BancoDoBrasil Titulos" w:hAnsi="BancoDoBrasil Titulos"/>
                                  <w:sz w:val="32"/>
                                </w:rPr>
                              </w:pP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z w:val="32"/>
                                </w:rPr>
                                <w:t>em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12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z w:val="32"/>
                                </w:rPr>
                                <w:t>relação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9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z w:val="32"/>
                                </w:rPr>
                                <w:t>a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7"/>
                                  <w:sz w:val="32"/>
                                </w:rPr>
                                <w:t> </w:t>
                              </w:r>
                              <w:r>
                                <w:rPr>
                                  <w:rFonts w:ascii="BancoDoBrasil Titulos" w:hAnsi="BancoDoBrasil Titulos"/>
                                  <w:color w:val="FBFB2F"/>
                                  <w:spacing w:val="-2"/>
                                  <w:sz w:val="32"/>
                                </w:rPr>
                                <w:t>setembro/23</w:t>
                              </w:r>
                            </w:p>
                          </w:txbxContent>
                        </wps:txbx>
                        <wps:bodyPr wrap="square" lIns="0" tIns="0" rIns="0" bIns="0" rtlCol="0"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306pt;margin-top:41.29372pt;width:271.25pt;height:114.4pt;mso-position-horizontal-relative:page;mso-position-vertical-relative:paragraph;z-index:-15726080;mso-wrap-distance-left:0;mso-wrap-distance-right:0" id="docshapegroup17" coordorigin="6120,826" coordsize="5425,2288">
                <v:shape style="position:absolute;left:6120;top:825;width:5425;height:2288" id="docshape18" coordorigin="6120,826" coordsize="5425,2288" path="m11439,826l6226,826,6185,834,6151,857,6128,891,6120,932,6120,3008,6128,3049,6151,3083,6185,3106,6226,3114,11439,3114,11480,3106,11514,3083,11537,3049,11545,3008,11545,932,11537,891,11514,857,11480,834,11439,826xe" filled="true" fillcolor="#53dcfb" stroked="false">
                  <v:path arrowok="t"/>
                  <v:fill type="solid"/>
                </v:shape>
                <v:shape style="position:absolute;left:6120;top:825;width:5425;height:2288" type="#_x0000_t202" id="docshape19" filled="false" stroked="false">
                  <v:textbox inset="0,0,0,0">
                    <w:txbxContent>
                      <w:p>
                        <w:pPr>
                          <w:spacing w:line="385" w:lineRule="exact" w:before="207"/>
                          <w:ind w:left="186" w:right="0" w:firstLine="0"/>
                          <w:jc w:val="left"/>
                          <w:rPr>
                            <w:rFonts w:ascii="BancoDoBrasil Titulos" w:hAnsi="BancoDoBrasil Titulos"/>
                            <w:sz w:val="32"/>
                          </w:rPr>
                        </w:pPr>
                        <w:r>
                          <w:rPr>
                            <w:rFonts w:ascii="BancoDoBrasil Titulos" w:hAnsi="BancoDoBrasil Titulos"/>
                            <w:color w:val="FBFB2F"/>
                            <w:spacing w:val="-2"/>
                            <w:sz w:val="32"/>
                          </w:rPr>
                          <w:t>Carteira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10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2"/>
                            <w:sz w:val="32"/>
                          </w:rPr>
                          <w:t>de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11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2"/>
                            <w:sz w:val="32"/>
                          </w:rPr>
                          <w:t>Crédito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9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2"/>
                            <w:sz w:val="32"/>
                          </w:rPr>
                          <w:t>Classificada</w:t>
                        </w:r>
                      </w:p>
                      <w:p>
                        <w:pPr>
                          <w:spacing w:line="385" w:lineRule="exact" w:before="0"/>
                          <w:ind w:left="186" w:right="0" w:firstLine="0"/>
                          <w:jc w:val="left"/>
                          <w:rPr>
                            <w:rFonts w:ascii="BancoDoBrasil Titulos" w:hAnsi="BancoDoBrasil Titulos"/>
                            <w:b/>
                            <w:sz w:val="32"/>
                          </w:rPr>
                        </w:pPr>
                        <w:r>
                          <w:rPr>
                            <w:rFonts w:ascii="BancoDoBrasil Titulos" w:hAnsi="BancoDoBrasil Titulos"/>
                            <w:b/>
                            <w:color w:val="FBFB2F"/>
                            <w:sz w:val="32"/>
                          </w:rPr>
                          <w:t>R$</w:t>
                        </w:r>
                        <w:r>
                          <w:rPr>
                            <w:rFonts w:ascii="BancoDoBrasil Titulos" w:hAnsi="BancoDoBrasil Titulos"/>
                            <w:b/>
                            <w:color w:val="FBFB2F"/>
                            <w:spacing w:val="-15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 w:hAnsi="BancoDoBrasil Titulos"/>
                            <w:b/>
                            <w:color w:val="FBFB2F"/>
                            <w:sz w:val="32"/>
                          </w:rPr>
                          <w:t>1,0</w:t>
                        </w:r>
                        <w:r>
                          <w:rPr>
                            <w:rFonts w:ascii="BancoDoBrasil Titulos" w:hAnsi="BancoDoBrasil Titulos"/>
                            <w:b/>
                            <w:color w:val="FBFB2F"/>
                            <w:spacing w:val="-15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 w:hAnsi="BancoDoBrasil Titulos"/>
                            <w:b/>
                            <w:color w:val="FBFB2F"/>
                            <w:spacing w:val="-2"/>
                            <w:sz w:val="32"/>
                          </w:rPr>
                          <w:t>trilhão</w:t>
                        </w:r>
                      </w:p>
                      <w:p>
                        <w:pPr>
                          <w:spacing w:before="75"/>
                          <w:ind w:left="186" w:right="0" w:firstLine="0"/>
                          <w:jc w:val="left"/>
                          <w:rPr>
                            <w:rFonts w:ascii="BancoDoBrasil Titulos"/>
                            <w:sz w:val="32"/>
                          </w:rPr>
                        </w:pPr>
                        <w:r>
                          <w:rPr>
                            <w:rFonts w:ascii="BancoDoBrasil Titulos"/>
                            <w:color w:val="FBFB2F"/>
                            <w:spacing w:val="-2"/>
                            <w:sz w:val="32"/>
                          </w:rPr>
                          <w:t>crescimento</w:t>
                        </w:r>
                        <w:r>
                          <w:rPr>
                            <w:rFonts w:ascii="BancoDoBrasil Titulos"/>
                            <w:color w:val="FBFB2F"/>
                            <w:spacing w:val="-13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/>
                            <w:color w:val="FBFB2F"/>
                            <w:spacing w:val="-2"/>
                            <w:sz w:val="32"/>
                          </w:rPr>
                          <w:t>de</w:t>
                        </w:r>
                        <w:r>
                          <w:rPr>
                            <w:rFonts w:ascii="BancoDoBrasil Titulos"/>
                            <w:color w:val="FBFB2F"/>
                            <w:spacing w:val="-10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/>
                            <w:color w:val="FBFB2F"/>
                            <w:spacing w:val="-2"/>
                            <w:sz w:val="32"/>
                          </w:rPr>
                          <w:t>11,1%</w:t>
                        </w:r>
                      </w:p>
                      <w:p>
                        <w:pPr>
                          <w:spacing w:before="77"/>
                          <w:ind w:left="186" w:right="0" w:firstLine="0"/>
                          <w:jc w:val="left"/>
                          <w:rPr>
                            <w:rFonts w:ascii="BancoDoBrasil Titulos" w:hAnsi="BancoDoBrasil Titulos"/>
                            <w:sz w:val="32"/>
                          </w:rPr>
                        </w:pPr>
                        <w:r>
                          <w:rPr>
                            <w:rFonts w:ascii="BancoDoBrasil Titulos" w:hAnsi="BancoDoBrasil Titulos"/>
                            <w:color w:val="FBFB2F"/>
                            <w:sz w:val="32"/>
                          </w:rPr>
                          <w:t>em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12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z w:val="32"/>
                          </w:rPr>
                          <w:t>relação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9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z w:val="32"/>
                          </w:rPr>
                          <w:t>a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7"/>
                            <w:sz w:val="32"/>
                          </w:rPr>
                          <w:t> </w:t>
                        </w:r>
                        <w:r>
                          <w:rPr>
                            <w:rFonts w:ascii="BancoDoBrasil Titulos" w:hAnsi="BancoDoBrasil Titulos"/>
                            <w:color w:val="FBFB2F"/>
                            <w:spacing w:val="-2"/>
                            <w:sz w:val="32"/>
                          </w:rPr>
                          <w:t>setembro/23</w:t>
                        </w:r>
                      </w:p>
                    </w:txbxContent>
                  </v:textbox>
                  <w10:wrap type="none"/>
                </v:shape>
                <w10:wrap type="topAndBottom"/>
              </v:group>
            </w:pict>
          </mc:Fallback>
        </mc:AlternateContent>
      </w:r>
      <w:r>
        <w:rPr>
          <w:color w:val="1B1B22"/>
        </w:rPr>
        <w:t>Para</w:t>
      </w:r>
      <w:r>
        <w:rPr>
          <w:color w:val="1B1B22"/>
          <w:spacing w:val="-10"/>
        </w:rPr>
        <w:t> </w:t>
      </w:r>
      <w:r>
        <w:rPr>
          <w:color w:val="1B1B22"/>
        </w:rPr>
        <w:t>saber</w:t>
      </w:r>
      <w:r>
        <w:rPr>
          <w:color w:val="1B1B22"/>
          <w:spacing w:val="-8"/>
        </w:rPr>
        <w:t> </w:t>
      </w:r>
      <w:r>
        <w:rPr>
          <w:color w:val="1B1B22"/>
        </w:rPr>
        <w:t>mais</w:t>
      </w:r>
      <w:r>
        <w:rPr>
          <w:color w:val="1B1B22"/>
          <w:spacing w:val="-8"/>
        </w:rPr>
        <w:t> </w:t>
      </w:r>
      <w:r>
        <w:rPr>
          <w:color w:val="1B1B22"/>
        </w:rPr>
        <w:t>detalhes</w:t>
      </w:r>
      <w:r>
        <w:rPr>
          <w:color w:val="1B1B22"/>
          <w:spacing w:val="-8"/>
        </w:rPr>
        <w:t> </w:t>
      </w:r>
      <w:r>
        <w:rPr>
          <w:color w:val="1B1B22"/>
        </w:rPr>
        <w:t>sobre</w:t>
      </w:r>
      <w:r>
        <w:rPr>
          <w:color w:val="1B1B22"/>
          <w:spacing w:val="-9"/>
        </w:rPr>
        <w:t> </w:t>
      </w:r>
      <w:r>
        <w:rPr>
          <w:color w:val="1B1B22"/>
        </w:rPr>
        <w:t>os</w:t>
      </w:r>
      <w:r>
        <w:rPr>
          <w:color w:val="1B1B22"/>
          <w:spacing w:val="-8"/>
        </w:rPr>
        <w:t> </w:t>
      </w:r>
      <w:r>
        <w:rPr>
          <w:color w:val="1B1B22"/>
        </w:rPr>
        <w:t>itens</w:t>
      </w:r>
      <w:r>
        <w:rPr>
          <w:color w:val="1B1B22"/>
          <w:spacing w:val="-8"/>
        </w:rPr>
        <w:t> </w:t>
      </w:r>
      <w:r>
        <w:rPr>
          <w:color w:val="1B1B22"/>
        </w:rPr>
        <w:t>de</w:t>
      </w:r>
      <w:r>
        <w:rPr>
          <w:color w:val="1B1B22"/>
          <w:spacing w:val="-9"/>
        </w:rPr>
        <w:t> </w:t>
      </w:r>
      <w:r>
        <w:rPr>
          <w:color w:val="1B1B22"/>
        </w:rPr>
        <w:t>resultado</w:t>
      </w:r>
      <w:r>
        <w:rPr>
          <w:color w:val="1B1B22"/>
          <w:spacing w:val="-8"/>
        </w:rPr>
        <w:t> </w:t>
      </w:r>
      <w:r>
        <w:rPr>
          <w:color w:val="1B1B22"/>
        </w:rPr>
        <w:t>e</w:t>
      </w:r>
      <w:r>
        <w:rPr>
          <w:color w:val="1B1B22"/>
          <w:spacing w:val="-9"/>
        </w:rPr>
        <w:t> </w:t>
      </w:r>
      <w:r>
        <w:rPr>
          <w:color w:val="1B1B22"/>
        </w:rPr>
        <w:t>patrimoniais</w:t>
      </w:r>
      <w:r>
        <w:rPr>
          <w:color w:val="1B1B22"/>
          <w:spacing w:val="-8"/>
        </w:rPr>
        <w:t> </w:t>
      </w:r>
      <w:r>
        <w:rPr>
          <w:color w:val="1B1B22"/>
        </w:rPr>
        <w:t>do</w:t>
      </w:r>
      <w:r>
        <w:rPr>
          <w:color w:val="1B1B22"/>
          <w:spacing w:val="-9"/>
        </w:rPr>
        <w:t> </w:t>
      </w:r>
      <w:r>
        <w:rPr>
          <w:color w:val="1B1B22"/>
        </w:rPr>
        <w:t>período,</w:t>
      </w:r>
      <w:r>
        <w:rPr>
          <w:color w:val="1B1B22"/>
          <w:spacing w:val="-3"/>
        </w:rPr>
        <w:t> </w:t>
      </w:r>
      <w:r>
        <w:rPr>
          <w:color w:val="1B1B22"/>
        </w:rPr>
        <w:t>consulte</w:t>
      </w:r>
      <w:r>
        <w:rPr>
          <w:color w:val="1B1B22"/>
          <w:spacing w:val="-9"/>
        </w:rPr>
        <w:t> </w:t>
      </w:r>
      <w:r>
        <w:rPr>
          <w:color w:val="1B1B22"/>
        </w:rPr>
        <w:t>as</w:t>
      </w:r>
      <w:r>
        <w:rPr>
          <w:color w:val="1B1B22"/>
          <w:spacing w:val="-8"/>
        </w:rPr>
        <w:t> </w:t>
      </w:r>
      <w:r>
        <w:rPr>
          <w:color w:val="1B1B22"/>
        </w:rPr>
        <w:t>Notas</w:t>
      </w:r>
      <w:r>
        <w:rPr>
          <w:color w:val="1B1B22"/>
          <w:spacing w:val="-8"/>
        </w:rPr>
        <w:t> </w:t>
      </w:r>
      <w:r>
        <w:rPr>
          <w:color w:val="1B1B22"/>
        </w:rPr>
        <w:t>Explicativas constantes das Demonstrações Contábeis e o Relatório Análise do Desempenho.</w:t>
      </w:r>
    </w:p>
    <w:p>
      <w:pPr>
        <w:pStyle w:val="BodyText"/>
        <w:jc w:val="left"/>
      </w:pPr>
    </w:p>
    <w:p>
      <w:pPr>
        <w:pStyle w:val="BodyText"/>
        <w:spacing w:before="112"/>
        <w:jc w:val="left"/>
      </w:pPr>
    </w:p>
    <w:tbl>
      <w:tblPr>
        <w:tblW w:w="0" w:type="auto"/>
        <w:jc w:val="left"/>
        <w:tblInd w:w="69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ayout w:type="fixed"/>
        <w:tblCellMar>
          <w:top w:w="0" w:type="dxa"/>
          <w:left w:w="0" w:type="dxa"/>
          <w:bottom w:w="0" w:type="dxa"/>
          <w:right w:w="0" w:type="dxa"/>
        </w:tblCellMar>
        <w:tblLook w:val="01E0"/>
      </w:tblPr>
      <w:tblGrid>
        <w:gridCol w:w="4524"/>
        <w:gridCol w:w="1523"/>
        <w:gridCol w:w="1400"/>
        <w:gridCol w:w="1371"/>
        <w:gridCol w:w="1125"/>
      </w:tblGrid>
      <w:tr>
        <w:trPr>
          <w:trHeight w:val="342" w:hRule="atLeast"/>
        </w:trPr>
        <w:tc>
          <w:tcPr>
            <w:tcW w:w="7447" w:type="dxa"/>
            <w:gridSpan w:val="3"/>
          </w:tcPr>
          <w:p>
            <w:pPr>
              <w:pStyle w:val="TableParagraph"/>
              <w:spacing w:line="210" w:lineRule="exact" w:before="0"/>
              <w:ind w:right="618"/>
              <w:jc w:val="right"/>
              <w:rPr>
                <w:rFonts w:ascii="BancoDoBrasil Textos Medium" w:hAnsi="BancoDoBrasil Textos Medium"/>
                <w:b w:val="0"/>
                <w:sz w:val="18"/>
              </w:rPr>
            </w:pPr>
            <w:r>
              <w:rPr>
                <w:rFonts w:ascii="BancoDoBrasil Textos Medium" w:hAnsi="BancoDoBrasil Textos Medium"/>
                <w:b w:val="0"/>
                <w:color w:val="3333BC"/>
                <w:sz w:val="18"/>
              </w:rPr>
              <w:t>BB</w:t>
            </w:r>
            <w:r>
              <w:rPr>
                <w:rFonts w:ascii="BancoDoBrasil Textos Medium" w:hAnsi="BancoDoBrasil Textos Medium"/>
                <w:b w:val="0"/>
                <w:color w:val="3333BC"/>
                <w:spacing w:val="-7"/>
                <w:sz w:val="18"/>
              </w:rPr>
              <w:t> </w:t>
            </w:r>
            <w:r>
              <w:rPr>
                <w:rFonts w:ascii="BancoDoBrasil Textos Medium" w:hAnsi="BancoDoBrasil Textos Medium"/>
                <w:b w:val="0"/>
                <w:color w:val="3333BC"/>
                <w:sz w:val="18"/>
              </w:rPr>
              <w:t>Banco</w:t>
            </w:r>
            <w:r>
              <w:rPr>
                <w:rFonts w:ascii="BancoDoBrasil Textos Medium" w:hAnsi="BancoDoBrasil Textos Medium"/>
                <w:b w:val="0"/>
                <w:color w:val="3333BC"/>
                <w:spacing w:val="-4"/>
                <w:sz w:val="18"/>
              </w:rPr>
              <w:t> </w:t>
            </w:r>
            <w:r>
              <w:rPr>
                <w:rFonts w:ascii="BancoDoBrasil Textos Medium" w:hAnsi="BancoDoBrasil Textos Medium"/>
                <w:b w:val="0"/>
                <w:color w:val="3333BC"/>
                <w:spacing w:val="-2"/>
                <w:sz w:val="18"/>
              </w:rPr>
              <w:t>Múltiplo</w:t>
            </w:r>
          </w:p>
        </w:tc>
        <w:tc>
          <w:tcPr>
            <w:tcW w:w="2496" w:type="dxa"/>
            <w:gridSpan w:val="2"/>
          </w:tcPr>
          <w:p>
            <w:pPr>
              <w:pStyle w:val="TableParagraph"/>
              <w:spacing w:line="210" w:lineRule="exact" w:before="0"/>
              <w:ind w:left="700"/>
              <w:rPr>
                <w:rFonts w:ascii="BancoDoBrasil Textos Medium"/>
                <w:b w:val="0"/>
                <w:sz w:val="18"/>
              </w:rPr>
            </w:pPr>
            <w:r>
              <w:rPr>
                <w:rFonts w:ascii="BancoDoBrasil Textos Medium"/>
                <w:b w:val="0"/>
                <w:color w:val="3333BC"/>
                <w:sz w:val="18"/>
              </w:rPr>
              <w:t>BB</w:t>
            </w:r>
            <w:r>
              <w:rPr>
                <w:rFonts w:ascii="BancoDoBrasil Textos Medium"/>
                <w:b w:val="0"/>
                <w:color w:val="3333BC"/>
                <w:spacing w:val="-4"/>
                <w:sz w:val="18"/>
              </w:rPr>
              <w:t> </w:t>
            </w:r>
            <w:r>
              <w:rPr>
                <w:rFonts w:ascii="BancoDoBrasil Textos Medium"/>
                <w:b w:val="0"/>
                <w:color w:val="3333BC"/>
                <w:spacing w:val="-2"/>
                <w:sz w:val="18"/>
              </w:rPr>
              <w:t>Consolidado</w:t>
            </w:r>
          </w:p>
        </w:tc>
      </w:tr>
      <w:tr>
        <w:trPr>
          <w:trHeight w:val="499" w:hRule="atLeast"/>
        </w:trPr>
        <w:tc>
          <w:tcPr>
            <w:tcW w:w="4524" w:type="dxa"/>
          </w:tcPr>
          <w:p>
            <w:pPr>
              <w:pStyle w:val="TableParagraph"/>
              <w:spacing w:before="137"/>
              <w:ind w:left="50"/>
              <w:rPr>
                <w:rFonts w:ascii="BancoDoBrasil Titulos ExtraBold" w:hAnsi="BancoDoBrasil Titulos ExtraBold"/>
                <w:b/>
                <w:sz w:val="18"/>
              </w:rPr>
            </w:pPr>
            <w:r>
              <w:rPr>
                <w:rFonts w:ascii="BancoDoBrasil Titulos ExtraBold" w:hAnsi="BancoDoBrasil Titulos ExtraBold"/>
                <w:b/>
                <w:color w:val="465EFF"/>
                <w:spacing w:val="-2"/>
                <w:sz w:val="18"/>
              </w:rPr>
              <w:t>Resultado (R$ milhões)</w:t>
            </w:r>
          </w:p>
        </w:tc>
        <w:tc>
          <w:tcPr>
            <w:tcW w:w="1523" w:type="dxa"/>
          </w:tcPr>
          <w:p>
            <w:pPr>
              <w:pStyle w:val="TableParagraph"/>
              <w:ind w:left="583"/>
              <w:rPr>
                <w:rFonts w:ascii="BancoDoBrasil Textos Medium"/>
                <w:b w:val="0"/>
                <w:sz w:val="18"/>
              </w:rPr>
            </w:pPr>
            <w:r>
              <w:rPr>
                <w:rFonts w:ascii="BancoDoBrasil Textos Medium"/>
                <w:b w:val="0"/>
                <w:color w:val="465EFF"/>
                <w:spacing w:val="-4"/>
                <w:sz w:val="18"/>
              </w:rPr>
              <w:t>9M24</w:t>
            </w:r>
          </w:p>
        </w:tc>
        <w:tc>
          <w:tcPr>
            <w:tcW w:w="1400" w:type="dxa"/>
          </w:tcPr>
          <w:p>
            <w:pPr>
              <w:pStyle w:val="TableParagraph"/>
              <w:ind w:left="20" w:right="1"/>
              <w:jc w:val="center"/>
              <w:rPr>
                <w:rFonts w:ascii="BancoDoBrasil Titulos Light"/>
                <w:b w:val="0"/>
                <w:sz w:val="18"/>
              </w:rPr>
            </w:pPr>
            <w:r>
              <w:rPr>
                <w:rFonts w:ascii="BancoDoBrasil Titulos Light"/>
                <w:b w:val="0"/>
                <w:color w:val="735CC5"/>
                <w:spacing w:val="-4"/>
                <w:sz w:val="18"/>
              </w:rPr>
              <w:t>9M23</w:t>
            </w:r>
          </w:p>
        </w:tc>
        <w:tc>
          <w:tcPr>
            <w:tcW w:w="1371" w:type="dxa"/>
          </w:tcPr>
          <w:p>
            <w:pPr>
              <w:pStyle w:val="TableParagraph"/>
              <w:ind w:left="5" w:right="16"/>
              <w:jc w:val="center"/>
              <w:rPr>
                <w:rFonts w:ascii="BancoDoBrasil Textos Medium"/>
                <w:b w:val="0"/>
                <w:sz w:val="18"/>
              </w:rPr>
            </w:pPr>
            <w:r>
              <w:rPr>
                <w:rFonts w:ascii="BancoDoBrasil Textos Medium"/>
                <w:b w:val="0"/>
                <w:color w:val="465EFF"/>
                <w:spacing w:val="-4"/>
                <w:sz w:val="18"/>
              </w:rPr>
              <w:t>9M24</w:t>
            </w:r>
          </w:p>
        </w:tc>
        <w:tc>
          <w:tcPr>
            <w:tcW w:w="1125" w:type="dxa"/>
          </w:tcPr>
          <w:p>
            <w:pPr>
              <w:pStyle w:val="TableParagraph"/>
              <w:ind w:left="440"/>
              <w:rPr>
                <w:rFonts w:ascii="BancoDoBrasil Titulos Light"/>
                <w:b w:val="0"/>
                <w:sz w:val="18"/>
              </w:rPr>
            </w:pPr>
            <w:r>
              <w:rPr>
                <w:rFonts w:ascii="BancoDoBrasil Titulos Light"/>
                <w:b w:val="0"/>
                <w:color w:val="735CC5"/>
                <w:spacing w:val="-4"/>
                <w:sz w:val="18"/>
              </w:rPr>
              <w:t>9M23</w:t>
            </w:r>
          </w:p>
        </w:tc>
      </w:tr>
      <w:tr>
        <w:trPr>
          <w:trHeight w:val="499" w:hRule="atLeast"/>
        </w:trPr>
        <w:tc>
          <w:tcPr>
            <w:tcW w:w="4524" w:type="dxa"/>
          </w:tcPr>
          <w:p>
            <w:pPr>
              <w:pStyle w:val="TableParagraph"/>
              <w:spacing w:before="137"/>
              <w:ind w:left="50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Lucro</w:t>
            </w:r>
            <w:r>
              <w:rPr>
                <w:b w:val="0"/>
                <w:color w:val="3333BC"/>
                <w:spacing w:val="-3"/>
                <w:sz w:val="18"/>
              </w:rPr>
              <w:t> </w:t>
            </w:r>
            <w:r>
              <w:rPr>
                <w:b w:val="0"/>
                <w:color w:val="3333BC"/>
                <w:spacing w:val="-2"/>
                <w:sz w:val="18"/>
              </w:rPr>
              <w:t>Líquido</w:t>
            </w:r>
          </w:p>
        </w:tc>
        <w:tc>
          <w:tcPr>
            <w:tcW w:w="1523" w:type="dxa"/>
          </w:tcPr>
          <w:p>
            <w:pPr>
              <w:pStyle w:val="TableParagraph"/>
              <w:ind w:left="557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26.572</w:t>
            </w:r>
          </w:p>
        </w:tc>
        <w:tc>
          <w:tcPr>
            <w:tcW w:w="1400" w:type="dxa"/>
          </w:tcPr>
          <w:p>
            <w:pPr>
              <w:pStyle w:val="TableParagraph"/>
              <w:ind w:left="20" w:right="2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24.835</w:t>
            </w:r>
          </w:p>
        </w:tc>
        <w:tc>
          <w:tcPr>
            <w:tcW w:w="1371" w:type="dxa"/>
          </w:tcPr>
          <w:p>
            <w:pPr>
              <w:pStyle w:val="TableParagraph"/>
              <w:ind w:left="5" w:right="16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26.667</w:t>
            </w:r>
          </w:p>
        </w:tc>
        <w:tc>
          <w:tcPr>
            <w:tcW w:w="1125" w:type="dxa"/>
          </w:tcPr>
          <w:p>
            <w:pPr>
              <w:pStyle w:val="TableParagraph"/>
              <w:ind w:left="406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24.957</w:t>
            </w:r>
          </w:p>
        </w:tc>
      </w:tr>
      <w:tr>
        <w:trPr>
          <w:trHeight w:val="501" w:hRule="atLeast"/>
        </w:trPr>
        <w:tc>
          <w:tcPr>
            <w:tcW w:w="4524" w:type="dxa"/>
          </w:tcPr>
          <w:p>
            <w:pPr>
              <w:pStyle w:val="TableParagraph"/>
              <w:spacing w:before="139"/>
              <w:ind w:left="50"/>
              <w:rPr>
                <w:b w:val="0"/>
                <w:sz w:val="18"/>
              </w:rPr>
            </w:pPr>
            <w:r>
              <w:rPr>
                <w:b w:val="0"/>
                <w:color w:val="3333BC"/>
                <w:sz w:val="18"/>
              </w:rPr>
              <w:t>Resultado</w:t>
            </w:r>
            <w:r>
              <w:rPr>
                <w:b w:val="0"/>
                <w:color w:val="3333BC"/>
                <w:spacing w:val="-13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da</w:t>
            </w:r>
            <w:r>
              <w:rPr>
                <w:b w:val="0"/>
                <w:color w:val="3333BC"/>
                <w:spacing w:val="-9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Intermediação</w:t>
            </w:r>
            <w:r>
              <w:rPr>
                <w:b w:val="0"/>
                <w:color w:val="3333BC"/>
                <w:spacing w:val="-9"/>
                <w:sz w:val="18"/>
              </w:rPr>
              <w:t> </w:t>
            </w:r>
            <w:r>
              <w:rPr>
                <w:b w:val="0"/>
                <w:color w:val="3333BC"/>
                <w:spacing w:val="-2"/>
                <w:sz w:val="18"/>
              </w:rPr>
              <w:t>Financeira</w:t>
            </w:r>
          </w:p>
        </w:tc>
        <w:tc>
          <w:tcPr>
            <w:tcW w:w="1523" w:type="dxa"/>
          </w:tcPr>
          <w:p>
            <w:pPr>
              <w:pStyle w:val="TableParagraph"/>
              <w:ind w:left="550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40.873</w:t>
            </w:r>
          </w:p>
        </w:tc>
        <w:tc>
          <w:tcPr>
            <w:tcW w:w="1400" w:type="dxa"/>
          </w:tcPr>
          <w:p>
            <w:pPr>
              <w:pStyle w:val="TableParagraph"/>
              <w:ind w:left="20" w:right="3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40.084</w:t>
            </w:r>
          </w:p>
        </w:tc>
        <w:tc>
          <w:tcPr>
            <w:tcW w:w="1371" w:type="dxa"/>
          </w:tcPr>
          <w:p>
            <w:pPr>
              <w:pStyle w:val="TableParagraph"/>
              <w:ind w:left="2" w:right="16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49.360</w:t>
            </w:r>
          </w:p>
        </w:tc>
        <w:tc>
          <w:tcPr>
            <w:tcW w:w="1125" w:type="dxa"/>
          </w:tcPr>
          <w:p>
            <w:pPr>
              <w:pStyle w:val="TableParagraph"/>
              <w:ind w:left="414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47.933</w:t>
            </w:r>
          </w:p>
        </w:tc>
      </w:tr>
      <w:tr>
        <w:trPr>
          <w:trHeight w:val="499" w:hRule="atLeast"/>
        </w:trPr>
        <w:tc>
          <w:tcPr>
            <w:tcW w:w="4524" w:type="dxa"/>
          </w:tcPr>
          <w:p>
            <w:pPr>
              <w:pStyle w:val="TableParagraph"/>
              <w:spacing w:before="137"/>
              <w:ind w:left="50"/>
              <w:rPr>
                <w:b w:val="0"/>
                <w:sz w:val="18"/>
              </w:rPr>
            </w:pPr>
            <w:r>
              <w:rPr>
                <w:b w:val="0"/>
                <w:color w:val="3333BC"/>
                <w:sz w:val="18"/>
              </w:rPr>
              <w:t>Provisão</w:t>
            </w:r>
            <w:r>
              <w:rPr>
                <w:b w:val="0"/>
                <w:color w:val="3333BC"/>
                <w:spacing w:val="-7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para</w:t>
            </w:r>
            <w:r>
              <w:rPr>
                <w:b w:val="0"/>
                <w:color w:val="3333BC"/>
                <w:spacing w:val="-7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perdas</w:t>
            </w:r>
            <w:r>
              <w:rPr>
                <w:b w:val="0"/>
                <w:color w:val="3333BC"/>
                <w:spacing w:val="-6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associadas</w:t>
            </w:r>
            <w:r>
              <w:rPr>
                <w:b w:val="0"/>
                <w:color w:val="3333BC"/>
                <w:spacing w:val="-6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ao</w:t>
            </w:r>
            <w:r>
              <w:rPr>
                <w:b w:val="0"/>
                <w:color w:val="3333BC"/>
                <w:spacing w:val="-6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risco</w:t>
            </w:r>
            <w:r>
              <w:rPr>
                <w:b w:val="0"/>
                <w:color w:val="3333BC"/>
                <w:spacing w:val="-7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de</w:t>
            </w:r>
            <w:r>
              <w:rPr>
                <w:b w:val="0"/>
                <w:color w:val="3333BC"/>
                <w:spacing w:val="-5"/>
                <w:sz w:val="18"/>
              </w:rPr>
              <w:t> </w:t>
            </w:r>
            <w:r>
              <w:rPr>
                <w:b w:val="0"/>
                <w:color w:val="3333BC"/>
                <w:spacing w:val="-2"/>
                <w:sz w:val="18"/>
              </w:rPr>
              <w:t>crédito</w:t>
            </w:r>
          </w:p>
        </w:tc>
        <w:tc>
          <w:tcPr>
            <w:tcW w:w="1523" w:type="dxa"/>
          </w:tcPr>
          <w:p>
            <w:pPr>
              <w:pStyle w:val="TableParagraph"/>
              <w:ind w:right="355"/>
              <w:jc w:val="right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(31.556)</w:t>
            </w:r>
          </w:p>
        </w:tc>
        <w:tc>
          <w:tcPr>
            <w:tcW w:w="1400" w:type="dxa"/>
          </w:tcPr>
          <w:p>
            <w:pPr>
              <w:pStyle w:val="TableParagraph"/>
              <w:ind w:left="20" w:right="5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(21.928)</w:t>
            </w:r>
          </w:p>
        </w:tc>
        <w:tc>
          <w:tcPr>
            <w:tcW w:w="1371" w:type="dxa"/>
          </w:tcPr>
          <w:p>
            <w:pPr>
              <w:pStyle w:val="TableParagraph"/>
              <w:ind w:left="5" w:right="16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(31.692)</w:t>
            </w:r>
          </w:p>
        </w:tc>
        <w:tc>
          <w:tcPr>
            <w:tcW w:w="1125" w:type="dxa"/>
          </w:tcPr>
          <w:p>
            <w:pPr>
              <w:pStyle w:val="TableParagraph"/>
              <w:ind w:left="334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(22.079)</w:t>
            </w:r>
          </w:p>
        </w:tc>
      </w:tr>
      <w:tr>
        <w:trPr>
          <w:trHeight w:val="491" w:hRule="atLeast"/>
        </w:trPr>
        <w:tc>
          <w:tcPr>
            <w:tcW w:w="4524" w:type="dxa"/>
          </w:tcPr>
          <w:p>
            <w:pPr>
              <w:pStyle w:val="TableParagraph"/>
              <w:ind w:left="50"/>
              <w:rPr>
                <w:b w:val="0"/>
                <w:sz w:val="18"/>
              </w:rPr>
            </w:pPr>
            <w:r>
              <w:rPr>
                <w:b w:val="0"/>
                <w:color w:val="3333BC"/>
                <w:sz w:val="18"/>
              </w:rPr>
              <w:t>Receita</w:t>
            </w:r>
            <w:r>
              <w:rPr>
                <w:b w:val="0"/>
                <w:color w:val="3333BC"/>
                <w:spacing w:val="-7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de</w:t>
            </w:r>
            <w:r>
              <w:rPr>
                <w:b w:val="0"/>
                <w:color w:val="3333BC"/>
                <w:spacing w:val="-5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Prestação</w:t>
            </w:r>
            <w:r>
              <w:rPr>
                <w:b w:val="0"/>
                <w:color w:val="3333BC"/>
                <w:spacing w:val="-5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de</w:t>
            </w:r>
            <w:r>
              <w:rPr>
                <w:b w:val="0"/>
                <w:color w:val="3333BC"/>
                <w:spacing w:val="-5"/>
                <w:sz w:val="18"/>
              </w:rPr>
              <w:t> </w:t>
            </w:r>
            <w:r>
              <w:rPr>
                <w:b w:val="0"/>
                <w:color w:val="3333BC"/>
                <w:spacing w:val="-2"/>
                <w:sz w:val="18"/>
              </w:rPr>
              <w:t>Serviços</w:t>
            </w:r>
          </w:p>
        </w:tc>
        <w:tc>
          <w:tcPr>
            <w:tcW w:w="1523" w:type="dxa"/>
          </w:tcPr>
          <w:p>
            <w:pPr>
              <w:pStyle w:val="TableParagraph"/>
              <w:ind w:left="562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15.842</w:t>
            </w:r>
          </w:p>
        </w:tc>
        <w:tc>
          <w:tcPr>
            <w:tcW w:w="1400" w:type="dxa"/>
          </w:tcPr>
          <w:p>
            <w:pPr>
              <w:pStyle w:val="TableParagraph"/>
              <w:ind w:left="20" w:right="3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15.761</w:t>
            </w:r>
          </w:p>
        </w:tc>
        <w:tc>
          <w:tcPr>
            <w:tcW w:w="1371" w:type="dxa"/>
          </w:tcPr>
          <w:p>
            <w:pPr>
              <w:pStyle w:val="TableParagraph"/>
              <w:ind w:left="2" w:right="16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26.285</w:t>
            </w:r>
          </w:p>
        </w:tc>
        <w:tc>
          <w:tcPr>
            <w:tcW w:w="1125" w:type="dxa"/>
          </w:tcPr>
          <w:p>
            <w:pPr>
              <w:pStyle w:val="TableParagraph"/>
              <w:ind w:left="390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25.088</w:t>
            </w:r>
          </w:p>
        </w:tc>
      </w:tr>
      <w:tr>
        <w:trPr>
          <w:trHeight w:val="750" w:hRule="atLeast"/>
        </w:trPr>
        <w:tc>
          <w:tcPr>
            <w:tcW w:w="4524" w:type="dxa"/>
          </w:tcPr>
          <w:p>
            <w:pPr>
              <w:pStyle w:val="TableParagraph"/>
              <w:spacing w:before="129"/>
              <w:ind w:left="50"/>
              <w:rPr>
                <w:b w:val="0"/>
                <w:sz w:val="18"/>
              </w:rPr>
            </w:pPr>
            <w:r>
              <w:rPr>
                <w:b w:val="0"/>
                <w:color w:val="3333BC"/>
                <w:sz w:val="18"/>
              </w:rPr>
              <w:t>Despesas</w:t>
            </w:r>
            <w:r>
              <w:rPr>
                <w:b w:val="0"/>
                <w:color w:val="3333BC"/>
                <w:spacing w:val="-7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Administrativas</w:t>
            </w:r>
            <w:r>
              <w:rPr>
                <w:b w:val="0"/>
                <w:color w:val="3333BC"/>
                <w:spacing w:val="-5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e</w:t>
            </w:r>
            <w:r>
              <w:rPr>
                <w:b w:val="0"/>
                <w:color w:val="3333BC"/>
                <w:spacing w:val="-4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de</w:t>
            </w:r>
            <w:r>
              <w:rPr>
                <w:b w:val="0"/>
                <w:color w:val="3333BC"/>
                <w:spacing w:val="-5"/>
                <w:sz w:val="18"/>
              </w:rPr>
              <w:t> </w:t>
            </w:r>
            <w:r>
              <w:rPr>
                <w:b w:val="0"/>
                <w:color w:val="3333BC"/>
                <w:spacing w:val="-2"/>
                <w:sz w:val="18"/>
              </w:rPr>
              <w:t>Pessoal</w:t>
            </w:r>
          </w:p>
        </w:tc>
        <w:tc>
          <w:tcPr>
            <w:tcW w:w="1523" w:type="dxa"/>
          </w:tcPr>
          <w:p>
            <w:pPr>
              <w:pStyle w:val="TableParagraph"/>
              <w:spacing w:before="129"/>
              <w:ind w:right="350"/>
              <w:jc w:val="right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(27.685)</w:t>
            </w:r>
          </w:p>
        </w:tc>
        <w:tc>
          <w:tcPr>
            <w:tcW w:w="1400" w:type="dxa"/>
          </w:tcPr>
          <w:p>
            <w:pPr>
              <w:pStyle w:val="TableParagraph"/>
              <w:spacing w:before="129"/>
              <w:ind w:left="20" w:right="5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(26.223)</w:t>
            </w:r>
          </w:p>
        </w:tc>
        <w:tc>
          <w:tcPr>
            <w:tcW w:w="1371" w:type="dxa"/>
          </w:tcPr>
          <w:p>
            <w:pPr>
              <w:pStyle w:val="TableParagraph"/>
              <w:spacing w:before="129"/>
              <w:ind w:left="2" w:right="16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(28.922)</w:t>
            </w:r>
          </w:p>
        </w:tc>
        <w:tc>
          <w:tcPr>
            <w:tcW w:w="1125" w:type="dxa"/>
          </w:tcPr>
          <w:p>
            <w:pPr>
              <w:pStyle w:val="TableParagraph"/>
              <w:spacing w:before="129"/>
              <w:ind w:left="337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(27.606)</w:t>
            </w:r>
          </w:p>
        </w:tc>
      </w:tr>
      <w:tr>
        <w:trPr>
          <w:trHeight w:val="758" w:hRule="atLeast"/>
        </w:trPr>
        <w:tc>
          <w:tcPr>
            <w:tcW w:w="4524" w:type="dxa"/>
          </w:tcPr>
          <w:p>
            <w:pPr>
              <w:pStyle w:val="TableParagraph"/>
              <w:spacing w:before="167"/>
              <w:rPr>
                <w:rFonts w:ascii="BancoDoBrasil Textos"/>
                <w:sz w:val="18"/>
              </w:rPr>
            </w:pPr>
          </w:p>
          <w:p>
            <w:pPr>
              <w:pStyle w:val="TableParagraph"/>
              <w:spacing w:before="0"/>
              <w:ind w:left="50"/>
              <w:rPr>
                <w:rFonts w:ascii="BancoDoBrasil Titulos ExtraBold" w:hAnsi="BancoDoBrasil Titulos ExtraBold"/>
                <w:b/>
                <w:sz w:val="18"/>
              </w:rPr>
            </w:pPr>
            <w:r>
              <w:rPr>
                <w:rFonts w:ascii="BancoDoBrasil Titulos ExtraBold" w:hAnsi="BancoDoBrasil Titulos ExtraBold"/>
                <w:b/>
                <w:color w:val="465EFF"/>
                <w:sz w:val="18"/>
              </w:rPr>
              <w:t>Patrimoniais</w:t>
            </w:r>
            <w:r>
              <w:rPr>
                <w:rFonts w:ascii="BancoDoBrasil Titulos ExtraBold" w:hAnsi="BancoDoBrasil Titulos ExtraBold"/>
                <w:b/>
                <w:color w:val="465EFF"/>
                <w:spacing w:val="-5"/>
                <w:sz w:val="18"/>
              </w:rPr>
              <w:t> </w:t>
            </w:r>
            <w:r>
              <w:rPr>
                <w:rFonts w:ascii="BancoDoBrasil Titulos ExtraBold" w:hAnsi="BancoDoBrasil Titulos ExtraBold"/>
                <w:b/>
                <w:color w:val="465EFF"/>
                <w:sz w:val="18"/>
              </w:rPr>
              <w:t>(R$</w:t>
            </w:r>
            <w:r>
              <w:rPr>
                <w:rFonts w:ascii="BancoDoBrasil Titulos ExtraBold" w:hAnsi="BancoDoBrasil Titulos ExtraBold"/>
                <w:b/>
                <w:color w:val="465EFF"/>
                <w:spacing w:val="-2"/>
                <w:sz w:val="18"/>
              </w:rPr>
              <w:t> milhões)</w:t>
            </w:r>
          </w:p>
        </w:tc>
        <w:tc>
          <w:tcPr>
            <w:tcW w:w="1523" w:type="dxa"/>
          </w:tcPr>
          <w:p>
            <w:pPr>
              <w:pStyle w:val="TableParagraph"/>
              <w:spacing w:before="150"/>
              <w:rPr>
                <w:rFonts w:ascii="BancoDoBrasil Textos"/>
                <w:sz w:val="18"/>
              </w:rPr>
            </w:pPr>
          </w:p>
          <w:p>
            <w:pPr>
              <w:pStyle w:val="TableParagraph"/>
              <w:spacing w:before="0"/>
              <w:ind w:left="533"/>
              <w:rPr>
                <w:rFonts w:ascii="BancoDoBrasil Textos Medium"/>
                <w:b w:val="0"/>
                <w:sz w:val="18"/>
              </w:rPr>
            </w:pPr>
            <w:r>
              <w:rPr>
                <w:rFonts w:ascii="BancoDoBrasil Textos Medium"/>
                <w:b w:val="0"/>
                <w:color w:val="465EFF"/>
                <w:spacing w:val="-2"/>
                <w:sz w:val="18"/>
              </w:rPr>
              <w:t>Set/24</w:t>
            </w:r>
          </w:p>
        </w:tc>
        <w:tc>
          <w:tcPr>
            <w:tcW w:w="1400" w:type="dxa"/>
          </w:tcPr>
          <w:p>
            <w:pPr>
              <w:pStyle w:val="TableParagraph"/>
              <w:spacing w:before="150"/>
              <w:rPr>
                <w:rFonts w:ascii="BancoDoBrasil Textos"/>
                <w:sz w:val="18"/>
              </w:rPr>
            </w:pPr>
          </w:p>
          <w:p>
            <w:pPr>
              <w:pStyle w:val="TableParagraph"/>
              <w:spacing w:before="0"/>
              <w:ind w:left="20" w:right="3"/>
              <w:jc w:val="center"/>
              <w:rPr>
                <w:rFonts w:ascii="BancoDoBrasil Titulos Light"/>
                <w:b w:val="0"/>
                <w:sz w:val="18"/>
              </w:rPr>
            </w:pPr>
            <w:r>
              <w:rPr>
                <w:rFonts w:ascii="BancoDoBrasil Titulos Light"/>
                <w:b w:val="0"/>
                <w:color w:val="735CC5"/>
                <w:spacing w:val="-2"/>
                <w:sz w:val="18"/>
              </w:rPr>
              <w:t>Dez/23</w:t>
            </w:r>
          </w:p>
        </w:tc>
        <w:tc>
          <w:tcPr>
            <w:tcW w:w="1371" w:type="dxa"/>
          </w:tcPr>
          <w:p>
            <w:pPr>
              <w:pStyle w:val="TableParagraph"/>
              <w:spacing w:before="150"/>
              <w:rPr>
                <w:rFonts w:ascii="BancoDoBrasil Textos"/>
                <w:sz w:val="18"/>
              </w:rPr>
            </w:pPr>
          </w:p>
          <w:p>
            <w:pPr>
              <w:pStyle w:val="TableParagraph"/>
              <w:spacing w:before="0"/>
              <w:ind w:left="1" w:right="16"/>
              <w:jc w:val="center"/>
              <w:rPr>
                <w:rFonts w:ascii="BancoDoBrasil Textos Medium"/>
                <w:b w:val="0"/>
                <w:sz w:val="18"/>
              </w:rPr>
            </w:pPr>
            <w:r>
              <w:rPr>
                <w:rFonts w:ascii="BancoDoBrasil Textos Medium"/>
                <w:b w:val="0"/>
                <w:color w:val="465EFF"/>
                <w:spacing w:val="-2"/>
                <w:sz w:val="18"/>
              </w:rPr>
              <w:t>Set/24</w:t>
            </w:r>
          </w:p>
        </w:tc>
        <w:tc>
          <w:tcPr>
            <w:tcW w:w="1125" w:type="dxa"/>
          </w:tcPr>
          <w:p>
            <w:pPr>
              <w:pStyle w:val="TableParagraph"/>
              <w:spacing w:before="150"/>
              <w:rPr>
                <w:rFonts w:ascii="BancoDoBrasil Textos"/>
                <w:sz w:val="18"/>
              </w:rPr>
            </w:pPr>
          </w:p>
          <w:p>
            <w:pPr>
              <w:pStyle w:val="TableParagraph"/>
              <w:spacing w:before="0"/>
              <w:ind w:left="385"/>
              <w:rPr>
                <w:rFonts w:ascii="BancoDoBrasil Titulos Light"/>
                <w:b w:val="0"/>
                <w:sz w:val="18"/>
              </w:rPr>
            </w:pPr>
            <w:r>
              <w:rPr>
                <w:rFonts w:ascii="BancoDoBrasil Titulos Light"/>
                <w:b w:val="0"/>
                <w:color w:val="735CC5"/>
                <w:spacing w:val="-2"/>
                <w:sz w:val="18"/>
              </w:rPr>
              <w:t>Dez/23</w:t>
            </w:r>
          </w:p>
        </w:tc>
      </w:tr>
      <w:tr>
        <w:trPr>
          <w:trHeight w:val="501" w:hRule="atLeast"/>
        </w:trPr>
        <w:tc>
          <w:tcPr>
            <w:tcW w:w="4524" w:type="dxa"/>
          </w:tcPr>
          <w:p>
            <w:pPr>
              <w:pStyle w:val="TableParagraph"/>
              <w:spacing w:before="139"/>
              <w:ind w:left="50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Ativos</w:t>
            </w:r>
          </w:p>
        </w:tc>
        <w:tc>
          <w:tcPr>
            <w:tcW w:w="1523" w:type="dxa"/>
          </w:tcPr>
          <w:p>
            <w:pPr>
              <w:pStyle w:val="TableParagraph"/>
              <w:ind w:right="294"/>
              <w:jc w:val="right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2.436.861</w:t>
            </w:r>
          </w:p>
        </w:tc>
        <w:tc>
          <w:tcPr>
            <w:tcW w:w="1400" w:type="dxa"/>
          </w:tcPr>
          <w:p>
            <w:pPr>
              <w:pStyle w:val="TableParagraph"/>
              <w:ind w:left="20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2.208.054</w:t>
            </w:r>
          </w:p>
        </w:tc>
        <w:tc>
          <w:tcPr>
            <w:tcW w:w="1371" w:type="dxa"/>
          </w:tcPr>
          <w:p>
            <w:pPr>
              <w:pStyle w:val="TableParagraph"/>
              <w:ind w:left="5" w:right="16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2.469.586</w:t>
            </w:r>
          </w:p>
        </w:tc>
        <w:tc>
          <w:tcPr>
            <w:tcW w:w="1125" w:type="dxa"/>
          </w:tcPr>
          <w:p>
            <w:pPr>
              <w:pStyle w:val="TableParagraph"/>
              <w:ind w:left="284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2.172.480</w:t>
            </w:r>
          </w:p>
        </w:tc>
      </w:tr>
      <w:tr>
        <w:trPr>
          <w:trHeight w:val="499" w:hRule="atLeast"/>
        </w:trPr>
        <w:tc>
          <w:tcPr>
            <w:tcW w:w="4524" w:type="dxa"/>
          </w:tcPr>
          <w:p>
            <w:pPr>
              <w:pStyle w:val="TableParagraph"/>
              <w:spacing w:before="137"/>
              <w:ind w:left="50"/>
              <w:rPr>
                <w:b w:val="0"/>
                <w:sz w:val="18"/>
              </w:rPr>
            </w:pPr>
            <w:r>
              <w:rPr>
                <w:b w:val="0"/>
                <w:color w:val="3333BC"/>
                <w:sz w:val="18"/>
              </w:rPr>
              <w:t>Carteira</w:t>
            </w:r>
            <w:r>
              <w:rPr>
                <w:b w:val="0"/>
                <w:color w:val="3333BC"/>
                <w:spacing w:val="-8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de</w:t>
            </w:r>
            <w:r>
              <w:rPr>
                <w:b w:val="0"/>
                <w:color w:val="3333BC"/>
                <w:spacing w:val="-6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Crédito</w:t>
            </w:r>
            <w:r>
              <w:rPr>
                <w:b w:val="0"/>
                <w:color w:val="3333BC"/>
                <w:spacing w:val="-7"/>
                <w:sz w:val="18"/>
              </w:rPr>
              <w:t> </w:t>
            </w:r>
            <w:r>
              <w:rPr>
                <w:b w:val="0"/>
                <w:color w:val="3333BC"/>
                <w:spacing w:val="-2"/>
                <w:sz w:val="18"/>
              </w:rPr>
              <w:t>Classificada</w:t>
            </w:r>
          </w:p>
        </w:tc>
        <w:tc>
          <w:tcPr>
            <w:tcW w:w="1523" w:type="dxa"/>
          </w:tcPr>
          <w:p>
            <w:pPr>
              <w:pStyle w:val="TableParagraph"/>
              <w:ind w:right="306"/>
              <w:jc w:val="right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1.033.901</w:t>
            </w:r>
          </w:p>
        </w:tc>
        <w:tc>
          <w:tcPr>
            <w:tcW w:w="1400" w:type="dxa"/>
          </w:tcPr>
          <w:p>
            <w:pPr>
              <w:pStyle w:val="TableParagraph"/>
              <w:ind w:left="20" w:right="5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964.925</w:t>
            </w:r>
          </w:p>
        </w:tc>
        <w:tc>
          <w:tcPr>
            <w:tcW w:w="1371" w:type="dxa"/>
          </w:tcPr>
          <w:p>
            <w:pPr>
              <w:pStyle w:val="TableParagraph"/>
              <w:ind w:right="16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1.050.006</w:t>
            </w:r>
          </w:p>
        </w:tc>
        <w:tc>
          <w:tcPr>
            <w:tcW w:w="1125" w:type="dxa"/>
          </w:tcPr>
          <w:p>
            <w:pPr>
              <w:pStyle w:val="TableParagraph"/>
              <w:ind w:left="349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975.349</w:t>
            </w:r>
          </w:p>
        </w:tc>
      </w:tr>
      <w:tr>
        <w:trPr>
          <w:trHeight w:val="499" w:hRule="atLeast"/>
        </w:trPr>
        <w:tc>
          <w:tcPr>
            <w:tcW w:w="4524" w:type="dxa"/>
          </w:tcPr>
          <w:p>
            <w:pPr>
              <w:pStyle w:val="TableParagraph"/>
              <w:spacing w:before="137"/>
              <w:ind w:left="50"/>
              <w:rPr>
                <w:b w:val="0"/>
                <w:sz w:val="18"/>
              </w:rPr>
            </w:pPr>
            <w:r>
              <w:rPr>
                <w:b w:val="0"/>
                <w:color w:val="3333BC"/>
                <w:sz w:val="18"/>
              </w:rPr>
              <w:t>Recursos</w:t>
            </w:r>
            <w:r>
              <w:rPr>
                <w:b w:val="0"/>
                <w:color w:val="3333BC"/>
                <w:spacing w:val="-6"/>
                <w:sz w:val="18"/>
              </w:rPr>
              <w:t> </w:t>
            </w:r>
            <w:r>
              <w:rPr>
                <w:b w:val="0"/>
                <w:color w:val="3333BC"/>
                <w:sz w:val="18"/>
              </w:rPr>
              <w:t>de</w:t>
            </w:r>
            <w:r>
              <w:rPr>
                <w:b w:val="0"/>
                <w:color w:val="3333BC"/>
                <w:spacing w:val="-6"/>
                <w:sz w:val="18"/>
              </w:rPr>
              <w:t> </w:t>
            </w:r>
            <w:r>
              <w:rPr>
                <w:b w:val="0"/>
                <w:color w:val="3333BC"/>
                <w:spacing w:val="-2"/>
                <w:sz w:val="18"/>
              </w:rPr>
              <w:t>Clientes</w:t>
            </w:r>
          </w:p>
        </w:tc>
        <w:tc>
          <w:tcPr>
            <w:tcW w:w="1523" w:type="dxa"/>
          </w:tcPr>
          <w:p>
            <w:pPr>
              <w:pStyle w:val="TableParagraph"/>
              <w:ind w:left="514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819.522</w:t>
            </w:r>
          </w:p>
        </w:tc>
        <w:tc>
          <w:tcPr>
            <w:tcW w:w="1400" w:type="dxa"/>
          </w:tcPr>
          <w:p>
            <w:pPr>
              <w:pStyle w:val="TableParagraph"/>
              <w:ind w:left="20" w:right="6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787.539</w:t>
            </w:r>
          </w:p>
        </w:tc>
        <w:tc>
          <w:tcPr>
            <w:tcW w:w="1371" w:type="dxa"/>
          </w:tcPr>
          <w:p>
            <w:pPr>
              <w:pStyle w:val="TableParagraph"/>
              <w:ind w:right="16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851.556</w:t>
            </w:r>
          </w:p>
        </w:tc>
        <w:tc>
          <w:tcPr>
            <w:tcW w:w="1125" w:type="dxa"/>
          </w:tcPr>
          <w:p>
            <w:pPr>
              <w:pStyle w:val="TableParagraph"/>
              <w:ind w:left="361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811.944</w:t>
            </w:r>
          </w:p>
        </w:tc>
      </w:tr>
      <w:tr>
        <w:trPr>
          <w:trHeight w:val="361" w:hRule="atLeast"/>
        </w:trPr>
        <w:tc>
          <w:tcPr>
            <w:tcW w:w="4524" w:type="dxa"/>
          </w:tcPr>
          <w:p>
            <w:pPr>
              <w:pStyle w:val="TableParagraph"/>
              <w:spacing w:line="202" w:lineRule="exact" w:before="139"/>
              <w:ind w:left="50"/>
              <w:rPr>
                <w:b w:val="0"/>
                <w:sz w:val="18"/>
              </w:rPr>
            </w:pPr>
            <w:r>
              <w:rPr>
                <w:b w:val="0"/>
                <w:color w:val="3333BC"/>
                <w:sz w:val="18"/>
              </w:rPr>
              <w:t>Patrimônio</w:t>
            </w:r>
            <w:r>
              <w:rPr>
                <w:b w:val="0"/>
                <w:color w:val="3333BC"/>
                <w:spacing w:val="-10"/>
                <w:sz w:val="18"/>
              </w:rPr>
              <w:t> </w:t>
            </w:r>
            <w:r>
              <w:rPr>
                <w:b w:val="0"/>
                <w:color w:val="3333BC"/>
                <w:spacing w:val="-2"/>
                <w:sz w:val="18"/>
              </w:rPr>
              <w:t>Líquido</w:t>
            </w:r>
          </w:p>
        </w:tc>
        <w:tc>
          <w:tcPr>
            <w:tcW w:w="1523" w:type="dxa"/>
          </w:tcPr>
          <w:p>
            <w:pPr>
              <w:pStyle w:val="TableParagraph"/>
              <w:spacing w:line="221" w:lineRule="exact"/>
              <w:ind w:left="531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177.681</w:t>
            </w:r>
          </w:p>
        </w:tc>
        <w:tc>
          <w:tcPr>
            <w:tcW w:w="1400" w:type="dxa"/>
          </w:tcPr>
          <w:p>
            <w:pPr>
              <w:pStyle w:val="TableParagraph"/>
              <w:spacing w:line="221" w:lineRule="exact"/>
              <w:ind w:left="20" w:right="4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163.638</w:t>
            </w:r>
          </w:p>
        </w:tc>
        <w:tc>
          <w:tcPr>
            <w:tcW w:w="1371" w:type="dxa"/>
          </w:tcPr>
          <w:p>
            <w:pPr>
              <w:pStyle w:val="TableParagraph"/>
              <w:spacing w:line="221" w:lineRule="exact"/>
              <w:ind w:left="5" w:right="16"/>
              <w:jc w:val="center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187.419</w:t>
            </w:r>
          </w:p>
        </w:tc>
        <w:tc>
          <w:tcPr>
            <w:tcW w:w="1125" w:type="dxa"/>
          </w:tcPr>
          <w:p>
            <w:pPr>
              <w:pStyle w:val="TableParagraph"/>
              <w:spacing w:line="221" w:lineRule="exact"/>
              <w:ind w:left="368"/>
              <w:rPr>
                <w:b w:val="0"/>
                <w:sz w:val="18"/>
              </w:rPr>
            </w:pPr>
            <w:r>
              <w:rPr>
                <w:b w:val="0"/>
                <w:color w:val="3333BC"/>
                <w:spacing w:val="-2"/>
                <w:sz w:val="18"/>
              </w:rPr>
              <w:t>173.076</w:t>
            </w:r>
          </w:p>
        </w:tc>
      </w:tr>
    </w:tbl>
    <w:p>
      <w:pPr>
        <w:spacing w:after="0" w:line="221" w:lineRule="exact"/>
        <w:rPr>
          <w:sz w:val="18"/>
        </w:rPr>
        <w:sectPr>
          <w:headerReference w:type="default" r:id="rId6"/>
          <w:footerReference w:type="default" r:id="rId7"/>
          <w:pgSz w:w="11910" w:h="16850"/>
          <w:pgMar w:header="152" w:footer="570" w:top="900" w:bottom="760" w:left="180" w:right="220"/>
          <w:pgNumType w:start="2"/>
        </w:sectPr>
      </w:pPr>
    </w:p>
    <w:p>
      <w:pPr>
        <w:pStyle w:val="Heading1"/>
        <w:spacing w:before="494"/>
      </w:pPr>
      <w:r>
        <w:rPr>
          <w:color w:val="465EFF"/>
          <w:spacing w:val="31"/>
        </w:rPr>
        <w:t>Acionistas</w:t>
      </w:r>
    </w:p>
    <w:p>
      <w:pPr>
        <w:pStyle w:val="BodyText"/>
        <w:spacing w:line="321" w:lineRule="auto" w:before="334"/>
        <w:ind w:left="672" w:right="623"/>
      </w:pPr>
      <w:r>
        <w:rPr>
          <w:color w:val="1B1B22"/>
        </w:rPr>
        <w:t>Contamos com uma base de 1,4 milhão de acionistas, sendo 98,9% de pessoas físicas.</w:t>
      </w:r>
      <w:r>
        <w:rPr>
          <w:color w:val="1B1B22"/>
          <w:spacing w:val="-1"/>
        </w:rPr>
        <w:t> </w:t>
      </w:r>
      <w:r>
        <w:rPr>
          <w:color w:val="1B1B22"/>
        </w:rPr>
        <w:t>Ao final de setembro, nossa</w:t>
      </w:r>
      <w:r>
        <w:rPr>
          <w:color w:val="1B1B22"/>
          <w:spacing w:val="-9"/>
        </w:rPr>
        <w:t> </w:t>
      </w:r>
      <w:r>
        <w:rPr>
          <w:color w:val="1B1B22"/>
        </w:rPr>
        <w:t>composição</w:t>
      </w:r>
      <w:r>
        <w:rPr>
          <w:color w:val="1B1B22"/>
          <w:spacing w:val="-5"/>
        </w:rPr>
        <w:t> </w:t>
      </w:r>
      <w:r>
        <w:rPr>
          <w:color w:val="1B1B22"/>
        </w:rPr>
        <w:t>acionária</w:t>
      </w:r>
      <w:r>
        <w:rPr>
          <w:color w:val="1B1B22"/>
          <w:spacing w:val="-9"/>
        </w:rPr>
        <w:t> </w:t>
      </w:r>
      <w:r>
        <w:rPr>
          <w:color w:val="1B1B22"/>
        </w:rPr>
        <w:t>estava</w:t>
      </w:r>
      <w:r>
        <w:rPr>
          <w:color w:val="1B1B22"/>
          <w:spacing w:val="-9"/>
        </w:rPr>
        <w:t> </w:t>
      </w:r>
      <w:r>
        <w:rPr>
          <w:color w:val="1B1B22"/>
        </w:rPr>
        <w:t>distribuída</w:t>
      </w:r>
      <w:r>
        <w:rPr>
          <w:color w:val="1B1B22"/>
          <w:spacing w:val="-9"/>
        </w:rPr>
        <w:t> </w:t>
      </w:r>
      <w:r>
        <w:rPr>
          <w:color w:val="1B1B22"/>
        </w:rPr>
        <w:t>entre</w:t>
      </w:r>
      <w:r>
        <w:rPr>
          <w:color w:val="1B1B22"/>
          <w:spacing w:val="-4"/>
        </w:rPr>
        <w:t> </w:t>
      </w:r>
      <w:r>
        <w:rPr>
          <w:color w:val="1B1B22"/>
        </w:rPr>
        <w:t>50%</w:t>
      </w:r>
      <w:r>
        <w:rPr>
          <w:color w:val="1B1B22"/>
          <w:spacing w:val="-8"/>
        </w:rPr>
        <w:t> </w:t>
      </w:r>
      <w:r>
        <w:rPr>
          <w:color w:val="1B1B22"/>
        </w:rPr>
        <w:t>de</w:t>
      </w:r>
      <w:r>
        <w:rPr>
          <w:color w:val="1B1B22"/>
          <w:spacing w:val="-8"/>
        </w:rPr>
        <w:t> </w:t>
      </w:r>
      <w:r>
        <w:rPr>
          <w:color w:val="1B1B22"/>
        </w:rPr>
        <w:t>ações</w:t>
      </w:r>
      <w:r>
        <w:rPr>
          <w:color w:val="1B1B22"/>
          <w:spacing w:val="-7"/>
        </w:rPr>
        <w:t> </w:t>
      </w:r>
      <w:r>
        <w:rPr>
          <w:color w:val="1B1B22"/>
        </w:rPr>
        <w:t>em</w:t>
      </w:r>
      <w:r>
        <w:rPr>
          <w:color w:val="1B1B22"/>
          <w:spacing w:val="-8"/>
        </w:rPr>
        <w:t> </w:t>
      </w:r>
      <w:r>
        <w:rPr>
          <w:color w:val="1B1B22"/>
        </w:rPr>
        <w:t>poder</w:t>
      </w:r>
      <w:r>
        <w:rPr>
          <w:color w:val="1B1B22"/>
          <w:spacing w:val="-8"/>
        </w:rPr>
        <w:t> </w:t>
      </w:r>
      <w:r>
        <w:rPr>
          <w:color w:val="1B1B22"/>
        </w:rPr>
        <w:t>da</w:t>
      </w:r>
      <w:r>
        <w:rPr>
          <w:color w:val="1B1B22"/>
          <w:spacing w:val="-9"/>
        </w:rPr>
        <w:t> </w:t>
      </w:r>
      <w:r>
        <w:rPr>
          <w:color w:val="1B1B22"/>
        </w:rPr>
        <w:t>União</w:t>
      </w:r>
      <w:r>
        <w:rPr>
          <w:color w:val="1B1B22"/>
          <w:spacing w:val="-8"/>
        </w:rPr>
        <w:t> </w:t>
      </w:r>
      <w:r>
        <w:rPr>
          <w:color w:val="1B1B22"/>
        </w:rPr>
        <w:t>Federal,</w:t>
      </w:r>
      <w:r>
        <w:rPr>
          <w:color w:val="1B1B22"/>
          <w:spacing w:val="-4"/>
        </w:rPr>
        <w:t> </w:t>
      </w:r>
      <w:r>
        <w:rPr>
          <w:color w:val="1B1B22"/>
        </w:rPr>
        <w:t>49,6%</w:t>
      </w:r>
      <w:r>
        <w:rPr>
          <w:color w:val="1B1B22"/>
          <w:spacing w:val="-8"/>
        </w:rPr>
        <w:t> </w:t>
      </w:r>
      <w:r>
        <w:rPr>
          <w:color w:val="1B1B22"/>
        </w:rPr>
        <w:t>em</w:t>
      </w:r>
      <w:r>
        <w:rPr>
          <w:color w:val="1B1B22"/>
          <w:spacing w:val="-8"/>
        </w:rPr>
        <w:t> </w:t>
      </w:r>
      <w:r>
        <w:rPr>
          <w:i/>
          <w:color w:val="1B1B22"/>
        </w:rPr>
        <w:t>free</w:t>
      </w:r>
      <w:r>
        <w:rPr>
          <w:i/>
          <w:color w:val="1B1B22"/>
        </w:rPr>
        <w:t> float </w:t>
      </w:r>
      <w:r>
        <w:rPr>
          <w:color w:val="1B1B22"/>
        </w:rPr>
        <w:t>e 0,4% em tesouraria. Os investidores locais detinham 76% das ações, e os estrangeiros 24%. Nossas ações</w:t>
      </w:r>
      <w:r>
        <w:rPr>
          <w:color w:val="1B1B22"/>
          <w:spacing w:val="-10"/>
        </w:rPr>
        <w:t> </w:t>
      </w:r>
      <w:r>
        <w:rPr>
          <w:color w:val="1B1B22"/>
        </w:rPr>
        <w:t>(BBAS3)</w:t>
      </w:r>
      <w:r>
        <w:rPr>
          <w:color w:val="1B1B22"/>
          <w:spacing w:val="-10"/>
        </w:rPr>
        <w:t> </w:t>
      </w:r>
      <w:r>
        <w:rPr>
          <w:color w:val="1B1B22"/>
        </w:rPr>
        <w:t>representaram</w:t>
      </w:r>
      <w:r>
        <w:rPr>
          <w:color w:val="1B1B22"/>
          <w:spacing w:val="-10"/>
        </w:rPr>
        <w:t> </w:t>
      </w:r>
      <w:r>
        <w:rPr>
          <w:color w:val="1B1B22"/>
        </w:rPr>
        <w:t>3,5%</w:t>
      </w:r>
      <w:r>
        <w:rPr>
          <w:color w:val="1B1B22"/>
          <w:spacing w:val="-11"/>
        </w:rPr>
        <w:t> </w:t>
      </w:r>
      <w:r>
        <w:rPr>
          <w:color w:val="1B1B22"/>
        </w:rPr>
        <w:t>do</w:t>
      </w:r>
      <w:r>
        <w:rPr>
          <w:color w:val="1B1B22"/>
          <w:spacing w:val="-11"/>
        </w:rPr>
        <w:t> </w:t>
      </w:r>
      <w:r>
        <w:rPr>
          <w:color w:val="1B1B22"/>
        </w:rPr>
        <w:t>Ibovespa</w:t>
      </w:r>
      <w:r>
        <w:rPr>
          <w:color w:val="1B1B22"/>
          <w:spacing w:val="-11"/>
        </w:rPr>
        <w:t> </w:t>
      </w:r>
      <w:r>
        <w:rPr>
          <w:color w:val="1B1B22"/>
        </w:rPr>
        <w:t>no</w:t>
      </w:r>
      <w:r>
        <w:rPr>
          <w:color w:val="1B1B22"/>
          <w:spacing w:val="-10"/>
        </w:rPr>
        <w:t> </w:t>
      </w:r>
      <w:r>
        <w:rPr>
          <w:color w:val="1B1B22"/>
        </w:rPr>
        <w:t>último</w:t>
      </w:r>
      <w:r>
        <w:rPr>
          <w:color w:val="1B1B22"/>
          <w:spacing w:val="-10"/>
        </w:rPr>
        <w:t> </w:t>
      </w:r>
      <w:r>
        <w:rPr>
          <w:color w:val="1B1B22"/>
        </w:rPr>
        <w:t>quadrimestre.</w:t>
      </w:r>
      <w:r>
        <w:rPr>
          <w:color w:val="1B1B22"/>
          <w:spacing w:val="-10"/>
        </w:rPr>
        <w:t> </w:t>
      </w:r>
      <w:r>
        <w:rPr>
          <w:color w:val="1B1B22"/>
        </w:rPr>
        <w:t>Nos</w:t>
      </w:r>
      <w:r>
        <w:rPr>
          <w:color w:val="1B1B22"/>
          <w:spacing w:val="-8"/>
        </w:rPr>
        <w:t> </w:t>
      </w:r>
      <w:r>
        <w:rPr>
          <w:color w:val="1B1B22"/>
        </w:rPr>
        <w:t>últimos</w:t>
      </w:r>
      <w:r>
        <w:rPr>
          <w:color w:val="1B1B22"/>
          <w:spacing w:val="-10"/>
        </w:rPr>
        <w:t> </w:t>
      </w:r>
      <w:r>
        <w:rPr>
          <w:color w:val="1B1B22"/>
        </w:rPr>
        <w:t>12</w:t>
      </w:r>
      <w:r>
        <w:rPr>
          <w:color w:val="1B1B22"/>
          <w:spacing w:val="-11"/>
        </w:rPr>
        <w:t> </w:t>
      </w:r>
      <w:r>
        <w:rPr>
          <w:color w:val="1B1B22"/>
        </w:rPr>
        <w:t>meses</w:t>
      </w:r>
      <w:r>
        <w:rPr>
          <w:color w:val="1B1B22"/>
          <w:spacing w:val="-10"/>
        </w:rPr>
        <w:t> </w:t>
      </w:r>
      <w:r>
        <w:rPr>
          <w:color w:val="1B1B22"/>
        </w:rPr>
        <w:t>(setembro/23 a setembro/24), as nossas ações se valorizaram 26,2%.</w:t>
      </w:r>
    </w:p>
    <w:p>
      <w:pPr>
        <w:pStyle w:val="BodyText"/>
        <w:spacing w:line="321" w:lineRule="auto" w:before="116"/>
        <w:ind w:left="672" w:right="629"/>
      </w:pPr>
      <w:r>
        <w:rPr>
          <w:color w:val="1B1B22"/>
        </w:rPr>
        <w:t>Foi aprovado pela Assembleia Geral Extraordinária, realizada em 02.02.2024, o desdobramento (“split”) de 100% das ações do BB (BBAS3), atribuindo-se, dessa forma, 01 (uma) nova ação para cada ação emitida. A data-base para a efetivação do split foi 15.04.2024.</w:t>
      </w:r>
    </w:p>
    <w:p>
      <w:pPr>
        <w:pStyle w:val="Heading2"/>
        <w:spacing w:before="111"/>
        <w:jc w:val="both"/>
        <w:rPr>
          <w:b w:val="0"/>
        </w:rPr>
      </w:pPr>
      <w:r>
        <w:rPr>
          <w:b w:val="0"/>
          <w:color w:val="465EFF"/>
          <w:spacing w:val="19"/>
        </w:rPr>
        <w:t>Remuneração</w:t>
      </w:r>
      <w:r>
        <w:rPr>
          <w:b w:val="0"/>
          <w:color w:val="465EFF"/>
          <w:spacing w:val="49"/>
        </w:rPr>
        <w:t> </w:t>
      </w:r>
      <w:r>
        <w:rPr>
          <w:b w:val="0"/>
          <w:color w:val="465EFF"/>
          <w:spacing w:val="14"/>
        </w:rPr>
        <w:t>aos</w:t>
      </w:r>
      <w:r>
        <w:rPr>
          <w:b w:val="0"/>
          <w:color w:val="465EFF"/>
          <w:spacing w:val="47"/>
        </w:rPr>
        <w:t> </w:t>
      </w:r>
      <w:r>
        <w:rPr>
          <w:b w:val="0"/>
          <w:color w:val="465EFF"/>
          <w:spacing w:val="17"/>
        </w:rPr>
        <w:t>Acionistas</w:t>
      </w:r>
    </w:p>
    <w:p>
      <w:pPr>
        <w:pStyle w:val="BodyText"/>
        <w:spacing w:line="321" w:lineRule="auto" w:before="171"/>
        <w:ind w:left="672" w:right="624"/>
      </w:pPr>
      <w:r>
        <w:rPr>
          <w:color w:val="1B1B22"/>
        </w:rPr>
        <w:t>Para</w:t>
      </w:r>
      <w:r>
        <w:rPr>
          <w:color w:val="1B1B22"/>
          <w:spacing w:val="-6"/>
        </w:rPr>
        <w:t> </w:t>
      </w:r>
      <w:r>
        <w:rPr>
          <w:color w:val="1B1B22"/>
        </w:rPr>
        <w:t>o</w:t>
      </w:r>
      <w:r>
        <w:rPr>
          <w:color w:val="1B1B22"/>
          <w:spacing w:val="-5"/>
        </w:rPr>
        <w:t> </w:t>
      </w:r>
      <w:r>
        <w:rPr>
          <w:color w:val="1B1B22"/>
        </w:rPr>
        <w:t>exercício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5"/>
        </w:rPr>
        <w:t> </w:t>
      </w:r>
      <w:r>
        <w:rPr>
          <w:color w:val="1B1B22"/>
        </w:rPr>
        <w:t>2024,</w:t>
      </w:r>
      <w:r>
        <w:rPr>
          <w:color w:val="1B1B22"/>
          <w:spacing w:val="-5"/>
        </w:rPr>
        <w:t> </w:t>
      </w:r>
      <w:r>
        <w:rPr>
          <w:color w:val="1B1B22"/>
        </w:rPr>
        <w:t>o</w:t>
      </w:r>
      <w:r>
        <w:rPr>
          <w:color w:val="1B1B22"/>
          <w:spacing w:val="-5"/>
        </w:rPr>
        <w:t> </w:t>
      </w:r>
      <w:r>
        <w:rPr>
          <w:color w:val="1B1B22"/>
        </w:rPr>
        <w:t>Conselho</w:t>
      </w:r>
      <w:r>
        <w:rPr>
          <w:color w:val="1B1B22"/>
          <w:spacing w:val="-5"/>
        </w:rPr>
        <w:t> </w:t>
      </w:r>
      <w:r>
        <w:rPr>
          <w:color w:val="1B1B22"/>
        </w:rPr>
        <w:t>de</w:t>
      </w:r>
      <w:r>
        <w:rPr>
          <w:color w:val="1B1B22"/>
          <w:spacing w:val="-9"/>
        </w:rPr>
        <w:t> </w:t>
      </w:r>
      <w:r>
        <w:rPr>
          <w:color w:val="1B1B22"/>
        </w:rPr>
        <w:t>Administração</w:t>
      </w:r>
      <w:r>
        <w:rPr>
          <w:color w:val="1B1B22"/>
          <w:spacing w:val="-5"/>
        </w:rPr>
        <w:t> </w:t>
      </w:r>
      <w:r>
        <w:rPr>
          <w:color w:val="1B1B22"/>
        </w:rPr>
        <w:t>do</w:t>
      </w:r>
      <w:r>
        <w:rPr>
          <w:color w:val="1B1B22"/>
          <w:spacing w:val="-2"/>
        </w:rPr>
        <w:t> </w:t>
      </w:r>
      <w:r>
        <w:rPr>
          <w:color w:val="1B1B22"/>
        </w:rPr>
        <w:t>Banco</w:t>
      </w:r>
      <w:r>
        <w:rPr>
          <w:color w:val="1B1B22"/>
          <w:spacing w:val="-5"/>
        </w:rPr>
        <w:t> </w:t>
      </w:r>
      <w:r>
        <w:rPr>
          <w:color w:val="1B1B22"/>
        </w:rPr>
        <w:t>do</w:t>
      </w:r>
      <w:r>
        <w:rPr>
          <w:color w:val="1B1B22"/>
          <w:spacing w:val="-5"/>
        </w:rPr>
        <w:t> </w:t>
      </w:r>
      <w:r>
        <w:rPr>
          <w:color w:val="1B1B22"/>
        </w:rPr>
        <w:t>Brasil</w:t>
      </w:r>
      <w:r>
        <w:rPr>
          <w:color w:val="1B1B22"/>
          <w:spacing w:val="-4"/>
        </w:rPr>
        <w:t> </w:t>
      </w:r>
      <w:r>
        <w:rPr>
          <w:color w:val="1B1B22"/>
        </w:rPr>
        <w:t>aprovou</w:t>
      </w:r>
      <w:r>
        <w:rPr>
          <w:color w:val="1B1B22"/>
          <w:spacing w:val="-5"/>
        </w:rPr>
        <w:t> </w:t>
      </w:r>
      <w:r>
        <w:rPr>
          <w:color w:val="1B1B22"/>
        </w:rPr>
        <w:t>a</w:t>
      </w:r>
      <w:r>
        <w:rPr>
          <w:color w:val="1B1B22"/>
          <w:spacing w:val="-5"/>
        </w:rPr>
        <w:t> </w:t>
      </w:r>
      <w:r>
        <w:rPr>
          <w:color w:val="1B1B22"/>
        </w:rPr>
        <w:t>proposta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5"/>
        </w:rPr>
        <w:t> </w:t>
      </w:r>
      <w:r>
        <w:rPr>
          <w:color w:val="1B1B22"/>
        </w:rPr>
        <w:t>elevação</w:t>
      </w:r>
      <w:r>
        <w:rPr>
          <w:color w:val="1B1B22"/>
          <w:spacing w:val="-5"/>
        </w:rPr>
        <w:t> </w:t>
      </w:r>
      <w:r>
        <w:rPr>
          <w:color w:val="1B1B22"/>
        </w:rPr>
        <w:t>da distribuição</w:t>
      </w:r>
      <w:r>
        <w:rPr>
          <w:color w:val="1B1B22"/>
          <w:spacing w:val="-9"/>
        </w:rPr>
        <w:t> </w:t>
      </w:r>
      <w:r>
        <w:rPr>
          <w:color w:val="1B1B22"/>
        </w:rPr>
        <w:t>de</w:t>
      </w:r>
      <w:r>
        <w:rPr>
          <w:color w:val="1B1B22"/>
          <w:spacing w:val="-9"/>
        </w:rPr>
        <w:t> </w:t>
      </w:r>
      <w:r>
        <w:rPr>
          <w:color w:val="1B1B22"/>
        </w:rPr>
        <w:t>seu</w:t>
      </w:r>
      <w:r>
        <w:rPr>
          <w:color w:val="1B1B22"/>
          <w:spacing w:val="-9"/>
        </w:rPr>
        <w:t> </w:t>
      </w:r>
      <w:r>
        <w:rPr>
          <w:color w:val="1B1B22"/>
        </w:rPr>
        <w:t>lucro,</w:t>
      </w:r>
      <w:r>
        <w:rPr>
          <w:color w:val="1B1B22"/>
          <w:spacing w:val="-9"/>
        </w:rPr>
        <w:t> </w:t>
      </w:r>
      <w:r>
        <w:rPr>
          <w:color w:val="1B1B22"/>
        </w:rPr>
        <w:t>de</w:t>
      </w:r>
      <w:r>
        <w:rPr>
          <w:color w:val="1B1B22"/>
          <w:spacing w:val="-9"/>
        </w:rPr>
        <w:t> </w:t>
      </w:r>
      <w:r>
        <w:rPr>
          <w:color w:val="1B1B22"/>
        </w:rPr>
        <w:t>40%</w:t>
      </w:r>
      <w:r>
        <w:rPr>
          <w:color w:val="1B1B22"/>
          <w:spacing w:val="-9"/>
        </w:rPr>
        <w:t> </w:t>
      </w:r>
      <w:r>
        <w:rPr>
          <w:color w:val="1B1B22"/>
        </w:rPr>
        <w:t>para</w:t>
      </w:r>
      <w:r>
        <w:rPr>
          <w:color w:val="1B1B22"/>
          <w:spacing w:val="-10"/>
        </w:rPr>
        <w:t> </w:t>
      </w:r>
      <w:r>
        <w:rPr>
          <w:color w:val="1B1B22"/>
        </w:rPr>
        <w:t>45%,</w:t>
      </w:r>
      <w:r>
        <w:rPr>
          <w:color w:val="1B1B22"/>
          <w:spacing w:val="-9"/>
        </w:rPr>
        <w:t> </w:t>
      </w:r>
      <w:r>
        <w:rPr>
          <w:color w:val="1B1B22"/>
        </w:rPr>
        <w:t>na</w:t>
      </w:r>
      <w:r>
        <w:rPr>
          <w:color w:val="1B1B22"/>
          <w:spacing w:val="-10"/>
        </w:rPr>
        <w:t> </w:t>
      </w:r>
      <w:r>
        <w:rPr>
          <w:color w:val="1B1B22"/>
        </w:rPr>
        <w:t>forma</w:t>
      </w:r>
      <w:r>
        <w:rPr>
          <w:color w:val="1B1B22"/>
          <w:spacing w:val="-10"/>
        </w:rPr>
        <w:t> </w:t>
      </w:r>
      <w:r>
        <w:rPr>
          <w:color w:val="1B1B22"/>
        </w:rPr>
        <w:t>de</w:t>
      </w:r>
      <w:r>
        <w:rPr>
          <w:color w:val="1B1B22"/>
          <w:spacing w:val="-9"/>
        </w:rPr>
        <w:t> </w:t>
      </w:r>
      <w:r>
        <w:rPr>
          <w:color w:val="1B1B22"/>
        </w:rPr>
        <w:t>dividendos</w:t>
      </w:r>
      <w:r>
        <w:rPr>
          <w:color w:val="1B1B22"/>
          <w:spacing w:val="-9"/>
        </w:rPr>
        <w:t> </w:t>
      </w:r>
      <w:r>
        <w:rPr>
          <w:color w:val="1B1B22"/>
        </w:rPr>
        <w:t>e/ou</w:t>
      </w:r>
      <w:r>
        <w:rPr>
          <w:color w:val="1B1B22"/>
          <w:spacing w:val="-9"/>
        </w:rPr>
        <w:t> </w:t>
      </w:r>
      <w:r>
        <w:rPr>
          <w:color w:val="1B1B22"/>
        </w:rPr>
        <w:t>Juros</w:t>
      </w:r>
      <w:r>
        <w:rPr>
          <w:color w:val="1B1B22"/>
          <w:spacing w:val="-9"/>
        </w:rPr>
        <w:t> </w:t>
      </w:r>
      <w:r>
        <w:rPr>
          <w:color w:val="1B1B22"/>
        </w:rPr>
        <w:t>sobre</w:t>
      </w:r>
      <w:r>
        <w:rPr>
          <w:color w:val="1B1B22"/>
          <w:spacing w:val="-9"/>
        </w:rPr>
        <w:t> </w:t>
      </w:r>
      <w:r>
        <w:rPr>
          <w:color w:val="1B1B22"/>
        </w:rPr>
        <w:t>Capital</w:t>
      </w:r>
      <w:r>
        <w:rPr>
          <w:color w:val="1B1B22"/>
          <w:spacing w:val="-9"/>
        </w:rPr>
        <w:t> </w:t>
      </w:r>
      <w:r>
        <w:rPr>
          <w:color w:val="1B1B22"/>
        </w:rPr>
        <w:t>Próprio</w:t>
      </w:r>
      <w:r>
        <w:rPr>
          <w:color w:val="1B1B22"/>
          <w:spacing w:val="-9"/>
        </w:rPr>
        <w:t> </w:t>
      </w:r>
      <w:r>
        <w:rPr>
          <w:color w:val="1B1B22"/>
        </w:rPr>
        <w:t>(JCP).</w:t>
      </w:r>
      <w:r>
        <w:rPr>
          <w:color w:val="1B1B22"/>
          <w:spacing w:val="-13"/>
        </w:rPr>
        <w:t> </w:t>
      </w:r>
      <w:r>
        <w:rPr>
          <w:color w:val="1B1B22"/>
        </w:rPr>
        <w:t>A decisão</w:t>
      </w:r>
      <w:r>
        <w:rPr>
          <w:color w:val="1B1B22"/>
          <w:spacing w:val="-13"/>
        </w:rPr>
        <w:t> </w:t>
      </w:r>
      <w:r>
        <w:rPr>
          <w:color w:val="1B1B22"/>
        </w:rPr>
        <w:t>foi</w:t>
      </w:r>
      <w:r>
        <w:rPr>
          <w:color w:val="1B1B22"/>
          <w:spacing w:val="-12"/>
        </w:rPr>
        <w:t> </w:t>
      </w:r>
      <w:r>
        <w:rPr>
          <w:color w:val="1B1B22"/>
        </w:rPr>
        <w:t>tomada</w:t>
      </w:r>
      <w:r>
        <w:rPr>
          <w:color w:val="1B1B22"/>
          <w:spacing w:val="-12"/>
        </w:rPr>
        <w:t> </w:t>
      </w:r>
      <w:r>
        <w:rPr>
          <w:color w:val="1B1B22"/>
        </w:rPr>
        <w:t>com</w:t>
      </w:r>
      <w:r>
        <w:rPr>
          <w:color w:val="1B1B22"/>
          <w:spacing w:val="-13"/>
        </w:rPr>
        <w:t> </w:t>
      </w:r>
      <w:r>
        <w:rPr>
          <w:color w:val="1B1B22"/>
        </w:rPr>
        <w:t>base</w:t>
      </w:r>
      <w:r>
        <w:rPr>
          <w:color w:val="1B1B22"/>
          <w:spacing w:val="-11"/>
        </w:rPr>
        <w:t> </w:t>
      </w:r>
      <w:r>
        <w:rPr>
          <w:color w:val="1B1B22"/>
        </w:rPr>
        <w:t>nos</w:t>
      </w:r>
      <w:r>
        <w:rPr>
          <w:color w:val="1B1B22"/>
          <w:spacing w:val="-11"/>
        </w:rPr>
        <w:t> </w:t>
      </w:r>
      <w:r>
        <w:rPr>
          <w:color w:val="1B1B22"/>
        </w:rPr>
        <w:t>balizadores</w:t>
      </w:r>
      <w:r>
        <w:rPr>
          <w:color w:val="1B1B22"/>
          <w:spacing w:val="-11"/>
        </w:rPr>
        <w:t> </w:t>
      </w:r>
      <w:r>
        <w:rPr>
          <w:color w:val="1B1B22"/>
        </w:rPr>
        <w:t>constantes</w:t>
      </w:r>
      <w:r>
        <w:rPr>
          <w:color w:val="1B1B22"/>
          <w:spacing w:val="-11"/>
        </w:rPr>
        <w:t> </w:t>
      </w:r>
      <w:r>
        <w:rPr>
          <w:color w:val="1B1B22"/>
        </w:rPr>
        <w:t>na</w:t>
      </w:r>
      <w:r>
        <w:rPr>
          <w:color w:val="1B1B22"/>
          <w:spacing w:val="-13"/>
        </w:rPr>
        <w:t> </w:t>
      </w:r>
      <w:r>
        <w:rPr>
          <w:color w:val="1B1B22"/>
        </w:rPr>
        <w:t>Política</w:t>
      </w:r>
      <w:r>
        <w:rPr>
          <w:color w:val="1B1B22"/>
          <w:spacing w:val="-10"/>
        </w:rPr>
        <w:t> </w:t>
      </w:r>
      <w:r>
        <w:rPr>
          <w:color w:val="1B1B22"/>
        </w:rPr>
        <w:t>Específica</w:t>
      </w:r>
      <w:r>
        <w:rPr>
          <w:color w:val="1B1B22"/>
          <w:spacing w:val="-13"/>
        </w:rPr>
        <w:t> </w:t>
      </w:r>
      <w:r>
        <w:rPr>
          <w:color w:val="1B1B22"/>
        </w:rPr>
        <w:t>de</w:t>
      </w:r>
      <w:r>
        <w:rPr>
          <w:color w:val="1B1B22"/>
          <w:spacing w:val="-11"/>
        </w:rPr>
        <w:t> </w:t>
      </w:r>
      <w:r>
        <w:rPr>
          <w:color w:val="1B1B22"/>
        </w:rPr>
        <w:t>Remuneração</w:t>
      </w:r>
      <w:r>
        <w:rPr>
          <w:color w:val="1B1B22"/>
          <w:spacing w:val="-12"/>
        </w:rPr>
        <w:t> </w:t>
      </w:r>
      <w:r>
        <w:rPr>
          <w:color w:val="1B1B22"/>
        </w:rPr>
        <w:t>aos</w:t>
      </w:r>
      <w:r>
        <w:rPr>
          <w:color w:val="1B1B22"/>
          <w:spacing w:val="-13"/>
        </w:rPr>
        <w:t> </w:t>
      </w:r>
      <w:r>
        <w:rPr>
          <w:color w:val="1B1B22"/>
        </w:rPr>
        <w:t>Acionistas, em especial, os resultados futuros do Banco, sua condição financeira e necessidade de caixa, a Declaração de Apetite e Tolerância a Riscos, suas metas e projeções de capital, perspectivas dos mercados de atuação presentes e potenciais, oportunidades de investimento existentes e a capacidade operacional. O total destinado aos acionistas no 9M24 foi de R$ 11,4 bilhões e o valor por ação foi de R$ 2,208.</w:t>
      </w:r>
    </w:p>
    <w:p>
      <w:pPr>
        <w:pStyle w:val="Heading1"/>
        <w:spacing w:before="89"/>
      </w:pPr>
      <w:r>
        <w:rPr>
          <w:color w:val="465EFF"/>
          <w:spacing w:val="32"/>
        </w:rPr>
        <w:t>Estratégia</w:t>
      </w:r>
      <w:r>
        <w:rPr>
          <w:color w:val="465EFF"/>
          <w:spacing w:val="58"/>
        </w:rPr>
        <w:t> </w:t>
      </w:r>
      <w:r>
        <w:rPr>
          <w:color w:val="465EFF"/>
          <w:spacing w:val="30"/>
        </w:rPr>
        <w:t>Corporativa</w:t>
      </w:r>
    </w:p>
    <w:p>
      <w:pPr>
        <w:pStyle w:val="BodyText"/>
        <w:spacing w:before="80"/>
        <w:jc w:val="left"/>
        <w:rPr>
          <w:rFonts w:ascii="BancoDoBrasil Titulos"/>
        </w:rPr>
      </w:pPr>
    </w:p>
    <w:p>
      <w:pPr>
        <w:pStyle w:val="BodyText"/>
        <w:spacing w:line="321" w:lineRule="auto"/>
        <w:ind w:left="6128" w:right="631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1712">
                <wp:simplePos x="0" y="0"/>
                <wp:positionH relativeFrom="page">
                  <wp:posOffset>302259</wp:posOffset>
                </wp:positionH>
                <wp:positionV relativeFrom="paragraph">
                  <wp:posOffset>-136093</wp:posOffset>
                </wp:positionV>
                <wp:extent cx="3597275" cy="4135754"/>
                <wp:effectExtent l="0" t="0" r="0" b="0"/>
                <wp:wrapNone/>
                <wp:docPr id="20" name="Textbox 20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0" name="Textbox 20"/>
                      <wps:cNvSpPr txBox="1"/>
                      <wps:spPr>
                        <a:xfrm>
                          <a:off x="0" y="0"/>
                          <a:ext cx="3597275" cy="4135754"/>
                        </a:xfrm>
                        <a:prstGeom prst="rect">
                          <a:avLst/>
                        </a:prstGeom>
                        <a:solidFill>
                          <a:srgbClr val="FFB7AB"/>
                        </a:solidFill>
                      </wps:spPr>
                      <wps:txbx>
                        <w:txbxContent>
                          <w:p>
                            <w:pPr>
                              <w:pStyle w:val="BodyText"/>
                              <w:spacing w:line="321" w:lineRule="auto" w:before="214"/>
                              <w:ind w:left="376" w:right="543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1B1B22"/>
                              </w:rPr>
                              <w:t>Nossa Estratégia Corporativa (ECBB) tem </w:t>
                            </w:r>
                            <w:r>
                              <w:rPr>
                                <w:color w:val="1B1B22"/>
                              </w:rPr>
                              <w:t>um horizonte temporal de cinco anos e é revisada a cada ano.</w:t>
                            </w:r>
                          </w:p>
                          <w:p>
                            <w:pPr>
                              <w:pStyle w:val="BodyText"/>
                              <w:spacing w:line="321" w:lineRule="auto" w:before="119"/>
                              <w:ind w:left="376" w:right="539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1B1B22"/>
                              </w:rPr>
                              <w:t>A ECBB 2024-2028, tem como objetivos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estratégicos:</w:t>
                            </w:r>
                            <w:r>
                              <w:rPr>
                                <w:color w:val="1B1B22"/>
                                <w:spacing w:val="-6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(a)</w:t>
                            </w:r>
                            <w:r>
                              <w:rPr>
                                <w:color w:val="1B1B22"/>
                                <w:spacing w:val="-6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proporcionar</w:t>
                            </w:r>
                            <w:r>
                              <w:rPr>
                                <w:color w:val="1B1B22"/>
                                <w:spacing w:val="-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a</w:t>
                            </w:r>
                            <w:r>
                              <w:rPr>
                                <w:color w:val="1B1B22"/>
                                <w:spacing w:val="-7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melhor</w:t>
                            </w:r>
                            <w:r>
                              <w:rPr>
                                <w:color w:val="1B1B22"/>
                                <w:spacing w:val="-4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experiência </w:t>
                            </w:r>
                            <w:r>
                              <w:rPr>
                                <w:color w:val="1B1B22"/>
                              </w:rPr>
                              <w:t>aos</w:t>
                            </w:r>
                            <w:r>
                              <w:rPr>
                                <w:color w:val="1B1B22"/>
                                <w:spacing w:val="-7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clientes</w:t>
                            </w:r>
                            <w:r>
                              <w:rPr>
                                <w:color w:val="1B1B22"/>
                                <w:spacing w:val="-7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em</w:t>
                            </w:r>
                            <w:r>
                              <w:rPr>
                                <w:color w:val="1B1B22"/>
                                <w:spacing w:val="-8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todos</w:t>
                            </w:r>
                            <w:r>
                              <w:rPr>
                                <w:color w:val="1B1B22"/>
                                <w:spacing w:val="-7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os</w:t>
                            </w:r>
                            <w:r>
                              <w:rPr>
                                <w:color w:val="1B1B22"/>
                                <w:spacing w:val="-8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momentos;</w:t>
                            </w:r>
                            <w:r>
                              <w:rPr>
                                <w:color w:val="1B1B22"/>
                                <w:spacing w:val="-7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(b)</w:t>
                            </w:r>
                            <w:r>
                              <w:rPr>
                                <w:color w:val="1B1B22"/>
                                <w:spacing w:val="-7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criar</w:t>
                            </w:r>
                            <w:r>
                              <w:rPr>
                                <w:color w:val="1B1B22"/>
                                <w:spacing w:val="-7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valor </w:t>
                            </w:r>
                            <w:r>
                              <w:rPr>
                                <w:color w:val="1B1B22"/>
                                <w:spacing w:val="-4"/>
                              </w:rPr>
                              <w:t>e gerar resultados sustentáveis; (c) ser protagonista </w:t>
                            </w:r>
                            <w:r>
                              <w:rPr>
                                <w:color w:val="1B1B22"/>
                              </w:rPr>
                              <w:t>em sustentabilidade e na promoção de negócios e práticas ASG; (d) evoluir nosso jeito de trabalhar para</w:t>
                            </w:r>
                            <w:r>
                              <w:rPr>
                                <w:color w:val="1B1B22"/>
                                <w:spacing w:val="-1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acelerar</w:t>
                            </w:r>
                            <w:r>
                              <w:rPr>
                                <w:color w:val="1B1B22"/>
                                <w:spacing w:val="-1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a</w:t>
                            </w:r>
                            <w:r>
                              <w:rPr>
                                <w:color w:val="1B1B22"/>
                                <w:spacing w:val="-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transformação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digital</w:t>
                            </w:r>
                            <w:r>
                              <w:rPr>
                                <w:color w:val="1B1B22"/>
                                <w:spacing w:val="-1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e</w:t>
                            </w:r>
                            <w:r>
                              <w:rPr>
                                <w:color w:val="1B1B22"/>
                                <w:spacing w:val="-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a</w:t>
                            </w:r>
                            <w:r>
                              <w:rPr>
                                <w:color w:val="1B1B22"/>
                                <w:spacing w:val="-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inovação; e</w:t>
                            </w:r>
                            <w:r>
                              <w:rPr>
                                <w:color w:val="1B1B22"/>
                                <w:spacing w:val="-1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(e)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ter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as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pessoas</w:t>
                            </w:r>
                            <w:r>
                              <w:rPr>
                                <w:color w:val="1B1B22"/>
                                <w:spacing w:val="-11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engajadas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com</w:t>
                            </w:r>
                            <w:r>
                              <w:rPr>
                                <w:color w:val="1B1B22"/>
                                <w:spacing w:val="-1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os</w:t>
                            </w:r>
                            <w:r>
                              <w:rPr>
                                <w:color w:val="1B1B22"/>
                                <w:spacing w:val="-11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valores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do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BB e promotoras da colaboração, respeito e inclusão.</w:t>
                            </w:r>
                          </w:p>
                          <w:p>
                            <w:pPr>
                              <w:pStyle w:val="BodyText"/>
                              <w:spacing w:line="321" w:lineRule="auto" w:before="113"/>
                              <w:ind w:left="376" w:right="540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1B1B22"/>
                                <w:spacing w:val="-2"/>
                              </w:rPr>
                              <w:t>Temos</w:t>
                            </w:r>
                            <w:r>
                              <w:rPr>
                                <w:color w:val="1B1B22"/>
                                <w:spacing w:val="-9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como</w:t>
                            </w:r>
                            <w:r>
                              <w:rPr>
                                <w:color w:val="1B1B22"/>
                                <w:spacing w:val="-9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propósito</w:t>
                            </w:r>
                            <w:r>
                              <w:rPr>
                                <w:color w:val="1B1B22"/>
                                <w:spacing w:val="-9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“Ser</w:t>
                            </w:r>
                            <w:r>
                              <w:rPr>
                                <w:color w:val="1B1B22"/>
                                <w:spacing w:val="-9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próximo</w:t>
                            </w:r>
                            <w:r>
                              <w:rPr>
                                <w:color w:val="1B1B22"/>
                                <w:spacing w:val="-9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e</w:t>
                            </w:r>
                            <w:r>
                              <w:rPr>
                                <w:color w:val="1B1B22"/>
                                <w:spacing w:val="-9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relevante</w:t>
                            </w:r>
                            <w:r>
                              <w:rPr>
                                <w:color w:val="1B1B22"/>
                                <w:spacing w:val="-9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na </w:t>
                            </w:r>
                            <w:r>
                              <w:rPr>
                                <w:color w:val="1B1B22"/>
                              </w:rPr>
                              <w:t>vida das pessoas em todos os momentos”.</w:t>
                            </w:r>
                          </w:p>
                          <w:p>
                            <w:pPr>
                              <w:pStyle w:val="BodyText"/>
                              <w:spacing w:line="321" w:lineRule="auto" w:before="119"/>
                              <w:ind w:left="376" w:right="544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1B1B22"/>
                              </w:rPr>
                              <w:t>Alinhados ao nosso propósito e reforçando a identidade organizacional da Empresa,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aprimoramos nossos valores</w:t>
                            </w:r>
                            <w:r>
                              <w:rPr>
                                <w:color w:val="1B1B22"/>
                                <w:spacing w:val="-1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para</w:t>
                            </w:r>
                            <w:r>
                              <w:rPr>
                                <w:color w:val="1B1B22"/>
                                <w:spacing w:val="-4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deixar</w:t>
                            </w:r>
                            <w:r>
                              <w:rPr>
                                <w:color w:val="1B1B22"/>
                                <w:spacing w:val="-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ainda</w:t>
                            </w:r>
                            <w:r>
                              <w:rPr>
                                <w:color w:val="1B1B22"/>
                                <w:spacing w:val="-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4"/>
                              </w:rPr>
                              <w:t>mais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23.799999pt;margin-top:-10.716pt;width:283.25pt;height:325.650pt;mso-position-horizontal-relative:page;mso-position-vertical-relative:paragraph;z-index:15731712" type="#_x0000_t202" id="docshape20" filled="true" fillcolor="#ffb7ab" stroked="false">
                <v:textbox inset="0,0,0,0">
                  <w:txbxContent>
                    <w:p>
                      <w:pPr>
                        <w:pStyle w:val="BodyText"/>
                        <w:spacing w:line="321" w:lineRule="auto" w:before="214"/>
                        <w:ind w:left="376" w:right="543"/>
                        <w:rPr>
                          <w:color w:val="000000"/>
                        </w:rPr>
                      </w:pPr>
                      <w:r>
                        <w:rPr>
                          <w:color w:val="1B1B22"/>
                        </w:rPr>
                        <w:t>Nossa Estratégia Corporativa (ECBB) tem </w:t>
                      </w:r>
                      <w:r>
                        <w:rPr>
                          <w:color w:val="1B1B22"/>
                        </w:rPr>
                        <w:t>um horizonte temporal de cinco anos e é revisada a cada ano.</w:t>
                      </w:r>
                    </w:p>
                    <w:p>
                      <w:pPr>
                        <w:pStyle w:val="BodyText"/>
                        <w:spacing w:line="321" w:lineRule="auto" w:before="119"/>
                        <w:ind w:left="376" w:right="539"/>
                        <w:rPr>
                          <w:color w:val="000000"/>
                        </w:rPr>
                      </w:pPr>
                      <w:r>
                        <w:rPr>
                          <w:color w:val="1B1B22"/>
                        </w:rPr>
                        <w:t>A ECBB 2024-2028, tem como objetivos </w:t>
                      </w:r>
                      <w:r>
                        <w:rPr>
                          <w:color w:val="1B1B22"/>
                          <w:spacing w:val="-2"/>
                        </w:rPr>
                        <w:t>estratégicos:</w:t>
                      </w:r>
                      <w:r>
                        <w:rPr>
                          <w:color w:val="1B1B22"/>
                          <w:spacing w:val="-6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(a)</w:t>
                      </w:r>
                      <w:r>
                        <w:rPr>
                          <w:color w:val="1B1B22"/>
                          <w:spacing w:val="-6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proporcionar</w:t>
                      </w:r>
                      <w:r>
                        <w:rPr>
                          <w:color w:val="1B1B22"/>
                          <w:spacing w:val="-3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a</w:t>
                      </w:r>
                      <w:r>
                        <w:rPr>
                          <w:color w:val="1B1B22"/>
                          <w:spacing w:val="-7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melhor</w:t>
                      </w:r>
                      <w:r>
                        <w:rPr>
                          <w:color w:val="1B1B22"/>
                          <w:spacing w:val="-4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experiência </w:t>
                      </w:r>
                      <w:r>
                        <w:rPr>
                          <w:color w:val="1B1B22"/>
                        </w:rPr>
                        <w:t>aos</w:t>
                      </w:r>
                      <w:r>
                        <w:rPr>
                          <w:color w:val="1B1B22"/>
                          <w:spacing w:val="-7"/>
                        </w:rPr>
                        <w:t> </w:t>
                      </w:r>
                      <w:r>
                        <w:rPr>
                          <w:color w:val="1B1B22"/>
                        </w:rPr>
                        <w:t>clientes</w:t>
                      </w:r>
                      <w:r>
                        <w:rPr>
                          <w:color w:val="1B1B22"/>
                          <w:spacing w:val="-7"/>
                        </w:rPr>
                        <w:t> </w:t>
                      </w:r>
                      <w:r>
                        <w:rPr>
                          <w:color w:val="1B1B22"/>
                        </w:rPr>
                        <w:t>em</w:t>
                      </w:r>
                      <w:r>
                        <w:rPr>
                          <w:color w:val="1B1B22"/>
                          <w:spacing w:val="-8"/>
                        </w:rPr>
                        <w:t> </w:t>
                      </w:r>
                      <w:r>
                        <w:rPr>
                          <w:color w:val="1B1B22"/>
                        </w:rPr>
                        <w:t>todos</w:t>
                      </w:r>
                      <w:r>
                        <w:rPr>
                          <w:color w:val="1B1B22"/>
                          <w:spacing w:val="-7"/>
                        </w:rPr>
                        <w:t> </w:t>
                      </w:r>
                      <w:r>
                        <w:rPr>
                          <w:color w:val="1B1B22"/>
                        </w:rPr>
                        <w:t>os</w:t>
                      </w:r>
                      <w:r>
                        <w:rPr>
                          <w:color w:val="1B1B22"/>
                          <w:spacing w:val="-8"/>
                        </w:rPr>
                        <w:t> </w:t>
                      </w:r>
                      <w:r>
                        <w:rPr>
                          <w:color w:val="1B1B22"/>
                        </w:rPr>
                        <w:t>momentos;</w:t>
                      </w:r>
                      <w:r>
                        <w:rPr>
                          <w:color w:val="1B1B22"/>
                          <w:spacing w:val="-7"/>
                        </w:rPr>
                        <w:t> </w:t>
                      </w:r>
                      <w:r>
                        <w:rPr>
                          <w:color w:val="1B1B22"/>
                        </w:rPr>
                        <w:t>(b)</w:t>
                      </w:r>
                      <w:r>
                        <w:rPr>
                          <w:color w:val="1B1B22"/>
                          <w:spacing w:val="-7"/>
                        </w:rPr>
                        <w:t> </w:t>
                      </w:r>
                      <w:r>
                        <w:rPr>
                          <w:color w:val="1B1B22"/>
                        </w:rPr>
                        <w:t>criar</w:t>
                      </w:r>
                      <w:r>
                        <w:rPr>
                          <w:color w:val="1B1B22"/>
                          <w:spacing w:val="-7"/>
                        </w:rPr>
                        <w:t> </w:t>
                      </w:r>
                      <w:r>
                        <w:rPr>
                          <w:color w:val="1B1B22"/>
                        </w:rPr>
                        <w:t>valor </w:t>
                      </w:r>
                      <w:r>
                        <w:rPr>
                          <w:color w:val="1B1B22"/>
                          <w:spacing w:val="-4"/>
                        </w:rPr>
                        <w:t>e gerar resultados sustentáveis; (c) ser protagonista </w:t>
                      </w:r>
                      <w:r>
                        <w:rPr>
                          <w:color w:val="1B1B22"/>
                        </w:rPr>
                        <w:t>em sustentabilidade e na promoção de negócios e práticas ASG; (d) evoluir nosso jeito de trabalhar para</w:t>
                      </w:r>
                      <w:r>
                        <w:rPr>
                          <w:color w:val="1B1B22"/>
                          <w:spacing w:val="-1"/>
                        </w:rPr>
                        <w:t> </w:t>
                      </w:r>
                      <w:r>
                        <w:rPr>
                          <w:color w:val="1B1B22"/>
                        </w:rPr>
                        <w:t>acelerar</w:t>
                      </w:r>
                      <w:r>
                        <w:rPr>
                          <w:color w:val="1B1B22"/>
                          <w:spacing w:val="-1"/>
                        </w:rPr>
                        <w:t> </w:t>
                      </w:r>
                      <w:r>
                        <w:rPr>
                          <w:color w:val="1B1B22"/>
                        </w:rPr>
                        <w:t>a</w:t>
                      </w:r>
                      <w:r>
                        <w:rPr>
                          <w:color w:val="1B1B22"/>
                          <w:spacing w:val="-3"/>
                        </w:rPr>
                        <w:t> </w:t>
                      </w:r>
                      <w:r>
                        <w:rPr>
                          <w:color w:val="1B1B22"/>
                        </w:rPr>
                        <w:t>transformação</w:t>
                      </w:r>
                      <w:r>
                        <w:rPr>
                          <w:color w:val="1B1B22"/>
                          <w:spacing w:val="-2"/>
                        </w:rPr>
                        <w:t> </w:t>
                      </w:r>
                      <w:r>
                        <w:rPr>
                          <w:color w:val="1B1B22"/>
                        </w:rPr>
                        <w:t>digital</w:t>
                      </w:r>
                      <w:r>
                        <w:rPr>
                          <w:color w:val="1B1B22"/>
                          <w:spacing w:val="-1"/>
                        </w:rPr>
                        <w:t> </w:t>
                      </w:r>
                      <w:r>
                        <w:rPr>
                          <w:color w:val="1B1B22"/>
                        </w:rPr>
                        <w:t>e</w:t>
                      </w:r>
                      <w:r>
                        <w:rPr>
                          <w:color w:val="1B1B22"/>
                          <w:spacing w:val="-3"/>
                        </w:rPr>
                        <w:t> </w:t>
                      </w:r>
                      <w:r>
                        <w:rPr>
                          <w:color w:val="1B1B22"/>
                        </w:rPr>
                        <w:t>a</w:t>
                      </w:r>
                      <w:r>
                        <w:rPr>
                          <w:color w:val="1B1B22"/>
                          <w:spacing w:val="-3"/>
                        </w:rPr>
                        <w:t> </w:t>
                      </w:r>
                      <w:r>
                        <w:rPr>
                          <w:color w:val="1B1B22"/>
                        </w:rPr>
                        <w:t>inovação; e</w:t>
                      </w:r>
                      <w:r>
                        <w:rPr>
                          <w:color w:val="1B1B22"/>
                          <w:spacing w:val="-13"/>
                        </w:rPr>
                        <w:t> </w:t>
                      </w:r>
                      <w:r>
                        <w:rPr>
                          <w:color w:val="1B1B22"/>
                        </w:rPr>
                        <w:t>(e)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ter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as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pessoas</w:t>
                      </w:r>
                      <w:r>
                        <w:rPr>
                          <w:color w:val="1B1B22"/>
                          <w:spacing w:val="-11"/>
                        </w:rPr>
                        <w:t> </w:t>
                      </w:r>
                      <w:r>
                        <w:rPr>
                          <w:color w:val="1B1B22"/>
                        </w:rPr>
                        <w:t>engajadas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com</w:t>
                      </w:r>
                      <w:r>
                        <w:rPr>
                          <w:color w:val="1B1B22"/>
                          <w:spacing w:val="-13"/>
                        </w:rPr>
                        <w:t> </w:t>
                      </w:r>
                      <w:r>
                        <w:rPr>
                          <w:color w:val="1B1B22"/>
                        </w:rPr>
                        <w:t>os</w:t>
                      </w:r>
                      <w:r>
                        <w:rPr>
                          <w:color w:val="1B1B22"/>
                          <w:spacing w:val="-11"/>
                        </w:rPr>
                        <w:t> </w:t>
                      </w:r>
                      <w:r>
                        <w:rPr>
                          <w:color w:val="1B1B22"/>
                        </w:rPr>
                        <w:t>valores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do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BB e promotoras da colaboração, respeito e inclusão.</w:t>
                      </w:r>
                    </w:p>
                    <w:p>
                      <w:pPr>
                        <w:pStyle w:val="BodyText"/>
                        <w:spacing w:line="321" w:lineRule="auto" w:before="113"/>
                        <w:ind w:left="376" w:right="540"/>
                        <w:rPr>
                          <w:color w:val="000000"/>
                        </w:rPr>
                      </w:pPr>
                      <w:r>
                        <w:rPr>
                          <w:color w:val="1B1B22"/>
                          <w:spacing w:val="-2"/>
                        </w:rPr>
                        <w:t>Temos</w:t>
                      </w:r>
                      <w:r>
                        <w:rPr>
                          <w:color w:val="1B1B22"/>
                          <w:spacing w:val="-9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como</w:t>
                      </w:r>
                      <w:r>
                        <w:rPr>
                          <w:color w:val="1B1B22"/>
                          <w:spacing w:val="-9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propósito</w:t>
                      </w:r>
                      <w:r>
                        <w:rPr>
                          <w:color w:val="1B1B22"/>
                          <w:spacing w:val="-9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“Ser</w:t>
                      </w:r>
                      <w:r>
                        <w:rPr>
                          <w:color w:val="1B1B22"/>
                          <w:spacing w:val="-9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próximo</w:t>
                      </w:r>
                      <w:r>
                        <w:rPr>
                          <w:color w:val="1B1B22"/>
                          <w:spacing w:val="-9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e</w:t>
                      </w:r>
                      <w:r>
                        <w:rPr>
                          <w:color w:val="1B1B22"/>
                          <w:spacing w:val="-9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relevante</w:t>
                      </w:r>
                      <w:r>
                        <w:rPr>
                          <w:color w:val="1B1B22"/>
                          <w:spacing w:val="-9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na </w:t>
                      </w:r>
                      <w:r>
                        <w:rPr>
                          <w:color w:val="1B1B22"/>
                        </w:rPr>
                        <w:t>vida das pessoas em todos os momentos”.</w:t>
                      </w:r>
                    </w:p>
                    <w:p>
                      <w:pPr>
                        <w:pStyle w:val="BodyText"/>
                        <w:spacing w:line="321" w:lineRule="auto" w:before="119"/>
                        <w:ind w:left="376" w:right="544"/>
                        <w:rPr>
                          <w:color w:val="000000"/>
                        </w:rPr>
                      </w:pPr>
                      <w:r>
                        <w:rPr>
                          <w:color w:val="1B1B22"/>
                        </w:rPr>
                        <w:t>Alinhados ao nosso propósito e reforçando a identidade organizacional da Empresa, </w:t>
                      </w:r>
                      <w:r>
                        <w:rPr>
                          <w:color w:val="1B1B22"/>
                          <w:spacing w:val="-2"/>
                        </w:rPr>
                        <w:t>aprimoramos nossos valores</w:t>
                      </w:r>
                      <w:r>
                        <w:rPr>
                          <w:color w:val="1B1B22"/>
                          <w:spacing w:val="-1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para</w:t>
                      </w:r>
                      <w:r>
                        <w:rPr>
                          <w:color w:val="1B1B22"/>
                          <w:spacing w:val="-4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deixar</w:t>
                      </w:r>
                      <w:r>
                        <w:rPr>
                          <w:color w:val="1B1B22"/>
                          <w:spacing w:val="-3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ainda</w:t>
                      </w:r>
                      <w:r>
                        <w:rPr>
                          <w:color w:val="1B1B22"/>
                          <w:spacing w:val="-3"/>
                        </w:rPr>
                        <w:t> </w:t>
                      </w:r>
                      <w:r>
                        <w:rPr>
                          <w:color w:val="1B1B22"/>
                          <w:spacing w:val="-4"/>
                        </w:rPr>
                        <w:t>mais</w:t>
                      </w:r>
                    </w:p>
                  </w:txbxContent>
                </v:textbox>
                <v:fill type="solid"/>
                <w10:wrap type="none"/>
              </v:shape>
            </w:pict>
          </mc:Fallback>
        </mc:AlternateContent>
      </w:r>
      <w:r>
        <w:rPr>
          <w:color w:val="1B1B22"/>
        </w:rPr>
        <w:t>claros</w:t>
      </w:r>
      <w:r>
        <w:rPr>
          <w:color w:val="1B1B22"/>
          <w:spacing w:val="-8"/>
        </w:rPr>
        <w:t> </w:t>
      </w:r>
      <w:r>
        <w:rPr>
          <w:color w:val="1B1B22"/>
        </w:rPr>
        <w:t>os</w:t>
      </w:r>
      <w:r>
        <w:rPr>
          <w:color w:val="1B1B22"/>
          <w:spacing w:val="-8"/>
        </w:rPr>
        <w:t> </w:t>
      </w:r>
      <w:r>
        <w:rPr>
          <w:color w:val="1B1B22"/>
        </w:rPr>
        <w:t>princípios</w:t>
      </w:r>
      <w:r>
        <w:rPr>
          <w:color w:val="1B1B22"/>
          <w:spacing w:val="-8"/>
        </w:rPr>
        <w:t> </w:t>
      </w:r>
      <w:r>
        <w:rPr>
          <w:color w:val="1B1B22"/>
        </w:rPr>
        <w:t>que</w:t>
      </w:r>
      <w:r>
        <w:rPr>
          <w:color w:val="1B1B22"/>
          <w:spacing w:val="-9"/>
        </w:rPr>
        <w:t> </w:t>
      </w:r>
      <w:r>
        <w:rPr>
          <w:color w:val="1B1B22"/>
        </w:rPr>
        <w:t>orientam</w:t>
      </w:r>
      <w:r>
        <w:rPr>
          <w:color w:val="1B1B22"/>
          <w:spacing w:val="-9"/>
        </w:rPr>
        <w:t> </w:t>
      </w:r>
      <w:r>
        <w:rPr>
          <w:color w:val="1B1B22"/>
        </w:rPr>
        <w:t>a</w:t>
      </w:r>
      <w:r>
        <w:rPr>
          <w:color w:val="1B1B22"/>
          <w:spacing w:val="-10"/>
        </w:rPr>
        <w:t> </w:t>
      </w:r>
      <w:r>
        <w:rPr>
          <w:color w:val="1B1B22"/>
        </w:rPr>
        <w:t>nossa</w:t>
      </w:r>
      <w:r>
        <w:rPr>
          <w:color w:val="1B1B22"/>
          <w:spacing w:val="-10"/>
        </w:rPr>
        <w:t> </w:t>
      </w:r>
      <w:r>
        <w:rPr>
          <w:color w:val="1B1B22"/>
        </w:rPr>
        <w:t>atuação</w:t>
      </w:r>
      <w:r>
        <w:rPr>
          <w:color w:val="1B1B22"/>
          <w:spacing w:val="-9"/>
        </w:rPr>
        <w:t> </w:t>
      </w:r>
      <w:r>
        <w:rPr>
          <w:color w:val="1B1B22"/>
        </w:rPr>
        <w:t>e inspiram</w:t>
      </w:r>
      <w:r>
        <w:rPr>
          <w:color w:val="1B1B22"/>
          <w:spacing w:val="-3"/>
        </w:rPr>
        <w:t> </w:t>
      </w:r>
      <w:r>
        <w:rPr>
          <w:color w:val="1B1B22"/>
        </w:rPr>
        <w:t>as</w:t>
      </w:r>
      <w:r>
        <w:rPr>
          <w:color w:val="1B1B22"/>
          <w:spacing w:val="-3"/>
        </w:rPr>
        <w:t> </w:t>
      </w:r>
      <w:r>
        <w:rPr>
          <w:color w:val="1B1B22"/>
        </w:rPr>
        <w:t>entregas</w:t>
      </w:r>
      <w:r>
        <w:rPr>
          <w:color w:val="1B1B22"/>
          <w:spacing w:val="-3"/>
        </w:rPr>
        <w:t> </w:t>
      </w:r>
      <w:r>
        <w:rPr>
          <w:color w:val="1B1B22"/>
        </w:rPr>
        <w:t>do</w:t>
      </w:r>
      <w:r>
        <w:rPr>
          <w:color w:val="1B1B22"/>
          <w:spacing w:val="-3"/>
        </w:rPr>
        <w:t> </w:t>
      </w:r>
      <w:r>
        <w:rPr>
          <w:color w:val="1B1B22"/>
        </w:rPr>
        <w:t>nosso</w:t>
      </w:r>
      <w:r>
        <w:rPr>
          <w:color w:val="1B1B22"/>
          <w:spacing w:val="-3"/>
        </w:rPr>
        <w:t> </w:t>
      </w:r>
      <w:r>
        <w:rPr>
          <w:color w:val="1B1B22"/>
        </w:rPr>
        <w:t>time,</w:t>
      </w:r>
      <w:r>
        <w:rPr>
          <w:color w:val="1B1B22"/>
          <w:spacing w:val="-3"/>
        </w:rPr>
        <w:t> </w:t>
      </w:r>
      <w:r>
        <w:rPr>
          <w:color w:val="1B1B22"/>
        </w:rPr>
        <w:t>com</w:t>
      </w:r>
      <w:r>
        <w:rPr>
          <w:color w:val="1B1B22"/>
          <w:spacing w:val="-3"/>
        </w:rPr>
        <w:t> </w:t>
      </w:r>
      <w:r>
        <w:rPr>
          <w:color w:val="1B1B22"/>
        </w:rPr>
        <w:t>destaque para a diversidade. Assim, nossos valores são: Proximidade, Inovação, Integridade, Eficiência, Compromisso com a Sociedade e Diversidade.</w:t>
      </w:r>
    </w:p>
    <w:p>
      <w:pPr>
        <w:pStyle w:val="BodyText"/>
        <w:spacing w:line="321" w:lineRule="auto" w:before="116"/>
        <w:ind w:left="6128" w:right="629"/>
      </w:pPr>
      <w:r>
        <w:rPr>
          <w:color w:val="1B1B22"/>
        </w:rPr>
        <w:t>Em</w:t>
      </w:r>
      <w:r>
        <w:rPr>
          <w:color w:val="1B1B22"/>
          <w:spacing w:val="-1"/>
        </w:rPr>
        <w:t> </w:t>
      </w:r>
      <w:r>
        <w:rPr>
          <w:color w:val="1B1B22"/>
        </w:rPr>
        <w:t>desdobramento à</w:t>
      </w:r>
      <w:r>
        <w:rPr>
          <w:color w:val="1B1B22"/>
          <w:spacing w:val="-1"/>
        </w:rPr>
        <w:t> </w:t>
      </w:r>
      <w:r>
        <w:rPr>
          <w:color w:val="1B1B22"/>
        </w:rPr>
        <w:t>ECBB, foram priorizadas, em fevereiro de 2024, iniciativas distribuídas em nove grandes frentes, denominadas Movimentos Estratégicos, que, além de acelerar o atingimento dos objetivos, diferenciam o BB em relação ao mercado para alcançar sucesso no longo prazo.</w:t>
      </w:r>
    </w:p>
    <w:p>
      <w:pPr>
        <w:pStyle w:val="BodyText"/>
        <w:spacing w:line="321" w:lineRule="auto" w:before="118"/>
        <w:ind w:left="6128" w:right="630"/>
      </w:pPr>
      <w:r>
        <w:rPr>
          <w:color w:val="1B1B22"/>
        </w:rPr>
        <w:t>Esses movimentos endereçam grandes desafios que circundam o Sistema Financeiro Nacional relacionados a temas como ativos digitais, bank as a service, atuação em cadeias de valor, hiperpersonalização, meios de pagamento, negócios ASG entre outros.</w:t>
      </w:r>
    </w:p>
    <w:p>
      <w:pPr>
        <w:spacing w:after="0" w:line="321" w:lineRule="auto"/>
        <w:sectPr>
          <w:pgSz w:w="11910" w:h="16850"/>
          <w:pgMar w:header="152" w:footer="570" w:top="900" w:bottom="760" w:left="180" w:right="220"/>
        </w:sectPr>
      </w:pPr>
    </w:p>
    <w:p>
      <w:pPr>
        <w:pStyle w:val="BodyText"/>
        <w:spacing w:before="319"/>
        <w:jc w:val="left"/>
        <w:rPr>
          <w:sz w:val="44"/>
        </w:rPr>
      </w:pPr>
    </w:p>
    <w:p>
      <w:pPr>
        <w:pStyle w:val="Heading1"/>
        <w:spacing w:before="1"/>
      </w:pPr>
      <w:r>
        <w:rPr>
          <w:color w:val="465EFF"/>
          <w:spacing w:val="30"/>
        </w:rPr>
        <w:t>Clientes</w:t>
      </w:r>
    </w:p>
    <w:p>
      <w:pPr>
        <w:pStyle w:val="BodyText"/>
        <w:spacing w:before="2"/>
        <w:jc w:val="left"/>
        <w:rPr>
          <w:rFonts w:ascii="BancoDoBrasil Titulos"/>
          <w:sz w:val="13"/>
        </w:rPr>
      </w:pPr>
    </w:p>
    <w:p>
      <w:pPr>
        <w:spacing w:after="0"/>
        <w:jc w:val="left"/>
        <w:rPr>
          <w:rFonts w:ascii="BancoDoBrasil Titulos"/>
          <w:sz w:val="13"/>
        </w:rPr>
        <w:sectPr>
          <w:headerReference w:type="default" r:id="rId8"/>
          <w:footerReference w:type="default" r:id="rId9"/>
          <w:pgSz w:w="11910" w:h="16850"/>
          <w:pgMar w:header="314" w:footer="591" w:top="520" w:bottom="780" w:left="180" w:right="220"/>
        </w:sectPr>
      </w:pPr>
    </w:p>
    <w:p>
      <w:pPr>
        <w:pStyle w:val="BodyText"/>
        <w:spacing w:line="321" w:lineRule="auto" w:before="78"/>
        <w:ind w:left="672" w:right="2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2224">
                <wp:simplePos x="0" y="0"/>
                <wp:positionH relativeFrom="page">
                  <wp:posOffset>0</wp:posOffset>
                </wp:positionH>
                <wp:positionV relativeFrom="page">
                  <wp:posOffset>539495</wp:posOffset>
                </wp:positionV>
                <wp:extent cx="7560945" cy="38100"/>
                <wp:effectExtent l="0" t="0" r="0" b="0"/>
                <wp:wrapNone/>
                <wp:docPr id="25" name="Graphic 25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25" name="Graphic 25"/>
                      <wps:cNvSpPr/>
                      <wps:spPr>
                        <a:xfrm>
                          <a:off x="0" y="0"/>
                          <a:ext cx="7560945" cy="38100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7560945" h="38100">
                              <a:moveTo>
                                <a:pt x="7560564" y="0"/>
                              </a:moveTo>
                              <a:lnTo>
                                <a:pt x="7560564" y="0"/>
                              </a:lnTo>
                              <a:lnTo>
                                <a:pt x="0" y="0"/>
                              </a:lnTo>
                              <a:lnTo>
                                <a:pt x="0" y="38100"/>
                              </a:lnTo>
                              <a:lnTo>
                                <a:pt x="7560564" y="38100"/>
                              </a:lnTo>
                              <a:lnTo>
                                <a:pt x="756056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FCF429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0pt;margin-top:42.479939pt;width:595.320028pt;height:3.0pt;mso-position-horizontal-relative:page;mso-position-vertical-relative:page;z-index:15732224" id="docshape25" filled="true" fillcolor="#fcf429" stroked="false">
                <v:fill type="solid"/>
                <w10:wrap type="none"/>
              </v:rect>
            </w:pict>
          </mc:Fallback>
        </mc:AlternateContent>
      </w: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2736">
                <wp:simplePos x="0" y="0"/>
                <wp:positionH relativeFrom="page">
                  <wp:posOffset>6658816</wp:posOffset>
                </wp:positionH>
                <wp:positionV relativeFrom="page">
                  <wp:posOffset>96159</wp:posOffset>
                </wp:positionV>
                <wp:extent cx="354330" cy="347345"/>
                <wp:effectExtent l="0" t="0" r="0" b="0"/>
                <wp:wrapNone/>
                <wp:docPr id="26" name="Group 26"/>
                <wp:cNvGraphicFramePr>
                  <a:graphicFrameLocks/>
                </wp:cNvGraphicFramePr>
                <a:graphic>
                  <a:graphicData uri="http://schemas.microsoft.com/office/word/2010/wordprocessingGroup">
                    <wpg:wgp>
                      <wpg:cNvPr id="26" name="Group 26"/>
                      <wpg:cNvGrpSpPr/>
                      <wpg:grpSpPr>
                        <a:xfrm>
                          <a:off x="0" y="0"/>
                          <a:ext cx="354330" cy="347345"/>
                          <a:chExt cx="354330" cy="347345"/>
                        </a:xfrm>
                      </wpg:grpSpPr>
                      <pic:pic>
                        <pic:nvPicPr>
                          <pic:cNvPr id="27" name="Image 27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275627"/>
                            <a:ext cx="72357" cy="71610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28" name="Graphic 28"/>
                        <wps:cNvSpPr/>
                        <wps:spPr>
                          <a:xfrm>
                            <a:off x="369" y="93120"/>
                            <a:ext cx="351155" cy="254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155" h="254000">
                                <a:moveTo>
                                  <a:pt x="208020" y="0"/>
                                </a:moveTo>
                                <a:lnTo>
                                  <a:pt x="0" y="137521"/>
                                </a:lnTo>
                                <a:lnTo>
                                  <a:pt x="176707" y="253749"/>
                                </a:lnTo>
                                <a:lnTo>
                                  <a:pt x="350849" y="137522"/>
                                </a:lnTo>
                                <a:lnTo>
                                  <a:pt x="278199" y="88724"/>
                                </a:lnTo>
                                <a:lnTo>
                                  <a:pt x="192207" y="146891"/>
                                </a:lnTo>
                                <a:lnTo>
                                  <a:pt x="228282" y="171237"/>
                                </a:lnTo>
                                <a:lnTo>
                                  <a:pt x="180839" y="204066"/>
                                </a:lnTo>
                                <a:lnTo>
                                  <a:pt x="76565" y="134078"/>
                                </a:lnTo>
                                <a:lnTo>
                                  <a:pt x="245582" y="24651"/>
                                </a:lnTo>
                                <a:lnTo>
                                  <a:pt x="20802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5E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9" name="Graphic 29"/>
                        <wps:cNvSpPr/>
                        <wps:spPr>
                          <a:xfrm>
                            <a:off x="369" y="93120"/>
                            <a:ext cx="351155" cy="254000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155" h="254000">
                                <a:moveTo>
                                  <a:pt x="0" y="137521"/>
                                </a:moveTo>
                                <a:lnTo>
                                  <a:pt x="176707" y="253749"/>
                                </a:lnTo>
                                <a:lnTo>
                                  <a:pt x="350849" y="137522"/>
                                </a:lnTo>
                                <a:lnTo>
                                  <a:pt x="278199" y="88724"/>
                                </a:lnTo>
                                <a:lnTo>
                                  <a:pt x="192207" y="146891"/>
                                </a:lnTo>
                                <a:lnTo>
                                  <a:pt x="228282" y="171237"/>
                                </a:lnTo>
                                <a:lnTo>
                                  <a:pt x="180839" y="204066"/>
                                </a:lnTo>
                                <a:lnTo>
                                  <a:pt x="76565" y="134078"/>
                                </a:lnTo>
                                <a:lnTo>
                                  <a:pt x="245582" y="24651"/>
                                </a:lnTo>
                                <a:lnTo>
                                  <a:pt x="208020" y="0"/>
                                </a:lnTo>
                                <a:lnTo>
                                  <a:pt x="0" y="137521"/>
                                </a:lnTo>
                                <a:close/>
                              </a:path>
                            </a:pathLst>
                          </a:custGeom>
                          <a:ln w="737">
                            <a:solidFill>
                              <a:srgbClr val="735CC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pic:pic>
                        <pic:nvPicPr>
                          <pic:cNvPr id="30" name="Image 30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282152" y="0"/>
                            <a:ext cx="71988" cy="72791"/>
                          </a:xfrm>
                          <a:prstGeom prst="rect">
                            <a:avLst/>
                          </a:prstGeom>
                        </pic:spPr>
                      </pic:pic>
                      <wps:wsp>
                        <wps:cNvPr id="31" name="Graphic 31"/>
                        <wps:cNvSpPr/>
                        <wps:spPr>
                          <a:xfrm>
                            <a:off x="368" y="368"/>
                            <a:ext cx="351155" cy="2527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155" h="252729">
                                <a:moveTo>
                                  <a:pt x="176706" y="0"/>
                                </a:moveTo>
                                <a:lnTo>
                                  <a:pt x="0" y="113454"/>
                                </a:lnTo>
                                <a:lnTo>
                                  <a:pt x="74090" y="162746"/>
                                </a:lnTo>
                                <a:lnTo>
                                  <a:pt x="159100" y="106064"/>
                                </a:lnTo>
                                <a:lnTo>
                                  <a:pt x="123511" y="80428"/>
                                </a:lnTo>
                                <a:lnTo>
                                  <a:pt x="171946" y="48391"/>
                                </a:lnTo>
                                <a:lnTo>
                                  <a:pt x="274241" y="116908"/>
                                </a:lnTo>
                                <a:lnTo>
                                  <a:pt x="108190" y="228799"/>
                                </a:lnTo>
                                <a:lnTo>
                                  <a:pt x="143282" y="252455"/>
                                </a:lnTo>
                                <a:lnTo>
                                  <a:pt x="350849" y="115423"/>
                                </a:lnTo>
                                <a:lnTo>
                                  <a:pt x="176706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465EFF"/>
                          </a:solidFill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32" name="Graphic 32"/>
                        <wps:cNvSpPr/>
                        <wps:spPr>
                          <a:xfrm>
                            <a:off x="368" y="368"/>
                            <a:ext cx="351155" cy="252729"/>
                          </a:xfrm>
                          <a:custGeom>
                            <a:avLst/>
                            <a:gdLst/>
                            <a:ahLst/>
                            <a:cxnLst/>
                            <a:rect l="l" t="t" r="r" b="b"/>
                            <a:pathLst>
                              <a:path w="351155" h="252729">
                                <a:moveTo>
                                  <a:pt x="108190" y="228799"/>
                                </a:moveTo>
                                <a:lnTo>
                                  <a:pt x="143282" y="252455"/>
                                </a:lnTo>
                                <a:lnTo>
                                  <a:pt x="350849" y="115423"/>
                                </a:lnTo>
                                <a:lnTo>
                                  <a:pt x="176706" y="0"/>
                                </a:lnTo>
                                <a:lnTo>
                                  <a:pt x="0" y="113454"/>
                                </a:lnTo>
                                <a:lnTo>
                                  <a:pt x="74090" y="162746"/>
                                </a:lnTo>
                                <a:lnTo>
                                  <a:pt x="159100" y="106064"/>
                                </a:lnTo>
                                <a:lnTo>
                                  <a:pt x="123511" y="80428"/>
                                </a:lnTo>
                                <a:lnTo>
                                  <a:pt x="171946" y="48391"/>
                                </a:lnTo>
                                <a:lnTo>
                                  <a:pt x="274241" y="116908"/>
                                </a:lnTo>
                                <a:lnTo>
                                  <a:pt x="108190" y="228799"/>
                                </a:lnTo>
                                <a:close/>
                              </a:path>
                            </a:pathLst>
                          </a:custGeom>
                          <a:ln w="737">
                            <a:solidFill>
                              <a:srgbClr val="735CC5"/>
                            </a:solidFill>
                            <a:prstDash val="solid"/>
                          </a:ln>
                        </wps:spPr>
                        <wps:bodyPr wrap="square" lIns="0" tIns="0" rIns="0" bIns="0" rtlCol="0">
                          <a:prstTxWarp prst="textNoShape">
                            <a:avLst/>
                          </a:prstTxWarp>
                          <a:noAutofit/>
                        </wps:bodyPr>
                      </wps:wsp>
                    </wpg:wgp>
                  </a:graphicData>
                </a:graphic>
              </wp:anchor>
            </w:drawing>
          </mc:Choice>
          <mc:Fallback>
            <w:pict>
              <v:group style="position:absolute;margin-left:524.316284pt;margin-top:7.571632pt;width:27.9pt;height:27.35pt;mso-position-horizontal-relative:page;mso-position-vertical-relative:page;z-index:15732736" id="docshapegroup26" coordorigin="10486,151" coordsize="558,547">
                <v:shape style="position:absolute;left:10486;top:585;width:114;height:113" type="#_x0000_t75" id="docshape27" stroked="false">
                  <v:imagedata r:id="rId10" o:title=""/>
                </v:shape>
                <v:shape style="position:absolute;left:10486;top:298;width:553;height:400" id="docshape28" coordorigin="10487,298" coordsize="553,400" path="m10814,298l10487,515,10765,698,11039,515,10925,438,10790,529,10846,568,10772,619,10607,509,10874,337,10814,298xe" filled="true" fillcolor="#465eff" stroked="false">
                  <v:path arrowok="t"/>
                  <v:fill type="solid"/>
                </v:shape>
                <v:shape style="position:absolute;left:10486;top:298;width:553;height:400" id="docshape29" coordorigin="10487,298" coordsize="553,400" path="m10487,515l10765,698,11039,515,10925,438,10790,529,10846,568,10772,619,10607,509,10874,337,10814,298,10487,515xe" filled="false" stroked="true" strokeweight=".058081pt" strokecolor="#735cc5">
                  <v:path arrowok="t"/>
                  <v:stroke dashstyle="solid"/>
                </v:shape>
                <v:shape style="position:absolute;left:10930;top:151;width:114;height:115" type="#_x0000_t75" id="docshape30" stroked="false">
                  <v:imagedata r:id="rId11" o:title=""/>
                </v:shape>
                <v:shape style="position:absolute;left:10486;top:152;width:553;height:398" id="docshape31" coordorigin="10487,152" coordsize="553,398" path="m10765,152l10487,331,10604,408,10737,319,10681,279,10758,228,10919,336,10657,512,10713,550,11039,334,10765,152xe" filled="true" fillcolor="#465eff" stroked="false">
                  <v:path arrowok="t"/>
                  <v:fill type="solid"/>
                </v:shape>
                <v:shape style="position:absolute;left:10486;top:152;width:553;height:398" id="docshape32" coordorigin="10487,152" coordsize="553,398" path="m10657,512l10713,550,11039,334,10765,152,10487,331,10604,408,10737,319,10681,279,10758,228,10919,336,10657,512xe" filled="false" stroked="true" strokeweight=".05808pt" strokecolor="#735cc5">
                  <v:path arrowok="t"/>
                  <v:stroke dashstyle="solid"/>
                </v:shape>
                <w10:wrap type="none"/>
              </v:group>
            </w:pict>
          </mc:Fallback>
        </mc:AlternateContent>
      </w:r>
      <w:r>
        <w:rPr>
          <w:color w:val="1B1B22"/>
        </w:rPr>
        <w:t>O cliente está no centro da nossa estratégia e estamos focados na hiperpersonalização dos </w:t>
      </w:r>
      <w:r>
        <w:rPr>
          <w:color w:val="1B1B22"/>
          <w:spacing w:val="-2"/>
        </w:rPr>
        <w:t>nossos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relacionamentos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com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objetivo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entregar </w:t>
      </w:r>
      <w:r>
        <w:rPr>
          <w:color w:val="1B1B22"/>
        </w:rPr>
        <w:t>um</w:t>
      </w:r>
      <w:r>
        <w:rPr>
          <w:color w:val="1B1B22"/>
          <w:spacing w:val="-2"/>
        </w:rPr>
        <w:t> </w:t>
      </w:r>
      <w:r>
        <w:rPr>
          <w:color w:val="1B1B22"/>
        </w:rPr>
        <w:t>banco</w:t>
      </w:r>
      <w:r>
        <w:rPr>
          <w:color w:val="1B1B22"/>
          <w:spacing w:val="-1"/>
        </w:rPr>
        <w:t> </w:t>
      </w:r>
      <w:r>
        <w:rPr>
          <w:color w:val="1B1B22"/>
        </w:rPr>
        <w:t>para</w:t>
      </w:r>
      <w:r>
        <w:rPr>
          <w:color w:val="1B1B22"/>
          <w:spacing w:val="-2"/>
        </w:rPr>
        <w:t> </w:t>
      </w:r>
      <w:r>
        <w:rPr>
          <w:color w:val="1B1B22"/>
        </w:rPr>
        <w:t>cada</w:t>
      </w:r>
      <w:r>
        <w:rPr>
          <w:color w:val="1B1B22"/>
          <w:spacing w:val="-2"/>
        </w:rPr>
        <w:t> </w:t>
      </w:r>
      <w:r>
        <w:rPr>
          <w:color w:val="1B1B22"/>
        </w:rPr>
        <w:t>cliente</w:t>
      </w:r>
      <w:r>
        <w:rPr>
          <w:color w:val="1B1B22"/>
          <w:spacing w:val="-1"/>
        </w:rPr>
        <w:t> </w:t>
      </w:r>
      <w:r>
        <w:rPr>
          <w:color w:val="1B1B22"/>
        </w:rPr>
        <w:t>e</w:t>
      </w:r>
      <w:r>
        <w:rPr>
          <w:color w:val="1B1B22"/>
          <w:spacing w:val="-1"/>
        </w:rPr>
        <w:t> </w:t>
      </w:r>
      <w:r>
        <w:rPr>
          <w:color w:val="1B1B22"/>
        </w:rPr>
        <w:t>considerando a</w:t>
      </w:r>
      <w:r>
        <w:rPr>
          <w:color w:val="1B1B22"/>
          <w:spacing w:val="-2"/>
        </w:rPr>
        <w:t> </w:t>
      </w:r>
      <w:r>
        <w:rPr>
          <w:color w:val="1B1B22"/>
        </w:rPr>
        <w:t>visão 360° de cada um deles.</w:t>
      </w:r>
    </w:p>
    <w:p>
      <w:pPr>
        <w:pStyle w:val="BodyText"/>
        <w:spacing w:line="321" w:lineRule="auto" w:before="116"/>
        <w:ind w:left="672"/>
      </w:pPr>
      <w:r>
        <w:rPr>
          <w:color w:val="1B1B22"/>
          <w:spacing w:val="-2"/>
        </w:rPr>
        <w:t>Temos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atuado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com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marketing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ágil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CRM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tem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sido </w:t>
      </w:r>
      <w:r>
        <w:rPr>
          <w:color w:val="1B1B22"/>
        </w:rPr>
        <w:t>um grande aliado. No 9M24, foram realizadas 2,8 mil estratégias personalizadas, que geraram aproximadamente 475 milhões de contatos </w:t>
      </w:r>
      <w:r>
        <w:rPr>
          <w:color w:val="1B1B22"/>
        </w:rPr>
        <w:t>com clientes. Foram identificados mais de 8,8 mil </w:t>
      </w:r>
      <w:r>
        <w:rPr>
          <w:i/>
          <w:color w:val="1B1B22"/>
        </w:rPr>
        <w:t>clusters </w:t>
      </w:r>
      <w:r>
        <w:rPr>
          <w:color w:val="1B1B22"/>
        </w:rPr>
        <w:t>de pessoas físicas e jurídicas, a partir de inteligência analítica, com uso de modelos preditivos, comportamentais e de propensão a </w:t>
      </w:r>
      <w:r>
        <w:rPr>
          <w:color w:val="1B1B22"/>
          <w:spacing w:val="-2"/>
        </w:rPr>
        <w:t>negócios.</w:t>
      </w:r>
    </w:p>
    <w:p>
      <w:pPr>
        <w:pStyle w:val="BodyText"/>
        <w:spacing w:line="321" w:lineRule="auto" w:before="115"/>
        <w:ind w:left="672" w:right="1"/>
      </w:pPr>
      <w:r>
        <w:rPr>
          <w:color w:val="1B1B22"/>
        </w:rPr>
        <w:t>Além</w:t>
      </w:r>
      <w:r>
        <w:rPr>
          <w:color w:val="1B1B22"/>
          <w:spacing w:val="-13"/>
        </w:rPr>
        <w:t> </w:t>
      </w:r>
      <w:r>
        <w:rPr>
          <w:color w:val="1B1B22"/>
        </w:rPr>
        <w:t>disso,</w:t>
      </w:r>
      <w:r>
        <w:rPr>
          <w:color w:val="1B1B22"/>
          <w:spacing w:val="-12"/>
        </w:rPr>
        <w:t> </w:t>
      </w:r>
      <w:r>
        <w:rPr>
          <w:color w:val="1B1B22"/>
        </w:rPr>
        <w:t>ainda</w:t>
      </w:r>
      <w:r>
        <w:rPr>
          <w:color w:val="1B1B22"/>
          <w:spacing w:val="-13"/>
        </w:rPr>
        <w:t> </w:t>
      </w:r>
      <w:r>
        <w:rPr>
          <w:color w:val="1B1B22"/>
        </w:rPr>
        <w:t>no</w:t>
      </w:r>
      <w:r>
        <w:rPr>
          <w:color w:val="1B1B22"/>
          <w:spacing w:val="-12"/>
        </w:rPr>
        <w:t> </w:t>
      </w:r>
      <w:r>
        <w:rPr>
          <w:color w:val="1B1B22"/>
        </w:rPr>
        <w:t>9M24,</w:t>
      </w:r>
      <w:r>
        <w:rPr>
          <w:color w:val="1B1B22"/>
          <w:spacing w:val="-12"/>
        </w:rPr>
        <w:t> </w:t>
      </w:r>
      <w:r>
        <w:rPr>
          <w:color w:val="1B1B22"/>
        </w:rPr>
        <w:t>69,8%</w:t>
      </w:r>
      <w:r>
        <w:rPr>
          <w:color w:val="1B1B22"/>
          <w:spacing w:val="-13"/>
        </w:rPr>
        <w:t> </w:t>
      </w:r>
      <w:r>
        <w:rPr>
          <w:color w:val="1B1B22"/>
        </w:rPr>
        <w:t>do</w:t>
      </w:r>
      <w:r>
        <w:rPr>
          <w:color w:val="1B1B22"/>
          <w:spacing w:val="-12"/>
        </w:rPr>
        <w:t> </w:t>
      </w:r>
      <w:r>
        <w:rPr>
          <w:color w:val="1B1B22"/>
        </w:rPr>
        <w:t>volume</w:t>
      </w:r>
      <w:r>
        <w:rPr>
          <w:color w:val="1B1B22"/>
          <w:spacing w:val="-12"/>
        </w:rPr>
        <w:t> </w:t>
      </w:r>
      <w:r>
        <w:rPr>
          <w:color w:val="1B1B22"/>
        </w:rPr>
        <w:t>total desembolsado em crédito para pessoas físicas foi feito por clientes abordados nas estratégias comerciais</w:t>
      </w:r>
      <w:r>
        <w:rPr>
          <w:color w:val="1B1B22"/>
          <w:spacing w:val="-13"/>
        </w:rPr>
        <w:t> </w:t>
      </w:r>
      <w:r>
        <w:rPr>
          <w:color w:val="1B1B22"/>
        </w:rPr>
        <w:t>em</w:t>
      </w:r>
      <w:r>
        <w:rPr>
          <w:color w:val="1B1B22"/>
          <w:spacing w:val="-12"/>
        </w:rPr>
        <w:t> </w:t>
      </w:r>
      <w:r>
        <w:rPr>
          <w:color w:val="1B1B22"/>
        </w:rPr>
        <w:t>canais</w:t>
      </w:r>
      <w:r>
        <w:rPr>
          <w:color w:val="1B1B22"/>
          <w:spacing w:val="-13"/>
        </w:rPr>
        <w:t> </w:t>
      </w:r>
      <w:r>
        <w:rPr>
          <w:color w:val="1B1B22"/>
        </w:rPr>
        <w:t>dirigidos.</w:t>
      </w:r>
      <w:r>
        <w:rPr>
          <w:color w:val="1B1B22"/>
          <w:spacing w:val="-12"/>
        </w:rPr>
        <w:t> </w:t>
      </w:r>
      <w:r>
        <w:rPr>
          <w:color w:val="1B1B22"/>
        </w:rPr>
        <w:t>Ao</w:t>
      </w:r>
      <w:r>
        <w:rPr>
          <w:color w:val="1B1B22"/>
          <w:spacing w:val="-12"/>
        </w:rPr>
        <w:t> </w:t>
      </w:r>
      <w:r>
        <w:rPr>
          <w:color w:val="1B1B22"/>
        </w:rPr>
        <w:t>todo,</w:t>
      </w:r>
      <w:r>
        <w:rPr>
          <w:color w:val="1B1B22"/>
          <w:spacing w:val="-13"/>
        </w:rPr>
        <w:t> </w:t>
      </w:r>
      <w:r>
        <w:rPr>
          <w:color w:val="1B1B22"/>
        </w:rPr>
        <w:t>foram</w:t>
      </w:r>
      <w:r>
        <w:rPr>
          <w:color w:val="1B1B22"/>
          <w:spacing w:val="-12"/>
        </w:rPr>
        <w:t> </w:t>
      </w:r>
      <w:r>
        <w:rPr>
          <w:color w:val="1B1B22"/>
        </w:rPr>
        <w:t>63,5 milhões de interações no período para oferta de crédito,</w:t>
      </w:r>
      <w:r>
        <w:rPr>
          <w:color w:val="1B1B22"/>
          <w:spacing w:val="-2"/>
        </w:rPr>
        <w:t> </w:t>
      </w:r>
      <w:r>
        <w:rPr>
          <w:color w:val="1B1B22"/>
        </w:rPr>
        <w:t>e</w:t>
      </w:r>
      <w:r>
        <w:rPr>
          <w:color w:val="1B1B22"/>
          <w:spacing w:val="-2"/>
        </w:rPr>
        <w:t> </w:t>
      </w:r>
      <w:r>
        <w:rPr>
          <w:color w:val="1B1B22"/>
        </w:rPr>
        <w:t>10,3</w:t>
      </w:r>
      <w:r>
        <w:rPr>
          <w:color w:val="1B1B22"/>
          <w:spacing w:val="-2"/>
        </w:rPr>
        <w:t> </w:t>
      </w:r>
      <w:r>
        <w:rPr>
          <w:color w:val="1B1B22"/>
        </w:rPr>
        <w:t>milhões</w:t>
      </w:r>
      <w:r>
        <w:rPr>
          <w:color w:val="1B1B22"/>
          <w:spacing w:val="-2"/>
        </w:rPr>
        <w:t> </w:t>
      </w:r>
      <w:r>
        <w:rPr>
          <w:color w:val="1B1B22"/>
        </w:rPr>
        <w:t>de</w:t>
      </w:r>
      <w:r>
        <w:rPr>
          <w:color w:val="1B1B22"/>
          <w:spacing w:val="-3"/>
        </w:rPr>
        <w:t> </w:t>
      </w:r>
      <w:r>
        <w:rPr>
          <w:color w:val="1B1B22"/>
        </w:rPr>
        <w:t>negócios</w:t>
      </w:r>
      <w:r>
        <w:rPr>
          <w:color w:val="1B1B22"/>
          <w:spacing w:val="-2"/>
        </w:rPr>
        <w:t> </w:t>
      </w:r>
      <w:r>
        <w:rPr>
          <w:color w:val="1B1B22"/>
        </w:rPr>
        <w:t>concretizados, incluindo canais digitais e físicos.</w:t>
      </w:r>
    </w:p>
    <w:p>
      <w:pPr>
        <w:pStyle w:val="BodyText"/>
        <w:spacing w:line="321" w:lineRule="auto" w:before="115"/>
        <w:ind w:left="672" w:right="1"/>
      </w:pPr>
      <w:r>
        <w:rPr>
          <w:color w:val="1B1B22"/>
        </w:rPr>
        <w:t>Para as micro e pequenas empresas, temos expandido os serviços da nossa ferramenta conciliadora dentro do Painel PJ. Atualmente, oferecemos em</w:t>
      </w:r>
      <w:r>
        <w:rPr>
          <w:color w:val="1B1B22"/>
          <w:spacing w:val="-2"/>
        </w:rPr>
        <w:t> </w:t>
      </w:r>
      <w:r>
        <w:rPr>
          <w:color w:val="1B1B22"/>
        </w:rPr>
        <w:t>um</w:t>
      </w:r>
      <w:r>
        <w:rPr>
          <w:color w:val="1B1B22"/>
          <w:spacing w:val="-2"/>
        </w:rPr>
        <w:t> </w:t>
      </w:r>
      <w:r>
        <w:rPr>
          <w:color w:val="1B1B22"/>
        </w:rPr>
        <w:t>só</w:t>
      </w:r>
      <w:r>
        <w:rPr>
          <w:color w:val="1B1B22"/>
          <w:spacing w:val="-1"/>
        </w:rPr>
        <w:t> </w:t>
      </w:r>
      <w:r>
        <w:rPr>
          <w:color w:val="1B1B22"/>
        </w:rPr>
        <w:t>lugar,</w:t>
      </w:r>
      <w:r>
        <w:rPr>
          <w:color w:val="1B1B22"/>
          <w:spacing w:val="-1"/>
        </w:rPr>
        <w:t> </w:t>
      </w:r>
      <w:r>
        <w:rPr>
          <w:color w:val="1B1B22"/>
        </w:rPr>
        <w:t>todas as informações de pagamentos e recebimentos, tanto do BB quanto</w:t>
      </w:r>
      <w:r>
        <w:rPr>
          <w:color w:val="1B1B22"/>
          <w:spacing w:val="-13"/>
        </w:rPr>
        <w:t> </w:t>
      </w:r>
      <w:r>
        <w:rPr>
          <w:color w:val="1B1B22"/>
        </w:rPr>
        <w:t>de</w:t>
      </w:r>
      <w:r>
        <w:rPr>
          <w:color w:val="1B1B22"/>
          <w:spacing w:val="-12"/>
        </w:rPr>
        <w:t> </w:t>
      </w:r>
      <w:r>
        <w:rPr>
          <w:color w:val="1B1B22"/>
        </w:rPr>
        <w:t>outras</w:t>
      </w:r>
      <w:r>
        <w:rPr>
          <w:color w:val="1B1B22"/>
          <w:spacing w:val="-13"/>
        </w:rPr>
        <w:t> </w:t>
      </w:r>
      <w:r>
        <w:rPr>
          <w:color w:val="1B1B22"/>
        </w:rPr>
        <w:t>instituições,</w:t>
      </w:r>
      <w:r>
        <w:rPr>
          <w:color w:val="1B1B22"/>
          <w:spacing w:val="-12"/>
        </w:rPr>
        <w:t> </w:t>
      </w:r>
      <w:r>
        <w:rPr>
          <w:color w:val="1B1B22"/>
        </w:rPr>
        <w:t>incluindo</w:t>
      </w:r>
      <w:r>
        <w:rPr>
          <w:color w:val="1B1B22"/>
          <w:spacing w:val="-12"/>
        </w:rPr>
        <w:t> </w:t>
      </w:r>
      <w:r>
        <w:rPr>
          <w:color w:val="1B1B22"/>
        </w:rPr>
        <w:t>vendas</w:t>
      </w:r>
      <w:r>
        <w:rPr>
          <w:color w:val="1B1B22"/>
          <w:spacing w:val="-13"/>
        </w:rPr>
        <w:t> </w:t>
      </w:r>
      <w:r>
        <w:rPr>
          <w:color w:val="1B1B22"/>
        </w:rPr>
        <w:t>por Cartões</w:t>
      </w:r>
      <w:r>
        <w:rPr>
          <w:color w:val="1B1B22"/>
          <w:spacing w:val="-10"/>
        </w:rPr>
        <w:t> </w:t>
      </w:r>
      <w:r>
        <w:rPr>
          <w:color w:val="1B1B22"/>
        </w:rPr>
        <w:t>e</w:t>
      </w:r>
      <w:r>
        <w:rPr>
          <w:color w:val="1B1B22"/>
          <w:spacing w:val="-11"/>
        </w:rPr>
        <w:t> </w:t>
      </w:r>
      <w:r>
        <w:rPr>
          <w:color w:val="1B1B22"/>
        </w:rPr>
        <w:t>Pix,</w:t>
      </w:r>
      <w:r>
        <w:rPr>
          <w:color w:val="1B1B22"/>
          <w:spacing w:val="-11"/>
        </w:rPr>
        <w:t> </w:t>
      </w:r>
      <w:r>
        <w:rPr>
          <w:color w:val="1B1B22"/>
        </w:rPr>
        <w:t>que</w:t>
      </w:r>
      <w:r>
        <w:rPr>
          <w:color w:val="1B1B22"/>
          <w:spacing w:val="-11"/>
        </w:rPr>
        <w:t> </w:t>
      </w:r>
      <w:r>
        <w:rPr>
          <w:color w:val="1B1B22"/>
        </w:rPr>
        <w:t>permitem</w:t>
      </w:r>
      <w:r>
        <w:rPr>
          <w:color w:val="1B1B22"/>
          <w:spacing w:val="-11"/>
        </w:rPr>
        <w:t> </w:t>
      </w:r>
      <w:r>
        <w:rPr>
          <w:color w:val="1B1B22"/>
        </w:rPr>
        <w:t>fazer</w:t>
      </w:r>
      <w:r>
        <w:rPr>
          <w:color w:val="1B1B22"/>
          <w:spacing w:val="-11"/>
        </w:rPr>
        <w:t> </w:t>
      </w:r>
      <w:r>
        <w:rPr>
          <w:color w:val="1B1B22"/>
        </w:rPr>
        <w:t>a</w:t>
      </w:r>
      <w:r>
        <w:rPr>
          <w:color w:val="1B1B22"/>
          <w:spacing w:val="-11"/>
        </w:rPr>
        <w:t> </w:t>
      </w:r>
      <w:r>
        <w:rPr>
          <w:color w:val="1B1B22"/>
        </w:rPr>
        <w:t>conciliação</w:t>
      </w:r>
      <w:r>
        <w:rPr>
          <w:color w:val="1B1B22"/>
          <w:spacing w:val="-11"/>
        </w:rPr>
        <w:t> </w:t>
      </w:r>
      <w:r>
        <w:rPr>
          <w:color w:val="1B1B22"/>
        </w:rPr>
        <w:t>das transações de qualquer maquininha do mercado. Tudo isso com a assessoria da ARI (Área de </w:t>
      </w:r>
      <w:r>
        <w:rPr>
          <w:color w:val="1B1B22"/>
          <w:spacing w:val="-2"/>
        </w:rPr>
        <w:t>Recomendações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Inteligentes),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que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traz</w:t>
      </w:r>
      <w:r>
        <w:rPr>
          <w:color w:val="1B1B22"/>
          <w:spacing w:val="-7"/>
        </w:rPr>
        <w:t> </w:t>
      </w:r>
      <w:r>
        <w:rPr>
          <w:i/>
          <w:color w:val="1B1B22"/>
          <w:spacing w:val="-2"/>
        </w:rPr>
        <w:t>insights</w:t>
      </w:r>
      <w:r>
        <w:rPr>
          <w:i/>
          <w:color w:val="1B1B22"/>
          <w:spacing w:val="-9"/>
        </w:rPr>
        <w:t> </w:t>
      </w:r>
      <w:r>
        <w:rPr>
          <w:color w:val="1B1B22"/>
          <w:spacing w:val="-2"/>
        </w:rPr>
        <w:t>que </w:t>
      </w:r>
      <w:r>
        <w:rPr>
          <w:color w:val="1B1B22"/>
        </w:rPr>
        <w:t>apoiam</w:t>
      </w:r>
      <w:r>
        <w:rPr>
          <w:color w:val="1B1B22"/>
          <w:spacing w:val="-1"/>
        </w:rPr>
        <w:t> </w:t>
      </w:r>
      <w:r>
        <w:rPr>
          <w:color w:val="1B1B22"/>
        </w:rPr>
        <w:t>o</w:t>
      </w:r>
      <w:r>
        <w:rPr>
          <w:color w:val="1B1B22"/>
          <w:spacing w:val="-1"/>
        </w:rPr>
        <w:t> </w:t>
      </w:r>
      <w:r>
        <w:rPr>
          <w:color w:val="1B1B22"/>
        </w:rPr>
        <w:t>dia-dia</w:t>
      </w:r>
      <w:r>
        <w:rPr>
          <w:color w:val="1B1B22"/>
          <w:spacing w:val="-2"/>
        </w:rPr>
        <w:t> </w:t>
      </w:r>
      <w:r>
        <w:rPr>
          <w:color w:val="1B1B22"/>
        </w:rPr>
        <w:t>da</w:t>
      </w:r>
      <w:r>
        <w:rPr>
          <w:color w:val="1B1B22"/>
          <w:spacing w:val="-2"/>
        </w:rPr>
        <w:t> </w:t>
      </w:r>
      <w:r>
        <w:rPr>
          <w:color w:val="1B1B22"/>
        </w:rPr>
        <w:t>gestão</w:t>
      </w:r>
      <w:r>
        <w:rPr>
          <w:color w:val="1B1B22"/>
          <w:spacing w:val="-1"/>
        </w:rPr>
        <w:t> </w:t>
      </w:r>
      <w:r>
        <w:rPr>
          <w:color w:val="1B1B22"/>
        </w:rPr>
        <w:t>das MPE e</w:t>
      </w:r>
      <w:r>
        <w:rPr>
          <w:color w:val="1B1B22"/>
          <w:spacing w:val="-1"/>
        </w:rPr>
        <w:t> </w:t>
      </w:r>
      <w:r>
        <w:rPr>
          <w:color w:val="1B1B22"/>
        </w:rPr>
        <w:t>alcançou</w:t>
      </w:r>
      <w:r>
        <w:rPr>
          <w:color w:val="1B1B22"/>
          <w:spacing w:val="-1"/>
        </w:rPr>
        <w:t> </w:t>
      </w:r>
      <w:r>
        <w:rPr>
          <w:color w:val="1B1B22"/>
        </w:rPr>
        <w:t>47 mil usuários únicos com 300 mil mensagens e 38 tipos de recomendação.</w:t>
      </w:r>
    </w:p>
    <w:p>
      <w:pPr>
        <w:pStyle w:val="BodyText"/>
        <w:spacing w:line="321" w:lineRule="auto" w:before="111"/>
        <w:ind w:left="672"/>
      </w:pPr>
      <w:r>
        <w:rPr>
          <w:color w:val="1B1B22"/>
        </w:rPr>
        <w:t>Vale destacar a nossa atuação junto ao empreendedorismo</w:t>
      </w:r>
      <w:r>
        <w:rPr>
          <w:color w:val="1B1B22"/>
          <w:spacing w:val="-2"/>
        </w:rPr>
        <w:t> </w:t>
      </w:r>
      <w:r>
        <w:rPr>
          <w:color w:val="1B1B22"/>
        </w:rPr>
        <w:t>feminino.</w:t>
      </w:r>
      <w:r>
        <w:rPr>
          <w:color w:val="1B1B22"/>
          <w:spacing w:val="-1"/>
        </w:rPr>
        <w:t> </w:t>
      </w:r>
      <w:r>
        <w:rPr>
          <w:color w:val="1B1B22"/>
        </w:rPr>
        <w:t>Possuímos</w:t>
      </w:r>
      <w:r>
        <w:rPr>
          <w:color w:val="1B1B22"/>
          <w:spacing w:val="-1"/>
        </w:rPr>
        <w:t> </w:t>
      </w:r>
      <w:r>
        <w:rPr>
          <w:color w:val="1B1B22"/>
        </w:rPr>
        <w:t>linhas </w:t>
      </w:r>
      <w:r>
        <w:rPr>
          <w:color w:val="1B1B22"/>
          <w:spacing w:val="-5"/>
        </w:rPr>
        <w:t>de</w:t>
      </w:r>
    </w:p>
    <w:p>
      <w:pPr>
        <w:pStyle w:val="BodyText"/>
        <w:spacing w:line="321" w:lineRule="auto" w:before="78"/>
        <w:ind w:left="666" w:right="629"/>
      </w:pPr>
      <w:r>
        <w:rPr/>
        <w:br w:type="column"/>
      </w:r>
      <w:r>
        <w:rPr>
          <w:color w:val="1B1B22"/>
        </w:rPr>
        <w:t>crédito específicas como FCO Mulheres Empreendedoras, Giro Mulher Empreendedora e Prorrogação de Capital de Giro – Mãe Empreendedora. São 1,3 milhão de empresas dirigidas por mulheres, representando 42% do total de clientes e 37% do saldo da carteira de crédito MPE.</w:t>
      </w:r>
    </w:p>
    <w:p>
      <w:pPr>
        <w:pStyle w:val="BodyText"/>
        <w:spacing w:line="321" w:lineRule="auto" w:before="115"/>
        <w:ind w:left="666" w:right="629"/>
      </w:pPr>
      <w:r>
        <w:rPr>
          <w:color w:val="1B1B22"/>
        </w:rPr>
        <w:t>O relacionamento negocial com as empresas Corporate</w:t>
      </w:r>
      <w:r>
        <w:rPr>
          <w:color w:val="1B1B22"/>
          <w:spacing w:val="-1"/>
        </w:rPr>
        <w:t> </w:t>
      </w:r>
      <w:r>
        <w:rPr>
          <w:color w:val="1B1B22"/>
        </w:rPr>
        <w:t>e</w:t>
      </w:r>
      <w:r>
        <w:rPr>
          <w:color w:val="1B1B22"/>
          <w:spacing w:val="-1"/>
        </w:rPr>
        <w:t> </w:t>
      </w:r>
      <w:r>
        <w:rPr>
          <w:color w:val="1B1B22"/>
        </w:rPr>
        <w:t>Large Corporate</w:t>
      </w:r>
      <w:r>
        <w:rPr>
          <w:color w:val="1B1B22"/>
          <w:spacing w:val="-1"/>
        </w:rPr>
        <w:t> </w:t>
      </w:r>
      <w:r>
        <w:rPr>
          <w:color w:val="1B1B22"/>
        </w:rPr>
        <w:t>é</w:t>
      </w:r>
      <w:r>
        <w:rPr>
          <w:color w:val="1B1B22"/>
          <w:spacing w:val="-1"/>
        </w:rPr>
        <w:t> </w:t>
      </w:r>
      <w:r>
        <w:rPr>
          <w:color w:val="1B1B22"/>
        </w:rPr>
        <w:t>realizado</w:t>
      </w:r>
      <w:r>
        <w:rPr>
          <w:color w:val="1B1B22"/>
          <w:spacing w:val="-1"/>
        </w:rPr>
        <w:t> </w:t>
      </w:r>
      <w:r>
        <w:rPr>
          <w:color w:val="1B1B22"/>
        </w:rPr>
        <w:t>de</w:t>
      </w:r>
      <w:r>
        <w:rPr>
          <w:color w:val="1B1B22"/>
          <w:spacing w:val="-1"/>
        </w:rPr>
        <w:t> </w:t>
      </w:r>
      <w:r>
        <w:rPr>
          <w:color w:val="1B1B22"/>
        </w:rPr>
        <w:t>forma especializada. Atualmente, são mais de 1.400 grupos empresariais com assessoria de times altamente qualificados, com abrangência nacional e internacional, em escritórios corporate banking, plataformas e estrutura de middle office.</w:t>
      </w:r>
    </w:p>
    <w:p>
      <w:pPr>
        <w:pStyle w:val="BodyText"/>
        <w:spacing w:line="321" w:lineRule="auto" w:before="116"/>
        <w:ind w:left="666" w:right="627"/>
      </w:pPr>
      <w:r>
        <w:rPr/>
        <mc:AlternateContent>
          <mc:Choice Requires="wps">
            <w:drawing>
              <wp:anchor distT="0" distB="0" distL="0" distR="0" allowOverlap="1" layoutInCell="1" locked="0" behindDoc="0" simplePos="0" relativeHeight="15733248">
                <wp:simplePos x="0" y="0"/>
                <wp:positionH relativeFrom="page">
                  <wp:posOffset>3889375</wp:posOffset>
                </wp:positionH>
                <wp:positionV relativeFrom="paragraph">
                  <wp:posOffset>1782718</wp:posOffset>
                </wp:positionV>
                <wp:extent cx="3460115" cy="3270250"/>
                <wp:effectExtent l="0" t="0" r="0" b="0"/>
                <wp:wrapNone/>
                <wp:docPr id="33" name="Textbox 33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33" name="Textbox 33"/>
                      <wps:cNvSpPr txBox="1"/>
                      <wps:spPr>
                        <a:xfrm>
                          <a:off x="0" y="0"/>
                          <a:ext cx="3460115" cy="3270250"/>
                        </a:xfrm>
                        <a:prstGeom prst="rect">
                          <a:avLst/>
                        </a:prstGeom>
                        <a:solidFill>
                          <a:srgbClr val="FFEB8D"/>
                        </a:solidFill>
                      </wps:spPr>
                      <wps:txbx>
                        <w:txbxContent>
                          <w:p>
                            <w:pPr>
                              <w:pStyle w:val="BodyText"/>
                              <w:spacing w:line="321" w:lineRule="auto" w:before="153"/>
                              <w:ind w:left="183" w:right="514"/>
                              <w:rPr>
                                <w:color w:val="000000"/>
                              </w:rPr>
                            </w:pPr>
                            <w:r>
                              <w:rPr>
                                <w:color w:val="1B1B22"/>
                              </w:rPr>
                              <w:t>Para fortalecer a educação financeira de crianças e adolescentes, lançamos em agosto/2024, o “Meu Cash”, uma solução desenvolvida para a conta BB Cash que permite ao cliente conhecer seus gastos em diversas categorias para se planejar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financeiramente.</w:t>
                            </w:r>
                            <w:r>
                              <w:rPr>
                                <w:color w:val="1B1B22"/>
                                <w:spacing w:val="-5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Já</w:t>
                            </w:r>
                            <w:r>
                              <w:rPr>
                                <w:color w:val="1B1B22"/>
                                <w:spacing w:val="-7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são</w:t>
                            </w:r>
                            <w:r>
                              <w:rPr>
                                <w:color w:val="1B1B22"/>
                                <w:spacing w:val="-6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1,1</w:t>
                            </w:r>
                            <w:r>
                              <w:rPr>
                                <w:color w:val="1B1B22"/>
                                <w:spacing w:val="-5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milhão</w:t>
                            </w:r>
                            <w:r>
                              <w:rPr>
                                <w:color w:val="1B1B22"/>
                                <w:spacing w:val="-6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de</w:t>
                            </w:r>
                            <w:r>
                              <w:rPr>
                                <w:color w:val="1B1B22"/>
                                <w:spacing w:val="-6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clientes</w:t>
                            </w:r>
                            <w:r>
                              <w:rPr>
                                <w:color w:val="1B1B22"/>
                                <w:spacing w:val="-5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  <w:spacing w:val="-2"/>
                              </w:rPr>
                              <w:t>entre </w:t>
                            </w:r>
                            <w:r>
                              <w:rPr>
                                <w:color w:val="1B1B22"/>
                              </w:rPr>
                              <w:t>0 e 17 anos, sendo que cerca de 30% do total de crianças e adolescentes utilizam a BB Cash. Esses clientes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mostram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um</w:t>
                            </w:r>
                            <w:r>
                              <w:rPr>
                                <w:color w:val="1B1B22"/>
                                <w:spacing w:val="-1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engajamento</w:t>
                            </w:r>
                            <w:r>
                              <w:rPr>
                                <w:color w:val="1B1B22"/>
                                <w:spacing w:val="-11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superior</w:t>
                            </w:r>
                            <w:r>
                              <w:rPr>
                                <w:color w:val="1B1B22"/>
                                <w:spacing w:val="-12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a</w:t>
                            </w:r>
                            <w:r>
                              <w:rPr>
                                <w:color w:val="1B1B22"/>
                                <w:spacing w:val="-13"/>
                              </w:rPr>
                              <w:t> </w:t>
                            </w:r>
                            <w:r>
                              <w:rPr>
                                <w:color w:val="1B1B22"/>
                              </w:rPr>
                              <w:t>95%, com uso de cartão acima de 70% e realização de transações via Pix acima de 67%. Além disso, 30% desses clientes têm algum tipo de investimento financeiro, com um tíquete médio de R$ 4,4 mil.</w:t>
                            </w:r>
                          </w:p>
                        </w:txbxContent>
                      </wps:txbx>
                      <wps:bodyPr wrap="square" lIns="0" tIns="0" rIns="0" bIns="0" rtlCol="0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style="position:absolute;margin-left:306.25pt;margin-top:140.371506pt;width:272.45pt;height:257.5pt;mso-position-horizontal-relative:page;mso-position-vertical-relative:paragraph;z-index:15733248" type="#_x0000_t202" id="docshape33" filled="true" fillcolor="#ffeb8d" stroked="false">
                <v:textbox inset="0,0,0,0">
                  <w:txbxContent>
                    <w:p>
                      <w:pPr>
                        <w:pStyle w:val="BodyText"/>
                        <w:spacing w:line="321" w:lineRule="auto" w:before="153"/>
                        <w:ind w:left="183" w:right="514"/>
                        <w:rPr>
                          <w:color w:val="000000"/>
                        </w:rPr>
                      </w:pPr>
                      <w:r>
                        <w:rPr>
                          <w:color w:val="1B1B22"/>
                        </w:rPr>
                        <w:t>Para fortalecer a educação financeira de crianças e adolescentes, lançamos em agosto/2024, o “Meu Cash”, uma solução desenvolvida para a conta BB Cash que permite ao cliente conhecer seus gastos em diversas categorias para se planejar </w:t>
                      </w:r>
                      <w:r>
                        <w:rPr>
                          <w:color w:val="1B1B22"/>
                          <w:spacing w:val="-2"/>
                        </w:rPr>
                        <w:t>financeiramente.</w:t>
                      </w:r>
                      <w:r>
                        <w:rPr>
                          <w:color w:val="1B1B22"/>
                          <w:spacing w:val="-5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Já</w:t>
                      </w:r>
                      <w:r>
                        <w:rPr>
                          <w:color w:val="1B1B22"/>
                          <w:spacing w:val="-7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são</w:t>
                      </w:r>
                      <w:r>
                        <w:rPr>
                          <w:color w:val="1B1B22"/>
                          <w:spacing w:val="-6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1,1</w:t>
                      </w:r>
                      <w:r>
                        <w:rPr>
                          <w:color w:val="1B1B22"/>
                          <w:spacing w:val="-5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milhão</w:t>
                      </w:r>
                      <w:r>
                        <w:rPr>
                          <w:color w:val="1B1B22"/>
                          <w:spacing w:val="-6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de</w:t>
                      </w:r>
                      <w:r>
                        <w:rPr>
                          <w:color w:val="1B1B22"/>
                          <w:spacing w:val="-6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clientes</w:t>
                      </w:r>
                      <w:r>
                        <w:rPr>
                          <w:color w:val="1B1B22"/>
                          <w:spacing w:val="-5"/>
                        </w:rPr>
                        <w:t> </w:t>
                      </w:r>
                      <w:r>
                        <w:rPr>
                          <w:color w:val="1B1B22"/>
                          <w:spacing w:val="-2"/>
                        </w:rPr>
                        <w:t>entre </w:t>
                      </w:r>
                      <w:r>
                        <w:rPr>
                          <w:color w:val="1B1B22"/>
                        </w:rPr>
                        <w:t>0 e 17 anos, sendo que cerca de 30% do total de crianças e adolescentes utilizam a BB Cash. Esses clientes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mostram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um</w:t>
                      </w:r>
                      <w:r>
                        <w:rPr>
                          <w:color w:val="1B1B22"/>
                          <w:spacing w:val="-13"/>
                        </w:rPr>
                        <w:t> </w:t>
                      </w:r>
                      <w:r>
                        <w:rPr>
                          <w:color w:val="1B1B22"/>
                        </w:rPr>
                        <w:t>engajamento</w:t>
                      </w:r>
                      <w:r>
                        <w:rPr>
                          <w:color w:val="1B1B22"/>
                          <w:spacing w:val="-11"/>
                        </w:rPr>
                        <w:t> </w:t>
                      </w:r>
                      <w:r>
                        <w:rPr>
                          <w:color w:val="1B1B22"/>
                        </w:rPr>
                        <w:t>superior</w:t>
                      </w:r>
                      <w:r>
                        <w:rPr>
                          <w:color w:val="1B1B22"/>
                          <w:spacing w:val="-12"/>
                        </w:rPr>
                        <w:t> </w:t>
                      </w:r>
                      <w:r>
                        <w:rPr>
                          <w:color w:val="1B1B22"/>
                        </w:rPr>
                        <w:t>a</w:t>
                      </w:r>
                      <w:r>
                        <w:rPr>
                          <w:color w:val="1B1B22"/>
                          <w:spacing w:val="-13"/>
                        </w:rPr>
                        <w:t> </w:t>
                      </w:r>
                      <w:r>
                        <w:rPr>
                          <w:color w:val="1B1B22"/>
                        </w:rPr>
                        <w:t>95%, com uso de cartão acima de 70% e realização de transações via Pix acima de 67%. Além disso, 30% desses clientes têm algum tipo de investimento financeiro, com um tíquete médio de R$ 4,4 mil.</w:t>
                      </w:r>
                    </w:p>
                  </w:txbxContent>
                </v:textbox>
                <v:fill type="solid"/>
                <w10:wrap type="none"/>
              </v:shape>
            </w:pict>
          </mc:Fallback>
        </mc:AlternateContent>
      </w:r>
      <w:r>
        <w:rPr>
          <w:color w:val="1B1B22"/>
        </w:rPr>
        <w:t>Além</w:t>
      </w:r>
      <w:r>
        <w:rPr>
          <w:color w:val="1B1B22"/>
          <w:spacing w:val="-4"/>
        </w:rPr>
        <w:t> </w:t>
      </w:r>
      <w:r>
        <w:rPr>
          <w:color w:val="1B1B22"/>
        </w:rPr>
        <w:t>disso,</w:t>
      </w:r>
      <w:r>
        <w:rPr>
          <w:color w:val="1B1B22"/>
          <w:spacing w:val="-2"/>
        </w:rPr>
        <w:t> </w:t>
      </w:r>
      <w:r>
        <w:rPr>
          <w:color w:val="1B1B22"/>
        </w:rPr>
        <w:t>continuamos</w:t>
      </w:r>
      <w:r>
        <w:rPr>
          <w:color w:val="1B1B22"/>
          <w:spacing w:val="-2"/>
        </w:rPr>
        <w:t> </w:t>
      </w:r>
      <w:r>
        <w:rPr>
          <w:color w:val="1B1B22"/>
        </w:rPr>
        <w:t>evoluindo</w:t>
      </w:r>
      <w:r>
        <w:rPr>
          <w:color w:val="1B1B22"/>
          <w:spacing w:val="-1"/>
        </w:rPr>
        <w:t> </w:t>
      </w:r>
      <w:r>
        <w:rPr>
          <w:color w:val="1B1B22"/>
        </w:rPr>
        <w:t>na</w:t>
      </w:r>
      <w:r>
        <w:rPr>
          <w:color w:val="1B1B22"/>
          <w:spacing w:val="-4"/>
        </w:rPr>
        <w:t> </w:t>
      </w:r>
      <w:r>
        <w:rPr>
          <w:color w:val="1B1B22"/>
        </w:rPr>
        <w:t>plataforma Liga PJ (ligapj.com.br), um local onde qualquer empreendedor, correntista BB ou não, conta com conteúdos que vão desde informações para iniciar o negócio até um momento mais maduro da </w:t>
      </w:r>
      <w:r>
        <w:rPr>
          <w:color w:val="1B1B22"/>
          <w:spacing w:val="-2"/>
        </w:rPr>
        <w:t>empresa,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ampliação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nas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vendas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PJ.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Atingimos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27 </w:t>
      </w:r>
      <w:r>
        <w:rPr>
          <w:color w:val="1B1B22"/>
        </w:rPr>
        <w:t>mil clientes únicos com mais de dois milhões de </w:t>
      </w:r>
      <w:r>
        <w:rPr>
          <w:color w:val="1B1B22"/>
          <w:spacing w:val="-2"/>
        </w:rPr>
        <w:t>acessos.</w:t>
      </w:r>
    </w:p>
    <w:p>
      <w:pPr>
        <w:spacing w:after="0" w:line="321" w:lineRule="auto"/>
        <w:sectPr>
          <w:type w:val="continuous"/>
          <w:pgSz w:w="11910" w:h="16850"/>
          <w:pgMar w:header="314" w:footer="591" w:top="1920" w:bottom="280" w:left="180" w:right="220"/>
          <w:cols w:num="2" w:equalWidth="0">
            <w:col w:w="5422" w:space="40"/>
            <w:col w:w="6048"/>
          </w:cols>
        </w:sectPr>
      </w:pPr>
    </w:p>
    <w:p>
      <w:pPr>
        <w:pStyle w:val="Heading1"/>
        <w:spacing w:before="446"/>
      </w:pPr>
      <w:r>
        <w:rPr>
          <w:color w:val="465EFF"/>
          <w:spacing w:val="29"/>
        </w:rPr>
        <w:t>Tecnologia</w:t>
      </w:r>
      <w:r>
        <w:rPr>
          <w:color w:val="465EFF"/>
          <w:spacing w:val="69"/>
        </w:rPr>
        <w:t> </w:t>
      </w:r>
      <w:r>
        <w:rPr>
          <w:color w:val="465EFF"/>
          <w:spacing w:val="26"/>
        </w:rPr>
        <w:t>que</w:t>
      </w:r>
      <w:r>
        <w:rPr>
          <w:color w:val="465EFF"/>
          <w:spacing w:val="40"/>
        </w:rPr>
        <w:t> </w:t>
      </w:r>
      <w:r>
        <w:rPr>
          <w:color w:val="465EFF"/>
          <w:spacing w:val="28"/>
        </w:rPr>
        <w:t>Transforma</w:t>
      </w:r>
    </w:p>
    <w:p>
      <w:pPr>
        <w:pStyle w:val="BodyText"/>
        <w:spacing w:before="2"/>
        <w:jc w:val="left"/>
        <w:rPr>
          <w:rFonts w:ascii="BancoDoBrasil Titulos"/>
        </w:rPr>
      </w:pPr>
    </w:p>
    <w:p>
      <w:pPr>
        <w:spacing w:after="0"/>
        <w:jc w:val="left"/>
        <w:rPr>
          <w:rFonts w:ascii="BancoDoBrasil Titulos"/>
        </w:rPr>
        <w:sectPr>
          <w:headerReference w:type="default" r:id="rId12"/>
          <w:footerReference w:type="default" r:id="rId13"/>
          <w:pgSz w:w="11910" w:h="16850"/>
          <w:pgMar w:header="152" w:footer="591" w:top="900" w:bottom="780" w:left="180" w:right="220"/>
        </w:sectPr>
      </w:pPr>
    </w:p>
    <w:p>
      <w:pPr>
        <w:pStyle w:val="BodyText"/>
        <w:spacing w:line="321" w:lineRule="auto" w:before="78"/>
        <w:ind w:left="672"/>
      </w:pPr>
      <w:r>
        <w:rPr>
          <w:color w:val="1B1B22"/>
        </w:rPr>
        <w:t>A nossa capacidade de inovar ao longo dos anos é um</w:t>
      </w:r>
      <w:r>
        <w:rPr>
          <w:color w:val="1B1B22"/>
          <w:spacing w:val="-2"/>
        </w:rPr>
        <w:t> </w:t>
      </w:r>
      <w:r>
        <w:rPr>
          <w:color w:val="1B1B22"/>
        </w:rPr>
        <w:t>dos fatores</w:t>
      </w:r>
      <w:r>
        <w:rPr>
          <w:color w:val="1B1B22"/>
          <w:spacing w:val="-1"/>
        </w:rPr>
        <w:t> </w:t>
      </w:r>
      <w:r>
        <w:rPr>
          <w:color w:val="1B1B22"/>
        </w:rPr>
        <w:t>que</w:t>
      </w:r>
      <w:r>
        <w:rPr>
          <w:color w:val="1B1B22"/>
          <w:spacing w:val="-2"/>
        </w:rPr>
        <w:t> </w:t>
      </w:r>
      <w:r>
        <w:rPr>
          <w:color w:val="1B1B22"/>
        </w:rPr>
        <w:t>contribui</w:t>
      </w:r>
      <w:r>
        <w:rPr>
          <w:color w:val="1B1B22"/>
          <w:spacing w:val="-1"/>
        </w:rPr>
        <w:t> </w:t>
      </w:r>
      <w:r>
        <w:rPr>
          <w:color w:val="1B1B22"/>
        </w:rPr>
        <w:t>para</w:t>
      </w:r>
      <w:r>
        <w:rPr>
          <w:color w:val="1B1B22"/>
          <w:spacing w:val="-2"/>
        </w:rPr>
        <w:t> </w:t>
      </w:r>
      <w:r>
        <w:rPr>
          <w:color w:val="1B1B22"/>
        </w:rPr>
        <w:t>a</w:t>
      </w:r>
      <w:r>
        <w:rPr>
          <w:color w:val="1B1B22"/>
          <w:spacing w:val="-2"/>
        </w:rPr>
        <w:t> </w:t>
      </w:r>
      <w:r>
        <w:rPr>
          <w:color w:val="1B1B22"/>
        </w:rPr>
        <w:t>construção</w:t>
      </w:r>
      <w:r>
        <w:rPr>
          <w:color w:val="1B1B22"/>
          <w:spacing w:val="-1"/>
        </w:rPr>
        <w:t> </w:t>
      </w:r>
      <w:r>
        <w:rPr>
          <w:color w:val="1B1B22"/>
        </w:rPr>
        <w:t>da nossa história e dos resultados sustentáveis que temos alcançado.</w:t>
      </w:r>
    </w:p>
    <w:p>
      <w:pPr>
        <w:pStyle w:val="BodyText"/>
        <w:spacing w:line="321" w:lineRule="auto" w:before="116"/>
        <w:ind w:left="672" w:right="2"/>
      </w:pPr>
      <w:r>
        <w:rPr/>
        <w:drawing>
          <wp:anchor distT="0" distB="0" distL="0" distR="0" allowOverlap="1" layoutInCell="1" locked="0" behindDoc="0" simplePos="0" relativeHeight="15733760">
            <wp:simplePos x="0" y="0"/>
            <wp:positionH relativeFrom="page">
              <wp:posOffset>432434</wp:posOffset>
            </wp:positionH>
            <wp:positionV relativeFrom="paragraph">
              <wp:posOffset>2233818</wp:posOffset>
            </wp:positionV>
            <wp:extent cx="3186429" cy="1792604"/>
            <wp:effectExtent l="0" t="0" r="0" b="0"/>
            <wp:wrapNone/>
            <wp:docPr id="40" name="Image 40" descr="Homem com os braços abertos  Descrição gerada automaticamente com confiança baixa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0" name="Image 40" descr="Homem com os braços abertos  Descrição gerada automaticamente com confiança baixa"/>
                    <pic:cNvPicPr/>
                  </pic:nvPicPr>
                  <pic:blipFill>
                    <a:blip r:embed="rId1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86429" cy="179260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B1B22"/>
        </w:rPr>
        <w:t>Nossa tecnologia é estruturada em plataformas viabilizadoras, dentre elas a Analítica, Mobile, </w:t>
      </w:r>
      <w:r>
        <w:rPr>
          <w:color w:val="1B1B22"/>
          <w:spacing w:val="-2"/>
        </w:rPr>
        <w:t>Inteligência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Artificial,</w:t>
      </w:r>
      <w:r>
        <w:rPr>
          <w:color w:val="1B1B22"/>
          <w:spacing w:val="-3"/>
        </w:rPr>
        <w:t> </w:t>
      </w:r>
      <w:r>
        <w:rPr>
          <w:i/>
          <w:color w:val="1B1B22"/>
          <w:spacing w:val="-2"/>
        </w:rPr>
        <w:t>LowCode</w:t>
      </w:r>
      <w:r>
        <w:rPr>
          <w:i/>
          <w:color w:val="1B1B22"/>
          <w:spacing w:val="-4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5"/>
        </w:rPr>
        <w:t> </w:t>
      </w:r>
      <w:r>
        <w:rPr>
          <w:i/>
          <w:color w:val="1B1B22"/>
          <w:spacing w:val="-2"/>
        </w:rPr>
        <w:t>Cloud</w:t>
      </w:r>
      <w:r>
        <w:rPr>
          <w:color w:val="1B1B22"/>
          <w:spacing w:val="-2"/>
        </w:rPr>
        <w:t>,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através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das </w:t>
      </w:r>
      <w:r>
        <w:rPr>
          <w:color w:val="1B1B22"/>
        </w:rPr>
        <w:t>quais</w:t>
      </w:r>
      <w:r>
        <w:rPr>
          <w:color w:val="1B1B22"/>
          <w:spacing w:val="-8"/>
        </w:rPr>
        <w:t> </w:t>
      </w:r>
      <w:r>
        <w:rPr>
          <w:color w:val="1B1B22"/>
        </w:rPr>
        <w:t>construímos</w:t>
      </w:r>
      <w:r>
        <w:rPr>
          <w:color w:val="1B1B22"/>
          <w:spacing w:val="-8"/>
        </w:rPr>
        <w:t> </w:t>
      </w:r>
      <w:r>
        <w:rPr>
          <w:color w:val="1B1B22"/>
        </w:rPr>
        <w:t>os</w:t>
      </w:r>
      <w:r>
        <w:rPr>
          <w:color w:val="1B1B22"/>
          <w:spacing w:val="-8"/>
        </w:rPr>
        <w:t> </w:t>
      </w:r>
      <w:r>
        <w:rPr>
          <w:color w:val="1B1B22"/>
        </w:rPr>
        <w:t>produtos</w:t>
      </w:r>
      <w:r>
        <w:rPr>
          <w:color w:val="1B1B22"/>
          <w:spacing w:val="-8"/>
        </w:rPr>
        <w:t> </w:t>
      </w:r>
      <w:r>
        <w:rPr>
          <w:color w:val="1B1B22"/>
        </w:rPr>
        <w:t>e</w:t>
      </w:r>
      <w:r>
        <w:rPr>
          <w:color w:val="1B1B22"/>
          <w:spacing w:val="-10"/>
        </w:rPr>
        <w:t> </w:t>
      </w:r>
      <w:r>
        <w:rPr>
          <w:color w:val="1B1B22"/>
        </w:rPr>
        <w:t>serviços</w:t>
      </w:r>
      <w:r>
        <w:rPr>
          <w:color w:val="1B1B22"/>
          <w:spacing w:val="-8"/>
        </w:rPr>
        <w:t> </w:t>
      </w:r>
      <w:r>
        <w:rPr>
          <w:color w:val="1B1B22"/>
        </w:rPr>
        <w:t>do</w:t>
      </w:r>
      <w:r>
        <w:rPr>
          <w:color w:val="1B1B22"/>
          <w:spacing w:val="-10"/>
        </w:rPr>
        <w:t> </w:t>
      </w:r>
      <w:r>
        <w:rPr>
          <w:color w:val="1B1B22"/>
        </w:rPr>
        <w:t>Banco do</w:t>
      </w:r>
      <w:r>
        <w:rPr>
          <w:color w:val="1B1B22"/>
          <w:spacing w:val="-4"/>
        </w:rPr>
        <w:t> </w:t>
      </w:r>
      <w:r>
        <w:rPr>
          <w:color w:val="1B1B22"/>
        </w:rPr>
        <w:t>Brasil.</w:t>
      </w:r>
      <w:r>
        <w:rPr>
          <w:color w:val="1B1B22"/>
          <w:spacing w:val="40"/>
        </w:rPr>
        <w:t> </w:t>
      </w:r>
      <w:r>
        <w:rPr>
          <w:color w:val="1B1B22"/>
        </w:rPr>
        <w:t>Esse</w:t>
      </w:r>
      <w:r>
        <w:rPr>
          <w:color w:val="1B1B22"/>
          <w:spacing w:val="-3"/>
        </w:rPr>
        <w:t> </w:t>
      </w:r>
      <w:r>
        <w:rPr>
          <w:color w:val="1B1B22"/>
        </w:rPr>
        <w:t>modelo</w:t>
      </w:r>
      <w:r>
        <w:rPr>
          <w:color w:val="1B1B22"/>
          <w:spacing w:val="-4"/>
        </w:rPr>
        <w:t> </w:t>
      </w:r>
      <w:r>
        <w:rPr>
          <w:color w:val="1B1B22"/>
        </w:rPr>
        <w:t>de</w:t>
      </w:r>
      <w:r>
        <w:rPr>
          <w:color w:val="1B1B22"/>
          <w:spacing w:val="-3"/>
        </w:rPr>
        <w:t> </w:t>
      </w:r>
      <w:r>
        <w:rPr>
          <w:color w:val="1B1B22"/>
        </w:rPr>
        <w:t>gestão</w:t>
      </w:r>
      <w:r>
        <w:rPr>
          <w:color w:val="1B1B22"/>
          <w:spacing w:val="-4"/>
        </w:rPr>
        <w:t> </w:t>
      </w:r>
      <w:r>
        <w:rPr>
          <w:color w:val="1B1B22"/>
        </w:rPr>
        <w:t>permite</w:t>
      </w:r>
      <w:r>
        <w:rPr>
          <w:color w:val="1B1B22"/>
          <w:spacing w:val="-4"/>
        </w:rPr>
        <w:t> </w:t>
      </w:r>
      <w:r>
        <w:rPr>
          <w:color w:val="1B1B22"/>
        </w:rPr>
        <w:t>acelerar e escalar novas tecnologias, padronizar e imprimir maior qualidade às entregas, impactando </w:t>
      </w:r>
      <w:r>
        <w:rPr>
          <w:color w:val="1B1B22"/>
          <w:spacing w:val="-2"/>
        </w:rPr>
        <w:t>positivamente nossa capacidade de responder mais </w:t>
      </w:r>
      <w:r>
        <w:rPr>
          <w:color w:val="1B1B22"/>
        </w:rPr>
        <w:t>rapidamente às mudanças de mercado e necessidades dos nossos clientes.</w:t>
      </w: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spacing w:before="38"/>
        <w:jc w:val="left"/>
      </w:pPr>
    </w:p>
    <w:p>
      <w:pPr>
        <w:pStyle w:val="BodyText"/>
        <w:spacing w:line="321" w:lineRule="auto"/>
        <w:ind w:left="672"/>
      </w:pPr>
      <w:r>
        <w:rPr>
          <w:color w:val="1B1B22"/>
        </w:rPr>
        <w:t>Essa estratégia é complementar à escalada </w:t>
      </w:r>
      <w:r>
        <w:rPr>
          <w:color w:val="1B1B22"/>
          <w:spacing w:val="-2"/>
        </w:rPr>
        <w:t>contínua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um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modelo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trabalho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mais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integrado </w:t>
      </w:r>
      <w:r>
        <w:rPr>
          <w:color w:val="1B1B22"/>
        </w:rPr>
        <w:t>entre</w:t>
      </w:r>
      <w:r>
        <w:rPr>
          <w:color w:val="1B1B22"/>
          <w:spacing w:val="-7"/>
        </w:rPr>
        <w:t> </w:t>
      </w:r>
      <w:r>
        <w:rPr>
          <w:color w:val="1B1B22"/>
        </w:rPr>
        <w:t>todas</w:t>
      </w:r>
      <w:r>
        <w:rPr>
          <w:color w:val="1B1B22"/>
          <w:spacing w:val="-6"/>
        </w:rPr>
        <w:t> </w:t>
      </w:r>
      <w:r>
        <w:rPr>
          <w:color w:val="1B1B22"/>
        </w:rPr>
        <w:t>as</w:t>
      </w:r>
      <w:r>
        <w:rPr>
          <w:color w:val="1B1B22"/>
          <w:spacing w:val="-6"/>
        </w:rPr>
        <w:t> </w:t>
      </w:r>
      <w:r>
        <w:rPr>
          <w:color w:val="1B1B22"/>
        </w:rPr>
        <w:t>áreas</w:t>
      </w:r>
      <w:r>
        <w:rPr>
          <w:color w:val="1B1B22"/>
          <w:spacing w:val="-6"/>
        </w:rPr>
        <w:t> </w:t>
      </w:r>
      <w:r>
        <w:rPr>
          <w:color w:val="1B1B22"/>
        </w:rPr>
        <w:t>do</w:t>
      </w:r>
      <w:r>
        <w:rPr>
          <w:color w:val="1B1B22"/>
          <w:spacing w:val="-7"/>
        </w:rPr>
        <w:t> </w:t>
      </w:r>
      <w:r>
        <w:rPr>
          <w:color w:val="1B1B22"/>
        </w:rPr>
        <w:t>BB,</w:t>
      </w:r>
      <w:r>
        <w:rPr>
          <w:color w:val="1B1B22"/>
          <w:spacing w:val="-7"/>
        </w:rPr>
        <w:t> </w:t>
      </w:r>
      <w:r>
        <w:rPr>
          <w:color w:val="1B1B22"/>
        </w:rPr>
        <w:t>que</w:t>
      </w:r>
      <w:r>
        <w:rPr>
          <w:color w:val="1B1B22"/>
          <w:spacing w:val="-7"/>
        </w:rPr>
        <w:t> </w:t>
      </w:r>
      <w:r>
        <w:rPr>
          <w:color w:val="1B1B22"/>
        </w:rPr>
        <w:t>segue</w:t>
      </w:r>
      <w:r>
        <w:rPr>
          <w:color w:val="1B1B22"/>
          <w:spacing w:val="-7"/>
        </w:rPr>
        <w:t> </w:t>
      </w:r>
      <w:r>
        <w:rPr>
          <w:color w:val="1B1B22"/>
        </w:rPr>
        <w:t>expandindo, suportado por nossa transformação cultural. Temos soluções que impactam a experiência do cliente e viabilizam negócios e resultados. Realizamos mais de 3 trilhões de transações de</w:t>
      </w:r>
      <w:r>
        <w:rPr>
          <w:color w:val="1B1B22"/>
          <w:spacing w:val="-3"/>
        </w:rPr>
        <w:t> </w:t>
      </w:r>
      <w:r>
        <w:rPr>
          <w:color w:val="1B1B22"/>
        </w:rPr>
        <w:t>TI em 2024. Acima de 300 implantações por dia e quanto aos testes automatizados, foram além de 520 mil, com o propósito de garantir a qualidade das soluções tecnológicas disponibilizadas, a satisfação e o reconhecimento dos clientes.</w:t>
      </w:r>
    </w:p>
    <w:p>
      <w:pPr>
        <w:pStyle w:val="BodyText"/>
        <w:spacing w:before="114"/>
        <w:ind w:left="672"/>
        <w:rPr>
          <w:rFonts w:ascii="BancoDoBrasil Textos Medium" w:hAnsi="BancoDoBrasil Textos Medium"/>
          <w:b w:val="0"/>
        </w:rPr>
      </w:pPr>
      <w:r>
        <w:rPr>
          <w:rFonts w:ascii="BancoDoBrasil Textos Medium" w:hAnsi="BancoDoBrasil Textos Medium"/>
          <w:b w:val="0"/>
          <w:color w:val="465EFF"/>
          <w:spacing w:val="-2"/>
        </w:rPr>
        <w:t>Inteligência</w:t>
      </w:r>
      <w:r>
        <w:rPr>
          <w:rFonts w:ascii="BancoDoBrasil Textos Medium" w:hAnsi="BancoDoBrasil Textos Medium"/>
          <w:b w:val="0"/>
          <w:color w:val="465EFF"/>
        </w:rPr>
        <w:t> </w:t>
      </w:r>
      <w:r>
        <w:rPr>
          <w:rFonts w:ascii="BancoDoBrasil Textos Medium" w:hAnsi="BancoDoBrasil Textos Medium"/>
          <w:b w:val="0"/>
          <w:color w:val="465EFF"/>
          <w:spacing w:val="-2"/>
        </w:rPr>
        <w:t>Artificial</w:t>
      </w:r>
      <w:r>
        <w:rPr>
          <w:rFonts w:ascii="BancoDoBrasil Textos Medium" w:hAnsi="BancoDoBrasil Textos Medium"/>
          <w:b w:val="0"/>
          <w:color w:val="465EFF"/>
          <w:spacing w:val="6"/>
        </w:rPr>
        <w:t> </w:t>
      </w:r>
      <w:r>
        <w:rPr>
          <w:rFonts w:ascii="BancoDoBrasil Textos Medium" w:hAnsi="BancoDoBrasil Textos Medium"/>
          <w:b w:val="0"/>
          <w:color w:val="465EFF"/>
          <w:spacing w:val="-2"/>
        </w:rPr>
        <w:t>e</w:t>
      </w:r>
      <w:r>
        <w:rPr>
          <w:rFonts w:ascii="BancoDoBrasil Textos Medium" w:hAnsi="BancoDoBrasil Textos Medium"/>
          <w:b w:val="0"/>
          <w:color w:val="465EFF"/>
          <w:spacing w:val="3"/>
        </w:rPr>
        <w:t> </w:t>
      </w:r>
      <w:r>
        <w:rPr>
          <w:rFonts w:ascii="BancoDoBrasil Textos Medium" w:hAnsi="BancoDoBrasil Textos Medium"/>
          <w:b w:val="0"/>
          <w:color w:val="465EFF"/>
          <w:spacing w:val="-2"/>
        </w:rPr>
        <w:t>Analítica</w:t>
      </w:r>
    </w:p>
    <w:p>
      <w:pPr>
        <w:pStyle w:val="BodyText"/>
        <w:spacing w:line="319" w:lineRule="auto" w:before="206"/>
        <w:ind w:left="672" w:right="7"/>
      </w:pPr>
      <w:r>
        <w:rPr>
          <w:color w:val="1B1B22"/>
        </w:rPr>
        <w:t>Viabilizamos</w:t>
      </w:r>
      <w:r>
        <w:rPr>
          <w:color w:val="1B1B22"/>
          <w:spacing w:val="-3"/>
        </w:rPr>
        <w:t> </w:t>
      </w:r>
      <w:r>
        <w:rPr>
          <w:color w:val="1B1B22"/>
        </w:rPr>
        <w:t>novos</w:t>
      </w:r>
      <w:r>
        <w:rPr>
          <w:color w:val="1B1B22"/>
          <w:spacing w:val="-3"/>
        </w:rPr>
        <w:t> </w:t>
      </w:r>
      <w:r>
        <w:rPr>
          <w:color w:val="1B1B22"/>
        </w:rPr>
        <w:t>negócios</w:t>
      </w:r>
      <w:r>
        <w:rPr>
          <w:color w:val="1B1B22"/>
          <w:spacing w:val="-3"/>
        </w:rPr>
        <w:t> </w:t>
      </w:r>
      <w:r>
        <w:rPr>
          <w:color w:val="1B1B22"/>
        </w:rPr>
        <w:t>e</w:t>
      </w:r>
      <w:r>
        <w:rPr>
          <w:color w:val="1B1B22"/>
          <w:spacing w:val="-4"/>
        </w:rPr>
        <w:t> </w:t>
      </w:r>
      <w:r>
        <w:rPr>
          <w:color w:val="1B1B22"/>
        </w:rPr>
        <w:t>inovações</w:t>
      </w:r>
      <w:r>
        <w:rPr>
          <w:color w:val="1B1B22"/>
          <w:spacing w:val="-3"/>
        </w:rPr>
        <w:t> </w:t>
      </w:r>
      <w:r>
        <w:rPr>
          <w:color w:val="1B1B22"/>
        </w:rPr>
        <w:t>por</w:t>
      </w:r>
      <w:r>
        <w:rPr>
          <w:color w:val="1B1B22"/>
          <w:spacing w:val="-4"/>
        </w:rPr>
        <w:t> </w:t>
      </w:r>
      <w:r>
        <w:rPr>
          <w:color w:val="1B1B22"/>
        </w:rPr>
        <w:t>meio de soluções de Inteligência Artificial.</w:t>
      </w:r>
    </w:p>
    <w:p>
      <w:pPr>
        <w:pStyle w:val="BodyText"/>
        <w:spacing w:line="321" w:lineRule="auto" w:before="78"/>
        <w:ind w:left="666" w:right="628"/>
      </w:pPr>
      <w:r>
        <w:rPr/>
        <w:br w:type="column"/>
      </w:r>
      <w:r>
        <w:rPr>
          <w:color w:val="1B1B22"/>
        </w:rPr>
        <w:t>Por meio da solução Cadeia de Valor PJ reunimos </w:t>
      </w:r>
      <w:r>
        <w:rPr>
          <w:color w:val="1B1B22"/>
          <w:spacing w:val="-2"/>
        </w:rPr>
        <w:t>fornecedores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compradores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para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realizar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negócios bons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rentáveis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para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todas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as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partes.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A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ferramenta </w:t>
      </w:r>
      <w:r>
        <w:rPr>
          <w:color w:val="1B1B22"/>
        </w:rPr>
        <w:t>disponibiliza elementos relevantes para apoiar os negócios,</w:t>
      </w:r>
      <w:r>
        <w:rPr>
          <w:color w:val="1B1B22"/>
          <w:spacing w:val="-12"/>
        </w:rPr>
        <w:t> </w:t>
      </w:r>
      <w:r>
        <w:rPr>
          <w:color w:val="1B1B22"/>
        </w:rPr>
        <w:t>como</w:t>
      </w:r>
      <w:r>
        <w:rPr>
          <w:color w:val="1B1B22"/>
          <w:spacing w:val="-12"/>
        </w:rPr>
        <w:t> </w:t>
      </w:r>
      <w:r>
        <w:rPr>
          <w:color w:val="1B1B22"/>
        </w:rPr>
        <w:t>por</w:t>
      </w:r>
      <w:r>
        <w:rPr>
          <w:color w:val="1B1B22"/>
          <w:spacing w:val="-12"/>
        </w:rPr>
        <w:t> </w:t>
      </w:r>
      <w:r>
        <w:rPr>
          <w:color w:val="1B1B22"/>
        </w:rPr>
        <w:t>exemplo:</w:t>
      </w:r>
      <w:r>
        <w:rPr>
          <w:color w:val="1B1B22"/>
          <w:spacing w:val="-12"/>
        </w:rPr>
        <w:t> </w:t>
      </w:r>
      <w:r>
        <w:rPr>
          <w:color w:val="1B1B22"/>
        </w:rPr>
        <w:t>elos</w:t>
      </w:r>
      <w:r>
        <w:rPr>
          <w:color w:val="1B1B22"/>
          <w:spacing w:val="-12"/>
        </w:rPr>
        <w:t> </w:t>
      </w:r>
      <w:r>
        <w:rPr>
          <w:color w:val="1B1B22"/>
        </w:rPr>
        <w:t>entre</w:t>
      </w:r>
      <w:r>
        <w:rPr>
          <w:color w:val="1B1B22"/>
          <w:spacing w:val="-12"/>
        </w:rPr>
        <w:t> </w:t>
      </w:r>
      <w:r>
        <w:rPr>
          <w:color w:val="1B1B22"/>
        </w:rPr>
        <w:t>empresas; fornecedores e compradores únicos;</w:t>
      </w:r>
      <w:r>
        <w:rPr>
          <w:color w:val="1B1B22"/>
          <w:spacing w:val="-12"/>
        </w:rPr>
        <w:t> </w:t>
      </w:r>
      <w:r>
        <w:rPr>
          <w:color w:val="1B1B22"/>
        </w:rPr>
        <w:t>valores </w:t>
      </w:r>
      <w:r>
        <w:rPr>
          <w:color w:val="1B1B22"/>
          <w:spacing w:val="-2"/>
        </w:rPr>
        <w:t>movimentados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pelas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empresas;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resultando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em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uma </w:t>
      </w:r>
      <w:r>
        <w:rPr>
          <w:color w:val="1B1B22"/>
        </w:rPr>
        <w:t>base</w:t>
      </w:r>
      <w:r>
        <w:rPr>
          <w:color w:val="1B1B22"/>
          <w:spacing w:val="-3"/>
        </w:rPr>
        <w:t> </w:t>
      </w:r>
      <w:r>
        <w:rPr>
          <w:color w:val="1B1B22"/>
        </w:rPr>
        <w:t>de</w:t>
      </w:r>
      <w:r>
        <w:rPr>
          <w:color w:val="1B1B22"/>
          <w:spacing w:val="-3"/>
        </w:rPr>
        <w:t> </w:t>
      </w:r>
      <w:r>
        <w:rPr>
          <w:color w:val="1B1B22"/>
        </w:rPr>
        <w:t>dados</w:t>
      </w:r>
      <w:r>
        <w:rPr>
          <w:color w:val="1B1B22"/>
          <w:spacing w:val="-1"/>
        </w:rPr>
        <w:t> </w:t>
      </w:r>
      <w:r>
        <w:rPr>
          <w:color w:val="1B1B22"/>
        </w:rPr>
        <w:t>com</w:t>
      </w:r>
      <w:r>
        <w:rPr>
          <w:color w:val="1B1B22"/>
          <w:spacing w:val="-3"/>
        </w:rPr>
        <w:t> </w:t>
      </w:r>
      <w:r>
        <w:rPr>
          <w:color w:val="1B1B22"/>
        </w:rPr>
        <w:t>3,6</w:t>
      </w:r>
      <w:r>
        <w:rPr>
          <w:color w:val="1B1B22"/>
          <w:spacing w:val="-3"/>
        </w:rPr>
        <w:t> </w:t>
      </w:r>
      <w:r>
        <w:rPr>
          <w:color w:val="1B1B22"/>
        </w:rPr>
        <w:t>bilhões</w:t>
      </w:r>
      <w:r>
        <w:rPr>
          <w:color w:val="1B1B22"/>
          <w:spacing w:val="-2"/>
        </w:rPr>
        <w:t> </w:t>
      </w:r>
      <w:r>
        <w:rPr>
          <w:color w:val="1B1B22"/>
        </w:rPr>
        <w:t>de</w:t>
      </w:r>
      <w:r>
        <w:rPr>
          <w:color w:val="1B1B22"/>
          <w:spacing w:val="-3"/>
        </w:rPr>
        <w:t> </w:t>
      </w:r>
      <w:r>
        <w:rPr>
          <w:color w:val="1B1B22"/>
        </w:rPr>
        <w:t>registros.</w:t>
      </w:r>
      <w:r>
        <w:rPr>
          <w:color w:val="1B1B22"/>
          <w:spacing w:val="-2"/>
        </w:rPr>
        <w:t> </w:t>
      </w:r>
      <w:r>
        <w:rPr>
          <w:color w:val="1B1B22"/>
        </w:rPr>
        <w:t>Desde a implementação da solução, em julho/2024 o BB beneficiou diretamente mais de sete mil empresas âncoras, entre fornecedores e compradores.</w:t>
      </w:r>
    </w:p>
    <w:p>
      <w:pPr>
        <w:pStyle w:val="BodyText"/>
        <w:spacing w:before="119"/>
        <w:ind w:left="666"/>
        <w:jc w:val="left"/>
        <w:rPr>
          <w:rFonts w:ascii="BancoDoBrasil Textos Medium"/>
          <w:b w:val="0"/>
        </w:rPr>
      </w:pPr>
      <w:r>
        <w:rPr>
          <w:rFonts w:ascii="BancoDoBrasil Textos Medium"/>
          <w:b w:val="0"/>
          <w:color w:val="465EFF"/>
          <w:spacing w:val="-5"/>
        </w:rPr>
        <w:t>PIX</w:t>
      </w:r>
    </w:p>
    <w:p>
      <w:pPr>
        <w:pStyle w:val="BodyText"/>
        <w:spacing w:line="321" w:lineRule="auto" w:before="206"/>
        <w:ind w:left="666" w:right="630"/>
      </w:pPr>
      <w:r>
        <w:rPr>
          <w:color w:val="1B1B22"/>
        </w:rPr>
        <w:t>Nós integramos oportunidades de novos negócios com tecnologia de ponta para melhoria da experiência do cliente.</w:t>
      </w:r>
      <w:r>
        <w:rPr>
          <w:color w:val="1B1B22"/>
          <w:spacing w:val="40"/>
        </w:rPr>
        <w:t> </w:t>
      </w:r>
      <w:r>
        <w:rPr>
          <w:color w:val="1B1B22"/>
        </w:rPr>
        <w:t>Nesse terceiro trimestre, por exemplo, realizamos o piloto de soluções que ampliam suas oportunidades de negócio por meio do BaaS e Pix com soluções inovadoras, como: Pix </w:t>
      </w:r>
      <w:r>
        <w:rPr>
          <w:color w:val="1B1B22"/>
          <w:spacing w:val="-2"/>
        </w:rPr>
        <w:t>por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aproximação,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Pix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cartão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crédito,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Pix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BB </w:t>
      </w:r>
      <w:r>
        <w:rPr>
          <w:color w:val="1B1B22"/>
          <w:spacing w:val="-4"/>
        </w:rPr>
        <w:t>Pay.</w:t>
      </w:r>
    </w:p>
    <w:p>
      <w:pPr>
        <w:pStyle w:val="BodyText"/>
        <w:spacing w:before="115"/>
        <w:ind w:left="666"/>
        <w:jc w:val="left"/>
        <w:rPr>
          <w:rFonts w:ascii="BancoDoBrasil Textos Medium"/>
          <w:b w:val="0"/>
        </w:rPr>
      </w:pPr>
      <w:r>
        <w:rPr>
          <w:rFonts w:ascii="BancoDoBrasil Textos Medium"/>
          <w:b w:val="0"/>
          <w:color w:val="465EFF"/>
        </w:rPr>
        <w:t>Canais</w:t>
      </w:r>
      <w:r>
        <w:rPr>
          <w:rFonts w:ascii="BancoDoBrasil Textos Medium"/>
          <w:b w:val="0"/>
          <w:color w:val="465EFF"/>
          <w:spacing w:val="-7"/>
        </w:rPr>
        <w:t> </w:t>
      </w:r>
      <w:r>
        <w:rPr>
          <w:rFonts w:ascii="BancoDoBrasil Textos Medium"/>
          <w:b w:val="0"/>
          <w:color w:val="465EFF"/>
          <w:spacing w:val="-2"/>
        </w:rPr>
        <w:t>Digitais</w:t>
      </w:r>
    </w:p>
    <w:p>
      <w:pPr>
        <w:pStyle w:val="BodyText"/>
        <w:spacing w:line="319" w:lineRule="auto" w:before="206"/>
        <w:ind w:left="666" w:right="629"/>
      </w:pPr>
      <w:r>
        <w:rPr>
          <w:color w:val="1B1B22"/>
        </w:rPr>
        <w:t>O uso dos nossos canais digitais responde por 93,7% das operações dos clientes, refletindo a tendência global de digitização bancária.</w:t>
      </w:r>
    </w:p>
    <w:p>
      <w:pPr>
        <w:pStyle w:val="BodyText"/>
        <w:spacing w:line="321" w:lineRule="auto" w:before="124"/>
        <w:ind w:left="666" w:right="630"/>
      </w:pPr>
      <w:r>
        <w:rPr>
          <w:color w:val="1B1B22"/>
        </w:rPr>
        <w:t>Alcançamos</w:t>
      </w:r>
      <w:r>
        <w:rPr>
          <w:color w:val="1B1B22"/>
          <w:spacing w:val="-2"/>
        </w:rPr>
        <w:t> </w:t>
      </w:r>
      <w:r>
        <w:rPr>
          <w:color w:val="1B1B22"/>
        </w:rPr>
        <w:t>o</w:t>
      </w:r>
      <w:r>
        <w:rPr>
          <w:color w:val="1B1B22"/>
          <w:spacing w:val="-3"/>
        </w:rPr>
        <w:t> </w:t>
      </w:r>
      <w:r>
        <w:rPr>
          <w:color w:val="1B1B22"/>
        </w:rPr>
        <w:t>recorde</w:t>
      </w:r>
      <w:r>
        <w:rPr>
          <w:color w:val="1B1B22"/>
          <w:spacing w:val="-4"/>
        </w:rPr>
        <w:t> </w:t>
      </w:r>
      <w:r>
        <w:rPr>
          <w:color w:val="1B1B22"/>
        </w:rPr>
        <w:t>de</w:t>
      </w:r>
      <w:r>
        <w:rPr>
          <w:color w:val="1B1B22"/>
          <w:spacing w:val="-1"/>
        </w:rPr>
        <w:t> </w:t>
      </w:r>
      <w:r>
        <w:rPr>
          <w:color w:val="1B1B22"/>
        </w:rPr>
        <w:t>24,2</w:t>
      </w:r>
      <w:r>
        <w:rPr>
          <w:color w:val="1B1B22"/>
          <w:spacing w:val="-4"/>
        </w:rPr>
        <w:t> </w:t>
      </w:r>
      <w:r>
        <w:rPr>
          <w:color w:val="1B1B22"/>
        </w:rPr>
        <w:t>milhões</w:t>
      </w:r>
      <w:r>
        <w:rPr>
          <w:color w:val="1B1B22"/>
          <w:spacing w:val="-2"/>
        </w:rPr>
        <w:t> </w:t>
      </w:r>
      <w:r>
        <w:rPr>
          <w:color w:val="1B1B22"/>
        </w:rPr>
        <w:t>de</w:t>
      </w:r>
      <w:r>
        <w:rPr>
          <w:color w:val="1B1B22"/>
          <w:spacing w:val="-4"/>
        </w:rPr>
        <w:t> </w:t>
      </w:r>
      <w:r>
        <w:rPr>
          <w:color w:val="1B1B22"/>
        </w:rPr>
        <w:t>usuários no App BB no segmento pessoa física. As plataformas digitais respondem por 38,6% do crédito pessoal e 27% das operações de serviços, como investimentos, aberturas de contas e </w:t>
      </w:r>
      <w:r>
        <w:rPr>
          <w:color w:val="1B1B22"/>
          <w:spacing w:val="-2"/>
        </w:rPr>
        <w:t>seguros.</w:t>
      </w:r>
    </w:p>
    <w:p>
      <w:pPr>
        <w:pStyle w:val="BodyText"/>
        <w:spacing w:line="321" w:lineRule="auto" w:before="119"/>
        <w:ind w:left="666" w:right="628"/>
      </w:pPr>
      <w:r>
        <w:rPr>
          <w:color w:val="1B1B22"/>
        </w:rPr>
        <w:t>O Super App BB é um dos mais bem avaliados do mercado, posicionado entre os 10 aplicativos mais populares na tela principal do celular dos brasileiros. Em um processo de melhoria</w:t>
      </w:r>
      <w:r>
        <w:rPr>
          <w:color w:val="1B1B22"/>
          <w:spacing w:val="-1"/>
        </w:rPr>
        <w:t> </w:t>
      </w:r>
      <w:r>
        <w:rPr>
          <w:color w:val="1B1B22"/>
        </w:rPr>
        <w:t>contínua, neste</w:t>
      </w:r>
      <w:r>
        <w:rPr>
          <w:color w:val="1B1B22"/>
          <w:spacing w:val="-9"/>
        </w:rPr>
        <w:t> </w:t>
      </w:r>
      <w:r>
        <w:rPr>
          <w:color w:val="1B1B22"/>
        </w:rPr>
        <w:t>trimestre,</w:t>
      </w:r>
      <w:r>
        <w:rPr>
          <w:color w:val="1B1B22"/>
          <w:spacing w:val="-9"/>
        </w:rPr>
        <w:t> </w:t>
      </w:r>
      <w:r>
        <w:rPr>
          <w:color w:val="1B1B22"/>
        </w:rPr>
        <w:t>o</w:t>
      </w:r>
      <w:r>
        <w:rPr>
          <w:color w:val="1B1B22"/>
          <w:spacing w:val="-9"/>
        </w:rPr>
        <w:t> </w:t>
      </w:r>
      <w:r>
        <w:rPr>
          <w:color w:val="1B1B22"/>
        </w:rPr>
        <w:t>BB</w:t>
      </w:r>
      <w:r>
        <w:rPr>
          <w:color w:val="1B1B22"/>
          <w:spacing w:val="-9"/>
        </w:rPr>
        <w:t> </w:t>
      </w:r>
      <w:r>
        <w:rPr>
          <w:color w:val="1B1B22"/>
        </w:rPr>
        <w:t>implementou</w:t>
      </w:r>
      <w:r>
        <w:rPr>
          <w:color w:val="1B1B22"/>
          <w:spacing w:val="-8"/>
        </w:rPr>
        <w:t> </w:t>
      </w:r>
      <w:r>
        <w:rPr>
          <w:color w:val="1B1B22"/>
        </w:rPr>
        <w:t>no</w:t>
      </w:r>
      <w:r>
        <w:rPr>
          <w:color w:val="1B1B22"/>
          <w:spacing w:val="-11"/>
        </w:rPr>
        <w:t> </w:t>
      </w:r>
      <w:r>
        <w:rPr>
          <w:color w:val="1B1B22"/>
        </w:rPr>
        <w:t>App</w:t>
      </w:r>
      <w:r>
        <w:rPr>
          <w:color w:val="1B1B22"/>
          <w:spacing w:val="-8"/>
        </w:rPr>
        <w:t> </w:t>
      </w:r>
      <w:r>
        <w:rPr>
          <w:color w:val="1B1B22"/>
        </w:rPr>
        <w:t>BB</w:t>
      </w:r>
      <w:r>
        <w:rPr>
          <w:color w:val="1B1B22"/>
          <w:spacing w:val="-8"/>
        </w:rPr>
        <w:t> </w:t>
      </w:r>
      <w:r>
        <w:rPr>
          <w:color w:val="1B1B22"/>
        </w:rPr>
        <w:t>uma jornada exclusiva para o público jovem, com uma interface</w:t>
      </w:r>
      <w:r>
        <w:rPr>
          <w:color w:val="1B1B22"/>
          <w:spacing w:val="33"/>
        </w:rPr>
        <w:t> </w:t>
      </w:r>
      <w:r>
        <w:rPr>
          <w:color w:val="1B1B22"/>
        </w:rPr>
        <w:t>moderna</w:t>
      </w:r>
      <w:r>
        <w:rPr>
          <w:color w:val="1B1B22"/>
          <w:spacing w:val="32"/>
        </w:rPr>
        <w:t> </w:t>
      </w:r>
      <w:r>
        <w:rPr>
          <w:color w:val="1B1B22"/>
        </w:rPr>
        <w:t>e</w:t>
      </w:r>
      <w:r>
        <w:rPr>
          <w:color w:val="1B1B22"/>
          <w:spacing w:val="34"/>
        </w:rPr>
        <w:t> </w:t>
      </w:r>
      <w:r>
        <w:rPr>
          <w:color w:val="1B1B22"/>
        </w:rPr>
        <w:t>integrada</w:t>
      </w:r>
      <w:r>
        <w:rPr>
          <w:color w:val="1B1B22"/>
          <w:spacing w:val="32"/>
        </w:rPr>
        <w:t> </w:t>
      </w:r>
      <w:r>
        <w:rPr>
          <w:color w:val="1B1B22"/>
        </w:rPr>
        <w:t>com</w:t>
      </w:r>
      <w:r>
        <w:rPr>
          <w:color w:val="1B1B22"/>
          <w:spacing w:val="34"/>
        </w:rPr>
        <w:t> </w:t>
      </w:r>
      <w:r>
        <w:rPr>
          <w:color w:val="1B1B22"/>
        </w:rPr>
        <w:t>o</w:t>
      </w:r>
      <w:r>
        <w:rPr>
          <w:color w:val="1B1B22"/>
          <w:spacing w:val="22"/>
        </w:rPr>
        <w:t> </w:t>
      </w:r>
      <w:r>
        <w:rPr>
          <w:color w:val="1B1B22"/>
          <w:spacing w:val="-2"/>
        </w:rPr>
        <w:t>WhatsApp</w:t>
      </w:r>
    </w:p>
    <w:p>
      <w:pPr>
        <w:spacing w:after="0" w:line="321" w:lineRule="auto"/>
        <w:sectPr>
          <w:type w:val="continuous"/>
          <w:pgSz w:w="11910" w:h="16850"/>
          <w:pgMar w:header="152" w:footer="591" w:top="1920" w:bottom="280" w:left="180" w:right="220"/>
          <w:cols w:num="2" w:equalWidth="0">
            <w:col w:w="5423" w:space="40"/>
            <w:col w:w="6047"/>
          </w:cols>
        </w:sectPr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spacing w:before="232"/>
        <w:jc w:val="left"/>
      </w:pPr>
    </w:p>
    <w:p>
      <w:pPr>
        <w:spacing w:after="0"/>
        <w:jc w:val="left"/>
        <w:sectPr>
          <w:pgSz w:w="11910" w:h="16850"/>
          <w:pgMar w:header="152" w:footer="591" w:top="900" w:bottom="780" w:left="180" w:right="220"/>
        </w:sectPr>
      </w:pPr>
    </w:p>
    <w:p>
      <w:pPr>
        <w:pStyle w:val="BodyText"/>
        <w:spacing w:line="319" w:lineRule="auto" w:before="78"/>
        <w:ind w:left="672"/>
      </w:pPr>
      <w:r>
        <w:rPr>
          <w:color w:val="1B1B22"/>
        </w:rPr>
        <w:t>que, somente na fase piloto, contou com mais de dois milhões de acessos específicos deste público.</w:t>
      </w:r>
    </w:p>
    <w:p>
      <w:pPr>
        <w:pStyle w:val="BodyText"/>
        <w:spacing w:line="321" w:lineRule="auto" w:before="122"/>
        <w:ind w:left="672" w:right="2"/>
      </w:pPr>
      <w:r>
        <w:rPr>
          <w:color w:val="1B1B22"/>
        </w:rPr>
        <w:t>O WhatsApp BB alcançou 18 milhões de usuários totais, com 98,4% de resolutividade nos atendimentos pelo bot, sem transbordo para o atendimento humano.</w:t>
      </w:r>
    </w:p>
    <w:p>
      <w:pPr>
        <w:pStyle w:val="BodyText"/>
        <w:spacing w:line="321" w:lineRule="auto" w:before="119"/>
        <w:ind w:left="672" w:right="1"/>
      </w:pPr>
      <w:r>
        <w:rPr>
          <w:color w:val="1B1B22"/>
        </w:rPr>
        <w:t>O BB Pay integra meios de pagamento e funcionalidades em uma solução única, contribuindo praticidade e oportunidades de negócios para as pessoas jurídicas.</w:t>
      </w:r>
      <w:r>
        <w:rPr>
          <w:color w:val="1B1B22"/>
          <w:spacing w:val="40"/>
        </w:rPr>
        <w:t> </w:t>
      </w:r>
      <w:r>
        <w:rPr>
          <w:color w:val="1B1B22"/>
        </w:rPr>
        <w:t>No 3T24, a solução transacionou acima de R$ 2,3 bilhões, concretizando mais de 3 milhões de operações de pagamento,</w:t>
      </w:r>
      <w:r>
        <w:rPr>
          <w:color w:val="1B1B22"/>
          <w:spacing w:val="-10"/>
        </w:rPr>
        <w:t> </w:t>
      </w:r>
      <w:r>
        <w:rPr>
          <w:color w:val="1B1B22"/>
        </w:rPr>
        <w:t>um</w:t>
      </w:r>
      <w:r>
        <w:rPr>
          <w:color w:val="1B1B22"/>
          <w:spacing w:val="-11"/>
        </w:rPr>
        <w:t> </w:t>
      </w:r>
      <w:r>
        <w:rPr>
          <w:color w:val="1B1B22"/>
        </w:rPr>
        <w:t>crescimento</w:t>
      </w:r>
      <w:r>
        <w:rPr>
          <w:color w:val="1B1B22"/>
          <w:spacing w:val="-10"/>
        </w:rPr>
        <w:t> </w:t>
      </w:r>
      <w:r>
        <w:rPr>
          <w:color w:val="1B1B22"/>
        </w:rPr>
        <w:t>de</w:t>
      </w:r>
      <w:r>
        <w:rPr>
          <w:color w:val="1B1B22"/>
          <w:spacing w:val="-11"/>
        </w:rPr>
        <w:t> </w:t>
      </w:r>
      <w:r>
        <w:rPr>
          <w:color w:val="1B1B22"/>
        </w:rPr>
        <w:t>15%</w:t>
      </w:r>
      <w:r>
        <w:rPr>
          <w:color w:val="1B1B22"/>
          <w:spacing w:val="-11"/>
        </w:rPr>
        <w:t> </w:t>
      </w:r>
      <w:r>
        <w:rPr>
          <w:color w:val="1B1B22"/>
        </w:rPr>
        <w:t>em</w:t>
      </w:r>
      <w:r>
        <w:rPr>
          <w:color w:val="1B1B22"/>
          <w:spacing w:val="-11"/>
        </w:rPr>
        <w:t> </w:t>
      </w:r>
      <w:r>
        <w:rPr>
          <w:color w:val="1B1B22"/>
        </w:rPr>
        <w:t>relação</w:t>
      </w:r>
      <w:r>
        <w:rPr>
          <w:color w:val="1B1B22"/>
          <w:spacing w:val="-10"/>
        </w:rPr>
        <w:t> </w:t>
      </w:r>
      <w:r>
        <w:rPr>
          <w:color w:val="1B1B22"/>
        </w:rPr>
        <w:t>ao 2T24.</w:t>
      </w:r>
      <w:r>
        <w:rPr>
          <w:color w:val="1B1B22"/>
          <w:spacing w:val="-13"/>
        </w:rPr>
        <w:t> </w:t>
      </w:r>
      <w:r>
        <w:rPr>
          <w:color w:val="1B1B22"/>
        </w:rPr>
        <w:t>O</w:t>
      </w:r>
      <w:r>
        <w:rPr>
          <w:color w:val="1B1B22"/>
          <w:spacing w:val="-11"/>
        </w:rPr>
        <w:t> </w:t>
      </w:r>
      <w:r>
        <w:rPr>
          <w:color w:val="1B1B22"/>
        </w:rPr>
        <w:t>volume</w:t>
      </w:r>
      <w:r>
        <w:rPr>
          <w:color w:val="1B1B22"/>
          <w:spacing w:val="-12"/>
        </w:rPr>
        <w:t> </w:t>
      </w:r>
      <w:r>
        <w:rPr>
          <w:color w:val="1B1B22"/>
        </w:rPr>
        <w:t>acumulado</w:t>
      </w:r>
      <w:r>
        <w:rPr>
          <w:color w:val="1B1B22"/>
          <w:spacing w:val="-12"/>
        </w:rPr>
        <w:t> </w:t>
      </w:r>
      <w:r>
        <w:rPr>
          <w:color w:val="1B1B22"/>
        </w:rPr>
        <w:t>no</w:t>
      </w:r>
      <w:r>
        <w:rPr>
          <w:color w:val="1B1B22"/>
          <w:spacing w:val="-12"/>
        </w:rPr>
        <w:t> </w:t>
      </w:r>
      <w:r>
        <w:rPr>
          <w:color w:val="1B1B22"/>
        </w:rPr>
        <w:t>ano</w:t>
      </w:r>
      <w:r>
        <w:rPr>
          <w:color w:val="1B1B22"/>
          <w:spacing w:val="-12"/>
        </w:rPr>
        <w:t> </w:t>
      </w:r>
      <w:r>
        <w:rPr>
          <w:color w:val="1B1B22"/>
        </w:rPr>
        <w:t>já</w:t>
      </w:r>
      <w:r>
        <w:rPr>
          <w:color w:val="1B1B22"/>
          <w:spacing w:val="-13"/>
        </w:rPr>
        <w:t> </w:t>
      </w:r>
      <w:r>
        <w:rPr>
          <w:color w:val="1B1B22"/>
        </w:rPr>
        <w:t>ultrapassa</w:t>
      </w:r>
      <w:r>
        <w:rPr>
          <w:color w:val="1B1B22"/>
          <w:spacing w:val="-12"/>
        </w:rPr>
        <w:t> </w:t>
      </w:r>
      <w:r>
        <w:rPr>
          <w:color w:val="1B1B22"/>
        </w:rPr>
        <w:t>R$ 5,8 bilhões.</w:t>
      </w:r>
    </w:p>
    <w:p>
      <w:pPr>
        <w:pStyle w:val="BodyText"/>
        <w:spacing w:before="115"/>
        <w:ind w:left="672"/>
        <w:rPr>
          <w:rFonts w:ascii="BancoDoBrasil Textos Medium"/>
          <w:b w:val="0"/>
        </w:rPr>
      </w:pPr>
      <w:r>
        <w:rPr>
          <w:rFonts w:ascii="BancoDoBrasil Textos Medium"/>
          <w:b w:val="0"/>
          <w:color w:val="465EFF"/>
        </w:rPr>
        <w:t>Open</w:t>
      </w:r>
      <w:r>
        <w:rPr>
          <w:rFonts w:ascii="BancoDoBrasil Textos Medium"/>
          <w:b w:val="0"/>
          <w:color w:val="465EFF"/>
          <w:spacing w:val="-7"/>
        </w:rPr>
        <w:t> </w:t>
      </w:r>
      <w:r>
        <w:rPr>
          <w:rFonts w:ascii="BancoDoBrasil Textos Medium"/>
          <w:b w:val="0"/>
          <w:color w:val="465EFF"/>
          <w:spacing w:val="-2"/>
        </w:rPr>
        <w:t>Finance</w:t>
      </w:r>
    </w:p>
    <w:p>
      <w:pPr>
        <w:pStyle w:val="BodyText"/>
        <w:spacing w:line="321" w:lineRule="auto" w:before="203"/>
        <w:ind w:left="672" w:right="1"/>
      </w:pPr>
      <w:r>
        <w:rPr>
          <w:color w:val="1B1B22"/>
        </w:rPr>
        <w:t>Ampliamos a quantidade de clientes com consentimento</w:t>
      </w:r>
      <w:r>
        <w:rPr>
          <w:color w:val="1B1B22"/>
          <w:spacing w:val="-7"/>
        </w:rPr>
        <w:t> </w:t>
      </w:r>
      <w:r>
        <w:rPr>
          <w:color w:val="1B1B22"/>
        </w:rPr>
        <w:t>ativo</w:t>
      </w:r>
      <w:r>
        <w:rPr>
          <w:color w:val="1B1B22"/>
          <w:spacing w:val="-7"/>
        </w:rPr>
        <w:t> </w:t>
      </w:r>
      <w:r>
        <w:rPr>
          <w:color w:val="1B1B22"/>
        </w:rPr>
        <w:t>no</w:t>
      </w:r>
      <w:r>
        <w:rPr>
          <w:color w:val="1B1B22"/>
          <w:spacing w:val="-7"/>
        </w:rPr>
        <w:t> </w:t>
      </w:r>
      <w:r>
        <w:rPr>
          <w:color w:val="1B1B22"/>
        </w:rPr>
        <w:t>Open</w:t>
      </w:r>
      <w:r>
        <w:rPr>
          <w:color w:val="1B1B22"/>
          <w:spacing w:val="-6"/>
        </w:rPr>
        <w:t> </w:t>
      </w:r>
      <w:r>
        <w:rPr>
          <w:color w:val="1B1B22"/>
        </w:rPr>
        <w:t>Finance,</w:t>
      </w:r>
      <w:r>
        <w:rPr>
          <w:color w:val="1B1B22"/>
          <w:spacing w:val="-7"/>
        </w:rPr>
        <w:t> </w:t>
      </w:r>
      <w:r>
        <w:rPr>
          <w:color w:val="1B1B22"/>
        </w:rPr>
        <w:t>chegando</w:t>
      </w:r>
      <w:r>
        <w:rPr>
          <w:color w:val="1B1B22"/>
          <w:spacing w:val="-7"/>
        </w:rPr>
        <w:t> </w:t>
      </w:r>
      <w:r>
        <w:rPr>
          <w:color w:val="1B1B22"/>
        </w:rPr>
        <w:t>a 2,1 milhões, dos quais 1,3 milhão já são consentimentos sem prazo de vencimento, o que contribui</w:t>
      </w:r>
      <w:r>
        <w:rPr>
          <w:color w:val="1B1B22"/>
          <w:spacing w:val="-8"/>
        </w:rPr>
        <w:t> </w:t>
      </w:r>
      <w:r>
        <w:rPr>
          <w:color w:val="1B1B22"/>
        </w:rPr>
        <w:t>para</w:t>
      </w:r>
      <w:r>
        <w:rPr>
          <w:color w:val="1B1B22"/>
          <w:spacing w:val="-9"/>
        </w:rPr>
        <w:t> </w:t>
      </w:r>
      <w:r>
        <w:rPr>
          <w:color w:val="1B1B22"/>
        </w:rPr>
        <w:t>a</w:t>
      </w:r>
      <w:r>
        <w:rPr>
          <w:color w:val="1B1B22"/>
          <w:spacing w:val="-9"/>
        </w:rPr>
        <w:t> </w:t>
      </w:r>
      <w:r>
        <w:rPr>
          <w:color w:val="1B1B22"/>
        </w:rPr>
        <w:t>perenidade</w:t>
      </w:r>
      <w:r>
        <w:rPr>
          <w:color w:val="1B1B22"/>
          <w:spacing w:val="-8"/>
        </w:rPr>
        <w:t> </w:t>
      </w:r>
      <w:r>
        <w:rPr>
          <w:color w:val="1B1B22"/>
        </w:rPr>
        <w:t>dos</w:t>
      </w:r>
      <w:r>
        <w:rPr>
          <w:color w:val="1B1B22"/>
          <w:spacing w:val="-7"/>
        </w:rPr>
        <w:t> </w:t>
      </w:r>
      <w:r>
        <w:rPr>
          <w:color w:val="1B1B22"/>
        </w:rPr>
        <w:t>benefícios</w:t>
      </w:r>
      <w:r>
        <w:rPr>
          <w:color w:val="1B1B22"/>
          <w:spacing w:val="-7"/>
        </w:rPr>
        <w:t> </w:t>
      </w:r>
      <w:r>
        <w:rPr>
          <w:color w:val="1B1B22"/>
        </w:rPr>
        <w:t>obtidos a partir do uso dos dados e melhora a experiência do cliente com o Open Finance.</w:t>
      </w:r>
    </w:p>
    <w:p>
      <w:pPr>
        <w:pStyle w:val="BodyText"/>
        <w:spacing w:line="321" w:lineRule="auto" w:before="118"/>
        <w:ind w:left="672"/>
      </w:pPr>
      <w:r>
        <w:rPr>
          <w:color w:val="1B1B22"/>
        </w:rPr>
        <w:t>Nossos principais casos de uso evoluíram em abrangência e resultados. A portabilidade de crédito</w:t>
      </w:r>
      <w:r>
        <w:rPr>
          <w:color w:val="1B1B22"/>
          <w:spacing w:val="-6"/>
        </w:rPr>
        <w:t> </w:t>
      </w:r>
      <w:r>
        <w:rPr>
          <w:color w:val="1B1B22"/>
        </w:rPr>
        <w:t>com</w:t>
      </w:r>
      <w:r>
        <w:rPr>
          <w:color w:val="1B1B22"/>
          <w:spacing w:val="-6"/>
        </w:rPr>
        <w:t> </w:t>
      </w:r>
      <w:r>
        <w:rPr>
          <w:color w:val="1B1B22"/>
        </w:rPr>
        <w:t>uso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6"/>
        </w:rPr>
        <w:t> </w:t>
      </w:r>
      <w:r>
        <w:rPr>
          <w:color w:val="1B1B22"/>
        </w:rPr>
        <w:t>dados</w:t>
      </w:r>
      <w:r>
        <w:rPr>
          <w:color w:val="1B1B22"/>
          <w:spacing w:val="-3"/>
        </w:rPr>
        <w:t> </w:t>
      </w:r>
      <w:r>
        <w:rPr>
          <w:color w:val="1B1B22"/>
        </w:rPr>
        <w:t>compartilhados</w:t>
      </w:r>
      <w:r>
        <w:rPr>
          <w:color w:val="1B1B22"/>
          <w:spacing w:val="-5"/>
        </w:rPr>
        <w:t> </w:t>
      </w:r>
      <w:r>
        <w:rPr>
          <w:color w:val="1B1B22"/>
        </w:rPr>
        <w:t>chegou, </w:t>
      </w:r>
      <w:r>
        <w:rPr>
          <w:color w:val="1B1B22"/>
          <w:spacing w:val="-2"/>
        </w:rPr>
        <w:t>nesse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trimestre,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à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marca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R$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1,7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bilhão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volume </w:t>
      </w:r>
      <w:r>
        <w:rPr>
          <w:color w:val="1B1B22"/>
        </w:rPr>
        <w:t>contratado</w:t>
      </w:r>
      <w:r>
        <w:rPr>
          <w:color w:val="1B1B22"/>
          <w:spacing w:val="65"/>
        </w:rPr>
        <w:t> </w:t>
      </w:r>
      <w:r>
        <w:rPr>
          <w:color w:val="1B1B22"/>
        </w:rPr>
        <w:t>para</w:t>
      </w:r>
      <w:r>
        <w:rPr>
          <w:color w:val="1B1B22"/>
          <w:spacing w:val="66"/>
        </w:rPr>
        <w:t> </w:t>
      </w:r>
      <w:r>
        <w:rPr>
          <w:color w:val="1B1B22"/>
        </w:rPr>
        <w:t>além</w:t>
      </w:r>
      <w:r>
        <w:rPr>
          <w:color w:val="1B1B22"/>
          <w:spacing w:val="66"/>
        </w:rPr>
        <w:t> </w:t>
      </w:r>
      <w:r>
        <w:rPr>
          <w:color w:val="1B1B22"/>
        </w:rPr>
        <w:t>de</w:t>
      </w:r>
      <w:r>
        <w:rPr>
          <w:color w:val="1B1B22"/>
          <w:spacing w:val="66"/>
        </w:rPr>
        <w:t> </w:t>
      </w:r>
      <w:r>
        <w:rPr>
          <w:color w:val="1B1B22"/>
        </w:rPr>
        <w:t>49</w:t>
      </w:r>
      <w:r>
        <w:rPr>
          <w:color w:val="1B1B22"/>
          <w:spacing w:val="65"/>
        </w:rPr>
        <w:t> </w:t>
      </w:r>
      <w:r>
        <w:rPr>
          <w:color w:val="1B1B22"/>
        </w:rPr>
        <w:t>mil</w:t>
      </w:r>
      <w:r>
        <w:rPr>
          <w:color w:val="1B1B22"/>
          <w:spacing w:val="66"/>
        </w:rPr>
        <w:t> </w:t>
      </w:r>
      <w:r>
        <w:rPr>
          <w:color w:val="1B1B22"/>
        </w:rPr>
        <w:t>clientes,</w:t>
      </w:r>
      <w:r>
        <w:rPr>
          <w:color w:val="1B1B22"/>
          <w:spacing w:val="66"/>
        </w:rPr>
        <w:t> </w:t>
      </w:r>
      <w:r>
        <w:rPr>
          <w:color w:val="1B1B22"/>
          <w:spacing w:val="-5"/>
        </w:rPr>
        <w:t>com</w:t>
      </w:r>
    </w:p>
    <w:p>
      <w:pPr>
        <w:pStyle w:val="BodyText"/>
        <w:spacing w:line="319" w:lineRule="auto" w:before="78"/>
        <w:ind w:left="667" w:right="629"/>
      </w:pPr>
      <w:r>
        <w:rPr/>
        <w:br w:type="column"/>
      </w:r>
      <w:r>
        <w:rPr>
          <w:color w:val="1B1B22"/>
          <w:spacing w:val="-2"/>
        </w:rPr>
        <w:t>recorde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histórico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desembolso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nessa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modalidade </w:t>
      </w:r>
      <w:r>
        <w:rPr>
          <w:color w:val="1B1B22"/>
        </w:rPr>
        <w:t>em agosto.</w:t>
      </w:r>
    </w:p>
    <w:p>
      <w:pPr>
        <w:pStyle w:val="BodyText"/>
        <w:spacing w:before="122"/>
        <w:ind w:left="667"/>
        <w:jc w:val="left"/>
        <w:rPr>
          <w:rFonts w:ascii="BancoDoBrasil Textos Medium"/>
          <w:b w:val="0"/>
        </w:rPr>
      </w:pPr>
      <w:r>
        <w:rPr>
          <w:rFonts w:ascii="BancoDoBrasil Textos Medium"/>
          <w:b w:val="0"/>
          <w:color w:val="465EFF"/>
          <w:spacing w:val="-4"/>
        </w:rPr>
        <w:t>DREX</w:t>
      </w:r>
    </w:p>
    <w:p>
      <w:pPr>
        <w:pStyle w:val="BodyText"/>
        <w:spacing w:line="321" w:lineRule="auto" w:before="206"/>
        <w:ind w:left="667" w:right="629"/>
      </w:pPr>
      <w:r>
        <w:rPr>
          <w:color w:val="1B1B22"/>
        </w:rPr>
        <w:t>Em linha com o pioneirismo assumido pelo Banco do Brasil nas inovações do mercado financeiro, no 3T24 o BB, em consórcio com outras instituições, foi selecionado pelo Banco Central para participar de</w:t>
      </w:r>
      <w:r>
        <w:rPr>
          <w:color w:val="1B1B22"/>
          <w:spacing w:val="-9"/>
        </w:rPr>
        <w:t> </w:t>
      </w:r>
      <w:r>
        <w:rPr>
          <w:color w:val="1B1B22"/>
        </w:rPr>
        <w:t>duas</w:t>
      </w:r>
      <w:r>
        <w:rPr>
          <w:color w:val="1B1B22"/>
          <w:spacing w:val="-8"/>
        </w:rPr>
        <w:t> </w:t>
      </w:r>
      <w:r>
        <w:rPr>
          <w:color w:val="1B1B22"/>
        </w:rPr>
        <w:t>iniciativas</w:t>
      </w:r>
      <w:r>
        <w:rPr>
          <w:color w:val="1B1B22"/>
          <w:spacing w:val="-9"/>
        </w:rPr>
        <w:t> </w:t>
      </w:r>
      <w:r>
        <w:rPr>
          <w:color w:val="1B1B22"/>
        </w:rPr>
        <w:t>na</w:t>
      </w:r>
      <w:r>
        <w:rPr>
          <w:color w:val="1B1B22"/>
          <w:spacing w:val="-9"/>
        </w:rPr>
        <w:t> </w:t>
      </w:r>
      <w:r>
        <w:rPr>
          <w:color w:val="1B1B22"/>
        </w:rPr>
        <w:t>segunda</w:t>
      </w:r>
      <w:r>
        <w:rPr>
          <w:color w:val="1B1B22"/>
          <w:spacing w:val="-10"/>
        </w:rPr>
        <w:t> </w:t>
      </w:r>
      <w:r>
        <w:rPr>
          <w:color w:val="1B1B22"/>
        </w:rPr>
        <w:t>fase</w:t>
      </w:r>
      <w:r>
        <w:rPr>
          <w:color w:val="1B1B22"/>
          <w:spacing w:val="-9"/>
        </w:rPr>
        <w:t> </w:t>
      </w:r>
      <w:r>
        <w:rPr>
          <w:color w:val="1B1B22"/>
        </w:rPr>
        <w:t>do</w:t>
      </w:r>
      <w:r>
        <w:rPr>
          <w:color w:val="1B1B22"/>
          <w:spacing w:val="-9"/>
        </w:rPr>
        <w:t> </w:t>
      </w:r>
      <w:r>
        <w:rPr>
          <w:color w:val="1B1B22"/>
        </w:rPr>
        <w:t>Piloto</w:t>
      </w:r>
      <w:r>
        <w:rPr>
          <w:color w:val="1B1B22"/>
          <w:spacing w:val="-9"/>
        </w:rPr>
        <w:t> </w:t>
      </w:r>
      <w:r>
        <w:rPr>
          <w:color w:val="1B1B22"/>
          <w:spacing w:val="-4"/>
        </w:rPr>
        <w:t>DREX:</w:t>
      </w:r>
    </w:p>
    <w:p>
      <w:pPr>
        <w:pStyle w:val="BodyText"/>
        <w:spacing w:line="321" w:lineRule="auto"/>
        <w:ind w:left="667" w:right="630"/>
      </w:pPr>
      <w:r>
        <w:rPr>
          <w:color w:val="1B1B22"/>
          <w:spacing w:val="-2"/>
        </w:rPr>
        <w:t>i)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CDB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tokenizado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dado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em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garantia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para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operações </w:t>
      </w:r>
      <w:r>
        <w:rPr>
          <w:color w:val="1B1B22"/>
        </w:rPr>
        <w:t>de crédito e ii) Transações com imóveis. O piloto prevê a entrega de protótipo funcional com solução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6"/>
        </w:rPr>
        <w:t> </w:t>
      </w:r>
      <w:r>
        <w:rPr>
          <w:color w:val="1B1B22"/>
        </w:rPr>
        <w:t>privacidade</w:t>
      </w:r>
      <w:r>
        <w:rPr>
          <w:color w:val="1B1B22"/>
          <w:spacing w:val="-6"/>
        </w:rPr>
        <w:t> </w:t>
      </w:r>
      <w:r>
        <w:rPr>
          <w:color w:val="1B1B22"/>
        </w:rPr>
        <w:t>embarcada</w:t>
      </w:r>
      <w:r>
        <w:rPr>
          <w:color w:val="1B1B22"/>
          <w:spacing w:val="-7"/>
        </w:rPr>
        <w:t> </w:t>
      </w:r>
      <w:r>
        <w:rPr>
          <w:color w:val="1B1B22"/>
        </w:rPr>
        <w:t>e</w:t>
      </w:r>
      <w:r>
        <w:rPr>
          <w:color w:val="1B1B22"/>
          <w:spacing w:val="-6"/>
        </w:rPr>
        <w:t> </w:t>
      </w:r>
      <w:r>
        <w:rPr>
          <w:color w:val="1B1B22"/>
        </w:rPr>
        <w:t>publicação</w:t>
      </w:r>
      <w:r>
        <w:rPr>
          <w:color w:val="1B1B22"/>
          <w:spacing w:val="-6"/>
        </w:rPr>
        <w:t> </w:t>
      </w:r>
      <w:r>
        <w:rPr>
          <w:color w:val="1B1B22"/>
        </w:rPr>
        <w:t>do código desenvolvido até junho/25.</w:t>
      </w:r>
    </w:p>
    <w:p>
      <w:pPr>
        <w:pStyle w:val="BodyText"/>
        <w:spacing w:before="114"/>
        <w:ind w:left="667"/>
        <w:jc w:val="left"/>
        <w:rPr>
          <w:rFonts w:ascii="BancoDoBrasil Textos Medium" w:hAnsi="BancoDoBrasil Textos Medium"/>
          <w:b w:val="0"/>
        </w:rPr>
      </w:pPr>
      <w:r>
        <w:rPr>
          <w:rFonts w:ascii="BancoDoBrasil Textos Medium" w:hAnsi="BancoDoBrasil Textos Medium"/>
          <w:b w:val="0"/>
          <w:color w:val="465EFF"/>
          <w:spacing w:val="-2"/>
        </w:rPr>
        <w:t>Segurança</w:t>
      </w:r>
      <w:r>
        <w:rPr>
          <w:rFonts w:ascii="BancoDoBrasil Textos Medium" w:hAnsi="BancoDoBrasil Textos Medium"/>
          <w:b w:val="0"/>
          <w:color w:val="465EFF"/>
          <w:spacing w:val="1"/>
        </w:rPr>
        <w:t> </w:t>
      </w:r>
      <w:r>
        <w:rPr>
          <w:rFonts w:ascii="BancoDoBrasil Textos Medium" w:hAnsi="BancoDoBrasil Textos Medium"/>
          <w:b w:val="0"/>
          <w:color w:val="465EFF"/>
          <w:spacing w:val="-2"/>
        </w:rPr>
        <w:t>Digital</w:t>
      </w:r>
    </w:p>
    <w:p>
      <w:pPr>
        <w:pStyle w:val="BodyText"/>
        <w:spacing w:line="321" w:lineRule="auto" w:before="207"/>
        <w:ind w:left="667" w:right="629"/>
      </w:pPr>
      <w:r>
        <w:rPr>
          <w:color w:val="1B1B22"/>
        </w:rPr>
        <w:t>Investimos em profissionais qualificados, soluções automatizadas e inteligência artificial, para protegermos dados, processos e propriedade intelectual, oferecendo um ambiente digital </w:t>
      </w:r>
      <w:r>
        <w:rPr>
          <w:color w:val="1B1B22"/>
          <w:spacing w:val="-2"/>
        </w:rPr>
        <w:t>seguro.</w:t>
      </w:r>
    </w:p>
    <w:p>
      <w:pPr>
        <w:pStyle w:val="BodyText"/>
        <w:spacing w:line="321" w:lineRule="auto" w:before="116"/>
        <w:ind w:left="667" w:right="630"/>
      </w:pPr>
      <w:r>
        <w:rPr>
          <w:color w:val="1B1B22"/>
        </w:rPr>
        <w:t>No</w:t>
      </w:r>
      <w:r>
        <w:rPr>
          <w:color w:val="1B1B22"/>
          <w:spacing w:val="-9"/>
        </w:rPr>
        <w:t> </w:t>
      </w:r>
      <w:r>
        <w:rPr>
          <w:color w:val="1B1B22"/>
        </w:rPr>
        <w:t>3T24,</w:t>
      </w:r>
      <w:r>
        <w:rPr>
          <w:color w:val="1B1B22"/>
          <w:spacing w:val="-9"/>
        </w:rPr>
        <w:t> </w:t>
      </w:r>
      <w:r>
        <w:rPr>
          <w:color w:val="1B1B22"/>
        </w:rPr>
        <w:t>respeitando</w:t>
      </w:r>
      <w:r>
        <w:rPr>
          <w:color w:val="1B1B22"/>
          <w:spacing w:val="-9"/>
        </w:rPr>
        <w:t> </w:t>
      </w:r>
      <w:r>
        <w:rPr>
          <w:color w:val="1B1B22"/>
        </w:rPr>
        <w:t>o</w:t>
      </w:r>
      <w:r>
        <w:rPr>
          <w:color w:val="1B1B22"/>
          <w:spacing w:val="-9"/>
        </w:rPr>
        <w:t> </w:t>
      </w:r>
      <w:r>
        <w:rPr>
          <w:color w:val="1B1B22"/>
        </w:rPr>
        <w:t>direito</w:t>
      </w:r>
      <w:r>
        <w:rPr>
          <w:color w:val="1B1B22"/>
          <w:spacing w:val="-9"/>
        </w:rPr>
        <w:t> </w:t>
      </w:r>
      <w:r>
        <w:rPr>
          <w:color w:val="1B1B22"/>
        </w:rPr>
        <w:t>ao</w:t>
      </w:r>
      <w:r>
        <w:rPr>
          <w:color w:val="1B1B22"/>
          <w:spacing w:val="-9"/>
        </w:rPr>
        <w:t> </w:t>
      </w:r>
      <w:r>
        <w:rPr>
          <w:color w:val="1B1B22"/>
        </w:rPr>
        <w:t>acesso</w:t>
      </w:r>
      <w:r>
        <w:rPr>
          <w:color w:val="1B1B22"/>
          <w:spacing w:val="-9"/>
        </w:rPr>
        <w:t> </w:t>
      </w:r>
      <w:r>
        <w:rPr>
          <w:color w:val="1B1B22"/>
        </w:rPr>
        <w:t>facilitado às informações sobre o tratamento de dados pessoais dos clientes, o BB atendeu a mais de 1 milhão de solicitações de titulares de dados, um aumento de</w:t>
      </w:r>
      <w:r>
        <w:rPr>
          <w:color w:val="1B1B22"/>
          <w:spacing w:val="-1"/>
        </w:rPr>
        <w:t> </w:t>
      </w:r>
      <w:r>
        <w:rPr>
          <w:color w:val="1B1B22"/>
        </w:rPr>
        <w:t>aproximadamente</w:t>
      </w:r>
      <w:r>
        <w:rPr>
          <w:color w:val="1B1B22"/>
          <w:spacing w:val="-1"/>
        </w:rPr>
        <w:t> </w:t>
      </w:r>
      <w:r>
        <w:rPr>
          <w:color w:val="1B1B22"/>
        </w:rPr>
        <w:t>3%</w:t>
      </w:r>
      <w:r>
        <w:rPr>
          <w:color w:val="1B1B22"/>
          <w:spacing w:val="-1"/>
        </w:rPr>
        <w:t> </w:t>
      </w:r>
      <w:r>
        <w:rPr>
          <w:color w:val="1B1B22"/>
        </w:rPr>
        <w:t>em</w:t>
      </w:r>
      <w:r>
        <w:rPr>
          <w:color w:val="1B1B22"/>
          <w:spacing w:val="-1"/>
        </w:rPr>
        <w:t> </w:t>
      </w:r>
      <w:r>
        <w:rPr>
          <w:color w:val="1B1B22"/>
        </w:rPr>
        <w:t>relação aos atendimentos realizados no trimestre anterior. Desse total, mais de 99% foram registrados pelo App BB.</w:t>
      </w:r>
    </w:p>
    <w:p>
      <w:pPr>
        <w:spacing w:after="0" w:line="321" w:lineRule="auto"/>
        <w:sectPr>
          <w:type w:val="continuous"/>
          <w:pgSz w:w="11910" w:h="16850"/>
          <w:pgMar w:header="152" w:footer="591" w:top="1920" w:bottom="280" w:left="180" w:right="220"/>
          <w:cols w:num="2" w:equalWidth="0">
            <w:col w:w="5422" w:space="40"/>
            <w:col w:w="6048"/>
          </w:cols>
        </w:sectPr>
      </w:pPr>
    </w:p>
    <w:p>
      <w:pPr>
        <w:pStyle w:val="BodyText"/>
        <w:jc w:val="left"/>
        <w:rPr>
          <w:sz w:val="44"/>
        </w:rPr>
      </w:pPr>
    </w:p>
    <w:p>
      <w:pPr>
        <w:pStyle w:val="BodyText"/>
        <w:jc w:val="left"/>
        <w:rPr>
          <w:sz w:val="44"/>
        </w:rPr>
      </w:pPr>
    </w:p>
    <w:p>
      <w:pPr>
        <w:pStyle w:val="BodyText"/>
        <w:spacing w:before="246"/>
        <w:jc w:val="left"/>
        <w:rPr>
          <w:sz w:val="44"/>
        </w:rPr>
      </w:pPr>
    </w:p>
    <w:p>
      <w:pPr>
        <w:pStyle w:val="Heading1"/>
        <w:tabs>
          <w:tab w:pos="2896" w:val="left" w:leader="none"/>
          <w:tab w:pos="4314" w:val="left" w:leader="none"/>
          <w:tab w:pos="7645" w:val="left" w:leader="none"/>
          <w:tab w:pos="9549" w:val="left" w:leader="none"/>
          <w:tab w:pos="10278" w:val="left" w:leader="none"/>
        </w:tabs>
        <w:spacing w:line="321" w:lineRule="auto"/>
        <w:ind w:right="680"/>
      </w:pPr>
      <w:r>
        <w:rPr>
          <w:color w:val="465EFF"/>
          <w:spacing w:val="28"/>
        </w:rPr>
        <w:t>Agenda</w:t>
      </w:r>
      <w:r>
        <w:rPr>
          <w:color w:val="465EFF"/>
        </w:rPr>
        <w:tab/>
      </w:r>
      <w:r>
        <w:rPr>
          <w:color w:val="465EFF"/>
          <w:spacing w:val="19"/>
        </w:rPr>
        <w:t>ASG</w:t>
      </w:r>
      <w:r>
        <w:rPr>
          <w:color w:val="465EFF"/>
        </w:rPr>
        <w:tab/>
      </w:r>
      <w:r>
        <w:rPr>
          <w:color w:val="465EFF"/>
          <w:spacing w:val="33"/>
        </w:rPr>
        <w:t>(Ambiental,</w:t>
      </w:r>
      <w:r>
        <w:rPr>
          <w:color w:val="465EFF"/>
        </w:rPr>
        <w:tab/>
      </w:r>
      <w:r>
        <w:rPr>
          <w:color w:val="465EFF"/>
          <w:spacing w:val="31"/>
        </w:rPr>
        <w:t>Social</w:t>
      </w:r>
      <w:r>
        <w:rPr>
          <w:color w:val="465EFF"/>
        </w:rPr>
        <w:tab/>
      </w:r>
      <w:r>
        <w:rPr>
          <w:color w:val="465EFF"/>
          <w:spacing w:val="-10"/>
        </w:rPr>
        <w:t>e</w:t>
      </w:r>
      <w:r>
        <w:rPr>
          <w:color w:val="465EFF"/>
        </w:rPr>
        <w:tab/>
      </w:r>
      <w:r>
        <w:rPr>
          <w:color w:val="465EFF"/>
          <w:spacing w:val="6"/>
        </w:rPr>
        <w:t>de </w:t>
      </w:r>
      <w:r>
        <w:rPr>
          <w:color w:val="465EFF"/>
          <w:spacing w:val="31"/>
        </w:rPr>
        <w:t>Governança)</w:t>
      </w:r>
    </w:p>
    <w:p>
      <w:pPr>
        <w:spacing w:after="0" w:line="321" w:lineRule="auto"/>
        <w:sectPr>
          <w:pgSz w:w="11910" w:h="16850"/>
          <w:pgMar w:header="152" w:footer="591" w:top="900" w:bottom="780" w:left="180" w:right="220"/>
        </w:sectPr>
      </w:pPr>
    </w:p>
    <w:p>
      <w:pPr>
        <w:pStyle w:val="BodyText"/>
        <w:spacing w:line="321" w:lineRule="auto" w:before="143"/>
        <w:ind w:left="672"/>
      </w:pPr>
      <w:r>
        <w:rPr>
          <w:color w:val="1B1B22"/>
        </w:rPr>
        <w:t>Somos</w:t>
      </w:r>
      <w:r>
        <w:rPr>
          <w:color w:val="1B1B22"/>
          <w:spacing w:val="-3"/>
        </w:rPr>
        <w:t> </w:t>
      </w:r>
      <w:r>
        <w:rPr>
          <w:color w:val="1B1B22"/>
        </w:rPr>
        <w:t>referência</w:t>
      </w:r>
      <w:r>
        <w:rPr>
          <w:color w:val="1B1B22"/>
          <w:spacing w:val="-4"/>
        </w:rPr>
        <w:t> </w:t>
      </w:r>
      <w:r>
        <w:rPr>
          <w:color w:val="1B1B22"/>
        </w:rPr>
        <w:t>na</w:t>
      </w:r>
      <w:r>
        <w:rPr>
          <w:color w:val="1B1B22"/>
          <w:spacing w:val="-3"/>
        </w:rPr>
        <w:t> </w:t>
      </w:r>
      <w:r>
        <w:rPr>
          <w:color w:val="1B1B22"/>
        </w:rPr>
        <w:t>adoção</w:t>
      </w:r>
      <w:r>
        <w:rPr>
          <w:color w:val="1B1B22"/>
          <w:spacing w:val="-4"/>
        </w:rPr>
        <w:t> </w:t>
      </w:r>
      <w:r>
        <w:rPr>
          <w:color w:val="1B1B22"/>
        </w:rPr>
        <w:t>das</w:t>
      </w:r>
      <w:r>
        <w:rPr>
          <w:color w:val="1B1B22"/>
          <w:spacing w:val="-3"/>
        </w:rPr>
        <w:t> </w:t>
      </w:r>
      <w:r>
        <w:rPr>
          <w:color w:val="1B1B22"/>
        </w:rPr>
        <w:t>melhores</w:t>
      </w:r>
      <w:r>
        <w:rPr>
          <w:color w:val="1B1B22"/>
          <w:spacing w:val="-3"/>
        </w:rPr>
        <w:t> </w:t>
      </w:r>
      <w:r>
        <w:rPr>
          <w:color w:val="1B1B22"/>
        </w:rPr>
        <w:t>práticas Ambientais, Sociais e de Governança, estabelecendo ações de identificação </w:t>
      </w:r>
      <w:r>
        <w:rPr>
          <w:color w:val="1B1B22"/>
        </w:rPr>
        <w:t>e gerenciamento de riscos e oportunidades. Os </w:t>
      </w:r>
      <w:r>
        <w:rPr>
          <w:color w:val="1B1B22"/>
          <w:spacing w:val="-2"/>
        </w:rPr>
        <w:t>nossos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compromissos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em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ASG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estão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materializados </w:t>
      </w:r>
      <w:r>
        <w:rPr>
          <w:color w:val="1B1B22"/>
        </w:rPr>
        <w:t>no</w:t>
      </w:r>
      <w:r>
        <w:rPr>
          <w:color w:val="1B1B22"/>
          <w:spacing w:val="-3"/>
        </w:rPr>
        <w:t> </w:t>
      </w:r>
      <w:r>
        <w:rPr>
          <w:color w:val="1B1B22"/>
        </w:rPr>
        <w:t>Plano</w:t>
      </w:r>
      <w:r>
        <w:rPr>
          <w:color w:val="1B1B22"/>
          <w:spacing w:val="-3"/>
        </w:rPr>
        <w:t> </w:t>
      </w:r>
      <w:r>
        <w:rPr>
          <w:color w:val="1B1B22"/>
        </w:rPr>
        <w:t>de</w:t>
      </w:r>
      <w:r>
        <w:rPr>
          <w:color w:val="1B1B22"/>
          <w:spacing w:val="-2"/>
        </w:rPr>
        <w:t> </w:t>
      </w:r>
      <w:r>
        <w:rPr>
          <w:color w:val="1B1B22"/>
        </w:rPr>
        <w:t>Sustentabilidade</w:t>
      </w:r>
      <w:r>
        <w:rPr>
          <w:color w:val="1B1B22"/>
          <w:spacing w:val="-2"/>
        </w:rPr>
        <w:t> </w:t>
      </w:r>
      <w:r>
        <w:rPr>
          <w:color w:val="1B1B22"/>
        </w:rPr>
        <w:t>-</w:t>
      </w:r>
      <w:r>
        <w:rPr>
          <w:color w:val="1B1B22"/>
          <w:spacing w:val="-4"/>
        </w:rPr>
        <w:t> </w:t>
      </w:r>
      <w:r>
        <w:rPr>
          <w:color w:val="1B1B22"/>
        </w:rPr>
        <w:t>Agenda</w:t>
      </w:r>
      <w:r>
        <w:rPr>
          <w:color w:val="1B1B22"/>
          <w:spacing w:val="-3"/>
        </w:rPr>
        <w:t> </w:t>
      </w:r>
      <w:r>
        <w:rPr>
          <w:color w:val="1B1B22"/>
        </w:rPr>
        <w:t>30</w:t>
      </w:r>
      <w:r>
        <w:rPr>
          <w:color w:val="1B1B22"/>
          <w:spacing w:val="-3"/>
        </w:rPr>
        <w:t> </w:t>
      </w:r>
      <w:r>
        <w:rPr>
          <w:color w:val="1B1B22"/>
        </w:rPr>
        <w:t>BB,</w:t>
      </w:r>
      <w:r>
        <w:rPr>
          <w:color w:val="1B1B22"/>
          <w:spacing w:val="-2"/>
        </w:rPr>
        <w:t> </w:t>
      </w:r>
      <w:r>
        <w:rPr>
          <w:color w:val="1B1B22"/>
        </w:rPr>
        <w:t>que desde 2005 é o nosso principal instrumento fomentador de práticas sociais, ambientais e climáticas, alinhado aos Objetivos de Desenvolvimento Sustentável (ODS) da Organização</w:t>
      </w:r>
      <w:r>
        <w:rPr>
          <w:color w:val="1B1B22"/>
          <w:spacing w:val="-9"/>
        </w:rPr>
        <w:t> </w:t>
      </w:r>
      <w:r>
        <w:rPr>
          <w:color w:val="1B1B22"/>
        </w:rPr>
        <w:t>das</w:t>
      </w:r>
      <w:r>
        <w:rPr>
          <w:color w:val="1B1B22"/>
          <w:spacing w:val="-8"/>
        </w:rPr>
        <w:t> </w:t>
      </w:r>
      <w:r>
        <w:rPr>
          <w:color w:val="1B1B22"/>
        </w:rPr>
        <w:t>Nações</w:t>
      </w:r>
      <w:r>
        <w:rPr>
          <w:color w:val="1B1B22"/>
          <w:spacing w:val="-9"/>
        </w:rPr>
        <w:t> </w:t>
      </w:r>
      <w:r>
        <w:rPr>
          <w:color w:val="1B1B22"/>
        </w:rPr>
        <w:t>Unidas</w:t>
      </w:r>
      <w:r>
        <w:rPr>
          <w:color w:val="1B1B22"/>
          <w:spacing w:val="-8"/>
        </w:rPr>
        <w:t> </w:t>
      </w:r>
      <w:r>
        <w:rPr>
          <w:color w:val="1B1B22"/>
        </w:rPr>
        <w:t>(ONU)</w:t>
      </w:r>
      <w:r>
        <w:rPr>
          <w:color w:val="1B1B22"/>
          <w:spacing w:val="-9"/>
        </w:rPr>
        <w:t> </w:t>
      </w:r>
      <w:r>
        <w:rPr>
          <w:color w:val="1B1B22"/>
        </w:rPr>
        <w:t>e</w:t>
      </w:r>
      <w:r>
        <w:rPr>
          <w:color w:val="1B1B22"/>
          <w:spacing w:val="-9"/>
        </w:rPr>
        <w:t> </w:t>
      </w:r>
      <w:r>
        <w:rPr>
          <w:color w:val="1B1B22"/>
        </w:rPr>
        <w:t>ao</w:t>
      </w:r>
      <w:r>
        <w:rPr>
          <w:color w:val="1B1B22"/>
          <w:spacing w:val="-13"/>
        </w:rPr>
        <w:t> </w:t>
      </w:r>
      <w:r>
        <w:rPr>
          <w:color w:val="1B1B22"/>
        </w:rPr>
        <w:t>Acordo de</w:t>
      </w:r>
      <w:r>
        <w:rPr>
          <w:color w:val="1B1B22"/>
          <w:spacing w:val="-6"/>
        </w:rPr>
        <w:t> </w:t>
      </w:r>
      <w:r>
        <w:rPr>
          <w:color w:val="1B1B22"/>
        </w:rPr>
        <w:t>Paris.</w:t>
      </w:r>
      <w:r>
        <w:rPr>
          <w:color w:val="1B1B22"/>
          <w:spacing w:val="-5"/>
        </w:rPr>
        <w:t> </w:t>
      </w:r>
      <w:r>
        <w:rPr>
          <w:color w:val="1B1B22"/>
        </w:rPr>
        <w:t>O</w:t>
      </w:r>
      <w:r>
        <w:rPr>
          <w:color w:val="1B1B22"/>
          <w:spacing w:val="-6"/>
        </w:rPr>
        <w:t> </w:t>
      </w:r>
      <w:r>
        <w:rPr>
          <w:color w:val="1B1B22"/>
        </w:rPr>
        <w:t>Plano</w:t>
      </w:r>
      <w:r>
        <w:rPr>
          <w:color w:val="1B1B22"/>
          <w:spacing w:val="-5"/>
        </w:rPr>
        <w:t> </w:t>
      </w:r>
      <w:r>
        <w:rPr>
          <w:color w:val="1B1B22"/>
        </w:rPr>
        <w:t>foi</w:t>
      </w:r>
      <w:r>
        <w:rPr>
          <w:color w:val="1B1B22"/>
          <w:spacing w:val="-6"/>
        </w:rPr>
        <w:t> </w:t>
      </w:r>
      <w:r>
        <w:rPr>
          <w:color w:val="1B1B22"/>
        </w:rPr>
        <w:t>revisado</w:t>
      </w:r>
      <w:r>
        <w:rPr>
          <w:color w:val="1B1B22"/>
          <w:spacing w:val="-6"/>
        </w:rPr>
        <w:t> </w:t>
      </w:r>
      <w:r>
        <w:rPr>
          <w:color w:val="1B1B22"/>
        </w:rPr>
        <w:t>em</w:t>
      </w:r>
      <w:r>
        <w:rPr>
          <w:color w:val="1B1B22"/>
          <w:spacing w:val="-4"/>
        </w:rPr>
        <w:t> </w:t>
      </w:r>
      <w:r>
        <w:rPr>
          <w:color w:val="1B1B22"/>
        </w:rPr>
        <w:t>agosto</w:t>
      </w:r>
      <w:r>
        <w:rPr>
          <w:color w:val="1B1B22"/>
          <w:spacing w:val="-5"/>
        </w:rPr>
        <w:t> </w:t>
      </w:r>
      <w:r>
        <w:rPr>
          <w:color w:val="1B1B22"/>
        </w:rPr>
        <w:t>de</w:t>
      </w:r>
      <w:r>
        <w:rPr>
          <w:color w:val="1B1B22"/>
          <w:spacing w:val="-3"/>
        </w:rPr>
        <w:t> </w:t>
      </w:r>
      <w:r>
        <w:rPr>
          <w:color w:val="1B1B22"/>
        </w:rPr>
        <w:t>2023</w:t>
      </w:r>
      <w:r>
        <w:rPr>
          <w:color w:val="1B1B22"/>
          <w:spacing w:val="-5"/>
        </w:rPr>
        <w:t> </w:t>
      </w:r>
      <w:r>
        <w:rPr>
          <w:color w:val="1B1B22"/>
        </w:rPr>
        <w:t>e inclui 47 ações e 100 indicadores para o período </w:t>
      </w:r>
      <w:r>
        <w:rPr>
          <w:color w:val="1B1B22"/>
          <w:spacing w:val="-2"/>
        </w:rPr>
        <w:t>2023-2025.</w:t>
      </w:r>
    </w:p>
    <w:p>
      <w:pPr>
        <w:pStyle w:val="BodyText"/>
        <w:spacing w:line="321" w:lineRule="auto" w:before="111"/>
        <w:ind w:left="672"/>
      </w:pPr>
      <w:r>
        <w:rPr>
          <w:color w:val="1B1B22"/>
        </w:rPr>
        <w:t>O desenvolvimento de soluções negociais </w:t>
      </w:r>
      <w:r>
        <w:rPr>
          <w:color w:val="1B1B22"/>
        </w:rPr>
        <w:t>com</w:t>
      </w:r>
      <w:r>
        <w:rPr>
          <w:color w:val="1B1B22"/>
        </w:rPr>
        <w:t> aspectos sociais, ambientais e climáticos é orientado e declarado em nossa Política de Responsabilidade Social, Ambiental e Climática (PRSAC). Tem suporte também nas Diretrizes de Sustentabilidade</w:t>
      </w:r>
      <w:r>
        <w:rPr>
          <w:color w:val="1B1B22"/>
          <w:spacing w:val="-13"/>
        </w:rPr>
        <w:t> </w:t>
      </w:r>
      <w:r>
        <w:rPr>
          <w:color w:val="1B1B22"/>
        </w:rPr>
        <w:t>BB</w:t>
      </w:r>
      <w:r>
        <w:rPr>
          <w:color w:val="1B1B22"/>
          <w:spacing w:val="-12"/>
        </w:rPr>
        <w:t> </w:t>
      </w:r>
      <w:r>
        <w:rPr>
          <w:color w:val="1B1B22"/>
        </w:rPr>
        <w:t>para</w:t>
      </w:r>
      <w:r>
        <w:rPr>
          <w:color w:val="1B1B22"/>
          <w:spacing w:val="-12"/>
        </w:rPr>
        <w:t> </w:t>
      </w:r>
      <w:r>
        <w:rPr>
          <w:color w:val="1B1B22"/>
        </w:rPr>
        <w:t>o</w:t>
      </w:r>
      <w:r>
        <w:rPr>
          <w:color w:val="1B1B22"/>
          <w:spacing w:val="-12"/>
        </w:rPr>
        <w:t> </w:t>
      </w:r>
      <w:r>
        <w:rPr>
          <w:color w:val="1B1B22"/>
        </w:rPr>
        <w:t>Crédito,</w:t>
      </w:r>
      <w:r>
        <w:rPr>
          <w:color w:val="1B1B22"/>
          <w:spacing w:val="-12"/>
        </w:rPr>
        <w:t> </w:t>
      </w:r>
      <w:r>
        <w:rPr>
          <w:color w:val="1B1B22"/>
        </w:rPr>
        <w:t>atualizadas</w:t>
      </w:r>
      <w:r>
        <w:rPr>
          <w:color w:val="1B1B22"/>
          <w:spacing w:val="-11"/>
        </w:rPr>
        <w:t> </w:t>
      </w:r>
      <w:r>
        <w:rPr>
          <w:color w:val="1B1B22"/>
        </w:rPr>
        <w:t>em junho deste ano, ampliando a lista restritiva e de exclusão de atividades nas quais não assumimos risco de crédito.</w:t>
      </w:r>
    </w:p>
    <w:p>
      <w:pPr>
        <w:pStyle w:val="BodyText"/>
        <w:spacing w:line="321" w:lineRule="auto" w:before="115"/>
        <w:ind w:left="672" w:right="2"/>
      </w:pPr>
      <w:r>
        <w:rPr>
          <w:color w:val="1B1B22"/>
        </w:rPr>
        <w:t>Com destaque nacional no desenvolvimento de soluções</w:t>
      </w:r>
      <w:r>
        <w:rPr>
          <w:color w:val="1B1B22"/>
          <w:spacing w:val="37"/>
        </w:rPr>
        <w:t> </w:t>
      </w:r>
      <w:r>
        <w:rPr>
          <w:color w:val="1B1B22"/>
        </w:rPr>
        <w:t>financeiras</w:t>
      </w:r>
      <w:r>
        <w:rPr>
          <w:color w:val="1B1B22"/>
          <w:spacing w:val="37"/>
        </w:rPr>
        <w:t> </w:t>
      </w:r>
      <w:r>
        <w:rPr>
          <w:color w:val="1B1B22"/>
        </w:rPr>
        <w:t>e</w:t>
      </w:r>
      <w:r>
        <w:rPr>
          <w:color w:val="1B1B22"/>
          <w:spacing w:val="38"/>
        </w:rPr>
        <w:t> </w:t>
      </w:r>
      <w:r>
        <w:rPr>
          <w:color w:val="1B1B22"/>
        </w:rPr>
        <w:t>modelos</w:t>
      </w:r>
      <w:r>
        <w:rPr>
          <w:color w:val="1B1B22"/>
          <w:spacing w:val="38"/>
        </w:rPr>
        <w:t> </w:t>
      </w:r>
      <w:r>
        <w:rPr>
          <w:color w:val="1B1B22"/>
        </w:rPr>
        <w:t>de</w:t>
      </w:r>
      <w:r>
        <w:rPr>
          <w:color w:val="1B1B22"/>
          <w:spacing w:val="38"/>
        </w:rPr>
        <w:t> </w:t>
      </w:r>
      <w:r>
        <w:rPr>
          <w:color w:val="1B1B22"/>
        </w:rPr>
        <w:t>negócios</w:t>
      </w:r>
      <w:r>
        <w:rPr>
          <w:color w:val="1B1B22"/>
          <w:spacing w:val="37"/>
        </w:rPr>
        <w:t> </w:t>
      </w:r>
      <w:r>
        <w:rPr>
          <w:color w:val="1B1B22"/>
          <w:spacing w:val="-5"/>
        </w:rPr>
        <w:t>que</w:t>
      </w:r>
    </w:p>
    <w:p>
      <w:pPr>
        <w:pStyle w:val="BodyText"/>
        <w:spacing w:line="321" w:lineRule="auto" w:before="143"/>
        <w:ind w:left="668" w:right="627"/>
      </w:pPr>
      <w:r>
        <w:rPr/>
        <w:br w:type="column"/>
      </w:r>
      <w:r>
        <w:rPr>
          <w:color w:val="1B1B22"/>
        </w:rPr>
        <w:t>promovam a transição para uma economia sustentável</w:t>
      </w:r>
      <w:r>
        <w:rPr>
          <w:color w:val="1B1B22"/>
          <w:spacing w:val="-13"/>
        </w:rPr>
        <w:t> </w:t>
      </w:r>
      <w:r>
        <w:rPr>
          <w:color w:val="1B1B22"/>
        </w:rPr>
        <w:t>e</w:t>
      </w:r>
      <w:r>
        <w:rPr>
          <w:color w:val="1B1B22"/>
          <w:spacing w:val="-12"/>
        </w:rPr>
        <w:t> </w:t>
      </w:r>
      <w:r>
        <w:rPr>
          <w:color w:val="1B1B22"/>
        </w:rPr>
        <w:t>inclusiva,</w:t>
      </w:r>
      <w:r>
        <w:rPr>
          <w:color w:val="1B1B22"/>
          <w:spacing w:val="-13"/>
        </w:rPr>
        <w:t> </w:t>
      </w:r>
      <w:r>
        <w:rPr>
          <w:color w:val="1B1B22"/>
        </w:rPr>
        <w:t>o</w:t>
      </w:r>
      <w:r>
        <w:rPr>
          <w:color w:val="1B1B22"/>
          <w:spacing w:val="-12"/>
        </w:rPr>
        <w:t> </w:t>
      </w:r>
      <w:r>
        <w:rPr>
          <w:color w:val="1B1B22"/>
        </w:rPr>
        <w:t>BB</w:t>
      </w:r>
      <w:r>
        <w:rPr>
          <w:color w:val="1B1B22"/>
          <w:spacing w:val="-12"/>
        </w:rPr>
        <w:t> </w:t>
      </w:r>
      <w:r>
        <w:rPr>
          <w:color w:val="1B1B22"/>
        </w:rPr>
        <w:t>considera</w:t>
      </w:r>
      <w:r>
        <w:rPr>
          <w:color w:val="1B1B22"/>
          <w:spacing w:val="-13"/>
        </w:rPr>
        <w:t> </w:t>
      </w:r>
      <w:r>
        <w:rPr>
          <w:color w:val="1B1B22"/>
        </w:rPr>
        <w:t>as</w:t>
      </w:r>
      <w:r>
        <w:rPr>
          <w:color w:val="1B1B22"/>
          <w:spacing w:val="-12"/>
        </w:rPr>
        <w:t> </w:t>
      </w:r>
      <w:r>
        <w:rPr>
          <w:color w:val="1B1B22"/>
        </w:rPr>
        <w:t>mudanças climáticas no planejamento e investe nas oportunidades</w:t>
      </w:r>
      <w:r>
        <w:rPr>
          <w:color w:val="1B1B22"/>
          <w:spacing w:val="-1"/>
        </w:rPr>
        <w:t> </w:t>
      </w:r>
      <w:r>
        <w:rPr>
          <w:color w:val="1B1B22"/>
        </w:rPr>
        <w:t>de</w:t>
      </w:r>
      <w:r>
        <w:rPr>
          <w:color w:val="1B1B22"/>
          <w:spacing w:val="-2"/>
        </w:rPr>
        <w:t> </w:t>
      </w:r>
      <w:r>
        <w:rPr>
          <w:color w:val="1B1B22"/>
        </w:rPr>
        <w:t>negócios</w:t>
      </w:r>
      <w:r>
        <w:rPr>
          <w:color w:val="1B1B22"/>
          <w:spacing w:val="-1"/>
        </w:rPr>
        <w:t> </w:t>
      </w:r>
      <w:r>
        <w:rPr>
          <w:color w:val="1B1B22"/>
        </w:rPr>
        <w:t>para</w:t>
      </w:r>
      <w:r>
        <w:rPr>
          <w:color w:val="1B1B22"/>
          <w:spacing w:val="-2"/>
        </w:rPr>
        <w:t> </w:t>
      </w:r>
      <w:r>
        <w:rPr>
          <w:color w:val="1B1B22"/>
        </w:rPr>
        <w:t>uma</w:t>
      </w:r>
      <w:r>
        <w:rPr>
          <w:color w:val="1B1B22"/>
          <w:spacing w:val="-2"/>
        </w:rPr>
        <w:t> </w:t>
      </w:r>
      <w:r>
        <w:rPr>
          <w:color w:val="1B1B22"/>
        </w:rPr>
        <w:t>economia</w:t>
      </w:r>
      <w:r>
        <w:rPr>
          <w:color w:val="1B1B22"/>
          <w:spacing w:val="-2"/>
        </w:rPr>
        <w:t> </w:t>
      </w:r>
      <w:r>
        <w:rPr>
          <w:color w:val="1B1B22"/>
        </w:rPr>
        <w:t>de baixo carbono. O cumprimento dos indicadores e metas de sustentabilidade são refletidos na remuneração de todo o corpo funcional, incluindo a</w:t>
      </w:r>
      <w:r>
        <w:rPr>
          <w:color w:val="1B1B22"/>
          <w:spacing w:val="-1"/>
        </w:rPr>
        <w:t> </w:t>
      </w:r>
      <w:r>
        <w:rPr>
          <w:color w:val="1B1B22"/>
        </w:rPr>
        <w:t>alta</w:t>
      </w:r>
      <w:r>
        <w:rPr>
          <w:color w:val="1B1B22"/>
          <w:spacing w:val="-1"/>
        </w:rPr>
        <w:t> </w:t>
      </w:r>
      <w:r>
        <w:rPr>
          <w:color w:val="1B1B22"/>
        </w:rPr>
        <w:t>administração, o que garante o alinhamento entre negócios, pessoas e questões sociais, ambientais e climáticas.</w:t>
      </w:r>
    </w:p>
    <w:p>
      <w:pPr>
        <w:pStyle w:val="BodyText"/>
        <w:spacing w:before="5"/>
        <w:jc w:val="left"/>
        <w:rPr>
          <w:sz w:val="8"/>
        </w:rPr>
      </w:pPr>
      <w:r>
        <w:rPr/>
        <w:drawing>
          <wp:anchor distT="0" distB="0" distL="0" distR="0" allowOverlap="1" layoutInCell="1" locked="0" behindDoc="1" simplePos="0" relativeHeight="487593472">
            <wp:simplePos x="0" y="0"/>
            <wp:positionH relativeFrom="page">
              <wp:posOffset>4004945</wp:posOffset>
            </wp:positionH>
            <wp:positionV relativeFrom="paragraph">
              <wp:posOffset>83488</wp:posOffset>
            </wp:positionV>
            <wp:extent cx="3038043" cy="2024252"/>
            <wp:effectExtent l="0" t="0" r="0" b="0"/>
            <wp:wrapTopAndBottom/>
            <wp:docPr id="41" name="Image 41" descr="Pessoa em pé em gramado  Descrição gerada automaticamente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1" name="Image 41" descr="Pessoa em pé em gramado  Descrição gerada automaticamente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038043" cy="202425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>
      <w:pPr>
        <w:pStyle w:val="BodyText"/>
        <w:spacing w:before="191"/>
        <w:ind w:left="668"/>
      </w:pPr>
      <w:r>
        <w:rPr>
          <w:color w:val="1B1B22"/>
        </w:rPr>
        <w:t>Os</w:t>
      </w:r>
      <w:r>
        <w:rPr>
          <w:color w:val="1B1B22"/>
          <w:spacing w:val="30"/>
        </w:rPr>
        <w:t>  </w:t>
      </w:r>
      <w:r>
        <w:rPr>
          <w:color w:val="1B1B22"/>
        </w:rPr>
        <w:t>Compromissos</w:t>
      </w:r>
      <w:r>
        <w:rPr>
          <w:color w:val="1B1B22"/>
          <w:spacing w:val="31"/>
        </w:rPr>
        <w:t>  </w:t>
      </w:r>
      <w:r>
        <w:rPr>
          <w:color w:val="1B1B22"/>
        </w:rPr>
        <w:t>BB</w:t>
      </w:r>
      <w:r>
        <w:rPr>
          <w:color w:val="1B1B22"/>
          <w:spacing w:val="30"/>
        </w:rPr>
        <w:t>  </w:t>
      </w:r>
      <w:r>
        <w:rPr>
          <w:color w:val="1B1B22"/>
        </w:rPr>
        <w:t>2030</w:t>
      </w:r>
      <w:r>
        <w:rPr>
          <w:color w:val="1B1B22"/>
          <w:spacing w:val="31"/>
        </w:rPr>
        <w:t>  </w:t>
      </w:r>
      <w:r>
        <w:rPr>
          <w:color w:val="1B1B22"/>
        </w:rPr>
        <w:t>para</w:t>
      </w:r>
      <w:r>
        <w:rPr>
          <w:color w:val="1B1B22"/>
          <w:spacing w:val="30"/>
        </w:rPr>
        <w:t>  </w:t>
      </w:r>
      <w:r>
        <w:rPr>
          <w:color w:val="1B1B22"/>
        </w:rPr>
        <w:t>um</w:t>
      </w:r>
      <w:r>
        <w:rPr>
          <w:color w:val="1B1B22"/>
          <w:spacing w:val="30"/>
        </w:rPr>
        <w:t>  </w:t>
      </w:r>
      <w:r>
        <w:rPr>
          <w:color w:val="1B1B22"/>
          <w:spacing w:val="-4"/>
        </w:rPr>
        <w:t>Mundo</w:t>
      </w:r>
    </w:p>
    <w:p>
      <w:pPr>
        <w:pStyle w:val="BodyText"/>
        <w:spacing w:line="321" w:lineRule="auto" w:before="87"/>
        <w:ind w:left="668" w:right="625"/>
      </w:pPr>
      <w:r>
        <w:rPr>
          <w:color w:val="1B1B22"/>
        </w:rPr>
        <w:t>+Sustentável trazem objetivos em quatro frentes de atuação, incluindo o crédito sustentável e o investimento responsável, abrangendo nossa </w:t>
      </w:r>
      <w:r>
        <w:rPr>
          <w:color w:val="1B1B22"/>
          <w:spacing w:val="-2"/>
        </w:rPr>
        <w:t>atuação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na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gestão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ASG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climática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buscando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gerar </w:t>
      </w:r>
      <w:r>
        <w:rPr>
          <w:color w:val="1B1B22"/>
        </w:rPr>
        <w:t>impactos positivos na cadeia de valor.</w:t>
      </w:r>
    </w:p>
    <w:p>
      <w:pPr>
        <w:spacing w:after="0" w:line="321" w:lineRule="auto"/>
        <w:sectPr>
          <w:type w:val="continuous"/>
          <w:pgSz w:w="11910" w:h="16850"/>
          <w:pgMar w:header="152" w:footer="591" w:top="1920" w:bottom="280" w:left="180" w:right="220"/>
          <w:cols w:num="2" w:equalWidth="0">
            <w:col w:w="5421" w:space="40"/>
            <w:col w:w="6049"/>
          </w:cols>
        </w:sectPr>
      </w:pPr>
    </w:p>
    <w:p>
      <w:pPr>
        <w:pStyle w:val="BodyText"/>
        <w:spacing w:before="54"/>
        <w:jc w:val="left"/>
        <w:rPr>
          <w:sz w:val="24"/>
        </w:rPr>
      </w:pPr>
    </w:p>
    <w:p>
      <w:pPr>
        <w:spacing w:before="1"/>
        <w:ind w:left="672" w:right="0" w:firstLine="0"/>
        <w:jc w:val="left"/>
        <w:rPr>
          <w:rFonts w:ascii="BancoDoBrasil Titulos Medium" w:hAnsi="BancoDoBrasil Titulos Medium"/>
          <w:b w:val="0"/>
          <w:sz w:val="24"/>
        </w:rPr>
      </w:pPr>
      <w:r>
        <w:rPr>
          <w:rFonts w:ascii="BancoDoBrasil Titulos Medium" w:hAnsi="BancoDoBrasil Titulos Medium"/>
          <w:b w:val="0"/>
          <w:color w:val="735CC5"/>
          <w:sz w:val="24"/>
        </w:rPr>
        <w:t>Compromissos</w:t>
      </w:r>
      <w:r>
        <w:rPr>
          <w:rFonts w:ascii="BancoDoBrasil Titulos Medium" w:hAnsi="BancoDoBrasil Titulos Medium"/>
          <w:b w:val="0"/>
          <w:color w:val="735CC5"/>
          <w:spacing w:val="-10"/>
          <w:sz w:val="24"/>
        </w:rPr>
        <w:t> </w:t>
      </w:r>
      <w:r>
        <w:rPr>
          <w:rFonts w:ascii="BancoDoBrasil Titulos Medium" w:hAnsi="BancoDoBrasil Titulos Medium"/>
          <w:b w:val="0"/>
          <w:color w:val="735CC5"/>
          <w:sz w:val="24"/>
        </w:rPr>
        <w:t>BB</w:t>
      </w:r>
      <w:r>
        <w:rPr>
          <w:rFonts w:ascii="BancoDoBrasil Titulos Medium" w:hAnsi="BancoDoBrasil Titulos Medium"/>
          <w:b w:val="0"/>
          <w:color w:val="735CC5"/>
          <w:spacing w:val="-8"/>
          <w:sz w:val="24"/>
        </w:rPr>
        <w:t> </w:t>
      </w:r>
      <w:r>
        <w:rPr>
          <w:rFonts w:ascii="BancoDoBrasil Titulos Medium" w:hAnsi="BancoDoBrasil Titulos Medium"/>
          <w:b w:val="0"/>
          <w:color w:val="735CC5"/>
          <w:sz w:val="24"/>
        </w:rPr>
        <w:t>2030</w:t>
      </w:r>
      <w:r>
        <w:rPr>
          <w:rFonts w:ascii="BancoDoBrasil Titulos Medium" w:hAnsi="BancoDoBrasil Titulos Medium"/>
          <w:b w:val="0"/>
          <w:color w:val="735CC5"/>
          <w:spacing w:val="-9"/>
          <w:sz w:val="24"/>
        </w:rPr>
        <w:t> </w:t>
      </w:r>
      <w:r>
        <w:rPr>
          <w:rFonts w:ascii="BancoDoBrasil Titulos Medium" w:hAnsi="BancoDoBrasil Titulos Medium"/>
          <w:b w:val="0"/>
          <w:color w:val="735CC5"/>
          <w:sz w:val="24"/>
        </w:rPr>
        <w:t>para</w:t>
      </w:r>
      <w:r>
        <w:rPr>
          <w:rFonts w:ascii="BancoDoBrasil Titulos Medium" w:hAnsi="BancoDoBrasil Titulos Medium"/>
          <w:b w:val="0"/>
          <w:color w:val="735CC5"/>
          <w:spacing w:val="-9"/>
          <w:sz w:val="24"/>
        </w:rPr>
        <w:t> </w:t>
      </w:r>
      <w:r>
        <w:rPr>
          <w:rFonts w:ascii="BancoDoBrasil Titulos Medium" w:hAnsi="BancoDoBrasil Titulos Medium"/>
          <w:b w:val="0"/>
          <w:color w:val="735CC5"/>
          <w:sz w:val="24"/>
        </w:rPr>
        <w:t>um</w:t>
      </w:r>
      <w:r>
        <w:rPr>
          <w:rFonts w:ascii="BancoDoBrasil Titulos Medium" w:hAnsi="BancoDoBrasil Titulos Medium"/>
          <w:b w:val="0"/>
          <w:color w:val="735CC5"/>
          <w:spacing w:val="-10"/>
          <w:sz w:val="24"/>
        </w:rPr>
        <w:t> </w:t>
      </w:r>
      <w:r>
        <w:rPr>
          <w:rFonts w:ascii="BancoDoBrasil Titulos Medium" w:hAnsi="BancoDoBrasil Titulos Medium"/>
          <w:b w:val="0"/>
          <w:color w:val="735CC5"/>
          <w:sz w:val="24"/>
        </w:rPr>
        <w:t>Mundo</w:t>
      </w:r>
      <w:r>
        <w:rPr>
          <w:rFonts w:ascii="BancoDoBrasil Titulos Medium" w:hAnsi="BancoDoBrasil Titulos Medium"/>
          <w:b w:val="0"/>
          <w:color w:val="735CC5"/>
          <w:spacing w:val="-7"/>
          <w:sz w:val="24"/>
        </w:rPr>
        <w:t> </w:t>
      </w:r>
      <w:r>
        <w:rPr>
          <w:rFonts w:ascii="BancoDoBrasil Titulos Medium" w:hAnsi="BancoDoBrasil Titulos Medium"/>
          <w:b w:val="0"/>
          <w:color w:val="735CC5"/>
          <w:sz w:val="24"/>
        </w:rPr>
        <w:t>+</w:t>
      </w:r>
      <w:r>
        <w:rPr>
          <w:rFonts w:ascii="BancoDoBrasil Titulos Medium" w:hAnsi="BancoDoBrasil Titulos Medium"/>
          <w:b w:val="0"/>
          <w:color w:val="735CC5"/>
          <w:spacing w:val="-7"/>
          <w:sz w:val="24"/>
        </w:rPr>
        <w:t> </w:t>
      </w:r>
      <w:r>
        <w:rPr>
          <w:rFonts w:ascii="BancoDoBrasil Titulos Medium" w:hAnsi="BancoDoBrasil Titulos Medium"/>
          <w:b w:val="0"/>
          <w:color w:val="735CC5"/>
          <w:spacing w:val="-2"/>
          <w:sz w:val="24"/>
        </w:rPr>
        <w:t>Sustentável</w:t>
      </w:r>
    </w:p>
    <w:p>
      <w:pPr>
        <w:pStyle w:val="BodyText"/>
        <w:spacing w:before="8"/>
        <w:jc w:val="left"/>
        <w:rPr>
          <w:rFonts w:ascii="BancoDoBrasil Titulos Medium"/>
          <w:b w:val="0"/>
          <w:sz w:val="17"/>
        </w:rPr>
      </w:pP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3984">
                <wp:simplePos x="0" y="0"/>
                <wp:positionH relativeFrom="page">
                  <wp:posOffset>522731</wp:posOffset>
                </wp:positionH>
                <wp:positionV relativeFrom="paragraph">
                  <wp:posOffset>157962</wp:posOffset>
                </wp:positionV>
                <wp:extent cx="6518275" cy="56515"/>
                <wp:effectExtent l="0" t="0" r="0" b="0"/>
                <wp:wrapTopAndBottom/>
                <wp:docPr id="42" name="Graphic 42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2" name="Graphic 42"/>
                      <wps:cNvSpPr/>
                      <wps:spPr>
                        <a:xfrm>
                          <a:off x="0" y="0"/>
                          <a:ext cx="6518275" cy="565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518275" h="56515">
                              <a:moveTo>
                                <a:pt x="6517894" y="0"/>
                              </a:moveTo>
                              <a:lnTo>
                                <a:pt x="0" y="0"/>
                              </a:lnTo>
                              <a:lnTo>
                                <a:pt x="0" y="56388"/>
                              </a:lnTo>
                              <a:lnTo>
                                <a:pt x="6517894" y="56388"/>
                              </a:lnTo>
                              <a:lnTo>
                                <a:pt x="651789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ADE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41.16pt;margin-top:12.438pt;width:513.22pt;height:4.440pt;mso-position-horizontal-relative:page;mso-position-vertical-relative:paragraph;z-index:-15722496;mso-wrap-distance-left:0;mso-wrap-distance-right:0" id="docshape40" filled="true" fillcolor="#dadeff" stroked="false">
                <v:fill type="solid"/>
                <w10:wrap type="topAndBottom"/>
              </v:rect>
            </w:pict>
          </mc:Fallback>
        </mc:AlternateContent>
      </w:r>
      <w:r>
        <w:rPr/>
        <w:drawing>
          <wp:anchor distT="0" distB="0" distL="0" distR="0" allowOverlap="1" layoutInCell="1" locked="0" behindDoc="1" simplePos="0" relativeHeight="487594496">
            <wp:simplePos x="0" y="0"/>
            <wp:positionH relativeFrom="page">
              <wp:posOffset>569083</wp:posOffset>
            </wp:positionH>
            <wp:positionV relativeFrom="paragraph">
              <wp:posOffset>304690</wp:posOffset>
            </wp:positionV>
            <wp:extent cx="6395576" cy="3543300"/>
            <wp:effectExtent l="0" t="0" r="0" b="0"/>
            <wp:wrapTopAndBottom/>
            <wp:docPr id="43" name="Image 43" descr="Interface gráfica do usuário, Texto, Site  Descrição gerada automaticamente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3" name="Image 43" descr="Interface gráfica do usuário, Texto, Site  Descrição gerada automaticamente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95576" cy="35433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/>
        <mc:AlternateContent>
          <mc:Choice Requires="wps">
            <w:drawing>
              <wp:anchor distT="0" distB="0" distL="0" distR="0" allowOverlap="1" layoutInCell="1" locked="0" behindDoc="1" simplePos="0" relativeHeight="487595008">
                <wp:simplePos x="0" y="0"/>
                <wp:positionH relativeFrom="page">
                  <wp:posOffset>522731</wp:posOffset>
                </wp:positionH>
                <wp:positionV relativeFrom="paragraph">
                  <wp:posOffset>3916527</wp:posOffset>
                </wp:positionV>
                <wp:extent cx="6518275" cy="56515"/>
                <wp:effectExtent l="0" t="0" r="0" b="0"/>
                <wp:wrapTopAndBottom/>
                <wp:docPr id="44" name="Graphic 44"/>
                <wp:cNvGraphicFramePr>
                  <a:graphicFrameLocks/>
                </wp:cNvGraphicFramePr>
                <a:graphic>
                  <a:graphicData uri="http://schemas.microsoft.com/office/word/2010/wordprocessingShape">
                    <wps:wsp>
                      <wps:cNvPr id="44" name="Graphic 44"/>
                      <wps:cNvSpPr/>
                      <wps:spPr>
                        <a:xfrm>
                          <a:off x="0" y="0"/>
                          <a:ext cx="6518275" cy="56515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6518275" h="56515">
                              <a:moveTo>
                                <a:pt x="6517894" y="0"/>
                              </a:moveTo>
                              <a:lnTo>
                                <a:pt x="0" y="0"/>
                              </a:lnTo>
                              <a:lnTo>
                                <a:pt x="0" y="56387"/>
                              </a:lnTo>
                              <a:lnTo>
                                <a:pt x="6517894" y="56387"/>
                              </a:lnTo>
                              <a:lnTo>
                                <a:pt x="6517894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DADEFF"/>
                        </a:solidFill>
                      </wps:spPr>
                      <wps:bodyPr wrap="square" lIns="0" tIns="0" rIns="0" bIns="0" rtlCol="0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style="position:absolute;margin-left:41.16pt;margin-top:308.388pt;width:513.22pt;height:4.440pt;mso-position-horizontal-relative:page;mso-position-vertical-relative:paragraph;z-index:-15721472;mso-wrap-distance-left:0;mso-wrap-distance-right:0" id="docshape41" filled="true" fillcolor="#dadeff" stroked="false">
                <v:fill type="solid"/>
                <w10:wrap type="topAndBottom"/>
              </v:rect>
            </w:pict>
          </mc:Fallback>
        </mc:AlternateContent>
      </w:r>
    </w:p>
    <w:p>
      <w:pPr>
        <w:pStyle w:val="BodyText"/>
        <w:spacing w:before="3"/>
        <w:jc w:val="left"/>
        <w:rPr>
          <w:rFonts w:ascii="BancoDoBrasil Titulos Medium"/>
          <w:b w:val="0"/>
          <w:sz w:val="9"/>
        </w:rPr>
      </w:pPr>
    </w:p>
    <w:p>
      <w:pPr>
        <w:pStyle w:val="BodyText"/>
        <w:spacing w:before="7"/>
        <w:jc w:val="left"/>
        <w:rPr>
          <w:rFonts w:ascii="BancoDoBrasil Titulos Medium"/>
          <w:b w:val="0"/>
          <w:sz w:val="6"/>
        </w:rPr>
      </w:pPr>
    </w:p>
    <w:p>
      <w:pPr>
        <w:pStyle w:val="BodyText"/>
        <w:spacing w:before="6"/>
        <w:jc w:val="left"/>
        <w:rPr>
          <w:rFonts w:ascii="BancoDoBrasil Titulos Medium"/>
          <w:b w:val="0"/>
          <w:sz w:val="5"/>
        </w:rPr>
      </w:pPr>
    </w:p>
    <w:p>
      <w:pPr>
        <w:spacing w:after="0"/>
        <w:jc w:val="left"/>
        <w:rPr>
          <w:rFonts w:ascii="BancoDoBrasil Titulos Medium"/>
          <w:sz w:val="5"/>
        </w:rPr>
        <w:sectPr>
          <w:pgSz w:w="11910" w:h="16850"/>
          <w:pgMar w:header="152" w:footer="591" w:top="900" w:bottom="780" w:left="180" w:right="220"/>
        </w:sectPr>
      </w:pPr>
    </w:p>
    <w:p>
      <w:pPr>
        <w:pStyle w:val="Heading2"/>
        <w:spacing w:before="26"/>
        <w:jc w:val="both"/>
        <w:rPr>
          <w:b w:val="0"/>
        </w:rPr>
      </w:pPr>
      <w:r>
        <w:rPr>
          <w:b w:val="0"/>
          <w:color w:val="465EFF"/>
          <w:spacing w:val="19"/>
        </w:rPr>
        <w:t>Negócios</w:t>
      </w:r>
      <w:r>
        <w:rPr>
          <w:b w:val="0"/>
          <w:color w:val="465EFF"/>
          <w:spacing w:val="53"/>
        </w:rPr>
        <w:t> </w:t>
      </w:r>
      <w:r>
        <w:rPr>
          <w:b w:val="0"/>
          <w:color w:val="465EFF"/>
          <w:spacing w:val="15"/>
        </w:rPr>
        <w:t>Sustentáveis</w:t>
      </w:r>
    </w:p>
    <w:p>
      <w:pPr>
        <w:pStyle w:val="BodyText"/>
        <w:spacing w:line="321" w:lineRule="auto" w:before="168"/>
        <w:ind w:left="672"/>
      </w:pPr>
      <w:r>
        <w:rPr>
          <w:color w:val="1B1B22"/>
        </w:rPr>
        <w:t>Em linha com os nossos compromissos de longo prazo e visando auxiliar os clientes na transição para uma economia mais sustentável, ao final de setembro</w:t>
      </w:r>
      <w:r>
        <w:rPr>
          <w:color w:val="1B1B22"/>
          <w:spacing w:val="-4"/>
        </w:rPr>
        <w:t> </w:t>
      </w:r>
      <w:r>
        <w:rPr>
          <w:color w:val="1B1B22"/>
        </w:rPr>
        <w:t>de</w:t>
      </w:r>
      <w:r>
        <w:rPr>
          <w:color w:val="1B1B22"/>
          <w:spacing w:val="-4"/>
        </w:rPr>
        <w:t> </w:t>
      </w:r>
      <w:r>
        <w:rPr>
          <w:color w:val="1B1B22"/>
        </w:rPr>
        <w:t>2024,</w:t>
      </w:r>
      <w:r>
        <w:rPr>
          <w:color w:val="1B1B22"/>
          <w:spacing w:val="-4"/>
        </w:rPr>
        <w:t> </w:t>
      </w:r>
      <w:r>
        <w:rPr>
          <w:color w:val="1B1B22"/>
        </w:rPr>
        <w:t>atingimos</w:t>
      </w:r>
      <w:r>
        <w:rPr>
          <w:color w:val="1B1B22"/>
          <w:spacing w:val="-3"/>
        </w:rPr>
        <w:t> </w:t>
      </w:r>
      <w:r>
        <w:rPr>
          <w:color w:val="1B1B22"/>
        </w:rPr>
        <w:t>R$</w:t>
      </w:r>
      <w:r>
        <w:rPr>
          <w:color w:val="1B1B22"/>
          <w:spacing w:val="-4"/>
        </w:rPr>
        <w:t> </w:t>
      </w:r>
      <w:r>
        <w:rPr>
          <w:color w:val="1B1B22"/>
        </w:rPr>
        <w:t>369,6</w:t>
      </w:r>
      <w:r>
        <w:rPr>
          <w:color w:val="1B1B22"/>
          <w:spacing w:val="-4"/>
        </w:rPr>
        <w:t> </w:t>
      </w:r>
      <w:r>
        <w:rPr>
          <w:color w:val="1B1B22"/>
        </w:rPr>
        <w:t>bilhões</w:t>
      </w:r>
      <w:r>
        <w:rPr>
          <w:color w:val="1B1B22"/>
          <w:spacing w:val="-4"/>
        </w:rPr>
        <w:t> </w:t>
      </w:r>
      <w:r>
        <w:rPr>
          <w:color w:val="1B1B22"/>
        </w:rPr>
        <w:t>em </w:t>
      </w:r>
      <w:r>
        <w:rPr>
          <w:color w:val="1B1B22"/>
          <w:spacing w:val="-2"/>
        </w:rPr>
        <w:t>operações de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crédito sustentáveis, um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crescimento </w:t>
      </w:r>
      <w:r>
        <w:rPr>
          <w:color w:val="1B1B22"/>
        </w:rPr>
        <w:t>de 9,1% em 12 meses.</w:t>
      </w:r>
    </w:p>
    <w:p>
      <w:pPr>
        <w:pStyle w:val="BodyText"/>
        <w:spacing w:line="321" w:lineRule="auto" w:before="116"/>
        <w:ind w:left="672"/>
      </w:pPr>
      <w:r>
        <w:rPr>
          <w:color w:val="1B1B22"/>
        </w:rPr>
        <w:t>Este</w:t>
      </w:r>
      <w:r>
        <w:rPr>
          <w:color w:val="1B1B22"/>
          <w:spacing w:val="-7"/>
        </w:rPr>
        <w:t> </w:t>
      </w:r>
      <w:r>
        <w:rPr>
          <w:color w:val="1B1B22"/>
        </w:rPr>
        <w:t>montante</w:t>
      </w:r>
      <w:r>
        <w:rPr>
          <w:color w:val="1B1B22"/>
          <w:spacing w:val="-7"/>
        </w:rPr>
        <w:t> </w:t>
      </w:r>
      <w:r>
        <w:rPr>
          <w:color w:val="1B1B22"/>
        </w:rPr>
        <w:t>foi</w:t>
      </w:r>
      <w:r>
        <w:rPr>
          <w:color w:val="1B1B22"/>
          <w:spacing w:val="-7"/>
        </w:rPr>
        <w:t> </w:t>
      </w:r>
      <w:r>
        <w:rPr>
          <w:color w:val="1B1B22"/>
        </w:rPr>
        <w:t>contratado</w:t>
      </w:r>
      <w:r>
        <w:rPr>
          <w:color w:val="1B1B22"/>
          <w:spacing w:val="-7"/>
        </w:rPr>
        <w:t> </w:t>
      </w:r>
      <w:r>
        <w:rPr>
          <w:color w:val="1B1B22"/>
        </w:rPr>
        <w:t>em</w:t>
      </w:r>
      <w:r>
        <w:rPr>
          <w:color w:val="1B1B22"/>
          <w:spacing w:val="-7"/>
        </w:rPr>
        <w:t> </w:t>
      </w:r>
      <w:r>
        <w:rPr>
          <w:color w:val="1B1B22"/>
        </w:rPr>
        <w:t>linhas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7"/>
        </w:rPr>
        <w:t> </w:t>
      </w:r>
      <w:r>
        <w:rPr>
          <w:color w:val="1B1B22"/>
        </w:rPr>
        <w:t>crédito com</w:t>
      </w:r>
      <w:r>
        <w:rPr>
          <w:color w:val="1B1B22"/>
          <w:spacing w:val="-13"/>
        </w:rPr>
        <w:t> </w:t>
      </w:r>
      <w:r>
        <w:rPr>
          <w:color w:val="1B1B22"/>
        </w:rPr>
        <w:t>grande</w:t>
      </w:r>
      <w:r>
        <w:rPr>
          <w:color w:val="1B1B22"/>
          <w:spacing w:val="-12"/>
        </w:rPr>
        <w:t> </w:t>
      </w:r>
      <w:r>
        <w:rPr>
          <w:color w:val="1B1B22"/>
        </w:rPr>
        <w:t>enfoque</w:t>
      </w:r>
      <w:r>
        <w:rPr>
          <w:color w:val="1B1B22"/>
          <w:spacing w:val="-13"/>
        </w:rPr>
        <w:t> </w:t>
      </w:r>
      <w:r>
        <w:rPr>
          <w:color w:val="1B1B22"/>
        </w:rPr>
        <w:t>ambiental</w:t>
      </w:r>
      <w:r>
        <w:rPr>
          <w:color w:val="1B1B22"/>
          <w:spacing w:val="-12"/>
        </w:rPr>
        <w:t> </w:t>
      </w:r>
      <w:r>
        <w:rPr>
          <w:color w:val="1B1B22"/>
        </w:rPr>
        <w:t>e/ou</w:t>
      </w:r>
      <w:r>
        <w:rPr>
          <w:color w:val="1B1B22"/>
          <w:spacing w:val="-12"/>
        </w:rPr>
        <w:t> </w:t>
      </w:r>
      <w:r>
        <w:rPr>
          <w:color w:val="1B1B22"/>
        </w:rPr>
        <w:t>social</w:t>
      </w:r>
      <w:r>
        <w:rPr>
          <w:color w:val="1B1B22"/>
          <w:spacing w:val="-12"/>
        </w:rPr>
        <w:t> </w:t>
      </w:r>
      <w:r>
        <w:rPr>
          <w:color w:val="1B1B22"/>
        </w:rPr>
        <w:t>ou</w:t>
      </w:r>
      <w:r>
        <w:rPr>
          <w:color w:val="1B1B22"/>
          <w:spacing w:val="-13"/>
        </w:rPr>
        <w:t> </w:t>
      </w:r>
      <w:r>
        <w:rPr>
          <w:color w:val="1B1B22"/>
        </w:rPr>
        <w:t>para financiar atividades e/ou segmentos que tragam impactos</w:t>
      </w:r>
      <w:r>
        <w:rPr>
          <w:color w:val="1B1B22"/>
          <w:spacing w:val="-13"/>
        </w:rPr>
        <w:t> </w:t>
      </w:r>
      <w:r>
        <w:rPr>
          <w:color w:val="1B1B22"/>
        </w:rPr>
        <w:t>socioambientais</w:t>
      </w:r>
      <w:r>
        <w:rPr>
          <w:color w:val="1B1B22"/>
          <w:spacing w:val="-12"/>
        </w:rPr>
        <w:t> </w:t>
      </w:r>
      <w:r>
        <w:rPr>
          <w:color w:val="1B1B22"/>
        </w:rPr>
        <w:t>positivos</w:t>
      </w:r>
      <w:r>
        <w:rPr>
          <w:color w:val="1B1B22"/>
          <w:spacing w:val="-13"/>
        </w:rPr>
        <w:t> </w:t>
      </w:r>
      <w:r>
        <w:rPr>
          <w:color w:val="1B1B22"/>
        </w:rPr>
        <w:t>para</w:t>
      </w:r>
      <w:r>
        <w:rPr>
          <w:color w:val="1B1B22"/>
          <w:spacing w:val="-12"/>
        </w:rPr>
        <w:t> </w:t>
      </w:r>
      <w:r>
        <w:rPr>
          <w:color w:val="1B1B22"/>
        </w:rPr>
        <w:t>os</w:t>
      </w:r>
      <w:r>
        <w:rPr>
          <w:color w:val="1B1B22"/>
          <w:spacing w:val="-12"/>
        </w:rPr>
        <w:t> </w:t>
      </w:r>
      <w:r>
        <w:rPr>
          <w:color w:val="1B1B22"/>
        </w:rPr>
        <w:t>setores de energias renováveis, eficiência </w:t>
      </w:r>
      <w:r>
        <w:rPr>
          <w:color w:val="1B1B22"/>
        </w:rPr>
        <w:t>energética, construção, transporte e turismo sustentáveis, água, pesca, floresta, agricultura sustentável, gestão</w:t>
      </w:r>
      <w:r>
        <w:rPr>
          <w:color w:val="1B1B22"/>
          <w:spacing w:val="64"/>
          <w:w w:val="150"/>
        </w:rPr>
        <w:t>  </w:t>
      </w:r>
      <w:r>
        <w:rPr>
          <w:color w:val="1B1B22"/>
        </w:rPr>
        <w:t>de</w:t>
      </w:r>
      <w:r>
        <w:rPr>
          <w:color w:val="1B1B22"/>
          <w:spacing w:val="65"/>
          <w:w w:val="150"/>
        </w:rPr>
        <w:t>  </w:t>
      </w:r>
      <w:r>
        <w:rPr>
          <w:color w:val="1B1B22"/>
        </w:rPr>
        <w:t>resíduos,</w:t>
      </w:r>
      <w:r>
        <w:rPr>
          <w:color w:val="1B1B22"/>
          <w:spacing w:val="66"/>
          <w:w w:val="150"/>
        </w:rPr>
        <w:t>  </w:t>
      </w:r>
      <w:r>
        <w:rPr>
          <w:color w:val="1B1B22"/>
        </w:rPr>
        <w:t>educação,</w:t>
      </w:r>
      <w:r>
        <w:rPr>
          <w:color w:val="1B1B22"/>
          <w:spacing w:val="65"/>
          <w:w w:val="150"/>
        </w:rPr>
        <w:t>  </w:t>
      </w:r>
      <w:r>
        <w:rPr>
          <w:color w:val="1B1B22"/>
        </w:rPr>
        <w:t>saúde</w:t>
      </w:r>
      <w:r>
        <w:rPr>
          <w:color w:val="1B1B22"/>
          <w:spacing w:val="65"/>
          <w:w w:val="150"/>
        </w:rPr>
        <w:t>  </w:t>
      </w:r>
      <w:r>
        <w:rPr>
          <w:color w:val="1B1B22"/>
          <w:spacing w:val="-10"/>
        </w:rPr>
        <w:t>e</w:t>
      </w:r>
    </w:p>
    <w:p>
      <w:pPr>
        <w:pStyle w:val="Heading2"/>
        <w:spacing w:line="343" w:lineRule="exact" w:before="0"/>
        <w:jc w:val="both"/>
        <w:rPr>
          <w:b w:val="0"/>
        </w:rPr>
      </w:pPr>
      <w:r>
        <w:rPr>
          <w:b w:val="0"/>
          <w:color w:val="465EFF"/>
          <w:spacing w:val="19"/>
        </w:rPr>
        <w:t>Captações</w:t>
      </w:r>
      <w:r>
        <w:rPr>
          <w:b w:val="0"/>
          <w:color w:val="465EFF"/>
          <w:spacing w:val="47"/>
        </w:rPr>
        <w:t> </w:t>
      </w:r>
      <w:r>
        <w:rPr>
          <w:b w:val="0"/>
          <w:color w:val="465EFF"/>
          <w:spacing w:val="16"/>
        </w:rPr>
        <w:t>Sustentáveis</w:t>
      </w:r>
    </w:p>
    <w:p>
      <w:pPr>
        <w:spacing w:line="240" w:lineRule="auto" w:before="0"/>
        <w:rPr>
          <w:rFonts w:ascii="BancoDoBrasil Textos Medium"/>
          <w:b w:val="0"/>
          <w:sz w:val="20"/>
        </w:rPr>
      </w:pPr>
      <w:r>
        <w:rPr/>
        <w:br w:type="column"/>
      </w:r>
      <w:r>
        <w:rPr>
          <w:rFonts w:ascii="BancoDoBrasil Textos Medium"/>
          <w:b w:val="0"/>
          <w:sz w:val="20"/>
        </w:rPr>
      </w:r>
    </w:p>
    <w:p>
      <w:pPr>
        <w:pStyle w:val="BodyText"/>
        <w:spacing w:before="41"/>
        <w:jc w:val="left"/>
        <w:rPr>
          <w:rFonts w:ascii="BancoDoBrasil Textos Medium"/>
          <w:b w:val="0"/>
        </w:rPr>
      </w:pPr>
    </w:p>
    <w:p>
      <w:pPr>
        <w:pStyle w:val="BodyText"/>
        <w:spacing w:line="321" w:lineRule="auto" w:before="1"/>
        <w:ind w:left="670" w:right="630"/>
      </w:pPr>
      <w:r>
        <w:rPr>
          <w:color w:val="1B1B22"/>
        </w:rPr>
        <w:t>desenvolvimento local e regional, para assim reforçar o papel transformador no desenvolvimento do país e na construção de um futuro</w:t>
      </w:r>
      <w:r>
        <w:rPr>
          <w:color w:val="1B1B22"/>
          <w:spacing w:val="-6"/>
        </w:rPr>
        <w:t> </w:t>
      </w:r>
      <w:r>
        <w:rPr>
          <w:color w:val="1B1B22"/>
        </w:rPr>
        <w:t>cada</w:t>
      </w:r>
      <w:r>
        <w:rPr>
          <w:color w:val="1B1B22"/>
          <w:spacing w:val="-7"/>
        </w:rPr>
        <w:t> </w:t>
      </w:r>
      <w:r>
        <w:rPr>
          <w:color w:val="1B1B22"/>
        </w:rPr>
        <w:t>vez</w:t>
      </w:r>
      <w:r>
        <w:rPr>
          <w:color w:val="1B1B22"/>
          <w:spacing w:val="-7"/>
        </w:rPr>
        <w:t> </w:t>
      </w:r>
      <w:r>
        <w:rPr>
          <w:color w:val="1B1B22"/>
        </w:rPr>
        <w:t>mais</w:t>
      </w:r>
      <w:r>
        <w:rPr>
          <w:color w:val="1B1B22"/>
          <w:spacing w:val="-6"/>
        </w:rPr>
        <w:t> </w:t>
      </w:r>
      <w:r>
        <w:rPr>
          <w:color w:val="1B1B22"/>
        </w:rPr>
        <w:t>sustentável</w:t>
      </w:r>
      <w:r>
        <w:rPr>
          <w:color w:val="1B1B22"/>
          <w:spacing w:val="-6"/>
        </w:rPr>
        <w:t> </w:t>
      </w:r>
      <w:r>
        <w:rPr>
          <w:color w:val="1B1B22"/>
        </w:rPr>
        <w:t>para</w:t>
      </w:r>
      <w:r>
        <w:rPr>
          <w:color w:val="1B1B22"/>
          <w:spacing w:val="-7"/>
        </w:rPr>
        <w:t> </w:t>
      </w:r>
      <w:r>
        <w:rPr>
          <w:color w:val="1B1B22"/>
        </w:rPr>
        <w:t>a</w:t>
      </w:r>
      <w:r>
        <w:rPr>
          <w:color w:val="1B1B22"/>
          <w:spacing w:val="-7"/>
        </w:rPr>
        <w:t> </w:t>
      </w:r>
      <w:r>
        <w:rPr>
          <w:color w:val="1B1B22"/>
        </w:rPr>
        <w:t>sociedade.</w:t>
      </w:r>
    </w:p>
    <w:p>
      <w:pPr>
        <w:pStyle w:val="BodyText"/>
        <w:spacing w:line="321" w:lineRule="auto" w:before="118"/>
        <w:ind w:left="670" w:right="628"/>
      </w:pPr>
      <w:r>
        <w:rPr>
          <w:color w:val="1B1B22"/>
        </w:rPr>
        <w:t>A Carteira de Crédito Sustentável é submetida a uma avaliação independente, que considera as principais taxonomias ASG nacionais e internacionais na classificação dos clientes e das linhas de crédito que compõem a carteira. A metodologia é revisada continuamente para incorporar as melhores práticas e referências pioneiras dos últimos anos e agregar os novos produtos com atributos ASG.</w:t>
      </w:r>
    </w:p>
    <w:p>
      <w:pPr>
        <w:spacing w:after="0" w:line="321" w:lineRule="auto"/>
        <w:sectPr>
          <w:type w:val="continuous"/>
          <w:pgSz w:w="11910" w:h="16850"/>
          <w:pgMar w:header="152" w:footer="591" w:top="1920" w:bottom="280" w:left="180" w:right="220"/>
          <w:cols w:num="2" w:equalWidth="0">
            <w:col w:w="5419" w:space="40"/>
            <w:col w:w="6051"/>
          </w:cols>
        </w:sectPr>
      </w:pPr>
    </w:p>
    <w:p>
      <w:pPr>
        <w:pStyle w:val="BodyText"/>
        <w:spacing w:line="321" w:lineRule="auto" w:before="170"/>
        <w:ind w:left="672" w:right="631"/>
      </w:pPr>
      <w:r>
        <w:rPr>
          <w:color w:val="1B1B22"/>
        </w:rPr>
        <w:t>Temos intensificado nossas agendas no mercado interbancário, com instituições multilaterais e bancos comerciais,</w:t>
      </w:r>
      <w:r>
        <w:rPr>
          <w:color w:val="1B1B22"/>
          <w:spacing w:val="-10"/>
        </w:rPr>
        <w:t> </w:t>
      </w:r>
      <w:r>
        <w:rPr>
          <w:color w:val="1B1B22"/>
        </w:rPr>
        <w:t>além</w:t>
      </w:r>
      <w:r>
        <w:rPr>
          <w:color w:val="1B1B22"/>
          <w:spacing w:val="-10"/>
        </w:rPr>
        <w:t> </w:t>
      </w:r>
      <w:r>
        <w:rPr>
          <w:color w:val="1B1B22"/>
        </w:rPr>
        <w:t>da</w:t>
      </w:r>
      <w:r>
        <w:rPr>
          <w:color w:val="1B1B22"/>
          <w:spacing w:val="-9"/>
        </w:rPr>
        <w:t> </w:t>
      </w:r>
      <w:r>
        <w:rPr>
          <w:color w:val="1B1B22"/>
        </w:rPr>
        <w:t>agenda</w:t>
      </w:r>
      <w:r>
        <w:rPr>
          <w:color w:val="1B1B22"/>
          <w:spacing w:val="-11"/>
        </w:rPr>
        <w:t> </w:t>
      </w:r>
      <w:r>
        <w:rPr>
          <w:color w:val="1B1B22"/>
        </w:rPr>
        <w:t>com</w:t>
      </w:r>
      <w:r>
        <w:rPr>
          <w:color w:val="1B1B22"/>
          <w:spacing w:val="-11"/>
        </w:rPr>
        <w:t> </w:t>
      </w:r>
      <w:r>
        <w:rPr>
          <w:color w:val="1B1B22"/>
        </w:rPr>
        <w:t>investidores</w:t>
      </w:r>
      <w:r>
        <w:rPr>
          <w:color w:val="1B1B22"/>
          <w:spacing w:val="-9"/>
        </w:rPr>
        <w:t> </w:t>
      </w:r>
      <w:r>
        <w:rPr>
          <w:color w:val="1B1B22"/>
        </w:rPr>
        <w:t>pelo</w:t>
      </w:r>
      <w:r>
        <w:rPr>
          <w:color w:val="1B1B22"/>
          <w:spacing w:val="-9"/>
        </w:rPr>
        <w:t> </w:t>
      </w:r>
      <w:r>
        <w:rPr>
          <w:color w:val="1B1B22"/>
        </w:rPr>
        <w:t>mercado</w:t>
      </w:r>
      <w:r>
        <w:rPr>
          <w:color w:val="1B1B22"/>
          <w:spacing w:val="-10"/>
        </w:rPr>
        <w:t> </w:t>
      </w:r>
      <w:r>
        <w:rPr>
          <w:color w:val="1B1B22"/>
        </w:rPr>
        <w:t>de</w:t>
      </w:r>
      <w:r>
        <w:rPr>
          <w:color w:val="1B1B22"/>
          <w:spacing w:val="-10"/>
        </w:rPr>
        <w:t> </w:t>
      </w:r>
      <w:r>
        <w:rPr>
          <w:color w:val="1B1B22"/>
        </w:rPr>
        <w:t>capitais</w:t>
      </w:r>
      <w:r>
        <w:rPr>
          <w:color w:val="1B1B22"/>
          <w:spacing w:val="-9"/>
        </w:rPr>
        <w:t> </w:t>
      </w:r>
      <w:r>
        <w:rPr>
          <w:color w:val="1B1B22"/>
        </w:rPr>
        <w:t>internacional.</w:t>
      </w:r>
      <w:r>
        <w:rPr>
          <w:color w:val="1B1B22"/>
          <w:spacing w:val="-10"/>
        </w:rPr>
        <w:t> </w:t>
      </w:r>
      <w:r>
        <w:rPr>
          <w:color w:val="1B1B22"/>
        </w:rPr>
        <w:t>O</w:t>
      </w:r>
      <w:r>
        <w:rPr>
          <w:color w:val="1B1B22"/>
          <w:spacing w:val="-11"/>
        </w:rPr>
        <w:t> </w:t>
      </w:r>
      <w:r>
        <w:rPr>
          <w:color w:val="1B1B22"/>
        </w:rPr>
        <w:t>resultado</w:t>
      </w:r>
      <w:r>
        <w:rPr>
          <w:color w:val="1B1B22"/>
          <w:spacing w:val="-10"/>
        </w:rPr>
        <w:t> </w:t>
      </w:r>
      <w:r>
        <w:rPr>
          <w:color w:val="1B1B22"/>
        </w:rPr>
        <w:t>é</w:t>
      </w:r>
      <w:r>
        <w:rPr>
          <w:color w:val="1B1B22"/>
          <w:spacing w:val="-10"/>
        </w:rPr>
        <w:t> </w:t>
      </w:r>
      <w:r>
        <w:rPr>
          <w:color w:val="1B1B22"/>
        </w:rPr>
        <w:t>que</w:t>
      </w:r>
      <w:r>
        <w:rPr>
          <w:color w:val="1B1B22"/>
          <w:spacing w:val="-10"/>
        </w:rPr>
        <w:t> </w:t>
      </w:r>
      <w:r>
        <w:rPr>
          <w:color w:val="1B1B22"/>
        </w:rPr>
        <w:t>só</w:t>
      </w:r>
      <w:r>
        <w:rPr>
          <w:color w:val="1B1B22"/>
          <w:spacing w:val="-10"/>
        </w:rPr>
        <w:t> </w:t>
      </w:r>
      <w:r>
        <w:rPr>
          <w:color w:val="1B1B22"/>
        </w:rPr>
        <w:t>nos últimos 36 meses, já são mais de R$ 36 bilhões em captações ASG contratadas ou negociadas.</w:t>
      </w:r>
    </w:p>
    <w:p>
      <w:pPr>
        <w:pStyle w:val="BodyText"/>
        <w:spacing w:line="321" w:lineRule="auto" w:before="120"/>
        <w:ind w:left="672" w:right="626"/>
      </w:pPr>
      <w:r>
        <w:rPr>
          <w:color w:val="1B1B22"/>
          <w:spacing w:val="-2"/>
        </w:rPr>
        <w:t>O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crescimento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do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total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desembolsos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em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operações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com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recursos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captados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junto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a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instituições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multilaterais, </w:t>
      </w:r>
      <w:r>
        <w:rPr>
          <w:color w:val="1B1B22"/>
        </w:rPr>
        <w:t>por</w:t>
      </w:r>
      <w:r>
        <w:rPr>
          <w:color w:val="1B1B22"/>
          <w:spacing w:val="38"/>
        </w:rPr>
        <w:t> </w:t>
      </w:r>
      <w:r>
        <w:rPr>
          <w:color w:val="1B1B22"/>
        </w:rPr>
        <w:t>exemplo,</w:t>
      </w:r>
      <w:r>
        <w:rPr>
          <w:color w:val="1B1B22"/>
          <w:spacing w:val="39"/>
        </w:rPr>
        <w:t> </w:t>
      </w:r>
      <w:r>
        <w:rPr>
          <w:color w:val="1B1B22"/>
        </w:rPr>
        <w:t>foi</w:t>
      </w:r>
      <w:r>
        <w:rPr>
          <w:color w:val="1B1B22"/>
          <w:spacing w:val="38"/>
        </w:rPr>
        <w:t> </w:t>
      </w:r>
      <w:r>
        <w:rPr>
          <w:color w:val="1B1B22"/>
        </w:rPr>
        <w:t>de</w:t>
      </w:r>
      <w:r>
        <w:rPr>
          <w:color w:val="1B1B22"/>
          <w:spacing w:val="39"/>
        </w:rPr>
        <w:t> </w:t>
      </w:r>
      <w:r>
        <w:rPr>
          <w:color w:val="1B1B22"/>
        </w:rPr>
        <w:t>61%.</w:t>
      </w:r>
      <w:r>
        <w:rPr>
          <w:color w:val="1B1B22"/>
          <w:spacing w:val="38"/>
        </w:rPr>
        <w:t> </w:t>
      </w:r>
      <w:r>
        <w:rPr>
          <w:color w:val="1B1B22"/>
        </w:rPr>
        <w:t>São</w:t>
      </w:r>
      <w:r>
        <w:rPr>
          <w:color w:val="1B1B22"/>
          <w:spacing w:val="39"/>
        </w:rPr>
        <w:t> </w:t>
      </w:r>
      <w:r>
        <w:rPr>
          <w:color w:val="1B1B22"/>
        </w:rPr>
        <w:t>negócios</w:t>
      </w:r>
      <w:r>
        <w:rPr>
          <w:color w:val="1B1B22"/>
          <w:spacing w:val="39"/>
        </w:rPr>
        <w:t> </w:t>
      </w:r>
      <w:r>
        <w:rPr>
          <w:color w:val="1B1B22"/>
        </w:rPr>
        <w:t>que</w:t>
      </w:r>
      <w:r>
        <w:rPr>
          <w:color w:val="1B1B22"/>
          <w:spacing w:val="38"/>
        </w:rPr>
        <w:t> </w:t>
      </w:r>
      <w:r>
        <w:rPr>
          <w:color w:val="1B1B22"/>
        </w:rPr>
        <w:t>contribuem</w:t>
      </w:r>
      <w:r>
        <w:rPr>
          <w:color w:val="1B1B22"/>
          <w:spacing w:val="38"/>
        </w:rPr>
        <w:t> </w:t>
      </w:r>
      <w:r>
        <w:rPr>
          <w:color w:val="1B1B22"/>
        </w:rPr>
        <w:t>para</w:t>
      </w:r>
      <w:r>
        <w:rPr>
          <w:color w:val="1B1B22"/>
          <w:spacing w:val="37"/>
        </w:rPr>
        <w:t> </w:t>
      </w:r>
      <w:r>
        <w:rPr>
          <w:color w:val="1B1B22"/>
        </w:rPr>
        <w:t>diversificar</w:t>
      </w:r>
      <w:r>
        <w:rPr>
          <w:color w:val="1B1B22"/>
          <w:spacing w:val="39"/>
        </w:rPr>
        <w:t> </w:t>
      </w:r>
      <w:r>
        <w:rPr>
          <w:color w:val="1B1B22"/>
        </w:rPr>
        <w:t>o</w:t>
      </w:r>
      <w:r>
        <w:rPr>
          <w:color w:val="1B1B22"/>
          <w:spacing w:val="44"/>
        </w:rPr>
        <w:t> </w:t>
      </w:r>
      <w:r>
        <w:rPr>
          <w:i/>
          <w:color w:val="1B1B22"/>
        </w:rPr>
        <w:t>mix</w:t>
      </w:r>
      <w:r>
        <w:rPr>
          <w:i/>
          <w:color w:val="1B1B22"/>
          <w:spacing w:val="38"/>
        </w:rPr>
        <w:t> </w:t>
      </w:r>
      <w:r>
        <w:rPr>
          <w:color w:val="1B1B22"/>
        </w:rPr>
        <w:t>de</w:t>
      </w:r>
      <w:r>
        <w:rPr>
          <w:color w:val="1B1B22"/>
          <w:spacing w:val="36"/>
        </w:rPr>
        <w:t> </w:t>
      </w:r>
      <w:r>
        <w:rPr>
          <w:i/>
          <w:color w:val="1B1B22"/>
        </w:rPr>
        <w:t>funding</w:t>
      </w:r>
      <w:r>
        <w:rPr>
          <w:i/>
          <w:color w:val="1B1B22"/>
          <w:spacing w:val="37"/>
        </w:rPr>
        <w:t> </w:t>
      </w:r>
      <w:r>
        <w:rPr>
          <w:color w:val="1B1B22"/>
        </w:rPr>
        <w:t>do</w:t>
      </w:r>
      <w:r>
        <w:rPr>
          <w:color w:val="1B1B22"/>
          <w:spacing w:val="39"/>
        </w:rPr>
        <w:t> </w:t>
      </w:r>
      <w:r>
        <w:rPr>
          <w:color w:val="1B1B22"/>
        </w:rPr>
        <w:t>Banco</w:t>
      </w:r>
      <w:r>
        <w:rPr>
          <w:color w:val="1B1B22"/>
          <w:spacing w:val="38"/>
        </w:rPr>
        <w:t> </w:t>
      </w:r>
      <w:r>
        <w:rPr>
          <w:color w:val="1B1B22"/>
          <w:spacing w:val="-7"/>
        </w:rPr>
        <w:t>e,</w:t>
      </w:r>
    </w:p>
    <w:p>
      <w:pPr>
        <w:spacing w:after="0" w:line="321" w:lineRule="auto"/>
        <w:sectPr>
          <w:type w:val="continuous"/>
          <w:pgSz w:w="11910" w:h="16850"/>
          <w:pgMar w:header="152" w:footer="591" w:top="1920" w:bottom="280" w:left="180" w:right="220"/>
        </w:sectPr>
      </w:pPr>
    </w:p>
    <w:p>
      <w:pPr>
        <w:pStyle w:val="BodyText"/>
        <w:spacing w:before="68"/>
        <w:jc w:val="left"/>
      </w:pPr>
    </w:p>
    <w:p>
      <w:pPr>
        <w:pStyle w:val="BodyText"/>
        <w:spacing w:line="321" w:lineRule="auto"/>
        <w:ind w:left="672" w:right="629"/>
      </w:pPr>
      <w:r>
        <w:rPr>
          <w:color w:val="1B1B22"/>
        </w:rPr>
        <w:t>consequentemente,</w:t>
      </w:r>
      <w:r>
        <w:rPr>
          <w:color w:val="1B1B22"/>
          <w:spacing w:val="-2"/>
        </w:rPr>
        <w:t> </w:t>
      </w:r>
      <w:r>
        <w:rPr>
          <w:color w:val="1B1B22"/>
        </w:rPr>
        <w:t>gerar crédito</w:t>
      </w:r>
      <w:r>
        <w:rPr>
          <w:color w:val="1B1B22"/>
          <w:spacing w:val="-2"/>
        </w:rPr>
        <w:t> </w:t>
      </w:r>
      <w:r>
        <w:rPr>
          <w:color w:val="1B1B22"/>
        </w:rPr>
        <w:t>para</w:t>
      </w:r>
      <w:r>
        <w:rPr>
          <w:color w:val="1B1B22"/>
          <w:spacing w:val="-3"/>
        </w:rPr>
        <w:t> </w:t>
      </w:r>
      <w:r>
        <w:rPr>
          <w:color w:val="1B1B22"/>
        </w:rPr>
        <w:t>brasileiros</w:t>
      </w:r>
      <w:r>
        <w:rPr>
          <w:color w:val="1B1B22"/>
          <w:spacing w:val="-1"/>
        </w:rPr>
        <w:t> </w:t>
      </w:r>
      <w:r>
        <w:rPr>
          <w:color w:val="1B1B22"/>
        </w:rPr>
        <w:t>em</w:t>
      </w:r>
      <w:r>
        <w:rPr>
          <w:color w:val="1B1B22"/>
          <w:spacing w:val="-3"/>
        </w:rPr>
        <w:t> </w:t>
      </w:r>
      <w:r>
        <w:rPr>
          <w:color w:val="1B1B22"/>
        </w:rPr>
        <w:t>todas</w:t>
      </w:r>
      <w:r>
        <w:rPr>
          <w:color w:val="1B1B22"/>
          <w:spacing w:val="-1"/>
        </w:rPr>
        <w:t> </w:t>
      </w:r>
      <w:r>
        <w:rPr>
          <w:color w:val="1B1B22"/>
        </w:rPr>
        <w:t>as</w:t>
      </w:r>
      <w:r>
        <w:rPr>
          <w:color w:val="1B1B22"/>
          <w:spacing w:val="-1"/>
        </w:rPr>
        <w:t> </w:t>
      </w:r>
      <w:r>
        <w:rPr>
          <w:color w:val="1B1B22"/>
        </w:rPr>
        <w:t>regiões</w:t>
      </w:r>
      <w:r>
        <w:rPr>
          <w:color w:val="1B1B22"/>
          <w:spacing w:val="-2"/>
        </w:rPr>
        <w:t> </w:t>
      </w:r>
      <w:r>
        <w:rPr>
          <w:color w:val="1B1B22"/>
        </w:rPr>
        <w:t>do</w:t>
      </w:r>
      <w:r>
        <w:rPr>
          <w:color w:val="1B1B22"/>
          <w:spacing w:val="-2"/>
        </w:rPr>
        <w:t> </w:t>
      </w:r>
      <w:r>
        <w:rPr>
          <w:color w:val="1B1B22"/>
        </w:rPr>
        <w:t>país,</w:t>
      </w:r>
      <w:r>
        <w:rPr>
          <w:color w:val="1B1B22"/>
          <w:spacing w:val="-2"/>
        </w:rPr>
        <w:t> </w:t>
      </w:r>
      <w:r>
        <w:rPr>
          <w:color w:val="1B1B22"/>
        </w:rPr>
        <w:t>com</w:t>
      </w:r>
      <w:r>
        <w:rPr>
          <w:color w:val="1B1B22"/>
          <w:spacing w:val="-3"/>
        </w:rPr>
        <w:t> </w:t>
      </w:r>
      <w:r>
        <w:rPr>
          <w:color w:val="1B1B22"/>
        </w:rPr>
        <w:t>destaque</w:t>
      </w:r>
      <w:r>
        <w:rPr>
          <w:color w:val="1B1B22"/>
          <w:spacing w:val="-3"/>
        </w:rPr>
        <w:t> </w:t>
      </w:r>
      <w:r>
        <w:rPr>
          <w:color w:val="1B1B22"/>
        </w:rPr>
        <w:t>para</w:t>
      </w:r>
      <w:r>
        <w:rPr>
          <w:color w:val="1B1B22"/>
          <w:spacing w:val="-3"/>
        </w:rPr>
        <w:t> </w:t>
      </w:r>
      <w:r>
        <w:rPr>
          <w:color w:val="1B1B22"/>
        </w:rPr>
        <w:t>operações ASG. Entre 2023 e 2024 desembolsamos cerca de R$ 10,6 bilhões junto às instituições multilaterais e temos negociado outros cerca de R$ 12 bilhões para desembolso até 2025.</w:t>
      </w:r>
    </w:p>
    <w:p>
      <w:pPr>
        <w:pStyle w:val="Heading2"/>
        <w:spacing w:before="111"/>
        <w:jc w:val="both"/>
        <w:rPr>
          <w:b w:val="0"/>
        </w:rPr>
      </w:pPr>
      <w:r>
        <w:rPr>
          <w:b w:val="0"/>
          <w:color w:val="465EFF"/>
          <w:spacing w:val="17"/>
        </w:rPr>
        <w:t>Mercado</w:t>
      </w:r>
      <w:r>
        <w:rPr>
          <w:b w:val="0"/>
          <w:color w:val="465EFF"/>
          <w:spacing w:val="46"/>
        </w:rPr>
        <w:t> </w:t>
      </w:r>
      <w:r>
        <w:rPr>
          <w:b w:val="0"/>
          <w:color w:val="465EFF"/>
          <w:spacing w:val="11"/>
        </w:rPr>
        <w:t>de</w:t>
      </w:r>
      <w:r>
        <w:rPr>
          <w:b w:val="0"/>
          <w:color w:val="465EFF"/>
          <w:spacing w:val="49"/>
        </w:rPr>
        <w:t> </w:t>
      </w:r>
      <w:r>
        <w:rPr>
          <w:b w:val="0"/>
          <w:color w:val="465EFF"/>
          <w:spacing w:val="17"/>
        </w:rPr>
        <w:t>Carbono</w:t>
      </w:r>
    </w:p>
    <w:p>
      <w:pPr>
        <w:spacing w:after="0"/>
        <w:jc w:val="both"/>
        <w:sectPr>
          <w:pgSz w:w="11910" w:h="16850"/>
          <w:pgMar w:header="152" w:footer="591" w:top="900" w:bottom="780" w:left="180" w:right="220"/>
        </w:sectPr>
      </w:pPr>
    </w:p>
    <w:p>
      <w:pPr>
        <w:pStyle w:val="BodyText"/>
        <w:spacing w:line="321" w:lineRule="auto" w:before="168"/>
        <w:ind w:left="672"/>
      </w:pPr>
      <w:r>
        <w:rPr>
          <w:color w:val="1B1B22"/>
          <w:spacing w:val="-2"/>
        </w:rPr>
        <w:t>Reforçamos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nossa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atuação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mercado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voluntário </w:t>
      </w:r>
      <w:r>
        <w:rPr>
          <w:color w:val="1B1B22"/>
        </w:rPr>
        <w:t>de</w:t>
      </w:r>
      <w:r>
        <w:rPr>
          <w:color w:val="1B1B22"/>
          <w:spacing w:val="-4"/>
        </w:rPr>
        <w:t> </w:t>
      </w:r>
      <w:r>
        <w:rPr>
          <w:color w:val="1B1B22"/>
        </w:rPr>
        <w:t>carbono,</w:t>
      </w:r>
      <w:r>
        <w:rPr>
          <w:color w:val="1B1B22"/>
          <w:spacing w:val="-4"/>
        </w:rPr>
        <w:t> </w:t>
      </w:r>
      <w:r>
        <w:rPr>
          <w:color w:val="1B1B22"/>
        </w:rPr>
        <w:t>apoiando</w:t>
      </w:r>
      <w:r>
        <w:rPr>
          <w:color w:val="1B1B22"/>
          <w:spacing w:val="-4"/>
        </w:rPr>
        <w:t> </w:t>
      </w:r>
      <w:r>
        <w:rPr>
          <w:color w:val="1B1B22"/>
        </w:rPr>
        <w:t>os</w:t>
      </w:r>
      <w:r>
        <w:rPr>
          <w:color w:val="1B1B22"/>
          <w:spacing w:val="-2"/>
        </w:rPr>
        <w:t> </w:t>
      </w:r>
      <w:r>
        <w:rPr>
          <w:color w:val="1B1B22"/>
        </w:rPr>
        <w:t>clientes</w:t>
      </w:r>
      <w:r>
        <w:rPr>
          <w:color w:val="1B1B22"/>
          <w:spacing w:val="-4"/>
        </w:rPr>
        <w:t> </w:t>
      </w:r>
      <w:r>
        <w:rPr>
          <w:color w:val="1B1B22"/>
        </w:rPr>
        <w:t>na</w:t>
      </w:r>
      <w:r>
        <w:rPr>
          <w:color w:val="1B1B22"/>
          <w:spacing w:val="-5"/>
        </w:rPr>
        <w:t> </w:t>
      </w:r>
      <w:r>
        <w:rPr>
          <w:color w:val="1B1B22"/>
        </w:rPr>
        <w:t>elaboração</w:t>
      </w:r>
      <w:r>
        <w:rPr>
          <w:color w:val="1B1B22"/>
          <w:spacing w:val="-4"/>
        </w:rPr>
        <w:t> </w:t>
      </w:r>
      <w:r>
        <w:rPr>
          <w:color w:val="1B1B22"/>
        </w:rPr>
        <w:t>de projetos geradores de créditos de carbono com relevante adicionalidade ambiental, oferecendo assessoria para realização de inventários de emissões de GEE e planos de descarbonização e ofertando</w:t>
      </w:r>
      <w:r>
        <w:rPr>
          <w:color w:val="1B1B22"/>
          <w:spacing w:val="-2"/>
        </w:rPr>
        <w:t> </w:t>
      </w:r>
      <w:r>
        <w:rPr>
          <w:color w:val="1B1B22"/>
        </w:rPr>
        <w:t>créditos</w:t>
      </w:r>
      <w:r>
        <w:rPr>
          <w:color w:val="1B1B22"/>
          <w:spacing w:val="-1"/>
        </w:rPr>
        <w:t> </w:t>
      </w:r>
      <w:r>
        <w:rPr>
          <w:color w:val="1B1B22"/>
        </w:rPr>
        <w:t>de</w:t>
      </w:r>
      <w:r>
        <w:rPr>
          <w:color w:val="1B1B22"/>
          <w:spacing w:val="-2"/>
        </w:rPr>
        <w:t> </w:t>
      </w:r>
      <w:r>
        <w:rPr>
          <w:color w:val="1B1B22"/>
        </w:rPr>
        <w:t>carbono</w:t>
      </w:r>
      <w:r>
        <w:rPr>
          <w:color w:val="1B1B22"/>
          <w:spacing w:val="-2"/>
        </w:rPr>
        <w:t> </w:t>
      </w:r>
      <w:r>
        <w:rPr>
          <w:color w:val="1B1B22"/>
        </w:rPr>
        <w:t>de projetos</w:t>
      </w:r>
      <w:r>
        <w:rPr>
          <w:color w:val="1B1B22"/>
          <w:spacing w:val="-1"/>
        </w:rPr>
        <w:t> </w:t>
      </w:r>
      <w:r>
        <w:rPr>
          <w:color w:val="1B1B22"/>
        </w:rPr>
        <w:t>de alta integridade para compensação das emissões não </w:t>
      </w:r>
      <w:r>
        <w:rPr>
          <w:color w:val="1B1B22"/>
          <w:spacing w:val="-2"/>
        </w:rPr>
        <w:t>mitigadas.</w:t>
      </w:r>
    </w:p>
    <w:p>
      <w:pPr>
        <w:pStyle w:val="BodyText"/>
        <w:spacing w:line="321" w:lineRule="auto" w:before="115"/>
        <w:ind w:left="672" w:right="1"/>
      </w:pPr>
      <w:r>
        <w:rPr>
          <w:color w:val="1B1B22"/>
        </w:rPr>
        <w:t>Além da comercialização de créditos de carbono para serem utilizados na compensação das emissões dos clientes, oferecemos oportunidades de intermediação entre quem precisa e quem dispõe de créditos de carbono. Ainda, possuímos linhas específicas para fomentar projetos que contribuam para a descarbonização, como as de energia renovável e de eficiência energética.</w:t>
      </w:r>
    </w:p>
    <w:p>
      <w:pPr>
        <w:pStyle w:val="BodyText"/>
        <w:spacing w:line="321" w:lineRule="auto" w:before="115"/>
        <w:ind w:left="672" w:right="1"/>
      </w:pPr>
      <w:r>
        <w:rPr>
          <w:color w:val="1B1B22"/>
        </w:rPr>
        <w:t>No 9M24, atingimos mais de 684 mil hectares preservados</w:t>
      </w:r>
      <w:r>
        <w:rPr>
          <w:color w:val="1B1B22"/>
          <w:spacing w:val="69"/>
        </w:rPr>
        <w:t>  </w:t>
      </w:r>
      <w:r>
        <w:rPr>
          <w:color w:val="1B1B22"/>
        </w:rPr>
        <w:t>em</w:t>
      </w:r>
      <w:r>
        <w:rPr>
          <w:color w:val="1B1B22"/>
          <w:spacing w:val="68"/>
        </w:rPr>
        <w:t>  </w:t>
      </w:r>
      <w:r>
        <w:rPr>
          <w:color w:val="1B1B22"/>
        </w:rPr>
        <w:t>projetos</w:t>
      </w:r>
      <w:r>
        <w:rPr>
          <w:color w:val="1B1B22"/>
          <w:spacing w:val="69"/>
        </w:rPr>
        <w:t>  </w:t>
      </w:r>
      <w:r>
        <w:rPr>
          <w:color w:val="1B1B22"/>
        </w:rPr>
        <w:t>de</w:t>
      </w:r>
      <w:r>
        <w:rPr>
          <w:color w:val="1B1B22"/>
          <w:spacing w:val="69"/>
        </w:rPr>
        <w:t>  </w:t>
      </w:r>
      <w:r>
        <w:rPr>
          <w:color w:val="1B1B22"/>
        </w:rPr>
        <w:t>carbono,</w:t>
      </w:r>
      <w:r>
        <w:rPr>
          <w:color w:val="1B1B22"/>
          <w:spacing w:val="69"/>
        </w:rPr>
        <w:t>  </w:t>
      </w:r>
      <w:r>
        <w:rPr>
          <w:color w:val="1B1B22"/>
          <w:spacing w:val="-5"/>
        </w:rPr>
        <w:t>na</w:t>
      </w:r>
    </w:p>
    <w:p>
      <w:pPr>
        <w:pStyle w:val="Heading2"/>
        <w:jc w:val="both"/>
        <w:rPr>
          <w:b w:val="0"/>
        </w:rPr>
      </w:pPr>
      <w:r>
        <w:rPr>
          <w:b w:val="0"/>
          <w:color w:val="465EFF"/>
          <w:spacing w:val="20"/>
        </w:rPr>
        <w:t>Bioeconomia</w:t>
      </w:r>
      <w:r>
        <w:rPr>
          <w:b w:val="0"/>
          <w:color w:val="465EFF"/>
          <w:spacing w:val="52"/>
        </w:rPr>
        <w:t> </w:t>
      </w:r>
      <w:r>
        <w:rPr>
          <w:b w:val="0"/>
          <w:color w:val="465EFF"/>
        </w:rPr>
        <w:t>e</w:t>
      </w:r>
      <w:r>
        <w:rPr>
          <w:b w:val="0"/>
          <w:color w:val="465EFF"/>
          <w:spacing w:val="47"/>
        </w:rPr>
        <w:t> </w:t>
      </w:r>
      <w:r>
        <w:rPr>
          <w:b w:val="0"/>
          <w:color w:val="465EFF"/>
          <w:spacing w:val="19"/>
        </w:rPr>
        <w:t>Cadeia</w:t>
      </w:r>
      <w:r>
        <w:rPr>
          <w:b w:val="0"/>
          <w:color w:val="465EFF"/>
          <w:spacing w:val="49"/>
        </w:rPr>
        <w:t> </w:t>
      </w:r>
      <w:r>
        <w:rPr>
          <w:b w:val="0"/>
          <w:color w:val="465EFF"/>
          <w:spacing w:val="11"/>
        </w:rPr>
        <w:t>de</w:t>
      </w:r>
      <w:r>
        <w:rPr>
          <w:b w:val="0"/>
          <w:color w:val="465EFF"/>
          <w:spacing w:val="37"/>
        </w:rPr>
        <w:t> </w:t>
      </w:r>
      <w:r>
        <w:rPr>
          <w:b w:val="0"/>
          <w:color w:val="465EFF"/>
          <w:spacing w:val="10"/>
        </w:rPr>
        <w:t>Valor</w:t>
      </w:r>
    </w:p>
    <w:p>
      <w:pPr>
        <w:pStyle w:val="BodyText"/>
        <w:spacing w:line="321" w:lineRule="auto" w:before="171"/>
        <w:ind w:left="672" w:right="1"/>
      </w:pPr>
      <w:r>
        <w:rPr>
          <w:color w:val="1B1B22"/>
          <w:spacing w:val="-2"/>
        </w:rPr>
        <w:t>Temos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fomentado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Bioeconomia,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garantindo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assim </w:t>
      </w:r>
      <w:r>
        <w:rPr>
          <w:color w:val="1B1B22"/>
        </w:rPr>
        <w:t>um futuro mais saudável e equilibrado para as próximas gerações. Nossa atuação tem concentrado esforços no fomento à Bioeconomia da Amazônia Legal, pois a conservação da biodiversidade e dos estoques de carbono </w:t>
      </w:r>
      <w:r>
        <w:rPr>
          <w:color w:val="1B1B22"/>
        </w:rPr>
        <w:t>da Amazônia brasileira é fundamental para a regulação climática global, além de ser fundamental para a economia local, garantindo benefícios sociais e econômicos para a região.</w:t>
      </w:r>
    </w:p>
    <w:p>
      <w:pPr>
        <w:pStyle w:val="BodyText"/>
        <w:spacing w:line="321" w:lineRule="auto" w:before="115"/>
        <w:ind w:left="672" w:right="1"/>
      </w:pPr>
      <w:r>
        <w:rPr>
          <w:color w:val="1B1B22"/>
        </w:rPr>
        <w:t>Contribuímos com o desenvolvimento da biodiversidade no país, disponibilizando recursos financeiros, atendimento especializado, linhas de crédito com condições atrativas e serviços de consultoria financeira para auxiliar produtores familiares,</w:t>
      </w:r>
      <w:r>
        <w:rPr>
          <w:color w:val="1B1B22"/>
          <w:spacing w:val="27"/>
        </w:rPr>
        <w:t> </w:t>
      </w:r>
      <w:r>
        <w:rPr>
          <w:color w:val="1B1B22"/>
        </w:rPr>
        <w:t>associações</w:t>
      </w:r>
      <w:r>
        <w:rPr>
          <w:color w:val="1B1B22"/>
          <w:spacing w:val="29"/>
        </w:rPr>
        <w:t> </w:t>
      </w:r>
      <w:r>
        <w:rPr>
          <w:color w:val="1B1B22"/>
        </w:rPr>
        <w:t>e</w:t>
      </w:r>
      <w:r>
        <w:rPr>
          <w:color w:val="1B1B22"/>
          <w:spacing w:val="25"/>
        </w:rPr>
        <w:t> </w:t>
      </w:r>
      <w:r>
        <w:rPr>
          <w:color w:val="1B1B22"/>
        </w:rPr>
        <w:t>cooperativas</w:t>
      </w:r>
      <w:r>
        <w:rPr>
          <w:color w:val="1B1B22"/>
          <w:spacing w:val="29"/>
        </w:rPr>
        <w:t> </w:t>
      </w:r>
      <w:r>
        <w:rPr>
          <w:color w:val="1B1B22"/>
        </w:rPr>
        <w:t>que</w:t>
      </w:r>
      <w:r>
        <w:rPr>
          <w:color w:val="1B1B22"/>
          <w:spacing w:val="26"/>
        </w:rPr>
        <w:t> </w:t>
      </w:r>
      <w:r>
        <w:rPr>
          <w:color w:val="1B1B22"/>
          <w:spacing w:val="-2"/>
        </w:rPr>
        <w:t>atuam</w:t>
      </w:r>
    </w:p>
    <w:p>
      <w:pPr>
        <w:pStyle w:val="BodyText"/>
        <w:spacing w:line="321" w:lineRule="auto" w:before="168"/>
        <w:ind w:left="668" w:right="627"/>
      </w:pPr>
      <w:r>
        <w:rPr/>
        <w:br w:type="column"/>
      </w:r>
      <w:r>
        <w:rPr>
          <w:color w:val="1B1B22"/>
        </w:rPr>
        <w:t>metodologia de desmatamento evitado - REDD+. São projetos que aliam preservação ambiental e geração de renda para os proprietários, além de projetos sociais voltados para comunidades ribeirinhas, tradicionais e indígenas localizadas dentro e no entorno desses projetos.</w:t>
      </w:r>
    </w:p>
    <w:p>
      <w:pPr>
        <w:pStyle w:val="BodyText"/>
        <w:spacing w:line="321" w:lineRule="auto" w:before="118"/>
        <w:ind w:left="668" w:right="629"/>
      </w:pPr>
      <w:r>
        <w:rPr>
          <w:color w:val="1B1B22"/>
        </w:rPr>
        <w:t>Visando à diversificação das fontes de geração de créditos de carbono, iniciamos, em março desse ano, o Programa de Biogás, que apoia o </w:t>
      </w:r>
      <w:r>
        <w:rPr>
          <w:color w:val="1B1B22"/>
          <w:spacing w:val="-2"/>
        </w:rPr>
        <w:t>desenvolvimento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projetos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partir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da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geração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de </w:t>
      </w:r>
      <w:r>
        <w:rPr>
          <w:color w:val="1B1B22"/>
        </w:rPr>
        <w:t>biogás</w:t>
      </w:r>
      <w:r>
        <w:rPr>
          <w:color w:val="1B1B22"/>
          <w:spacing w:val="-12"/>
        </w:rPr>
        <w:t> </w:t>
      </w:r>
      <w:r>
        <w:rPr>
          <w:color w:val="1B1B22"/>
        </w:rPr>
        <w:t>e</w:t>
      </w:r>
      <w:r>
        <w:rPr>
          <w:color w:val="1B1B22"/>
          <w:spacing w:val="-12"/>
        </w:rPr>
        <w:t> </w:t>
      </w:r>
      <w:r>
        <w:rPr>
          <w:color w:val="1B1B22"/>
        </w:rPr>
        <w:t>biometano</w:t>
      </w:r>
      <w:r>
        <w:rPr>
          <w:color w:val="1B1B22"/>
          <w:spacing w:val="-12"/>
        </w:rPr>
        <w:t> </w:t>
      </w:r>
      <w:r>
        <w:rPr>
          <w:color w:val="1B1B22"/>
        </w:rPr>
        <w:t>na</w:t>
      </w:r>
      <w:r>
        <w:rPr>
          <w:color w:val="1B1B22"/>
          <w:spacing w:val="-13"/>
        </w:rPr>
        <w:t> </w:t>
      </w:r>
      <w:r>
        <w:rPr>
          <w:color w:val="1B1B22"/>
        </w:rPr>
        <w:t>agropecuária.</w:t>
      </w:r>
      <w:r>
        <w:rPr>
          <w:color w:val="1B1B22"/>
          <w:spacing w:val="-10"/>
        </w:rPr>
        <w:t> </w:t>
      </w:r>
      <w:r>
        <w:rPr>
          <w:color w:val="1B1B22"/>
        </w:rPr>
        <w:t>Desde</w:t>
      </w:r>
      <w:r>
        <w:rPr>
          <w:color w:val="1B1B22"/>
          <w:spacing w:val="-13"/>
        </w:rPr>
        <w:t> </w:t>
      </w:r>
      <w:r>
        <w:rPr>
          <w:color w:val="1B1B22"/>
        </w:rPr>
        <w:t>o</w:t>
      </w:r>
      <w:r>
        <w:rPr>
          <w:color w:val="1B1B22"/>
          <w:spacing w:val="-12"/>
        </w:rPr>
        <w:t> </w:t>
      </w:r>
      <w:r>
        <w:rPr>
          <w:color w:val="1B1B22"/>
        </w:rPr>
        <w:t>início do programa,</w:t>
      </w:r>
      <w:r>
        <w:rPr>
          <w:color w:val="1B1B22"/>
          <w:spacing w:val="40"/>
        </w:rPr>
        <w:t> </w:t>
      </w:r>
      <w:r>
        <w:rPr>
          <w:color w:val="1B1B22"/>
        </w:rPr>
        <w:t>contratamos quatro projetos para desenvolvimento de créditos de carbono nessa </w:t>
      </w:r>
      <w:r>
        <w:rPr>
          <w:color w:val="1B1B22"/>
          <w:spacing w:val="-2"/>
        </w:rPr>
        <w:t>metodologia.</w:t>
      </w:r>
    </w:p>
    <w:p>
      <w:pPr>
        <w:pStyle w:val="BodyText"/>
        <w:spacing w:line="321" w:lineRule="auto" w:before="115"/>
        <w:ind w:left="668" w:right="628"/>
      </w:pPr>
      <w:r>
        <w:rPr>
          <w:color w:val="1B1B22"/>
        </w:rPr>
        <w:t>Em linha com a diversificação, prospectamos e assinamos o primeiro contrato de carbono no solo (ALM) para recuperação de pastagem degradada, uma área de 1.150 hectares.</w:t>
      </w: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spacing w:before="212"/>
        <w:jc w:val="left"/>
      </w:pPr>
    </w:p>
    <w:p>
      <w:pPr>
        <w:pStyle w:val="BodyText"/>
        <w:spacing w:line="321" w:lineRule="auto"/>
        <w:ind w:left="668" w:right="630"/>
      </w:pPr>
      <w:r>
        <w:rPr>
          <w:color w:val="1B1B22"/>
        </w:rPr>
        <w:t>com Bioeconomia. O objetivo da atuação é </w:t>
      </w:r>
      <w:r>
        <w:rPr>
          <w:color w:val="1B1B22"/>
          <w:spacing w:val="-2"/>
        </w:rPr>
        <w:t>promover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fortalecimento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a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inclusão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produtiva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a partir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projetos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Bioeconomia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que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respeitem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as </w:t>
      </w:r>
      <w:r>
        <w:rPr>
          <w:color w:val="1B1B22"/>
        </w:rPr>
        <w:t>boas práticas ambientais e culturas locais.</w:t>
      </w:r>
    </w:p>
    <w:p>
      <w:pPr>
        <w:pStyle w:val="BodyText"/>
        <w:spacing w:line="321" w:lineRule="auto" w:before="117"/>
        <w:ind w:left="668" w:right="630"/>
      </w:pPr>
      <w:r>
        <w:rPr>
          <w:color w:val="1B1B22"/>
          <w:spacing w:val="-2"/>
        </w:rPr>
        <w:t>Atualmente,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somos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um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dos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principais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financiadores </w:t>
      </w:r>
      <w:r>
        <w:rPr>
          <w:color w:val="1B1B22"/>
        </w:rPr>
        <w:t>de</w:t>
      </w:r>
      <w:r>
        <w:rPr>
          <w:color w:val="1B1B22"/>
          <w:spacing w:val="-13"/>
        </w:rPr>
        <w:t> </w:t>
      </w:r>
      <w:r>
        <w:rPr>
          <w:color w:val="1B1B22"/>
        </w:rPr>
        <w:t>produtos</w:t>
      </w:r>
      <w:r>
        <w:rPr>
          <w:color w:val="1B1B22"/>
          <w:spacing w:val="-12"/>
        </w:rPr>
        <w:t> </w:t>
      </w:r>
      <w:r>
        <w:rPr>
          <w:color w:val="1B1B22"/>
        </w:rPr>
        <w:t>florestais</w:t>
      </w:r>
      <w:r>
        <w:rPr>
          <w:color w:val="1B1B22"/>
          <w:spacing w:val="-13"/>
        </w:rPr>
        <w:t> </w:t>
      </w:r>
      <w:r>
        <w:rPr>
          <w:color w:val="1B1B22"/>
        </w:rPr>
        <w:t>e</w:t>
      </w:r>
      <w:r>
        <w:rPr>
          <w:color w:val="1B1B22"/>
          <w:spacing w:val="-12"/>
        </w:rPr>
        <w:t> </w:t>
      </w:r>
      <w:r>
        <w:rPr>
          <w:color w:val="1B1B22"/>
        </w:rPr>
        <w:t>biodiversidade,</w:t>
      </w:r>
      <w:r>
        <w:rPr>
          <w:color w:val="1B1B22"/>
          <w:spacing w:val="-12"/>
        </w:rPr>
        <w:t> </w:t>
      </w:r>
      <w:r>
        <w:rPr>
          <w:color w:val="1B1B22"/>
        </w:rPr>
        <w:t>com</w:t>
      </w:r>
      <w:r>
        <w:rPr>
          <w:color w:val="1B1B22"/>
          <w:spacing w:val="-13"/>
        </w:rPr>
        <w:t> </w:t>
      </w:r>
      <w:r>
        <w:rPr>
          <w:color w:val="1B1B22"/>
        </w:rPr>
        <w:t>R$</w:t>
      </w:r>
      <w:r>
        <w:rPr>
          <w:color w:val="1B1B22"/>
          <w:spacing w:val="-12"/>
        </w:rPr>
        <w:t> </w:t>
      </w:r>
      <w:r>
        <w:rPr>
          <w:color w:val="1B1B22"/>
        </w:rPr>
        <w:t>1,4 bilhão em projetos de bioeconomia na Amazônia legal, representando um crescimento de 30% em seis meses.</w:t>
      </w:r>
    </w:p>
    <w:p>
      <w:pPr>
        <w:pStyle w:val="BodyText"/>
        <w:spacing w:line="321" w:lineRule="auto" w:before="118"/>
        <w:ind w:left="668" w:right="630"/>
      </w:pPr>
      <w:r>
        <w:rPr>
          <w:color w:val="1B1B22"/>
        </w:rPr>
        <w:t>A nossa atuação na sociobiodiversidade está pautada em cinco principais eixos: Restauração Florestal</w:t>
      </w:r>
      <w:r>
        <w:rPr>
          <w:color w:val="1B1B22"/>
          <w:spacing w:val="-7"/>
        </w:rPr>
        <w:t> </w:t>
      </w:r>
      <w:r>
        <w:rPr>
          <w:color w:val="1B1B22"/>
        </w:rPr>
        <w:t>e</w:t>
      </w:r>
      <w:r>
        <w:rPr>
          <w:color w:val="1B1B22"/>
          <w:spacing w:val="-7"/>
        </w:rPr>
        <w:t> </w:t>
      </w:r>
      <w:r>
        <w:rPr>
          <w:color w:val="1B1B22"/>
        </w:rPr>
        <w:t>Sistemas</w:t>
      </w:r>
      <w:r>
        <w:rPr>
          <w:color w:val="1B1B22"/>
          <w:spacing w:val="-9"/>
        </w:rPr>
        <w:t> </w:t>
      </w:r>
      <w:r>
        <w:rPr>
          <w:color w:val="1B1B22"/>
        </w:rPr>
        <w:t>Agroflorestais,</w:t>
      </w:r>
      <w:r>
        <w:rPr>
          <w:color w:val="1B1B22"/>
          <w:spacing w:val="-9"/>
        </w:rPr>
        <w:t> </w:t>
      </w:r>
      <w:r>
        <w:rPr>
          <w:color w:val="1B1B22"/>
        </w:rPr>
        <w:t>Agricultura</w:t>
      </w:r>
      <w:r>
        <w:rPr>
          <w:color w:val="1B1B22"/>
          <w:spacing w:val="-7"/>
        </w:rPr>
        <w:t> </w:t>
      </w:r>
      <w:r>
        <w:rPr>
          <w:color w:val="1B1B22"/>
        </w:rPr>
        <w:t>de Baixo Carbono, Conectividade, Bioeconomia Florestal</w:t>
      </w:r>
      <w:r>
        <w:rPr>
          <w:color w:val="1B1B22"/>
          <w:spacing w:val="-2"/>
        </w:rPr>
        <w:t> </w:t>
      </w:r>
      <w:r>
        <w:rPr>
          <w:color w:val="1B1B22"/>
        </w:rPr>
        <w:t>e</w:t>
      </w:r>
      <w:r>
        <w:rPr>
          <w:color w:val="1B1B22"/>
          <w:spacing w:val="-1"/>
        </w:rPr>
        <w:t> </w:t>
      </w:r>
      <w:r>
        <w:rPr>
          <w:color w:val="1B1B22"/>
        </w:rPr>
        <w:t>Energia</w:t>
      </w:r>
      <w:r>
        <w:rPr>
          <w:color w:val="1B1B22"/>
          <w:spacing w:val="-2"/>
        </w:rPr>
        <w:t> </w:t>
      </w:r>
      <w:r>
        <w:rPr>
          <w:color w:val="1B1B22"/>
        </w:rPr>
        <w:t>Renovável,</w:t>
      </w:r>
      <w:r>
        <w:rPr>
          <w:color w:val="1B1B22"/>
          <w:spacing w:val="-1"/>
        </w:rPr>
        <w:t> </w:t>
      </w:r>
      <w:r>
        <w:rPr>
          <w:color w:val="1B1B22"/>
        </w:rPr>
        <w:t>nos quais </w:t>
      </w:r>
      <w:r>
        <w:rPr>
          <w:color w:val="1B1B22"/>
          <w:spacing w:val="-2"/>
        </w:rPr>
        <w:t>apoiamos</w:t>
      </w:r>
    </w:p>
    <w:p>
      <w:pPr>
        <w:spacing w:after="0" w:line="321" w:lineRule="auto"/>
        <w:sectPr>
          <w:type w:val="continuous"/>
          <w:pgSz w:w="11910" w:h="16850"/>
          <w:pgMar w:header="152" w:footer="591" w:top="1920" w:bottom="280" w:left="180" w:right="220"/>
          <w:cols w:num="2" w:equalWidth="0">
            <w:col w:w="5421" w:space="40"/>
            <w:col w:w="6049"/>
          </w:cols>
        </w:sectPr>
      </w:pPr>
    </w:p>
    <w:p>
      <w:pPr>
        <w:pStyle w:val="BodyText"/>
        <w:spacing w:before="130"/>
        <w:jc w:val="left"/>
      </w:pPr>
    </w:p>
    <w:p>
      <w:pPr>
        <w:pStyle w:val="BodyText"/>
        <w:spacing w:line="321" w:lineRule="auto"/>
        <w:ind w:left="672" w:right="5090"/>
        <w:jc w:val="left"/>
      </w:pPr>
      <w:r>
        <w:rPr>
          <w:color w:val="1B1B22"/>
        </w:rPr>
        <w:t>toda</w:t>
      </w:r>
      <w:r>
        <w:rPr>
          <w:color w:val="1B1B22"/>
          <w:spacing w:val="40"/>
        </w:rPr>
        <w:t> </w:t>
      </w:r>
      <w:r>
        <w:rPr>
          <w:color w:val="1B1B22"/>
        </w:rPr>
        <w:t>a</w:t>
      </w:r>
      <w:r>
        <w:rPr>
          <w:color w:val="1B1B22"/>
          <w:spacing w:val="40"/>
        </w:rPr>
        <w:t> </w:t>
      </w:r>
      <w:r>
        <w:rPr>
          <w:color w:val="1B1B22"/>
        </w:rPr>
        <w:t>cadeia</w:t>
      </w:r>
      <w:r>
        <w:rPr>
          <w:color w:val="1B1B22"/>
          <w:spacing w:val="40"/>
        </w:rPr>
        <w:t> </w:t>
      </w:r>
      <w:r>
        <w:rPr>
          <w:color w:val="1B1B22"/>
        </w:rPr>
        <w:t>de</w:t>
      </w:r>
      <w:r>
        <w:rPr>
          <w:color w:val="1B1B22"/>
          <w:spacing w:val="40"/>
        </w:rPr>
        <w:t> </w:t>
      </w:r>
      <w:r>
        <w:rPr>
          <w:color w:val="1B1B22"/>
        </w:rPr>
        <w:t>valor,</w:t>
      </w:r>
      <w:r>
        <w:rPr>
          <w:color w:val="1B1B22"/>
          <w:spacing w:val="40"/>
        </w:rPr>
        <w:t> </w:t>
      </w:r>
      <w:r>
        <w:rPr>
          <w:color w:val="1B1B22"/>
        </w:rPr>
        <w:t>desde</w:t>
      </w:r>
      <w:r>
        <w:rPr>
          <w:color w:val="1B1B22"/>
          <w:spacing w:val="40"/>
        </w:rPr>
        <w:t> </w:t>
      </w:r>
      <w:r>
        <w:rPr>
          <w:color w:val="1B1B22"/>
        </w:rPr>
        <w:t>a</w:t>
      </w:r>
      <w:r>
        <w:rPr>
          <w:color w:val="1B1B22"/>
          <w:spacing w:val="40"/>
        </w:rPr>
        <w:t> </w:t>
      </w:r>
      <w:r>
        <w:rPr>
          <w:color w:val="1B1B22"/>
        </w:rPr>
        <w:t>produção</w:t>
      </w:r>
      <w:r>
        <w:rPr>
          <w:color w:val="1B1B22"/>
          <w:spacing w:val="40"/>
        </w:rPr>
        <w:t> </w:t>
      </w:r>
      <w:r>
        <w:rPr>
          <w:color w:val="1B1B22"/>
        </w:rPr>
        <w:t>até</w:t>
      </w:r>
      <w:r>
        <w:rPr>
          <w:color w:val="1B1B22"/>
          <w:spacing w:val="40"/>
        </w:rPr>
        <w:t> </w:t>
      </w:r>
      <w:r>
        <w:rPr>
          <w:color w:val="1B1B22"/>
        </w:rPr>
        <w:t>a exportação dos produtos da bioeconomia.</w:t>
      </w:r>
    </w:p>
    <w:p>
      <w:pPr>
        <w:pStyle w:val="Heading2"/>
        <w:spacing w:before="111"/>
        <w:rPr>
          <w:b w:val="0"/>
        </w:rPr>
      </w:pPr>
      <w:r>
        <w:rPr>
          <w:b w:val="0"/>
          <w:color w:val="465EFF"/>
          <w:spacing w:val="20"/>
        </w:rPr>
        <w:t>Ecoeficiência</w:t>
      </w:r>
      <w:r>
        <w:rPr>
          <w:b w:val="0"/>
          <w:color w:val="465EFF"/>
          <w:spacing w:val="56"/>
        </w:rPr>
        <w:t> </w:t>
      </w:r>
      <w:r>
        <w:rPr>
          <w:b w:val="0"/>
          <w:color w:val="465EFF"/>
          <w:spacing w:val="17"/>
        </w:rPr>
        <w:t>Energética</w:t>
      </w:r>
    </w:p>
    <w:p>
      <w:pPr>
        <w:pStyle w:val="BodyText"/>
        <w:spacing w:line="321" w:lineRule="auto" w:before="171"/>
        <w:ind w:left="672" w:right="629"/>
      </w:pPr>
      <w:r>
        <w:rPr/>
        <w:t>Considerando o compromisso “BB 2030 para um mundo mais sustentável”, estamos investindo em descarbonização</w:t>
      </w:r>
      <w:r>
        <w:rPr>
          <w:spacing w:val="-8"/>
        </w:rPr>
        <w:t> </w:t>
      </w:r>
      <w:r>
        <w:rPr/>
        <w:t>e</w:t>
      </w:r>
      <w:r>
        <w:rPr>
          <w:spacing w:val="-11"/>
        </w:rPr>
        <w:t> </w:t>
      </w:r>
      <w:r>
        <w:rPr/>
        <w:t>garantimos</w:t>
      </w:r>
      <w:r>
        <w:rPr>
          <w:spacing w:val="-10"/>
        </w:rPr>
        <w:t> </w:t>
      </w:r>
      <w:r>
        <w:rPr/>
        <w:t>que</w:t>
      </w:r>
      <w:r>
        <w:rPr>
          <w:spacing w:val="-11"/>
        </w:rPr>
        <w:t> </w:t>
      </w:r>
      <w:r>
        <w:rPr/>
        <w:t>100%</w:t>
      </w:r>
      <w:r>
        <w:rPr>
          <w:spacing w:val="-11"/>
        </w:rPr>
        <w:t> </w:t>
      </w:r>
      <w:r>
        <w:rPr/>
        <w:t>da</w:t>
      </w:r>
      <w:r>
        <w:rPr>
          <w:spacing w:val="-11"/>
        </w:rPr>
        <w:t> </w:t>
      </w:r>
      <w:r>
        <w:rPr/>
        <w:t>energia</w:t>
      </w:r>
      <w:r>
        <w:rPr>
          <w:spacing w:val="-10"/>
        </w:rPr>
        <w:t> </w:t>
      </w:r>
      <w:r>
        <w:rPr/>
        <w:t>elétrica</w:t>
      </w:r>
      <w:r>
        <w:rPr>
          <w:spacing w:val="-11"/>
        </w:rPr>
        <w:t> </w:t>
      </w:r>
      <w:r>
        <w:rPr/>
        <w:t>consumida</w:t>
      </w:r>
      <w:r>
        <w:rPr>
          <w:spacing w:val="-11"/>
        </w:rPr>
        <w:t> </w:t>
      </w:r>
      <w:r>
        <w:rPr/>
        <w:t>pelo</w:t>
      </w:r>
      <w:r>
        <w:rPr>
          <w:spacing w:val="-8"/>
        </w:rPr>
        <w:t> </w:t>
      </w:r>
      <w:r>
        <w:rPr/>
        <w:t>BB</w:t>
      </w:r>
      <w:r>
        <w:rPr>
          <w:spacing w:val="-11"/>
        </w:rPr>
        <w:t> </w:t>
      </w:r>
      <w:r>
        <w:rPr/>
        <w:t>provém</w:t>
      </w:r>
      <w:r>
        <w:rPr>
          <w:spacing w:val="-11"/>
        </w:rPr>
        <w:t> </w:t>
      </w:r>
      <w:r>
        <w:rPr/>
        <w:t>de</w:t>
      </w:r>
      <w:r>
        <w:rPr>
          <w:spacing w:val="-11"/>
        </w:rPr>
        <w:t> </w:t>
      </w:r>
      <w:r>
        <w:rPr/>
        <w:t>fontes</w:t>
      </w:r>
      <w:r>
        <w:rPr>
          <w:spacing w:val="-10"/>
        </w:rPr>
        <w:t> </w:t>
      </w:r>
      <w:r>
        <w:rPr/>
        <w:t>renováveis. Migramos</w:t>
      </w:r>
      <w:r>
        <w:rPr>
          <w:spacing w:val="-8"/>
        </w:rPr>
        <w:t> </w:t>
      </w:r>
      <w:r>
        <w:rPr/>
        <w:t>441</w:t>
      </w:r>
      <w:r>
        <w:rPr>
          <w:spacing w:val="-10"/>
        </w:rPr>
        <w:t> </w:t>
      </w:r>
      <w:r>
        <w:rPr/>
        <w:t>prédios</w:t>
      </w:r>
      <w:r>
        <w:rPr>
          <w:spacing w:val="-10"/>
        </w:rPr>
        <w:t> </w:t>
      </w:r>
      <w:r>
        <w:rPr/>
        <w:t>administrativos</w:t>
      </w:r>
      <w:r>
        <w:rPr>
          <w:spacing w:val="-10"/>
        </w:rPr>
        <w:t> </w:t>
      </w:r>
      <w:r>
        <w:rPr/>
        <w:t>para</w:t>
      </w:r>
      <w:r>
        <w:rPr>
          <w:spacing w:val="-12"/>
        </w:rPr>
        <w:t> </w:t>
      </w:r>
      <w:r>
        <w:rPr/>
        <w:t>o</w:t>
      </w:r>
      <w:r>
        <w:rPr>
          <w:spacing w:val="-12"/>
        </w:rPr>
        <w:t> </w:t>
      </w:r>
      <w:r>
        <w:rPr/>
        <w:t>Ambiente</w:t>
      </w:r>
      <w:r>
        <w:rPr>
          <w:spacing w:val="-11"/>
        </w:rPr>
        <w:t> </w:t>
      </w:r>
      <w:r>
        <w:rPr/>
        <w:t>de</w:t>
      </w:r>
      <w:r>
        <w:rPr>
          <w:spacing w:val="-11"/>
        </w:rPr>
        <w:t> </w:t>
      </w:r>
      <w:r>
        <w:rPr/>
        <w:t>Contratação</w:t>
      </w:r>
      <w:r>
        <w:rPr>
          <w:spacing w:val="-11"/>
        </w:rPr>
        <w:t> </w:t>
      </w:r>
      <w:r>
        <w:rPr/>
        <w:t>Livre</w:t>
      </w:r>
      <w:r>
        <w:rPr>
          <w:spacing w:val="-9"/>
        </w:rPr>
        <w:t> </w:t>
      </w:r>
      <w:r>
        <w:rPr/>
        <w:t>(ACL),</w:t>
      </w:r>
      <w:r>
        <w:rPr>
          <w:spacing w:val="-11"/>
        </w:rPr>
        <w:t> </w:t>
      </w:r>
      <w:r>
        <w:rPr/>
        <w:t>garantindo</w:t>
      </w:r>
      <w:r>
        <w:rPr>
          <w:spacing w:val="-11"/>
        </w:rPr>
        <w:t> </w:t>
      </w:r>
      <w:r>
        <w:rPr/>
        <w:t>o</w:t>
      </w:r>
      <w:r>
        <w:rPr>
          <w:spacing w:val="-11"/>
        </w:rPr>
        <w:t> </w:t>
      </w:r>
      <w:r>
        <w:rPr/>
        <w:t>consumo</w:t>
      </w:r>
      <w:r>
        <w:rPr>
          <w:spacing w:val="-11"/>
        </w:rPr>
        <w:t> </w:t>
      </w:r>
      <w:r>
        <w:rPr/>
        <w:t>de energia</w:t>
      </w:r>
      <w:r>
        <w:rPr>
          <w:spacing w:val="-10"/>
        </w:rPr>
        <w:t> </w:t>
      </w:r>
      <w:r>
        <w:rPr/>
        <w:t>limpa</w:t>
      </w:r>
      <w:r>
        <w:rPr>
          <w:spacing w:val="-10"/>
        </w:rPr>
        <w:t> </w:t>
      </w:r>
      <w:r>
        <w:rPr/>
        <w:t>e</w:t>
      </w:r>
      <w:r>
        <w:rPr>
          <w:spacing w:val="-12"/>
        </w:rPr>
        <w:t> </w:t>
      </w:r>
      <w:r>
        <w:rPr/>
        <w:t>obtendo</w:t>
      </w:r>
      <w:r>
        <w:rPr>
          <w:spacing w:val="-11"/>
        </w:rPr>
        <w:t> </w:t>
      </w:r>
      <w:r>
        <w:rPr/>
        <w:t>uma</w:t>
      </w:r>
      <w:r>
        <w:rPr>
          <w:spacing w:val="-10"/>
        </w:rPr>
        <w:t> </w:t>
      </w:r>
      <w:r>
        <w:rPr/>
        <w:t>economia</w:t>
      </w:r>
      <w:r>
        <w:rPr>
          <w:spacing w:val="-10"/>
        </w:rPr>
        <w:t> </w:t>
      </w:r>
      <w:r>
        <w:rPr/>
        <w:t>acumulada</w:t>
      </w:r>
      <w:r>
        <w:rPr>
          <w:spacing w:val="-10"/>
        </w:rPr>
        <w:t> </w:t>
      </w:r>
      <w:r>
        <w:rPr/>
        <w:t>de</w:t>
      </w:r>
      <w:r>
        <w:rPr>
          <w:spacing w:val="-10"/>
        </w:rPr>
        <w:t> </w:t>
      </w:r>
      <w:r>
        <w:rPr/>
        <w:t>R$</w:t>
      </w:r>
      <w:r>
        <w:rPr>
          <w:spacing w:val="-12"/>
        </w:rPr>
        <w:t> </w:t>
      </w:r>
      <w:r>
        <w:rPr/>
        <w:t>99,5</w:t>
      </w:r>
      <w:r>
        <w:rPr>
          <w:spacing w:val="-9"/>
        </w:rPr>
        <w:t> </w:t>
      </w:r>
      <w:r>
        <w:rPr/>
        <w:t>milhões.</w:t>
      </w:r>
      <w:r>
        <w:rPr>
          <w:spacing w:val="-11"/>
        </w:rPr>
        <w:t> </w:t>
      </w:r>
      <w:r>
        <w:rPr/>
        <w:t>Em</w:t>
      </w:r>
      <w:r>
        <w:rPr>
          <w:spacing w:val="-12"/>
        </w:rPr>
        <w:t> </w:t>
      </w:r>
      <w:r>
        <w:rPr/>
        <w:t>2024,</w:t>
      </w:r>
      <w:r>
        <w:rPr>
          <w:spacing w:val="-11"/>
        </w:rPr>
        <w:t> </w:t>
      </w:r>
      <w:r>
        <w:rPr/>
        <w:t>inauguramos</w:t>
      </w:r>
      <w:r>
        <w:rPr>
          <w:spacing w:val="-10"/>
        </w:rPr>
        <w:t> </w:t>
      </w:r>
      <w:r>
        <w:rPr/>
        <w:t>mais</w:t>
      </w:r>
      <w:r>
        <w:rPr>
          <w:spacing w:val="-10"/>
        </w:rPr>
        <w:t> </w:t>
      </w:r>
      <w:r>
        <w:rPr/>
        <w:t>uma</w:t>
      </w:r>
      <w:r>
        <w:rPr>
          <w:spacing w:val="-12"/>
        </w:rPr>
        <w:t> </w:t>
      </w:r>
      <w:r>
        <w:rPr/>
        <w:t>usina no estado de São Paulo, alcançando 16 usinas em operação e temos 11 usinas em construção, totalizando 27 até o final de 2025.</w:t>
      </w:r>
    </w:p>
    <w:p>
      <w:pPr>
        <w:pStyle w:val="BodyText"/>
        <w:spacing w:line="321" w:lineRule="auto" w:before="116"/>
        <w:ind w:left="672" w:right="628"/>
      </w:pPr>
      <w:r>
        <w:rPr/>
        <w:t>As usinas solares do</w:t>
      </w:r>
      <w:r>
        <w:rPr>
          <w:spacing w:val="-1"/>
        </w:rPr>
        <w:t> </w:t>
      </w:r>
      <w:r>
        <w:rPr/>
        <w:t>BB</w:t>
      </w:r>
      <w:r>
        <w:rPr>
          <w:spacing w:val="-2"/>
        </w:rPr>
        <w:t> </w:t>
      </w:r>
      <w:r>
        <w:rPr/>
        <w:t>já geraram</w:t>
      </w:r>
      <w:r>
        <w:rPr>
          <w:spacing w:val="-1"/>
        </w:rPr>
        <w:t> </w:t>
      </w:r>
      <w:r>
        <w:rPr/>
        <w:t>cerca</w:t>
      </w:r>
      <w:r>
        <w:rPr>
          <w:spacing w:val="-2"/>
        </w:rPr>
        <w:t> </w:t>
      </w:r>
      <w:r>
        <w:rPr/>
        <w:t>de</w:t>
      </w:r>
      <w:r>
        <w:rPr>
          <w:spacing w:val="-1"/>
        </w:rPr>
        <w:t> </w:t>
      </w:r>
      <w:r>
        <w:rPr/>
        <w:t>87,8</w:t>
      </w:r>
      <w:r>
        <w:rPr>
          <w:spacing w:val="-1"/>
        </w:rPr>
        <w:t> </w:t>
      </w:r>
      <w:r>
        <w:rPr/>
        <w:t>GWh,</w:t>
      </w:r>
      <w:r>
        <w:rPr>
          <w:spacing w:val="-1"/>
        </w:rPr>
        <w:t> </w:t>
      </w:r>
      <w:r>
        <w:rPr/>
        <w:t>deixando</w:t>
      </w:r>
      <w:r>
        <w:rPr>
          <w:spacing w:val="-1"/>
        </w:rPr>
        <w:t> </w:t>
      </w:r>
      <w:r>
        <w:rPr/>
        <w:t>de</w:t>
      </w:r>
      <w:r>
        <w:rPr>
          <w:spacing w:val="-1"/>
        </w:rPr>
        <w:t> </w:t>
      </w:r>
      <w:r>
        <w:rPr/>
        <w:t>emitir</w:t>
      </w:r>
      <w:r>
        <w:rPr>
          <w:spacing w:val="-1"/>
        </w:rPr>
        <w:t> </w:t>
      </w:r>
      <w:r>
        <w:rPr/>
        <w:t>mais de</w:t>
      </w:r>
      <w:r>
        <w:rPr>
          <w:spacing w:val="-1"/>
        </w:rPr>
        <w:t> </w:t>
      </w:r>
      <w:r>
        <w:rPr/>
        <w:t>32,6</w:t>
      </w:r>
      <w:r>
        <w:rPr>
          <w:spacing w:val="-1"/>
        </w:rPr>
        <w:t> </w:t>
      </w:r>
      <w:r>
        <w:rPr/>
        <w:t>mil</w:t>
      </w:r>
      <w:r>
        <w:rPr>
          <w:spacing w:val="-1"/>
        </w:rPr>
        <w:t> </w:t>
      </w:r>
      <w:r>
        <w:rPr/>
        <w:t>toneladas de</w:t>
      </w:r>
      <w:r>
        <w:rPr>
          <w:spacing w:val="-1"/>
        </w:rPr>
        <w:t> </w:t>
      </w:r>
      <w:r>
        <w:rPr/>
        <w:t>CO2 na atmosfera, equivalente ao plantio de uma floresta de duzentos e trinta mil árvores.</w:t>
      </w:r>
    </w:p>
    <w:p>
      <w:pPr>
        <w:pStyle w:val="BodyText"/>
        <w:spacing w:line="319" w:lineRule="auto" w:before="119"/>
        <w:ind w:left="672" w:right="624"/>
      </w:pPr>
      <w:r>
        <w:rPr>
          <w:spacing w:val="-2"/>
        </w:rPr>
        <w:t>Lançamos</w:t>
      </w:r>
      <w:r>
        <w:rPr>
          <w:spacing w:val="-11"/>
        </w:rPr>
        <w:t> </w:t>
      </w:r>
      <w:r>
        <w:rPr>
          <w:spacing w:val="-2"/>
        </w:rPr>
        <w:t>um</w:t>
      </w:r>
      <w:r>
        <w:rPr>
          <w:spacing w:val="-10"/>
        </w:rPr>
        <w:t> </w:t>
      </w:r>
      <w:r>
        <w:rPr>
          <w:spacing w:val="-2"/>
        </w:rPr>
        <w:t>novo</w:t>
      </w:r>
      <w:r>
        <w:rPr>
          <w:spacing w:val="-6"/>
        </w:rPr>
        <w:t> </w:t>
      </w:r>
      <w:r>
        <w:rPr>
          <w:spacing w:val="-2"/>
        </w:rPr>
        <w:t>ativo</w:t>
      </w:r>
      <w:r>
        <w:rPr>
          <w:spacing w:val="-8"/>
        </w:rPr>
        <w:t> </w:t>
      </w:r>
      <w:r>
        <w:rPr>
          <w:spacing w:val="-2"/>
        </w:rPr>
        <w:t>financeiro</w:t>
      </w:r>
      <w:r>
        <w:rPr>
          <w:spacing w:val="-8"/>
        </w:rPr>
        <w:t> </w:t>
      </w:r>
      <w:r>
        <w:rPr>
          <w:spacing w:val="-2"/>
        </w:rPr>
        <w:t>sustentável,</w:t>
      </w:r>
      <w:r>
        <w:rPr>
          <w:spacing w:val="34"/>
        </w:rPr>
        <w:t> </w:t>
      </w:r>
      <w:r>
        <w:rPr>
          <w:spacing w:val="-2"/>
        </w:rPr>
        <w:t>um</w:t>
      </w:r>
      <w:r>
        <w:rPr>
          <w:spacing w:val="-6"/>
        </w:rPr>
        <w:t> </w:t>
      </w:r>
      <w:r>
        <w:rPr>
          <w:spacing w:val="-2"/>
        </w:rPr>
        <w:t>modelo</w:t>
      </w:r>
      <w:r>
        <w:rPr>
          <w:spacing w:val="-8"/>
        </w:rPr>
        <w:t> </w:t>
      </w:r>
      <w:r>
        <w:rPr>
          <w:spacing w:val="-2"/>
        </w:rPr>
        <w:t>de</w:t>
      </w:r>
      <w:r>
        <w:rPr>
          <w:spacing w:val="-8"/>
        </w:rPr>
        <w:t> </w:t>
      </w:r>
      <w:r>
        <w:rPr>
          <w:spacing w:val="-2"/>
        </w:rPr>
        <w:t>negócio</w:t>
      </w:r>
      <w:r>
        <w:rPr>
          <w:spacing w:val="-8"/>
        </w:rPr>
        <w:t> </w:t>
      </w:r>
      <w:r>
        <w:rPr>
          <w:spacing w:val="-2"/>
        </w:rPr>
        <w:t>inédito</w:t>
      </w:r>
      <w:r>
        <w:rPr>
          <w:spacing w:val="-8"/>
        </w:rPr>
        <w:t> </w:t>
      </w:r>
      <w:r>
        <w:rPr>
          <w:spacing w:val="-2"/>
        </w:rPr>
        <w:t>no</w:t>
      </w:r>
      <w:r>
        <w:rPr>
          <w:spacing w:val="-8"/>
        </w:rPr>
        <w:t> </w:t>
      </w:r>
      <w:r>
        <w:rPr>
          <w:spacing w:val="-2"/>
        </w:rPr>
        <w:t>mercado.</w:t>
      </w:r>
      <w:r>
        <w:rPr>
          <w:spacing w:val="-11"/>
        </w:rPr>
        <w:t> </w:t>
      </w:r>
      <w:r>
        <w:rPr>
          <w:spacing w:val="-2"/>
        </w:rPr>
        <w:t>Trata-se</w:t>
      </w:r>
      <w:r>
        <w:rPr>
          <w:spacing w:val="-7"/>
        </w:rPr>
        <w:t> </w:t>
      </w:r>
      <w:r>
        <w:rPr>
          <w:spacing w:val="-2"/>
        </w:rPr>
        <w:t>da</w:t>
      </w:r>
      <w:r>
        <w:rPr>
          <w:spacing w:val="-7"/>
        </w:rPr>
        <w:t> </w:t>
      </w:r>
      <w:r>
        <w:rPr>
          <w:spacing w:val="-2"/>
        </w:rPr>
        <w:t>venda </w:t>
      </w:r>
      <w:r>
        <w:rPr/>
        <w:t>de imóveis não de uso do</w:t>
      </w:r>
      <w:r>
        <w:rPr>
          <w:spacing w:val="-2"/>
        </w:rPr>
        <w:t> </w:t>
      </w:r>
      <w:r>
        <w:rPr/>
        <w:t>BB com a possibilidade de pagamento em</w:t>
      </w:r>
      <w:r>
        <w:rPr>
          <w:spacing w:val="-1"/>
        </w:rPr>
        <w:t> </w:t>
      </w:r>
      <w:r>
        <w:rPr/>
        <w:t>créditos de carbono. Realizamos a</w:t>
      </w:r>
      <w:r>
        <w:rPr>
          <w:spacing w:val="-3"/>
        </w:rPr>
        <w:t> </w:t>
      </w:r>
      <w:r>
        <w:rPr/>
        <w:t>venda de 58 imóveis rurais e urbanos nesta nova modalidade de pagamento.</w:t>
      </w:r>
    </w:p>
    <w:p>
      <w:pPr>
        <w:pStyle w:val="BodyText"/>
        <w:spacing w:line="321" w:lineRule="auto" w:before="124"/>
        <w:ind w:left="672" w:right="625"/>
      </w:pPr>
      <w:r>
        <w:rPr/>
        <w:t>Em</w:t>
      </w:r>
      <w:r>
        <w:rPr>
          <w:spacing w:val="-1"/>
        </w:rPr>
        <w:t> </w:t>
      </w:r>
      <w:r>
        <w:rPr/>
        <w:t>2024, revisamos o processo de</w:t>
      </w:r>
      <w:r>
        <w:rPr>
          <w:spacing w:val="-1"/>
        </w:rPr>
        <w:t> </w:t>
      </w:r>
      <w:r>
        <w:rPr/>
        <w:t>embalagem</w:t>
      </w:r>
      <w:r>
        <w:rPr>
          <w:spacing w:val="-1"/>
        </w:rPr>
        <w:t> </w:t>
      </w:r>
      <w:r>
        <w:rPr/>
        <w:t>dos cartões enviados via</w:t>
      </w:r>
      <w:r>
        <w:rPr>
          <w:spacing w:val="-2"/>
        </w:rPr>
        <w:t> </w:t>
      </w:r>
      <w:r>
        <w:rPr/>
        <w:t>malote</w:t>
      </w:r>
      <w:r>
        <w:rPr>
          <w:spacing w:val="-1"/>
        </w:rPr>
        <w:t> </w:t>
      </w:r>
      <w:r>
        <w:rPr/>
        <w:t>para</w:t>
      </w:r>
      <w:r>
        <w:rPr>
          <w:spacing w:val="-1"/>
        </w:rPr>
        <w:t> </w:t>
      </w:r>
      <w:r>
        <w:rPr/>
        <w:t>promover</w:t>
      </w:r>
      <w:r>
        <w:rPr>
          <w:spacing w:val="-1"/>
        </w:rPr>
        <w:t> </w:t>
      </w:r>
      <w:r>
        <w:rPr/>
        <w:t>práticas mais sustentáveis,</w:t>
      </w:r>
      <w:r>
        <w:rPr>
          <w:spacing w:val="26"/>
        </w:rPr>
        <w:t> </w:t>
      </w:r>
      <w:r>
        <w:rPr/>
        <w:t>resultando</w:t>
      </w:r>
      <w:r>
        <w:rPr>
          <w:spacing w:val="29"/>
        </w:rPr>
        <w:t> </w:t>
      </w:r>
      <w:r>
        <w:rPr/>
        <w:t>na</w:t>
      </w:r>
      <w:r>
        <w:rPr>
          <w:spacing w:val="26"/>
        </w:rPr>
        <w:t> </w:t>
      </w:r>
      <w:r>
        <w:rPr/>
        <w:t>redução</w:t>
      </w:r>
      <w:r>
        <w:rPr>
          <w:spacing w:val="26"/>
        </w:rPr>
        <w:t> </w:t>
      </w:r>
      <w:r>
        <w:rPr/>
        <w:t>de</w:t>
      </w:r>
      <w:r>
        <w:rPr>
          <w:spacing w:val="28"/>
        </w:rPr>
        <w:t> </w:t>
      </w:r>
      <w:r>
        <w:rPr/>
        <w:t>aproximadamente</w:t>
      </w:r>
      <w:r>
        <w:rPr>
          <w:spacing w:val="29"/>
        </w:rPr>
        <w:t> </w:t>
      </w:r>
      <w:r>
        <w:rPr/>
        <w:t>cinco</w:t>
      </w:r>
      <w:r>
        <w:rPr>
          <w:spacing w:val="27"/>
        </w:rPr>
        <w:t> </w:t>
      </w:r>
      <w:r>
        <w:rPr/>
        <w:t>toneladas</w:t>
      </w:r>
      <w:r>
        <w:rPr>
          <w:spacing w:val="30"/>
        </w:rPr>
        <w:t> </w:t>
      </w:r>
      <w:r>
        <w:rPr/>
        <w:t>de</w:t>
      </w:r>
      <w:r>
        <w:rPr>
          <w:spacing w:val="26"/>
        </w:rPr>
        <w:t> </w:t>
      </w:r>
      <w:r>
        <w:rPr/>
        <w:t>resíduos</w:t>
      </w:r>
      <w:r>
        <w:rPr>
          <w:spacing w:val="28"/>
        </w:rPr>
        <w:t> </w:t>
      </w:r>
      <w:r>
        <w:rPr/>
        <w:t>plásticos</w:t>
      </w:r>
      <w:r>
        <w:rPr>
          <w:spacing w:val="27"/>
        </w:rPr>
        <w:t> </w:t>
      </w:r>
      <w:r>
        <w:rPr/>
        <w:t>por</w:t>
      </w:r>
      <w:r>
        <w:rPr>
          <w:spacing w:val="26"/>
        </w:rPr>
        <w:t> </w:t>
      </w:r>
      <w:r>
        <w:rPr>
          <w:spacing w:val="-4"/>
        </w:rPr>
        <w:t>ano.</w:t>
      </w:r>
    </w:p>
    <w:p>
      <w:pPr>
        <w:pStyle w:val="Heading1"/>
        <w:spacing w:line="533" w:lineRule="exact"/>
        <w:jc w:val="both"/>
      </w:pPr>
      <w:r>
        <w:rPr>
          <w:color w:val="465EFF"/>
          <w:spacing w:val="32"/>
        </w:rPr>
        <w:t>Governança</w:t>
      </w:r>
      <w:r>
        <w:rPr>
          <w:color w:val="465EFF"/>
          <w:spacing w:val="59"/>
        </w:rPr>
        <w:t> </w:t>
      </w:r>
      <w:r>
        <w:rPr>
          <w:color w:val="465EFF"/>
          <w:spacing w:val="30"/>
        </w:rPr>
        <w:t>Corporativa</w:t>
      </w:r>
    </w:p>
    <w:p>
      <w:pPr>
        <w:pStyle w:val="BodyText"/>
        <w:spacing w:before="3"/>
        <w:jc w:val="left"/>
        <w:rPr>
          <w:rFonts w:ascii="BancoDoBrasil Titulos"/>
        </w:rPr>
      </w:pPr>
    </w:p>
    <w:p>
      <w:pPr>
        <w:spacing w:after="0"/>
        <w:jc w:val="left"/>
        <w:rPr>
          <w:rFonts w:ascii="BancoDoBrasil Titulos"/>
        </w:rPr>
        <w:sectPr>
          <w:pgSz w:w="11910" w:h="16850"/>
          <w:pgMar w:header="152" w:footer="591" w:top="900" w:bottom="780" w:left="180" w:right="220"/>
        </w:sectPr>
      </w:pPr>
    </w:p>
    <w:p>
      <w:pPr>
        <w:pStyle w:val="BodyText"/>
        <w:spacing w:line="321" w:lineRule="auto" w:before="78"/>
        <w:ind w:left="672"/>
      </w:pPr>
      <w:r>
        <w:rPr>
          <w:color w:val="1B1B22"/>
        </w:rPr>
        <w:t>Adotamos as melhores práticas de governança corporativa,</w:t>
      </w:r>
      <w:r>
        <w:rPr>
          <w:color w:val="1B1B22"/>
          <w:spacing w:val="-13"/>
        </w:rPr>
        <w:t> </w:t>
      </w:r>
      <w:r>
        <w:rPr>
          <w:color w:val="1B1B22"/>
        </w:rPr>
        <w:t>mantendo</w:t>
      </w:r>
      <w:r>
        <w:rPr>
          <w:color w:val="1B1B22"/>
          <w:spacing w:val="-12"/>
        </w:rPr>
        <w:t> </w:t>
      </w:r>
      <w:r>
        <w:rPr>
          <w:color w:val="1B1B22"/>
        </w:rPr>
        <w:t>nosso</w:t>
      </w:r>
      <w:r>
        <w:rPr>
          <w:color w:val="1B1B22"/>
          <w:spacing w:val="-13"/>
        </w:rPr>
        <w:t> </w:t>
      </w:r>
      <w:r>
        <w:rPr>
          <w:color w:val="1B1B22"/>
        </w:rPr>
        <w:t>compromisso</w:t>
      </w:r>
      <w:r>
        <w:rPr>
          <w:color w:val="1B1B22"/>
          <w:spacing w:val="-12"/>
        </w:rPr>
        <w:t> </w:t>
      </w:r>
      <w:r>
        <w:rPr>
          <w:color w:val="1B1B22"/>
        </w:rPr>
        <w:t>com</w:t>
      </w:r>
      <w:r>
        <w:rPr>
          <w:color w:val="1B1B22"/>
          <w:spacing w:val="-12"/>
        </w:rPr>
        <w:t> </w:t>
      </w:r>
      <w:r>
        <w:rPr>
          <w:color w:val="1B1B22"/>
        </w:rPr>
        <w:t>os princípios de transparência, prestação de contas, equidade e responsabilidade corporativa. Desde 2006, estamos listados no Novo Mercado da B3, segmento com o mais elevado padrão de governança corporativa.</w:t>
      </w:r>
    </w:p>
    <w:p>
      <w:pPr>
        <w:pStyle w:val="BodyText"/>
        <w:spacing w:line="321" w:lineRule="auto" w:before="115"/>
        <w:ind w:left="672" w:right="1"/>
      </w:pPr>
      <w:r>
        <w:rPr>
          <w:color w:val="1B1B22"/>
        </w:rPr>
        <w:t>As decisões são tomadas de forma colegiada em todos os níveis. Assim, a administração conta com uma estrutura de comitês e subcomitês estratégicos</w:t>
      </w:r>
      <w:r>
        <w:rPr>
          <w:color w:val="1B1B22"/>
          <w:spacing w:val="40"/>
        </w:rPr>
        <w:t> </w:t>
      </w:r>
      <w:r>
        <w:rPr>
          <w:color w:val="1B1B22"/>
        </w:rPr>
        <w:t>que garantem agilidade, qualidade e segurança à tomada de decisão.</w:t>
      </w:r>
    </w:p>
    <w:p>
      <w:pPr>
        <w:pStyle w:val="BodyText"/>
        <w:spacing w:line="321" w:lineRule="auto" w:before="119"/>
        <w:ind w:left="672"/>
      </w:pPr>
      <w:r>
        <w:rPr>
          <w:color w:val="1B1B22"/>
        </w:rPr>
        <w:t>Nossa estrutura de governança é composta pela Assembleia Geral de Acionistas; pelo Conselho de Administração (CA) e seus comitês de assessoramento – Comitê de Auditoria (Coaud); Comitê de Pessoas, Remuneração e Elegibilidade (Corem); Comitê de Riscos e de Capital </w:t>
      </w:r>
      <w:r>
        <w:rPr>
          <w:color w:val="1B1B22"/>
        </w:rPr>
        <w:t>(Coris), Comitê de</w:t>
      </w:r>
      <w:r>
        <w:rPr>
          <w:color w:val="1B1B22"/>
          <w:spacing w:val="-9"/>
        </w:rPr>
        <w:t> </w:t>
      </w:r>
      <w:r>
        <w:rPr>
          <w:color w:val="1B1B22"/>
        </w:rPr>
        <w:t>Tecnologia e Inovação (Cotei) e Comitê de Sustentabilidade Empresarial (Cosem); pela Diretoria</w:t>
      </w:r>
      <w:r>
        <w:rPr>
          <w:color w:val="1B1B22"/>
          <w:spacing w:val="37"/>
        </w:rPr>
        <w:t>  </w:t>
      </w:r>
      <w:r>
        <w:rPr>
          <w:color w:val="1B1B22"/>
        </w:rPr>
        <w:t>Executiva,</w:t>
      </w:r>
      <w:r>
        <w:rPr>
          <w:color w:val="1B1B22"/>
          <w:spacing w:val="38"/>
        </w:rPr>
        <w:t>  </w:t>
      </w:r>
      <w:r>
        <w:rPr>
          <w:color w:val="1B1B22"/>
        </w:rPr>
        <w:t>composta</w:t>
      </w:r>
      <w:r>
        <w:rPr>
          <w:color w:val="1B1B22"/>
          <w:spacing w:val="38"/>
        </w:rPr>
        <w:t>  </w:t>
      </w:r>
      <w:r>
        <w:rPr>
          <w:color w:val="1B1B22"/>
        </w:rPr>
        <w:t>pelo</w:t>
      </w:r>
      <w:r>
        <w:rPr>
          <w:color w:val="1B1B22"/>
          <w:spacing w:val="38"/>
        </w:rPr>
        <w:t>  </w:t>
      </w:r>
      <w:r>
        <w:rPr>
          <w:color w:val="1B1B22"/>
          <w:spacing w:val="-2"/>
        </w:rPr>
        <w:t>Conselho</w:t>
      </w:r>
    </w:p>
    <w:p>
      <w:pPr>
        <w:pStyle w:val="BodyText"/>
        <w:spacing w:line="321" w:lineRule="auto" w:before="78"/>
        <w:ind w:left="668" w:right="629"/>
      </w:pPr>
      <w:r>
        <w:rPr/>
        <w:br w:type="column"/>
      </w:r>
      <w:r>
        <w:rPr>
          <w:color w:val="1B1B22"/>
        </w:rPr>
        <w:t>Diretor (Presidente e Vice-presidentes) e demais Diretores; e pelo Conselho Fiscal. O Conselho de Administração conta ainda com o assessoramento da Auditoria Interna e de uma </w:t>
      </w:r>
      <w:r>
        <w:rPr>
          <w:color w:val="1B1B22"/>
        </w:rPr>
        <w:t>Auditoria </w:t>
      </w:r>
      <w:r>
        <w:rPr>
          <w:color w:val="1B1B22"/>
          <w:spacing w:val="-2"/>
        </w:rPr>
        <w:t>Independente.</w:t>
      </w:r>
    </w:p>
    <w:p>
      <w:pPr>
        <w:pStyle w:val="BodyText"/>
        <w:spacing w:line="321" w:lineRule="auto" w:before="116"/>
        <w:ind w:left="668" w:right="630"/>
      </w:pPr>
      <w:r>
        <w:rPr>
          <w:color w:val="1B1B22"/>
        </w:rPr>
        <w:t>O CA, órgão independente de decisão colegiada, tem,</w:t>
      </w:r>
      <w:r>
        <w:rPr>
          <w:color w:val="1B1B22"/>
          <w:spacing w:val="-8"/>
        </w:rPr>
        <w:t> </w:t>
      </w:r>
      <w:r>
        <w:rPr>
          <w:color w:val="1B1B22"/>
        </w:rPr>
        <w:t>na</w:t>
      </w:r>
      <w:r>
        <w:rPr>
          <w:color w:val="1B1B22"/>
          <w:spacing w:val="-9"/>
        </w:rPr>
        <w:t> </w:t>
      </w:r>
      <w:r>
        <w:rPr>
          <w:color w:val="1B1B22"/>
        </w:rPr>
        <w:t>forma</w:t>
      </w:r>
      <w:r>
        <w:rPr>
          <w:color w:val="1B1B22"/>
          <w:spacing w:val="-9"/>
        </w:rPr>
        <w:t> </w:t>
      </w:r>
      <w:r>
        <w:rPr>
          <w:color w:val="1B1B22"/>
        </w:rPr>
        <w:t>prevista</w:t>
      </w:r>
      <w:r>
        <w:rPr>
          <w:color w:val="1B1B22"/>
          <w:spacing w:val="-9"/>
        </w:rPr>
        <w:t> </w:t>
      </w:r>
      <w:r>
        <w:rPr>
          <w:color w:val="1B1B22"/>
        </w:rPr>
        <w:t>em</w:t>
      </w:r>
      <w:r>
        <w:rPr>
          <w:color w:val="1B1B22"/>
          <w:spacing w:val="-8"/>
        </w:rPr>
        <w:t> </w:t>
      </w:r>
      <w:r>
        <w:rPr>
          <w:color w:val="1B1B22"/>
        </w:rPr>
        <w:t>Lei</w:t>
      </w:r>
      <w:r>
        <w:rPr>
          <w:color w:val="1B1B22"/>
          <w:spacing w:val="-8"/>
        </w:rPr>
        <w:t> </w:t>
      </w:r>
      <w:r>
        <w:rPr>
          <w:color w:val="1B1B22"/>
        </w:rPr>
        <w:t>e</w:t>
      </w:r>
      <w:r>
        <w:rPr>
          <w:color w:val="1B1B22"/>
          <w:spacing w:val="-8"/>
        </w:rPr>
        <w:t> </w:t>
      </w:r>
      <w:r>
        <w:rPr>
          <w:color w:val="1B1B22"/>
        </w:rPr>
        <w:t>no</w:t>
      </w:r>
      <w:r>
        <w:rPr>
          <w:color w:val="1B1B22"/>
          <w:spacing w:val="-8"/>
        </w:rPr>
        <w:t> </w:t>
      </w:r>
      <w:r>
        <w:rPr>
          <w:color w:val="1B1B22"/>
        </w:rPr>
        <w:t>Estatuto</w:t>
      </w:r>
      <w:r>
        <w:rPr>
          <w:color w:val="1B1B22"/>
          <w:spacing w:val="-6"/>
        </w:rPr>
        <w:t> </w:t>
      </w:r>
      <w:r>
        <w:rPr>
          <w:color w:val="1B1B22"/>
        </w:rPr>
        <w:t>Social, atribuições estratégicas, orientadoras, eletivas e fiscalizadoras. No mínimo, 30% dos membros são independentes, assim definidos na legislação e no Regulamento do Novo Mercado da B3.</w:t>
      </w:r>
    </w:p>
    <w:p>
      <w:pPr>
        <w:pStyle w:val="BodyText"/>
        <w:spacing w:line="321" w:lineRule="auto" w:before="118"/>
        <w:ind w:left="668" w:right="629"/>
      </w:pPr>
      <w:r>
        <w:rPr>
          <w:color w:val="1B1B22"/>
        </w:rPr>
        <w:t>Destacamos</w:t>
      </w:r>
      <w:r>
        <w:rPr>
          <w:color w:val="1B1B22"/>
          <w:spacing w:val="-13"/>
        </w:rPr>
        <w:t> </w:t>
      </w:r>
      <w:r>
        <w:rPr>
          <w:color w:val="1B1B22"/>
        </w:rPr>
        <w:t>que,</w:t>
      </w:r>
      <w:r>
        <w:rPr>
          <w:color w:val="1B1B22"/>
          <w:spacing w:val="-11"/>
        </w:rPr>
        <w:t> </w:t>
      </w:r>
      <w:r>
        <w:rPr>
          <w:color w:val="1B1B22"/>
        </w:rPr>
        <w:t>no</w:t>
      </w:r>
      <w:r>
        <w:rPr>
          <w:color w:val="1B1B22"/>
          <w:spacing w:val="-12"/>
        </w:rPr>
        <w:t> </w:t>
      </w:r>
      <w:r>
        <w:rPr>
          <w:color w:val="1B1B22"/>
        </w:rPr>
        <w:t>início</w:t>
      </w:r>
      <w:r>
        <w:rPr>
          <w:color w:val="1B1B22"/>
          <w:spacing w:val="-12"/>
        </w:rPr>
        <w:t> </w:t>
      </w:r>
      <w:r>
        <w:rPr>
          <w:color w:val="1B1B22"/>
        </w:rPr>
        <w:t>de</w:t>
      </w:r>
      <w:r>
        <w:rPr>
          <w:color w:val="1B1B22"/>
          <w:spacing w:val="-12"/>
        </w:rPr>
        <w:t> </w:t>
      </w:r>
      <w:r>
        <w:rPr>
          <w:color w:val="1B1B22"/>
        </w:rPr>
        <w:t>2024</w:t>
      </w:r>
      <w:r>
        <w:rPr>
          <w:color w:val="1B1B22"/>
          <w:spacing w:val="-12"/>
        </w:rPr>
        <w:t> </w:t>
      </w:r>
      <w:r>
        <w:rPr>
          <w:color w:val="1B1B22"/>
        </w:rPr>
        <w:t>,</w:t>
      </w:r>
      <w:r>
        <w:rPr>
          <w:color w:val="1B1B22"/>
          <w:spacing w:val="-12"/>
        </w:rPr>
        <w:t> </w:t>
      </w:r>
      <w:r>
        <w:rPr>
          <w:color w:val="1B1B22"/>
        </w:rPr>
        <w:t>o</w:t>
      </w:r>
      <w:r>
        <w:rPr>
          <w:color w:val="1B1B22"/>
          <w:spacing w:val="-12"/>
        </w:rPr>
        <w:t> </w:t>
      </w:r>
      <w:r>
        <w:rPr>
          <w:color w:val="1B1B22"/>
        </w:rPr>
        <w:t>CA</w:t>
      </w:r>
      <w:r>
        <w:rPr>
          <w:color w:val="1B1B22"/>
          <w:spacing w:val="-13"/>
        </w:rPr>
        <w:t> </w:t>
      </w:r>
      <w:r>
        <w:rPr>
          <w:color w:val="1B1B22"/>
        </w:rPr>
        <w:t>aprovou</w:t>
      </w:r>
      <w:r>
        <w:rPr>
          <w:color w:val="1B1B22"/>
          <w:spacing w:val="-11"/>
        </w:rPr>
        <w:t> </w:t>
      </w:r>
      <w:r>
        <w:rPr>
          <w:color w:val="1B1B22"/>
        </w:rPr>
        <w:t>a revisão da Política de Indicação e Sucessão de Administradores, incluindo critérios ASG para composição do quadro da Diretoria Executiva (Direx). As indicações de pelo menos metade de membros da Direx devem respeitar os seguintes critérios: mínimo de 30% de mulheres, conforme gênero declarado no momento da indicação; e de 20%</w:t>
      </w:r>
      <w:r>
        <w:rPr>
          <w:color w:val="1B1B22"/>
          <w:spacing w:val="46"/>
        </w:rPr>
        <w:t> </w:t>
      </w:r>
      <w:r>
        <w:rPr>
          <w:color w:val="1B1B22"/>
        </w:rPr>
        <w:t>para</w:t>
      </w:r>
      <w:r>
        <w:rPr>
          <w:color w:val="1B1B22"/>
          <w:spacing w:val="47"/>
        </w:rPr>
        <w:t> </w:t>
      </w:r>
      <w:r>
        <w:rPr>
          <w:color w:val="1B1B22"/>
        </w:rPr>
        <w:t>autodeclarados</w:t>
      </w:r>
      <w:r>
        <w:rPr>
          <w:color w:val="1B1B22"/>
          <w:spacing w:val="47"/>
        </w:rPr>
        <w:t> </w:t>
      </w:r>
      <w:r>
        <w:rPr>
          <w:color w:val="1B1B22"/>
        </w:rPr>
        <w:t>“pretos”,</w:t>
      </w:r>
      <w:r>
        <w:rPr>
          <w:color w:val="1B1B22"/>
          <w:spacing w:val="48"/>
        </w:rPr>
        <w:t> </w:t>
      </w:r>
      <w:r>
        <w:rPr>
          <w:color w:val="1B1B22"/>
        </w:rPr>
        <w:t>“pardos”</w:t>
      </w:r>
      <w:r>
        <w:rPr>
          <w:color w:val="1B1B22"/>
          <w:spacing w:val="48"/>
        </w:rPr>
        <w:t> </w:t>
      </w:r>
      <w:r>
        <w:rPr>
          <w:color w:val="1B1B22"/>
          <w:spacing w:val="-5"/>
        </w:rPr>
        <w:t>ou</w:t>
      </w:r>
    </w:p>
    <w:p>
      <w:pPr>
        <w:spacing w:after="0" w:line="321" w:lineRule="auto"/>
        <w:sectPr>
          <w:type w:val="continuous"/>
          <w:pgSz w:w="11910" w:h="16850"/>
          <w:pgMar w:header="152" w:footer="591" w:top="1920" w:bottom="280" w:left="180" w:right="220"/>
          <w:cols w:num="2" w:equalWidth="0">
            <w:col w:w="5421" w:space="40"/>
            <w:col w:w="6049"/>
          </w:cols>
        </w:sectPr>
      </w:pPr>
    </w:p>
    <w:p>
      <w:pPr>
        <w:pStyle w:val="BodyText"/>
        <w:spacing w:before="3"/>
        <w:jc w:val="left"/>
        <w:rPr>
          <w:sz w:val="19"/>
        </w:rPr>
      </w:pPr>
    </w:p>
    <w:p>
      <w:pPr>
        <w:spacing w:after="0"/>
        <w:jc w:val="left"/>
        <w:rPr>
          <w:sz w:val="19"/>
        </w:rPr>
        <w:sectPr>
          <w:pgSz w:w="11910" w:h="16850"/>
          <w:pgMar w:header="152" w:footer="591" w:top="900" w:bottom="780" w:left="180" w:right="220"/>
        </w:sectPr>
      </w:pPr>
    </w:p>
    <w:p>
      <w:pPr>
        <w:pStyle w:val="BodyText"/>
        <w:tabs>
          <w:tab w:pos="2151" w:val="left" w:leader="none"/>
          <w:tab w:pos="3737" w:val="left" w:leader="none"/>
          <w:tab w:pos="4238" w:val="left" w:leader="none"/>
          <w:tab w:pos="5023" w:val="left" w:leader="none"/>
        </w:tabs>
        <w:spacing w:line="321" w:lineRule="auto" w:before="78"/>
        <w:ind w:left="672"/>
        <w:jc w:val="left"/>
      </w:pPr>
      <w:r>
        <w:rPr>
          <w:color w:val="1B1B22"/>
          <w:spacing w:val="-2"/>
        </w:rPr>
        <w:t>“indígenas”,</w:t>
      </w:r>
      <w:r>
        <w:rPr>
          <w:color w:val="1B1B22"/>
        </w:rPr>
        <w:tab/>
      </w:r>
      <w:r>
        <w:rPr>
          <w:color w:val="1B1B22"/>
          <w:spacing w:val="-2"/>
        </w:rPr>
        <w:t>LGBTQIAPN+</w:t>
      </w:r>
      <w:r>
        <w:rPr>
          <w:color w:val="1B1B22"/>
        </w:rPr>
        <w:tab/>
      </w:r>
      <w:r>
        <w:rPr>
          <w:color w:val="1B1B22"/>
          <w:spacing w:val="-10"/>
        </w:rPr>
        <w:t>e</w:t>
      </w:r>
      <w:r>
        <w:rPr>
          <w:color w:val="1B1B22"/>
        </w:rPr>
        <w:tab/>
      </w:r>
      <w:r>
        <w:rPr>
          <w:color w:val="1B1B22"/>
          <w:spacing w:val="-4"/>
        </w:rPr>
        <w:t>PcD,</w:t>
      </w:r>
      <w:r>
        <w:rPr>
          <w:color w:val="1B1B22"/>
        </w:rPr>
        <w:tab/>
      </w:r>
      <w:r>
        <w:rPr>
          <w:color w:val="1B1B22"/>
          <w:spacing w:val="-6"/>
        </w:rPr>
        <w:t>com </w:t>
      </w:r>
      <w:r>
        <w:rPr>
          <w:color w:val="1B1B22"/>
        </w:rPr>
        <w:t>implementação até o final de 2027.</w:t>
      </w:r>
    </w:p>
    <w:p>
      <w:pPr>
        <w:pStyle w:val="BodyText"/>
        <w:spacing w:line="321" w:lineRule="auto" w:before="78"/>
        <w:ind w:left="667" w:right="630"/>
      </w:pPr>
      <w:r>
        <w:rPr/>
        <w:br w:type="column"/>
      </w:r>
      <w:r>
        <w:rPr>
          <w:color w:val="1B1B22"/>
        </w:rPr>
        <w:t>A utilização de critérios ASG na indicação da Alta </w:t>
      </w:r>
      <w:r>
        <w:rPr>
          <w:color w:val="1B1B22"/>
          <w:spacing w:val="-2"/>
        </w:rPr>
        <w:t>Administração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eleva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patamar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do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Banco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cenário </w:t>
      </w:r>
      <w:r>
        <w:rPr>
          <w:color w:val="1B1B22"/>
        </w:rPr>
        <w:t>mundial, alinhado às mais inspiradoras práticas de governança corporativa.</w:t>
      </w:r>
    </w:p>
    <w:p>
      <w:pPr>
        <w:spacing w:after="0" w:line="321" w:lineRule="auto"/>
        <w:sectPr>
          <w:type w:val="continuous"/>
          <w:pgSz w:w="11910" w:h="16850"/>
          <w:pgMar w:header="152" w:footer="591" w:top="1920" w:bottom="280" w:left="180" w:right="220"/>
          <w:cols w:num="2" w:equalWidth="0">
            <w:col w:w="5421" w:space="40"/>
            <w:col w:w="6049"/>
          </w:cols>
        </w:sectPr>
      </w:pPr>
    </w:p>
    <w:p>
      <w:pPr>
        <w:pStyle w:val="Heading1"/>
        <w:spacing w:before="93"/>
        <w:jc w:val="both"/>
      </w:pPr>
      <w:r>
        <w:rPr>
          <w:color w:val="465EFF"/>
          <w:spacing w:val="33"/>
        </w:rPr>
        <w:t>Diversidade,</w:t>
      </w:r>
      <w:r>
        <w:rPr>
          <w:color w:val="465EFF"/>
          <w:spacing w:val="-20"/>
        </w:rPr>
        <w:t> </w:t>
      </w:r>
      <w:r>
        <w:rPr>
          <w:color w:val="465EFF"/>
          <w:spacing w:val="34"/>
        </w:rPr>
        <w:t>Equidade</w:t>
      </w:r>
      <w:r>
        <w:rPr>
          <w:color w:val="465EFF"/>
          <w:spacing w:val="65"/>
        </w:rPr>
        <w:t> </w:t>
      </w:r>
      <w:r>
        <w:rPr>
          <w:color w:val="465EFF"/>
        </w:rPr>
        <w:t>e</w:t>
      </w:r>
      <w:r>
        <w:rPr>
          <w:color w:val="465EFF"/>
          <w:spacing w:val="65"/>
        </w:rPr>
        <w:t> </w:t>
      </w:r>
      <w:r>
        <w:rPr>
          <w:color w:val="465EFF"/>
          <w:spacing w:val="30"/>
        </w:rPr>
        <w:t>Inclusão</w:t>
      </w:r>
    </w:p>
    <w:p>
      <w:pPr>
        <w:pStyle w:val="BodyText"/>
        <w:spacing w:line="321" w:lineRule="auto" w:before="334"/>
        <w:ind w:left="672" w:right="635"/>
      </w:pPr>
      <w:r>
        <w:rPr>
          <w:color w:val="1B1B22"/>
        </w:rPr>
        <w:t>Continuamos engajados com a Diversidade e temos orgulho de declarar que elevamos a quantidade de mulheres em posição de lideranças.</w:t>
      </w:r>
    </w:p>
    <w:p>
      <w:pPr>
        <w:pStyle w:val="BodyText"/>
        <w:spacing w:line="321" w:lineRule="auto" w:before="117"/>
        <w:ind w:left="672" w:right="5931"/>
      </w:pPr>
      <w:r>
        <w:rPr/>
        <w:drawing>
          <wp:anchor distT="0" distB="0" distL="0" distR="0" allowOverlap="1" layoutInCell="1" locked="0" behindDoc="0" simplePos="0" relativeHeight="15736320">
            <wp:simplePos x="0" y="0"/>
            <wp:positionH relativeFrom="page">
              <wp:posOffset>3832859</wp:posOffset>
            </wp:positionH>
            <wp:positionV relativeFrom="paragraph">
              <wp:posOffset>192421</wp:posOffset>
            </wp:positionV>
            <wp:extent cx="3227705" cy="5437505"/>
            <wp:effectExtent l="0" t="0" r="0" b="0"/>
            <wp:wrapNone/>
            <wp:docPr id="45" name="Image 45" descr="Pessoas andando em piso de cimento  Descrição gerada automaticamente com confiança baixa"/>
            <wp:cNvGraphicFramePr>
              <a:graphicFrameLocks/>
            </wp:cNvGraphicFramePr>
            <a:graphic>
              <a:graphicData uri="http://schemas.openxmlformats.org/drawingml/2006/picture">
                <pic:pic>
                  <pic:nvPicPr>
                    <pic:cNvPr id="45" name="Image 45" descr="Pessoas andando em piso de cimento  Descrição gerada automaticamente com confiança baixa"/>
                    <pic:cNvPicPr/>
                  </pic:nvPicPr>
                  <pic:blipFill>
                    <a:blip r:embed="rId1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27705" cy="543750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color w:val="1B1B22"/>
        </w:rPr>
        <w:t>Atualmente, estamos com 44% de mulheres no nosso Conselho Diretor (CD) e 50% do Conselho de Administração (CA). Além disso, dois membros se autodeclaram</w:t>
      </w:r>
      <w:r>
        <w:rPr>
          <w:color w:val="1B1B22"/>
          <w:spacing w:val="-4"/>
        </w:rPr>
        <w:t> </w:t>
      </w:r>
      <w:r>
        <w:rPr>
          <w:color w:val="1B1B22"/>
        </w:rPr>
        <w:t>negros</w:t>
      </w:r>
      <w:r>
        <w:rPr>
          <w:color w:val="1B1B22"/>
          <w:spacing w:val="-2"/>
        </w:rPr>
        <w:t> </w:t>
      </w:r>
      <w:r>
        <w:rPr>
          <w:color w:val="1B1B22"/>
        </w:rPr>
        <w:t>no</w:t>
      </w:r>
      <w:r>
        <w:rPr>
          <w:color w:val="1B1B22"/>
          <w:spacing w:val="-3"/>
        </w:rPr>
        <w:t> </w:t>
      </w:r>
      <w:r>
        <w:rPr>
          <w:color w:val="1B1B22"/>
        </w:rPr>
        <w:t>âmbito</w:t>
      </w:r>
      <w:r>
        <w:rPr>
          <w:color w:val="1B1B22"/>
          <w:spacing w:val="-3"/>
        </w:rPr>
        <w:t> </w:t>
      </w:r>
      <w:r>
        <w:rPr>
          <w:color w:val="1B1B22"/>
        </w:rPr>
        <w:t>do</w:t>
      </w:r>
      <w:r>
        <w:rPr>
          <w:color w:val="1B1B22"/>
          <w:spacing w:val="-3"/>
        </w:rPr>
        <w:t> </w:t>
      </w:r>
      <w:r>
        <w:rPr>
          <w:color w:val="1B1B22"/>
        </w:rPr>
        <w:t>CD</w:t>
      </w:r>
      <w:r>
        <w:rPr>
          <w:color w:val="1B1B22"/>
          <w:spacing w:val="-3"/>
        </w:rPr>
        <w:t> </w:t>
      </w:r>
      <w:r>
        <w:rPr>
          <w:color w:val="1B1B22"/>
        </w:rPr>
        <w:t>e</w:t>
      </w:r>
      <w:r>
        <w:rPr>
          <w:color w:val="1B1B22"/>
          <w:spacing w:val="-3"/>
        </w:rPr>
        <w:t> </w:t>
      </w:r>
      <w:r>
        <w:rPr>
          <w:color w:val="1B1B22"/>
        </w:rPr>
        <w:t>dois</w:t>
      </w:r>
      <w:r>
        <w:rPr>
          <w:color w:val="1B1B22"/>
          <w:spacing w:val="-4"/>
        </w:rPr>
        <w:t> </w:t>
      </w:r>
      <w:r>
        <w:rPr>
          <w:color w:val="1B1B22"/>
        </w:rPr>
        <w:t>no</w:t>
      </w:r>
      <w:r>
        <w:rPr>
          <w:color w:val="1B1B22"/>
          <w:spacing w:val="-3"/>
        </w:rPr>
        <w:t> </w:t>
      </w:r>
      <w:r>
        <w:rPr>
          <w:color w:val="1B1B22"/>
        </w:rPr>
        <w:t>CA. Dois membros do CD e dois do CA se autodeclaram pertencentes à comunidade LGBTQIAPN+.</w:t>
      </w:r>
    </w:p>
    <w:p>
      <w:pPr>
        <w:pStyle w:val="BodyText"/>
        <w:spacing w:line="321" w:lineRule="auto" w:before="119"/>
        <w:ind w:left="672" w:right="5933"/>
      </w:pPr>
      <w:r>
        <w:rPr>
          <w:color w:val="1B1B22"/>
        </w:rPr>
        <w:t>Possuímos um dos quadros mais diversos do mercado, recentemente chancelado pela B3, por meio do iDiversa, índice que reconhece companhias que se destacam pela diversidade e pela representatividade desses grupos.</w:t>
      </w:r>
    </w:p>
    <w:p>
      <w:pPr>
        <w:pStyle w:val="BodyText"/>
        <w:spacing w:line="321" w:lineRule="auto" w:before="116"/>
        <w:ind w:left="672" w:right="5932"/>
      </w:pPr>
      <w:r>
        <w:rPr>
          <w:color w:val="1B1B22"/>
        </w:rPr>
        <w:t>Assumimos o compromisso de promover um ambiente de trabalho colaborativo, inclusivo e equitativo. Investimos, também, cada vez mais em </w:t>
      </w:r>
      <w:r>
        <w:rPr>
          <w:color w:val="1B1B22"/>
          <w:spacing w:val="-2"/>
        </w:rPr>
        <w:t>ações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que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promovam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incremento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da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quantidade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de </w:t>
      </w:r>
      <w:r>
        <w:rPr>
          <w:color w:val="1B1B22"/>
        </w:rPr>
        <w:t>mulheres em cargos de liderança.</w:t>
      </w:r>
    </w:p>
    <w:p>
      <w:pPr>
        <w:pStyle w:val="BodyText"/>
        <w:spacing w:line="321" w:lineRule="auto" w:before="116"/>
        <w:ind w:left="672" w:right="5930"/>
      </w:pPr>
      <w:r>
        <w:rPr>
          <w:color w:val="1B1B22"/>
        </w:rPr>
        <w:t>Em agosto, a Fundação BB e a Fundação Cultural Palmares firmaram Protocolo de Intenções para apoiar a população negra brasileira em áreas como cultura, educação, trabalho, renda e patrimônio cultural. A parceria visa estruturar iniciativas de educação antirracista, letramento racial e preservação do patrimônio afro-brasileiro, integrando comunidades quilombolas e povos </w:t>
      </w:r>
      <w:r>
        <w:rPr>
          <w:color w:val="1B1B22"/>
          <w:spacing w:val="-2"/>
        </w:rPr>
        <w:t>tradicionais.</w:t>
      </w:r>
    </w:p>
    <w:p>
      <w:pPr>
        <w:pStyle w:val="BodyText"/>
        <w:spacing w:line="321" w:lineRule="auto" w:before="114"/>
        <w:ind w:left="672" w:right="629"/>
      </w:pPr>
      <w:r>
        <w:rPr>
          <w:color w:val="1B1B22"/>
          <w:spacing w:val="-2"/>
        </w:rPr>
        <w:t>No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mês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setembro,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oficializamos,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em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conjunto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com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outras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empresas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estatais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federais,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a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adesão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ao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Pacto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pela </w:t>
      </w:r>
      <w:r>
        <w:rPr>
          <w:color w:val="1B1B22"/>
        </w:rPr>
        <w:t>Diversidade,</w:t>
      </w:r>
      <w:r>
        <w:rPr>
          <w:color w:val="1B1B22"/>
          <w:spacing w:val="-12"/>
        </w:rPr>
        <w:t> </w:t>
      </w:r>
      <w:r>
        <w:rPr>
          <w:color w:val="1B1B22"/>
        </w:rPr>
        <w:t>Equidade</w:t>
      </w:r>
      <w:r>
        <w:rPr>
          <w:color w:val="1B1B22"/>
          <w:spacing w:val="-13"/>
        </w:rPr>
        <w:t> </w:t>
      </w:r>
      <w:r>
        <w:rPr>
          <w:color w:val="1B1B22"/>
        </w:rPr>
        <w:t>e</w:t>
      </w:r>
      <w:r>
        <w:rPr>
          <w:color w:val="1B1B22"/>
          <w:spacing w:val="-12"/>
        </w:rPr>
        <w:t> </w:t>
      </w:r>
      <w:r>
        <w:rPr>
          <w:color w:val="1B1B22"/>
        </w:rPr>
        <w:t>Inclusão</w:t>
      </w:r>
      <w:r>
        <w:rPr>
          <w:color w:val="1B1B22"/>
          <w:spacing w:val="-12"/>
        </w:rPr>
        <w:t> </w:t>
      </w:r>
      <w:r>
        <w:rPr>
          <w:color w:val="1B1B22"/>
        </w:rPr>
        <w:t>(Pacto</w:t>
      </w:r>
      <w:r>
        <w:rPr>
          <w:color w:val="1B1B22"/>
          <w:spacing w:val="-11"/>
        </w:rPr>
        <w:t> </w:t>
      </w:r>
      <w:r>
        <w:rPr>
          <w:color w:val="1B1B22"/>
        </w:rPr>
        <w:t>DEI),</w:t>
      </w:r>
      <w:r>
        <w:rPr>
          <w:color w:val="1B1B22"/>
          <w:spacing w:val="-12"/>
        </w:rPr>
        <w:t> </w:t>
      </w:r>
      <w:r>
        <w:rPr>
          <w:color w:val="1B1B22"/>
        </w:rPr>
        <w:t>coordenado</w:t>
      </w:r>
      <w:r>
        <w:rPr>
          <w:color w:val="1B1B22"/>
          <w:spacing w:val="-12"/>
        </w:rPr>
        <w:t> </w:t>
      </w:r>
      <w:r>
        <w:rPr>
          <w:color w:val="1B1B22"/>
        </w:rPr>
        <w:t>pelo</w:t>
      </w:r>
      <w:r>
        <w:rPr>
          <w:color w:val="1B1B22"/>
          <w:spacing w:val="-12"/>
        </w:rPr>
        <w:t> </w:t>
      </w:r>
      <w:r>
        <w:rPr>
          <w:color w:val="1B1B22"/>
        </w:rPr>
        <w:t>Ministério</w:t>
      </w:r>
      <w:r>
        <w:rPr>
          <w:color w:val="1B1B22"/>
          <w:spacing w:val="-13"/>
        </w:rPr>
        <w:t> </w:t>
      </w:r>
      <w:r>
        <w:rPr>
          <w:color w:val="1B1B22"/>
        </w:rPr>
        <w:t>da</w:t>
      </w:r>
      <w:r>
        <w:rPr>
          <w:color w:val="1B1B22"/>
          <w:spacing w:val="-12"/>
        </w:rPr>
        <w:t> </w:t>
      </w:r>
      <w:r>
        <w:rPr>
          <w:color w:val="1B1B22"/>
        </w:rPr>
        <w:t>Gestão</w:t>
      </w:r>
      <w:r>
        <w:rPr>
          <w:color w:val="1B1B22"/>
          <w:spacing w:val="-11"/>
        </w:rPr>
        <w:t> </w:t>
      </w:r>
      <w:r>
        <w:rPr>
          <w:color w:val="1B1B22"/>
        </w:rPr>
        <w:t>e</w:t>
      </w:r>
      <w:r>
        <w:rPr>
          <w:color w:val="1B1B22"/>
          <w:spacing w:val="-13"/>
        </w:rPr>
        <w:t> </w:t>
      </w:r>
      <w:r>
        <w:rPr>
          <w:color w:val="1B1B22"/>
        </w:rPr>
        <w:t>da</w:t>
      </w:r>
      <w:r>
        <w:rPr>
          <w:color w:val="1B1B22"/>
          <w:spacing w:val="-12"/>
        </w:rPr>
        <w:t> </w:t>
      </w:r>
      <w:r>
        <w:rPr>
          <w:color w:val="1B1B22"/>
        </w:rPr>
        <w:t>Inovação</w:t>
      </w:r>
      <w:r>
        <w:rPr>
          <w:color w:val="1B1B22"/>
          <w:spacing w:val="-12"/>
        </w:rPr>
        <w:t> </w:t>
      </w:r>
      <w:r>
        <w:rPr>
          <w:color w:val="1B1B22"/>
        </w:rPr>
        <w:t>em</w:t>
      </w:r>
      <w:r>
        <w:rPr>
          <w:color w:val="1B1B22"/>
          <w:spacing w:val="-12"/>
        </w:rPr>
        <w:t> </w:t>
      </w:r>
      <w:r>
        <w:rPr>
          <w:color w:val="1B1B22"/>
        </w:rPr>
        <w:t>Serviços Públicos (MGI), por meio da Secretaria de Governança das Estatais. O acordo tem como objetivo o aprimoramento de políticas públicas e implementação de ações afirmativas que promovam pluralidade nas empresas públicas.</w:t>
      </w:r>
    </w:p>
    <w:p>
      <w:pPr>
        <w:spacing w:after="0" w:line="321" w:lineRule="auto"/>
        <w:sectPr>
          <w:type w:val="continuous"/>
          <w:pgSz w:w="11910" w:h="16850"/>
          <w:pgMar w:header="152" w:footer="591" w:top="1920" w:bottom="280" w:left="180" w:right="220"/>
        </w:sectPr>
      </w:pPr>
    </w:p>
    <w:p>
      <w:pPr>
        <w:pStyle w:val="Heading1"/>
        <w:spacing w:before="501"/>
      </w:pPr>
      <w:r>
        <w:rPr>
          <w:color w:val="465EFF"/>
          <w:spacing w:val="31"/>
        </w:rPr>
        <w:t>Prêmios</w:t>
      </w:r>
      <w:r>
        <w:rPr>
          <w:color w:val="465EFF"/>
          <w:spacing w:val="70"/>
        </w:rPr>
        <w:t> </w:t>
      </w:r>
      <w:r>
        <w:rPr>
          <w:color w:val="465EFF"/>
        </w:rPr>
        <w:t>e</w:t>
      </w:r>
      <w:r>
        <w:rPr>
          <w:color w:val="465EFF"/>
          <w:spacing w:val="68"/>
        </w:rPr>
        <w:t> </w:t>
      </w:r>
      <w:r>
        <w:rPr>
          <w:color w:val="465EFF"/>
          <w:spacing w:val="31"/>
        </w:rPr>
        <w:t>Reconhecimentos</w:t>
      </w:r>
    </w:p>
    <w:p>
      <w:pPr>
        <w:pStyle w:val="BodyText"/>
        <w:spacing w:before="1"/>
        <w:jc w:val="left"/>
        <w:rPr>
          <w:rFonts w:ascii="BancoDoBrasil Titulos"/>
        </w:rPr>
      </w:pPr>
    </w:p>
    <w:p>
      <w:pPr>
        <w:spacing w:after="0"/>
        <w:jc w:val="left"/>
        <w:rPr>
          <w:rFonts w:ascii="BancoDoBrasil Titulos"/>
        </w:rPr>
        <w:sectPr>
          <w:pgSz w:w="11910" w:h="16850"/>
          <w:pgMar w:header="152" w:footer="591" w:top="900" w:bottom="780" w:left="180" w:right="220"/>
        </w:sectPr>
      </w:pPr>
    </w:p>
    <w:p>
      <w:pPr>
        <w:pStyle w:val="Heading2"/>
        <w:spacing w:before="70"/>
        <w:rPr>
          <w:b w:val="0"/>
        </w:rPr>
      </w:pPr>
      <w:r>
        <w:rPr>
          <w:b w:val="0"/>
          <w:color w:val="465EFF"/>
          <w:spacing w:val="16"/>
        </w:rPr>
        <w:t>Janeiro</w:t>
      </w:r>
    </w:p>
    <w:p>
      <w:pPr>
        <w:pStyle w:val="BodyText"/>
        <w:spacing w:line="321" w:lineRule="auto" w:before="171"/>
        <w:ind w:left="672"/>
      </w:pPr>
      <w:r>
        <w:rPr>
          <w:color w:val="1B1B22"/>
        </w:rPr>
        <w:t>Fomos certificados como </w:t>
      </w:r>
      <w:r>
        <w:rPr>
          <w:b/>
          <w:color w:val="1B1B22"/>
        </w:rPr>
        <w:t>Top Employer</w:t>
      </w:r>
      <w:r>
        <w:rPr>
          <w:color w:val="1B1B22"/>
        </w:rPr>
        <w:t>, pelo 11º ano consecutivo. Essa certificação reconhece as empresas com as melhores práticas de RH, e é promovida pelo Top Employers Institute.</w:t>
      </w:r>
    </w:p>
    <w:p>
      <w:pPr>
        <w:pStyle w:val="BodyText"/>
        <w:spacing w:line="321" w:lineRule="auto" w:before="116"/>
        <w:ind w:left="672"/>
      </w:pPr>
      <w:r>
        <w:rPr>
          <w:color w:val="1B1B22"/>
        </w:rPr>
        <w:t>A Presidenta Tarciana Medeiros aparece em segundo lugar no ranking </w:t>
      </w:r>
      <w:r>
        <w:rPr>
          <w:b/>
          <w:color w:val="1B1B22"/>
        </w:rPr>
        <w:t>CEOs Change Makers </w:t>
      </w:r>
      <w:r>
        <w:rPr>
          <w:color w:val="1B1B22"/>
        </w:rPr>
        <w:t>Brasil, avaliado por Inteligência Artificial sobre os 100 CEO’s brasileiros que têm grande impacto no </w:t>
      </w:r>
      <w:r>
        <w:rPr>
          <w:color w:val="1B1B22"/>
          <w:spacing w:val="-4"/>
        </w:rPr>
        <w:t>país.</w:t>
      </w:r>
    </w:p>
    <w:p>
      <w:pPr>
        <w:pStyle w:val="BodyText"/>
        <w:spacing w:line="321" w:lineRule="auto" w:before="119"/>
        <w:ind w:left="672" w:right="1"/>
      </w:pPr>
      <w:r>
        <w:rPr>
          <w:color w:val="1B1B22"/>
        </w:rPr>
        <w:t>A</w:t>
      </w:r>
      <w:r>
        <w:rPr>
          <w:color w:val="1B1B22"/>
          <w:spacing w:val="-8"/>
        </w:rPr>
        <w:t> </w:t>
      </w:r>
      <w:r>
        <w:rPr>
          <w:color w:val="1B1B22"/>
        </w:rPr>
        <w:t>nossa</w:t>
      </w:r>
      <w:r>
        <w:rPr>
          <w:color w:val="1B1B22"/>
          <w:spacing w:val="-6"/>
        </w:rPr>
        <w:t> </w:t>
      </w:r>
      <w:r>
        <w:rPr>
          <w:color w:val="1B1B22"/>
        </w:rPr>
        <w:t>marca</w:t>
      </w:r>
      <w:r>
        <w:rPr>
          <w:color w:val="1B1B22"/>
          <w:spacing w:val="-7"/>
        </w:rPr>
        <w:t> </w:t>
      </w:r>
      <w:r>
        <w:rPr>
          <w:color w:val="1B1B22"/>
        </w:rPr>
        <w:t>foi</w:t>
      </w:r>
      <w:r>
        <w:rPr>
          <w:color w:val="1B1B22"/>
          <w:spacing w:val="-6"/>
        </w:rPr>
        <w:t> </w:t>
      </w:r>
      <w:r>
        <w:rPr>
          <w:color w:val="1B1B22"/>
        </w:rPr>
        <w:t>considerada</w:t>
      </w:r>
      <w:r>
        <w:rPr>
          <w:color w:val="1B1B22"/>
          <w:spacing w:val="-6"/>
        </w:rPr>
        <w:t> </w:t>
      </w:r>
      <w:r>
        <w:rPr>
          <w:color w:val="1B1B22"/>
        </w:rPr>
        <w:t>a</w:t>
      </w:r>
      <w:r>
        <w:rPr>
          <w:color w:val="1B1B22"/>
          <w:spacing w:val="-7"/>
        </w:rPr>
        <w:t> </w:t>
      </w:r>
      <w:r>
        <w:rPr>
          <w:color w:val="1B1B22"/>
        </w:rPr>
        <w:t>mais</w:t>
      </w:r>
      <w:r>
        <w:rPr>
          <w:color w:val="1B1B22"/>
          <w:spacing w:val="-5"/>
        </w:rPr>
        <w:t> </w:t>
      </w:r>
      <w:r>
        <w:rPr>
          <w:color w:val="1B1B22"/>
        </w:rPr>
        <w:t>forte</w:t>
      </w:r>
      <w:r>
        <w:rPr>
          <w:color w:val="1B1B22"/>
          <w:spacing w:val="-6"/>
        </w:rPr>
        <w:t> </w:t>
      </w:r>
      <w:r>
        <w:rPr>
          <w:color w:val="1B1B22"/>
        </w:rPr>
        <w:t>do</w:t>
      </w:r>
      <w:r>
        <w:rPr>
          <w:color w:val="1B1B22"/>
          <w:spacing w:val="-6"/>
        </w:rPr>
        <w:t> </w:t>
      </w:r>
      <w:r>
        <w:rPr>
          <w:color w:val="1B1B22"/>
        </w:rPr>
        <w:t>país. A empresa Brand Finance nomeou as </w:t>
      </w:r>
      <w:r>
        <w:rPr>
          <w:b/>
          <w:color w:val="1B1B22"/>
        </w:rPr>
        <w:t>500 marcas mais fortes e mais valiosas do mundo </w:t>
      </w:r>
      <w:r>
        <w:rPr>
          <w:color w:val="1B1B22"/>
        </w:rPr>
        <w:t>no </w:t>
      </w:r>
      <w:r>
        <w:rPr>
          <w:color w:val="1B1B22"/>
        </w:rPr>
        <w:t>Fórum Econômico de Davos na Suíça. Mais uma vez, o BB esteve</w:t>
      </w:r>
      <w:r>
        <w:rPr>
          <w:color w:val="1B1B22"/>
          <w:spacing w:val="-2"/>
        </w:rPr>
        <w:t> </w:t>
      </w:r>
      <w:r>
        <w:rPr>
          <w:color w:val="1B1B22"/>
        </w:rPr>
        <w:t>no</w:t>
      </w:r>
      <w:r>
        <w:rPr>
          <w:color w:val="1B1B22"/>
          <w:spacing w:val="-3"/>
        </w:rPr>
        <w:t> </w:t>
      </w:r>
      <w:r>
        <w:rPr>
          <w:color w:val="1B1B22"/>
        </w:rPr>
        <w:t>ranking</w:t>
      </w:r>
      <w:r>
        <w:rPr>
          <w:color w:val="1B1B22"/>
          <w:spacing w:val="-2"/>
        </w:rPr>
        <w:t> </w:t>
      </w:r>
      <w:r>
        <w:rPr>
          <w:color w:val="1B1B22"/>
        </w:rPr>
        <w:t>e</w:t>
      </w:r>
      <w:r>
        <w:rPr>
          <w:color w:val="1B1B22"/>
          <w:spacing w:val="-2"/>
        </w:rPr>
        <w:t> </w:t>
      </w:r>
      <w:r>
        <w:rPr>
          <w:color w:val="1B1B22"/>
        </w:rPr>
        <w:t>com</w:t>
      </w:r>
      <w:r>
        <w:rPr>
          <w:color w:val="1B1B22"/>
          <w:spacing w:val="-3"/>
        </w:rPr>
        <w:t> </w:t>
      </w:r>
      <w:r>
        <w:rPr>
          <w:color w:val="1B1B22"/>
        </w:rPr>
        <w:t>avanço de</w:t>
      </w:r>
      <w:r>
        <w:rPr>
          <w:color w:val="1B1B22"/>
          <w:spacing w:val="-2"/>
        </w:rPr>
        <w:t> </w:t>
      </w:r>
      <w:r>
        <w:rPr>
          <w:color w:val="1B1B22"/>
        </w:rPr>
        <w:t>50</w:t>
      </w:r>
      <w:r>
        <w:rPr>
          <w:color w:val="1B1B22"/>
          <w:spacing w:val="-2"/>
        </w:rPr>
        <w:t> </w:t>
      </w:r>
      <w:r>
        <w:rPr>
          <w:color w:val="1B1B22"/>
        </w:rPr>
        <w:t>posições</w:t>
      </w:r>
      <w:r>
        <w:rPr>
          <w:color w:val="1B1B22"/>
          <w:spacing w:val="-2"/>
        </w:rPr>
        <w:t> </w:t>
      </w:r>
      <w:r>
        <w:rPr>
          <w:color w:val="1B1B22"/>
        </w:rPr>
        <w:t>no ranking em relação a 2023.</w:t>
      </w:r>
    </w:p>
    <w:p>
      <w:pPr>
        <w:pStyle w:val="BodyText"/>
        <w:spacing w:line="321" w:lineRule="auto" w:before="116"/>
        <w:ind w:left="672"/>
      </w:pPr>
      <w:r>
        <w:rPr>
          <w:color w:val="1B1B22"/>
        </w:rPr>
        <w:t>Conquistamos duas categorias do </w:t>
      </w:r>
      <w:r>
        <w:rPr>
          <w:b/>
          <w:color w:val="1B1B22"/>
        </w:rPr>
        <w:t>Banking Transformation</w:t>
      </w:r>
      <w:r>
        <w:rPr>
          <w:color w:val="1B1B22"/>
        </w:rPr>
        <w:t>. O prêmio busca evidenciar as melhores práticas em inovação, contribuindo para o aprimoramento do setor financeiro. Fomos premiados nas categorias Inovação com IA e Eficiência Operacional.</w:t>
      </w:r>
    </w:p>
    <w:p>
      <w:pPr>
        <w:pStyle w:val="BodyText"/>
        <w:spacing w:line="321" w:lineRule="auto" w:before="115"/>
        <w:ind w:left="672" w:right="1"/>
      </w:pPr>
      <w:r>
        <w:rPr>
          <w:color w:val="1B1B22"/>
          <w:spacing w:val="-2"/>
        </w:rPr>
        <w:t>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BB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Private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foi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listado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Ranking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2024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da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Leaders League,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na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categoria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Wealth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Management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-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Private </w:t>
      </w:r>
      <w:r>
        <w:rPr>
          <w:color w:val="1B1B22"/>
        </w:rPr>
        <w:t>Bank</w:t>
      </w:r>
      <w:r>
        <w:rPr>
          <w:color w:val="1B1B22"/>
          <w:spacing w:val="-12"/>
        </w:rPr>
        <w:t> </w:t>
      </w:r>
      <w:r>
        <w:rPr>
          <w:color w:val="1B1B22"/>
        </w:rPr>
        <w:t>Brasil,</w:t>
      </w:r>
      <w:r>
        <w:rPr>
          <w:color w:val="1B1B22"/>
          <w:spacing w:val="-11"/>
        </w:rPr>
        <w:t> </w:t>
      </w:r>
      <w:r>
        <w:rPr>
          <w:color w:val="1B1B22"/>
        </w:rPr>
        <w:t>que</w:t>
      </w:r>
      <w:r>
        <w:rPr>
          <w:color w:val="1B1B22"/>
          <w:spacing w:val="-12"/>
        </w:rPr>
        <w:t> </w:t>
      </w:r>
      <w:r>
        <w:rPr>
          <w:color w:val="1B1B22"/>
        </w:rPr>
        <w:t>reconhece</w:t>
      </w:r>
      <w:r>
        <w:rPr>
          <w:color w:val="1B1B22"/>
          <w:spacing w:val="-12"/>
        </w:rPr>
        <w:t> </w:t>
      </w:r>
      <w:r>
        <w:rPr>
          <w:color w:val="1B1B22"/>
        </w:rPr>
        <w:t>as</w:t>
      </w:r>
      <w:r>
        <w:rPr>
          <w:color w:val="1B1B22"/>
          <w:spacing w:val="-10"/>
        </w:rPr>
        <w:t> </w:t>
      </w:r>
      <w:r>
        <w:rPr>
          <w:color w:val="1B1B22"/>
        </w:rPr>
        <w:t>melhores</w:t>
      </w:r>
      <w:r>
        <w:rPr>
          <w:color w:val="1B1B22"/>
          <w:spacing w:val="-11"/>
        </w:rPr>
        <w:t> </w:t>
      </w:r>
      <w:r>
        <w:rPr>
          <w:color w:val="1B1B22"/>
        </w:rPr>
        <w:t>estratégias do</w:t>
      </w:r>
      <w:r>
        <w:rPr>
          <w:color w:val="1B1B22"/>
          <w:spacing w:val="-7"/>
        </w:rPr>
        <w:t> </w:t>
      </w:r>
      <w:r>
        <w:rPr>
          <w:color w:val="1B1B22"/>
        </w:rPr>
        <w:t>Brasil</w:t>
      </w:r>
      <w:r>
        <w:rPr>
          <w:color w:val="1B1B22"/>
          <w:spacing w:val="-7"/>
        </w:rPr>
        <w:t> </w:t>
      </w:r>
      <w:r>
        <w:rPr>
          <w:color w:val="1B1B22"/>
        </w:rPr>
        <w:t>em</w:t>
      </w:r>
      <w:r>
        <w:rPr>
          <w:color w:val="1B1B22"/>
          <w:spacing w:val="-7"/>
        </w:rPr>
        <w:t> </w:t>
      </w:r>
      <w:r>
        <w:rPr>
          <w:color w:val="1B1B22"/>
        </w:rPr>
        <w:t>gestão</w:t>
      </w:r>
      <w:r>
        <w:rPr>
          <w:color w:val="1B1B22"/>
          <w:spacing w:val="-7"/>
        </w:rPr>
        <w:t> </w:t>
      </w:r>
      <w:r>
        <w:rPr>
          <w:color w:val="1B1B22"/>
        </w:rPr>
        <w:t>patrimonial</w:t>
      </w:r>
      <w:r>
        <w:rPr>
          <w:color w:val="1B1B22"/>
          <w:spacing w:val="-7"/>
        </w:rPr>
        <w:t> </w:t>
      </w:r>
      <w:r>
        <w:rPr>
          <w:color w:val="1B1B22"/>
        </w:rPr>
        <w:t>e</w:t>
      </w:r>
      <w:r>
        <w:rPr>
          <w:color w:val="1B1B22"/>
          <w:spacing w:val="-7"/>
        </w:rPr>
        <w:t> </w:t>
      </w:r>
      <w:r>
        <w:rPr>
          <w:color w:val="1B1B22"/>
        </w:rPr>
        <w:t>de</w:t>
      </w:r>
      <w:r>
        <w:rPr>
          <w:color w:val="1B1B22"/>
          <w:spacing w:val="-7"/>
        </w:rPr>
        <w:t> </w:t>
      </w:r>
      <w:r>
        <w:rPr>
          <w:color w:val="1B1B22"/>
        </w:rPr>
        <w:t>fortunas</w:t>
      </w:r>
      <w:r>
        <w:rPr>
          <w:color w:val="1B1B22"/>
          <w:spacing w:val="-6"/>
        </w:rPr>
        <w:t> </w:t>
      </w:r>
      <w:r>
        <w:rPr>
          <w:color w:val="1B1B22"/>
        </w:rPr>
        <w:t>para clientes Private.</w:t>
      </w:r>
    </w:p>
    <w:p>
      <w:pPr>
        <w:pStyle w:val="Heading2"/>
        <w:rPr>
          <w:b w:val="0"/>
        </w:rPr>
      </w:pPr>
      <w:r>
        <w:rPr>
          <w:b w:val="0"/>
          <w:color w:val="465EFF"/>
          <w:spacing w:val="13"/>
        </w:rPr>
        <w:t>Fevereiro</w:t>
      </w:r>
    </w:p>
    <w:p>
      <w:pPr>
        <w:pStyle w:val="BodyText"/>
        <w:spacing w:line="321" w:lineRule="auto" w:before="168"/>
        <w:ind w:left="672" w:right="1"/>
      </w:pPr>
      <w:r>
        <w:rPr>
          <w:color w:val="1B1B22"/>
        </w:rPr>
        <w:t>Fomos</w:t>
      </w:r>
      <w:r>
        <w:rPr>
          <w:color w:val="1B1B22"/>
          <w:spacing w:val="-13"/>
        </w:rPr>
        <w:t> </w:t>
      </w:r>
      <w:r>
        <w:rPr>
          <w:color w:val="1B1B22"/>
        </w:rPr>
        <w:t>reconhecidos</w:t>
      </w:r>
      <w:r>
        <w:rPr>
          <w:color w:val="1B1B22"/>
          <w:spacing w:val="-12"/>
        </w:rPr>
        <w:t> </w:t>
      </w:r>
      <w:r>
        <w:rPr>
          <w:color w:val="1B1B22"/>
        </w:rPr>
        <w:t>pelo</w:t>
      </w:r>
      <w:r>
        <w:rPr>
          <w:color w:val="1B1B22"/>
          <w:spacing w:val="-13"/>
        </w:rPr>
        <w:t> </w:t>
      </w:r>
      <w:r>
        <w:rPr>
          <w:b/>
          <w:color w:val="1B1B22"/>
        </w:rPr>
        <w:t>Bacen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no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Ranking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Bacen e</w:t>
      </w:r>
      <w:r>
        <w:rPr>
          <w:b/>
          <w:color w:val="1B1B22"/>
          <w:spacing w:val="-5"/>
        </w:rPr>
        <w:t> </w:t>
      </w:r>
      <w:r>
        <w:rPr>
          <w:b/>
          <w:color w:val="1B1B22"/>
        </w:rPr>
        <w:t>Broadcast</w:t>
      </w:r>
      <w:r>
        <w:rPr>
          <w:b/>
          <w:color w:val="1B1B22"/>
          <w:spacing w:val="-4"/>
        </w:rPr>
        <w:t> </w:t>
      </w:r>
      <w:r>
        <w:rPr>
          <w:b/>
          <w:color w:val="1B1B22"/>
        </w:rPr>
        <w:t>Projeções</w:t>
      </w:r>
      <w:r>
        <w:rPr>
          <w:b/>
          <w:color w:val="1B1B22"/>
          <w:spacing w:val="-5"/>
        </w:rPr>
        <w:t> </w:t>
      </w:r>
      <w:r>
        <w:rPr>
          <w:b/>
          <w:color w:val="1B1B22"/>
        </w:rPr>
        <w:t>da</w:t>
      </w:r>
      <w:r>
        <w:rPr>
          <w:b/>
          <w:color w:val="1B1B22"/>
          <w:spacing w:val="-6"/>
        </w:rPr>
        <w:t> </w:t>
      </w:r>
      <w:r>
        <w:rPr>
          <w:b/>
          <w:color w:val="1B1B22"/>
        </w:rPr>
        <w:t>Agência</w:t>
      </w:r>
      <w:r>
        <w:rPr>
          <w:b/>
          <w:color w:val="1B1B22"/>
          <w:spacing w:val="-4"/>
        </w:rPr>
        <w:t> </w:t>
      </w:r>
      <w:r>
        <w:rPr>
          <w:b/>
          <w:color w:val="1B1B22"/>
        </w:rPr>
        <w:t>Estado,</w:t>
      </w:r>
      <w:r>
        <w:rPr>
          <w:b/>
          <w:color w:val="1B1B22"/>
          <w:spacing w:val="-5"/>
        </w:rPr>
        <w:t> </w:t>
      </w:r>
      <w:r>
        <w:rPr>
          <w:color w:val="1B1B22"/>
        </w:rPr>
        <w:t>listado </w:t>
      </w:r>
      <w:r>
        <w:rPr>
          <w:color w:val="1B1B22"/>
          <w:spacing w:val="-2"/>
        </w:rPr>
        <w:t>em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1°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lugar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na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projeção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da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Taxa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Selic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curto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prazo 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em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4º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lugar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nas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projeções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do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IPCA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curto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prazo. </w:t>
      </w:r>
      <w:r>
        <w:rPr>
          <w:color w:val="1B1B22"/>
        </w:rPr>
        <w:t>Além disso, fomos listados pelo Broadcast Projeções</w:t>
      </w:r>
      <w:r>
        <w:rPr>
          <w:color w:val="1B1B22"/>
          <w:spacing w:val="-13"/>
        </w:rPr>
        <w:t> </w:t>
      </w:r>
      <w:r>
        <w:rPr>
          <w:color w:val="1B1B22"/>
        </w:rPr>
        <w:t>da</w:t>
      </w:r>
      <w:r>
        <w:rPr>
          <w:color w:val="1B1B22"/>
          <w:spacing w:val="-12"/>
        </w:rPr>
        <w:t> </w:t>
      </w:r>
      <w:r>
        <w:rPr>
          <w:color w:val="1B1B22"/>
        </w:rPr>
        <w:t>Agência</w:t>
      </w:r>
      <w:r>
        <w:rPr>
          <w:color w:val="1B1B22"/>
          <w:spacing w:val="-13"/>
        </w:rPr>
        <w:t> </w:t>
      </w:r>
      <w:r>
        <w:rPr>
          <w:color w:val="1B1B22"/>
        </w:rPr>
        <w:t>Estado</w:t>
      </w:r>
      <w:r>
        <w:rPr>
          <w:color w:val="1B1B22"/>
          <w:spacing w:val="-12"/>
        </w:rPr>
        <w:t> </w:t>
      </w:r>
      <w:r>
        <w:rPr>
          <w:color w:val="1B1B22"/>
        </w:rPr>
        <w:t>do</w:t>
      </w:r>
      <w:r>
        <w:rPr>
          <w:color w:val="1B1B22"/>
          <w:spacing w:val="-11"/>
        </w:rPr>
        <w:t> </w:t>
      </w:r>
      <w:r>
        <w:rPr>
          <w:color w:val="1B1B22"/>
        </w:rPr>
        <w:t>4T23.</w:t>
      </w:r>
      <w:r>
        <w:rPr>
          <w:color w:val="1B1B22"/>
          <w:spacing w:val="-10"/>
        </w:rPr>
        <w:t> </w:t>
      </w:r>
      <w:r>
        <w:rPr>
          <w:color w:val="1B1B22"/>
        </w:rPr>
        <w:t>Ocupamos</w:t>
      </w:r>
      <w:r>
        <w:rPr>
          <w:color w:val="1B1B22"/>
          <w:spacing w:val="-10"/>
        </w:rPr>
        <w:t> </w:t>
      </w:r>
      <w:r>
        <w:rPr>
          <w:color w:val="1B1B22"/>
        </w:rPr>
        <w:t>o 2º lugar no Top 10 Básico, que classifica as instituições</w:t>
      </w:r>
      <w:r>
        <w:rPr>
          <w:color w:val="1B1B22"/>
          <w:spacing w:val="-5"/>
        </w:rPr>
        <w:t> </w:t>
      </w:r>
      <w:r>
        <w:rPr>
          <w:color w:val="1B1B22"/>
        </w:rPr>
        <w:t>de</w:t>
      </w:r>
      <w:r>
        <w:rPr>
          <w:color w:val="1B1B22"/>
          <w:spacing w:val="-5"/>
        </w:rPr>
        <w:t> </w:t>
      </w:r>
      <w:r>
        <w:rPr>
          <w:color w:val="1B1B22"/>
        </w:rPr>
        <w:t>acordo</w:t>
      </w:r>
      <w:r>
        <w:rPr>
          <w:color w:val="1B1B22"/>
          <w:spacing w:val="-5"/>
        </w:rPr>
        <w:t> </w:t>
      </w:r>
      <w:r>
        <w:rPr>
          <w:color w:val="1B1B22"/>
        </w:rPr>
        <w:t>com</w:t>
      </w:r>
      <w:r>
        <w:rPr>
          <w:color w:val="1B1B22"/>
          <w:spacing w:val="-4"/>
        </w:rPr>
        <w:t> </w:t>
      </w:r>
      <w:r>
        <w:rPr>
          <w:color w:val="1B1B22"/>
        </w:rPr>
        <w:t>suas</w:t>
      </w:r>
      <w:r>
        <w:rPr>
          <w:color w:val="1B1B22"/>
          <w:spacing w:val="-5"/>
        </w:rPr>
        <w:t> </w:t>
      </w:r>
      <w:r>
        <w:rPr>
          <w:color w:val="1B1B22"/>
        </w:rPr>
        <w:t>projeções</w:t>
      </w:r>
      <w:r>
        <w:rPr>
          <w:color w:val="1B1B22"/>
          <w:spacing w:val="-4"/>
        </w:rPr>
        <w:t> </w:t>
      </w:r>
      <w:r>
        <w:rPr>
          <w:color w:val="1B1B22"/>
        </w:rPr>
        <w:t>para</w:t>
      </w:r>
      <w:r>
        <w:rPr>
          <w:color w:val="1B1B22"/>
          <w:spacing w:val="-5"/>
        </w:rPr>
        <w:t> </w:t>
      </w:r>
      <w:r>
        <w:rPr>
          <w:color w:val="1B1B22"/>
          <w:spacing w:val="-7"/>
        </w:rPr>
        <w:t>um</w:t>
      </w:r>
    </w:p>
    <w:p>
      <w:pPr>
        <w:pStyle w:val="BodyText"/>
        <w:spacing w:line="321" w:lineRule="auto" w:before="79"/>
        <w:ind w:left="666" w:right="631"/>
      </w:pPr>
      <w:r>
        <w:rPr/>
        <w:br w:type="column"/>
      </w:r>
      <w:r>
        <w:rPr>
          <w:color w:val="1B1B22"/>
        </w:rPr>
        <w:t>conjunto</w:t>
      </w:r>
      <w:r>
        <w:rPr>
          <w:color w:val="1B1B22"/>
          <w:spacing w:val="-8"/>
        </w:rPr>
        <w:t> </w:t>
      </w:r>
      <w:r>
        <w:rPr>
          <w:color w:val="1B1B22"/>
        </w:rPr>
        <w:t>de</w:t>
      </w:r>
      <w:r>
        <w:rPr>
          <w:color w:val="1B1B22"/>
          <w:spacing w:val="-8"/>
        </w:rPr>
        <w:t> </w:t>
      </w:r>
      <w:r>
        <w:rPr>
          <w:color w:val="1B1B22"/>
        </w:rPr>
        <w:t>quatro</w:t>
      </w:r>
      <w:r>
        <w:rPr>
          <w:color w:val="1B1B22"/>
          <w:spacing w:val="-8"/>
        </w:rPr>
        <w:t> </w:t>
      </w:r>
      <w:r>
        <w:rPr>
          <w:color w:val="1B1B22"/>
        </w:rPr>
        <w:t>indicadores</w:t>
      </w:r>
      <w:r>
        <w:rPr>
          <w:color w:val="1B1B22"/>
          <w:spacing w:val="-7"/>
        </w:rPr>
        <w:t> </w:t>
      </w:r>
      <w:r>
        <w:rPr>
          <w:color w:val="1B1B22"/>
        </w:rPr>
        <w:t>(taxa</w:t>
      </w:r>
      <w:r>
        <w:rPr>
          <w:color w:val="1B1B22"/>
          <w:spacing w:val="-8"/>
        </w:rPr>
        <w:t> </w:t>
      </w:r>
      <w:r>
        <w:rPr>
          <w:color w:val="1B1B22"/>
        </w:rPr>
        <w:t>Selic,</w:t>
      </w:r>
      <w:r>
        <w:rPr>
          <w:color w:val="1B1B22"/>
          <w:spacing w:val="-8"/>
        </w:rPr>
        <w:t> </w:t>
      </w:r>
      <w:r>
        <w:rPr>
          <w:color w:val="1B1B22"/>
        </w:rPr>
        <w:t>taxa</w:t>
      </w:r>
      <w:r>
        <w:rPr>
          <w:color w:val="1B1B22"/>
          <w:spacing w:val="-8"/>
        </w:rPr>
        <w:t> </w:t>
      </w:r>
      <w:r>
        <w:rPr>
          <w:color w:val="1B1B22"/>
        </w:rPr>
        <w:t>de câmbio, IPCA e IGP-M).</w:t>
      </w:r>
    </w:p>
    <w:p>
      <w:pPr>
        <w:pStyle w:val="BodyText"/>
        <w:spacing w:line="321" w:lineRule="auto" w:before="119"/>
        <w:ind w:left="666" w:right="629"/>
      </w:pPr>
      <w:r>
        <w:rPr>
          <w:color w:val="1B1B22"/>
        </w:rPr>
        <w:t>A</w:t>
      </w:r>
      <w:r>
        <w:rPr>
          <w:color w:val="1B1B22"/>
          <w:spacing w:val="-4"/>
        </w:rPr>
        <w:t> </w:t>
      </w:r>
      <w:r>
        <w:rPr>
          <w:b/>
          <w:color w:val="1B1B22"/>
        </w:rPr>
        <w:t>Blommberg</w:t>
      </w:r>
      <w:r>
        <w:rPr>
          <w:b/>
          <w:color w:val="1B1B22"/>
          <w:spacing w:val="-3"/>
        </w:rPr>
        <w:t> </w:t>
      </w:r>
      <w:r>
        <w:rPr>
          <w:b/>
          <w:color w:val="1B1B22"/>
        </w:rPr>
        <w:t>Línea</w:t>
      </w:r>
      <w:r>
        <w:rPr>
          <w:b/>
          <w:color w:val="1B1B22"/>
          <w:spacing w:val="-2"/>
        </w:rPr>
        <w:t> </w:t>
      </w:r>
      <w:r>
        <w:rPr>
          <w:color w:val="1B1B22"/>
        </w:rPr>
        <w:t>apresentou</w:t>
      </w:r>
      <w:r>
        <w:rPr>
          <w:color w:val="1B1B22"/>
          <w:spacing w:val="-3"/>
        </w:rPr>
        <w:t> </w:t>
      </w:r>
      <w:r>
        <w:rPr>
          <w:color w:val="1B1B22"/>
        </w:rPr>
        <w:t>a</w:t>
      </w:r>
      <w:r>
        <w:rPr>
          <w:color w:val="1B1B22"/>
          <w:spacing w:val="-3"/>
        </w:rPr>
        <w:t> </w:t>
      </w:r>
      <w:r>
        <w:rPr>
          <w:color w:val="1B1B22"/>
        </w:rPr>
        <w:t>nova</w:t>
      </w:r>
      <w:r>
        <w:rPr>
          <w:color w:val="1B1B22"/>
          <w:spacing w:val="-3"/>
        </w:rPr>
        <w:t> </w:t>
      </w:r>
      <w:r>
        <w:rPr>
          <w:color w:val="1B1B22"/>
        </w:rPr>
        <w:t>edição</w:t>
      </w:r>
      <w:r>
        <w:rPr>
          <w:color w:val="1B1B22"/>
          <w:spacing w:val="-2"/>
        </w:rPr>
        <w:t> </w:t>
      </w:r>
      <w:r>
        <w:rPr>
          <w:color w:val="1B1B22"/>
        </w:rPr>
        <w:t>das 50 Mulheres de Impacto da</w:t>
      </w:r>
      <w:r>
        <w:rPr>
          <w:color w:val="1B1B22"/>
          <w:spacing w:val="-1"/>
        </w:rPr>
        <w:t> </w:t>
      </w:r>
      <w:r>
        <w:rPr>
          <w:color w:val="1B1B22"/>
        </w:rPr>
        <w:t>América Latina. A lista reconhece</w:t>
      </w:r>
      <w:r>
        <w:rPr>
          <w:color w:val="1B1B22"/>
          <w:spacing w:val="-13"/>
        </w:rPr>
        <w:t> </w:t>
      </w:r>
      <w:r>
        <w:rPr>
          <w:color w:val="1B1B22"/>
        </w:rPr>
        <w:t>líderes</w:t>
      </w:r>
      <w:r>
        <w:rPr>
          <w:color w:val="1B1B22"/>
          <w:spacing w:val="-12"/>
        </w:rPr>
        <w:t> </w:t>
      </w:r>
      <w:r>
        <w:rPr>
          <w:color w:val="1B1B22"/>
        </w:rPr>
        <w:t>que</w:t>
      </w:r>
      <w:r>
        <w:rPr>
          <w:color w:val="1B1B22"/>
          <w:spacing w:val="-13"/>
        </w:rPr>
        <w:t> </w:t>
      </w:r>
      <w:r>
        <w:rPr>
          <w:color w:val="1B1B22"/>
        </w:rPr>
        <w:t>servem</w:t>
      </w:r>
      <w:r>
        <w:rPr>
          <w:color w:val="1B1B22"/>
          <w:spacing w:val="-12"/>
        </w:rPr>
        <w:t> </w:t>
      </w:r>
      <w:r>
        <w:rPr>
          <w:color w:val="1B1B22"/>
        </w:rPr>
        <w:t>de</w:t>
      </w:r>
      <w:r>
        <w:rPr>
          <w:color w:val="1B1B22"/>
          <w:spacing w:val="-12"/>
        </w:rPr>
        <w:t> </w:t>
      </w:r>
      <w:r>
        <w:rPr>
          <w:color w:val="1B1B22"/>
        </w:rPr>
        <w:t>inspiração</w:t>
      </w:r>
      <w:r>
        <w:rPr>
          <w:color w:val="1B1B22"/>
          <w:spacing w:val="-13"/>
        </w:rPr>
        <w:t> </w:t>
      </w:r>
      <w:r>
        <w:rPr>
          <w:color w:val="1B1B22"/>
        </w:rPr>
        <w:t>e</w:t>
      </w:r>
      <w:r>
        <w:rPr>
          <w:color w:val="1B1B22"/>
          <w:spacing w:val="-12"/>
        </w:rPr>
        <w:t> </w:t>
      </w:r>
      <w:r>
        <w:rPr>
          <w:color w:val="1B1B22"/>
        </w:rPr>
        <w:t>estão transformando os negócios na região. Pelo segundo ano consecutivo, a presidenta Tarciana Medeiros integra a lista.</w:t>
      </w:r>
    </w:p>
    <w:p>
      <w:pPr>
        <w:pStyle w:val="Heading2"/>
        <w:spacing w:before="108"/>
        <w:ind w:left="666"/>
        <w:rPr>
          <w:b w:val="0"/>
        </w:rPr>
      </w:pPr>
      <w:r>
        <w:rPr>
          <w:b w:val="0"/>
          <w:color w:val="465EFF"/>
          <w:spacing w:val="13"/>
        </w:rPr>
        <w:t>Março</w:t>
      </w:r>
    </w:p>
    <w:p>
      <w:pPr>
        <w:pStyle w:val="BodyText"/>
        <w:spacing w:line="321" w:lineRule="auto" w:before="170"/>
        <w:ind w:left="666" w:right="628"/>
      </w:pPr>
      <w:r>
        <w:rPr>
          <w:color w:val="1B1B22"/>
          <w:spacing w:val="-2"/>
        </w:rPr>
        <w:t>Pela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11ª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vez,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vencemos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5"/>
        </w:rPr>
        <w:t> </w:t>
      </w:r>
      <w:r>
        <w:rPr>
          <w:b/>
          <w:color w:val="1B1B22"/>
          <w:spacing w:val="-2"/>
        </w:rPr>
        <w:t>Prêmio</w:t>
      </w:r>
      <w:r>
        <w:rPr>
          <w:b/>
          <w:color w:val="1B1B22"/>
          <w:spacing w:val="-7"/>
        </w:rPr>
        <w:t> </w:t>
      </w:r>
      <w:r>
        <w:rPr>
          <w:b/>
          <w:color w:val="1B1B22"/>
          <w:spacing w:val="-2"/>
        </w:rPr>
        <w:t>Ouvidorias</w:t>
      </w:r>
      <w:r>
        <w:rPr>
          <w:b/>
          <w:color w:val="1B1B22"/>
          <w:spacing w:val="-7"/>
        </w:rPr>
        <w:t> </w:t>
      </w:r>
      <w:r>
        <w:rPr>
          <w:b/>
          <w:color w:val="1B1B22"/>
          <w:spacing w:val="-2"/>
        </w:rPr>
        <w:t>Brasil</w:t>
      </w:r>
      <w:r>
        <w:rPr>
          <w:color w:val="1B1B22"/>
          <w:spacing w:val="-2"/>
        </w:rPr>
        <w:t>, </w:t>
      </w:r>
      <w:r>
        <w:rPr>
          <w:color w:val="1B1B22"/>
        </w:rPr>
        <w:t>que reconhece o trabalho de organizações e ouvidores</w:t>
      </w:r>
      <w:r>
        <w:rPr>
          <w:color w:val="1B1B22"/>
          <w:spacing w:val="-5"/>
        </w:rPr>
        <w:t> </w:t>
      </w:r>
      <w:r>
        <w:rPr>
          <w:color w:val="1B1B22"/>
        </w:rPr>
        <w:t>para</w:t>
      </w:r>
      <w:r>
        <w:rPr>
          <w:color w:val="1B1B22"/>
          <w:spacing w:val="-7"/>
        </w:rPr>
        <w:t> </w:t>
      </w:r>
      <w:r>
        <w:rPr>
          <w:color w:val="1B1B22"/>
        </w:rPr>
        <w:t>fortalecer</w:t>
      </w:r>
      <w:r>
        <w:rPr>
          <w:color w:val="1B1B22"/>
          <w:spacing w:val="-6"/>
        </w:rPr>
        <w:t> </w:t>
      </w:r>
      <w:r>
        <w:rPr>
          <w:color w:val="1B1B22"/>
        </w:rPr>
        <w:t>e</w:t>
      </w:r>
      <w:r>
        <w:rPr>
          <w:color w:val="1B1B22"/>
          <w:spacing w:val="-6"/>
        </w:rPr>
        <w:t> </w:t>
      </w:r>
      <w:r>
        <w:rPr>
          <w:color w:val="1B1B22"/>
        </w:rPr>
        <w:t>expandir</w:t>
      </w:r>
      <w:r>
        <w:rPr>
          <w:color w:val="1B1B22"/>
          <w:spacing w:val="-6"/>
        </w:rPr>
        <w:t> </w:t>
      </w:r>
      <w:r>
        <w:rPr>
          <w:color w:val="1B1B22"/>
        </w:rPr>
        <w:t>o</w:t>
      </w:r>
      <w:r>
        <w:rPr>
          <w:color w:val="1B1B22"/>
          <w:spacing w:val="-6"/>
        </w:rPr>
        <w:t> </w:t>
      </w:r>
      <w:r>
        <w:rPr>
          <w:color w:val="1B1B22"/>
        </w:rPr>
        <w:t>instituto</w:t>
      </w:r>
      <w:r>
        <w:rPr>
          <w:color w:val="1B1B22"/>
          <w:spacing w:val="-6"/>
        </w:rPr>
        <w:t> </w:t>
      </w:r>
      <w:r>
        <w:rPr>
          <w:color w:val="1B1B22"/>
        </w:rPr>
        <w:t>da ouvidoria no Brasil e no mundo.</w:t>
      </w:r>
    </w:p>
    <w:p>
      <w:pPr>
        <w:pStyle w:val="BodyText"/>
        <w:spacing w:line="321" w:lineRule="auto" w:before="116"/>
        <w:ind w:left="666" w:right="627"/>
      </w:pPr>
      <w:r>
        <w:rPr>
          <w:color w:val="1B1B22"/>
        </w:rPr>
        <w:t>No</w:t>
      </w:r>
      <w:r>
        <w:rPr>
          <w:color w:val="1B1B22"/>
          <w:spacing w:val="-13"/>
        </w:rPr>
        <w:t> </w:t>
      </w:r>
      <w:r>
        <w:rPr>
          <w:b/>
          <w:color w:val="1B1B22"/>
        </w:rPr>
        <w:t>Prêmio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Movimentos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Elas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Lideram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2030</w:t>
      </w:r>
      <w:r>
        <w:rPr>
          <w:b/>
          <w:color w:val="1B1B22"/>
          <w:spacing w:val="-13"/>
        </w:rPr>
        <w:t> </w:t>
      </w:r>
      <w:r>
        <w:rPr>
          <w:b/>
          <w:color w:val="1B1B22"/>
        </w:rPr>
        <w:t>e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Raça é Prioridade – Pacto Global da ONU</w:t>
      </w:r>
      <w:r>
        <w:rPr>
          <w:color w:val="1B1B22"/>
        </w:rPr>
        <w:t>, vencemos a premiação nas categorias “30% de pessoas negras ou indígenas em posição de liderança até 2025”; e “Apoio</w:t>
      </w:r>
      <w:r>
        <w:rPr>
          <w:color w:val="1B1B22"/>
          <w:spacing w:val="-13"/>
        </w:rPr>
        <w:t> </w:t>
      </w:r>
      <w:r>
        <w:rPr>
          <w:color w:val="1B1B22"/>
        </w:rPr>
        <w:t>ao</w:t>
      </w:r>
      <w:r>
        <w:rPr>
          <w:color w:val="1B1B22"/>
          <w:spacing w:val="-12"/>
        </w:rPr>
        <w:t> </w:t>
      </w:r>
      <w:r>
        <w:rPr>
          <w:color w:val="1B1B22"/>
        </w:rPr>
        <w:t>empreendedorismo</w:t>
      </w:r>
      <w:r>
        <w:rPr>
          <w:color w:val="1B1B22"/>
          <w:spacing w:val="-13"/>
        </w:rPr>
        <w:t> </w:t>
      </w:r>
      <w:r>
        <w:rPr>
          <w:color w:val="1B1B22"/>
        </w:rPr>
        <w:t>de</w:t>
      </w:r>
      <w:r>
        <w:rPr>
          <w:color w:val="1B1B22"/>
          <w:spacing w:val="-12"/>
        </w:rPr>
        <w:t> </w:t>
      </w:r>
      <w:r>
        <w:rPr>
          <w:color w:val="1B1B22"/>
        </w:rPr>
        <w:t>mulheres</w:t>
      </w:r>
      <w:r>
        <w:rPr>
          <w:color w:val="1B1B22"/>
          <w:spacing w:val="-12"/>
        </w:rPr>
        <w:t> </w:t>
      </w:r>
      <w:r>
        <w:rPr>
          <w:color w:val="1B1B22"/>
        </w:rPr>
        <w:t>através das cadeias de suprimentos e marketing, com implementação de práticas de desenvolvimento empresarial que empoderem as mulheres” e a Presidenta</w:t>
      </w:r>
      <w:r>
        <w:rPr>
          <w:color w:val="1B1B22"/>
          <w:spacing w:val="-10"/>
        </w:rPr>
        <w:t> </w:t>
      </w:r>
      <w:r>
        <w:rPr>
          <w:color w:val="1B1B22"/>
        </w:rPr>
        <w:t>Tarciana Medeiros foi indicada em duas categorias: CEO “Raça é prioridade”. e CEO “Elas </w:t>
      </w:r>
      <w:r>
        <w:rPr>
          <w:color w:val="1B1B22"/>
          <w:spacing w:val="-2"/>
        </w:rPr>
        <w:t>Lideram”.</w:t>
      </w:r>
    </w:p>
    <w:p>
      <w:pPr>
        <w:pStyle w:val="BodyText"/>
        <w:spacing w:line="321" w:lineRule="auto" w:before="114"/>
        <w:ind w:left="666" w:right="628"/>
      </w:pPr>
      <w:r>
        <w:rPr>
          <w:b/>
          <w:color w:val="1B1B22"/>
        </w:rPr>
        <w:t>Reconhecimentos em Tecnologia: </w:t>
      </w:r>
      <w:r>
        <w:rPr>
          <w:color w:val="1B1B22"/>
        </w:rPr>
        <w:t>Prêmio Agile Trends 2024; Prêmio Celent Model Risk Manager; Prêmio</w:t>
      </w:r>
      <w:r>
        <w:rPr>
          <w:color w:val="1B1B22"/>
          <w:spacing w:val="-13"/>
        </w:rPr>
        <w:t> </w:t>
      </w:r>
      <w:r>
        <w:rPr>
          <w:color w:val="1B1B22"/>
        </w:rPr>
        <w:t>The</w:t>
      </w:r>
      <w:r>
        <w:rPr>
          <w:color w:val="1B1B22"/>
          <w:spacing w:val="-3"/>
        </w:rPr>
        <w:t> </w:t>
      </w:r>
      <w:r>
        <w:rPr>
          <w:color w:val="1B1B22"/>
        </w:rPr>
        <w:t>Innovators</w:t>
      </w:r>
      <w:r>
        <w:rPr>
          <w:color w:val="1B1B22"/>
          <w:spacing w:val="-3"/>
        </w:rPr>
        <w:t> </w:t>
      </w:r>
      <w:r>
        <w:rPr>
          <w:color w:val="1B1B22"/>
        </w:rPr>
        <w:t>2024</w:t>
      </w:r>
      <w:r>
        <w:rPr>
          <w:color w:val="1B1B22"/>
          <w:spacing w:val="-1"/>
        </w:rPr>
        <w:t> </w:t>
      </w:r>
      <w:r>
        <w:rPr>
          <w:color w:val="1B1B22"/>
        </w:rPr>
        <w:t>–</w:t>
      </w:r>
      <w:r>
        <w:rPr>
          <w:color w:val="1B1B22"/>
          <w:spacing w:val="-3"/>
        </w:rPr>
        <w:t> </w:t>
      </w:r>
      <w:r>
        <w:rPr>
          <w:color w:val="1B1B22"/>
        </w:rPr>
        <w:t>Best</w:t>
      </w:r>
      <w:r>
        <w:rPr>
          <w:color w:val="1B1B22"/>
          <w:spacing w:val="-3"/>
        </w:rPr>
        <w:t> </w:t>
      </w:r>
      <w:r>
        <w:rPr>
          <w:color w:val="1B1B22"/>
        </w:rPr>
        <w:t>info</w:t>
      </w:r>
      <w:r>
        <w:rPr>
          <w:color w:val="1B1B22"/>
          <w:spacing w:val="-4"/>
        </w:rPr>
        <w:t> </w:t>
      </w:r>
      <w:r>
        <w:rPr>
          <w:color w:val="1B1B22"/>
        </w:rPr>
        <w:t>Security</w:t>
      </w:r>
      <w:r>
        <w:rPr>
          <w:color w:val="1B1B22"/>
          <w:spacing w:val="-3"/>
        </w:rPr>
        <w:t> </w:t>
      </w:r>
      <w:r>
        <w:rPr>
          <w:color w:val="1B1B22"/>
        </w:rPr>
        <w:t>&amp; Fraud</w:t>
      </w:r>
      <w:r>
        <w:rPr>
          <w:color w:val="1B1B22"/>
          <w:spacing w:val="-12"/>
        </w:rPr>
        <w:t> </w:t>
      </w:r>
      <w:r>
        <w:rPr>
          <w:color w:val="1B1B22"/>
        </w:rPr>
        <w:t>Management;</w:t>
      </w:r>
      <w:r>
        <w:rPr>
          <w:color w:val="1B1B22"/>
          <w:spacing w:val="-12"/>
        </w:rPr>
        <w:t> </w:t>
      </w:r>
      <w:r>
        <w:rPr>
          <w:color w:val="1B1B22"/>
        </w:rPr>
        <w:t>Índice</w:t>
      </w:r>
      <w:r>
        <w:rPr>
          <w:color w:val="1B1B22"/>
          <w:spacing w:val="-12"/>
        </w:rPr>
        <w:t> </w:t>
      </w:r>
      <w:r>
        <w:rPr>
          <w:color w:val="1B1B22"/>
        </w:rPr>
        <w:t>de</w:t>
      </w:r>
      <w:r>
        <w:rPr>
          <w:color w:val="1B1B22"/>
          <w:spacing w:val="-12"/>
        </w:rPr>
        <w:t> </w:t>
      </w:r>
      <w:r>
        <w:rPr>
          <w:color w:val="1B1B22"/>
        </w:rPr>
        <w:t>Maturidade</w:t>
      </w:r>
      <w:r>
        <w:rPr>
          <w:color w:val="1B1B22"/>
          <w:spacing w:val="-12"/>
        </w:rPr>
        <w:t> </w:t>
      </w:r>
      <w:r>
        <w:rPr>
          <w:color w:val="1B1B22"/>
        </w:rPr>
        <w:t>do</w:t>
      </w:r>
      <w:r>
        <w:rPr>
          <w:color w:val="1B1B22"/>
          <w:spacing w:val="-12"/>
        </w:rPr>
        <w:t> </w:t>
      </w:r>
      <w:r>
        <w:rPr>
          <w:color w:val="1B1B22"/>
        </w:rPr>
        <w:t>Open </w:t>
      </w:r>
      <w:r>
        <w:rPr>
          <w:color w:val="1B1B22"/>
          <w:spacing w:val="-2"/>
        </w:rPr>
        <w:t>Finance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2024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–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"Empresa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que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tem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ou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teve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melhor </w:t>
      </w:r>
      <w:r>
        <w:rPr>
          <w:color w:val="1B1B22"/>
        </w:rPr>
        <w:t>caso de Open Finance no Brasil".</w:t>
      </w:r>
    </w:p>
    <w:p>
      <w:pPr>
        <w:pStyle w:val="Heading2"/>
        <w:spacing w:before="108"/>
        <w:ind w:left="666"/>
        <w:rPr>
          <w:b w:val="0"/>
        </w:rPr>
      </w:pPr>
      <w:r>
        <w:rPr>
          <w:b w:val="0"/>
          <w:color w:val="465EFF"/>
          <w:spacing w:val="21"/>
        </w:rPr>
        <w:t>Abril</w:t>
      </w:r>
    </w:p>
    <w:p>
      <w:pPr>
        <w:spacing w:line="321" w:lineRule="auto" w:before="170"/>
        <w:ind w:left="666" w:right="630" w:firstLine="0"/>
        <w:jc w:val="both"/>
        <w:rPr>
          <w:sz w:val="20"/>
        </w:rPr>
      </w:pPr>
      <w:r>
        <w:rPr>
          <w:color w:val="1B1B22"/>
          <w:sz w:val="20"/>
        </w:rPr>
        <w:t>Alcançamos o </w:t>
      </w:r>
      <w:r>
        <w:rPr>
          <w:b/>
          <w:color w:val="1B1B22"/>
          <w:sz w:val="20"/>
        </w:rPr>
        <w:t>1º lugar no Ranking Broadcast Projeções</w:t>
      </w:r>
      <w:r>
        <w:rPr>
          <w:b/>
          <w:color w:val="1B1B22"/>
          <w:spacing w:val="-13"/>
          <w:sz w:val="20"/>
        </w:rPr>
        <w:t> </w:t>
      </w:r>
      <w:r>
        <w:rPr>
          <w:b/>
          <w:color w:val="1B1B22"/>
          <w:sz w:val="20"/>
        </w:rPr>
        <w:t>no</w:t>
      </w:r>
      <w:r>
        <w:rPr>
          <w:b/>
          <w:color w:val="1B1B22"/>
          <w:spacing w:val="-12"/>
          <w:sz w:val="20"/>
        </w:rPr>
        <w:t> </w:t>
      </w:r>
      <w:r>
        <w:rPr>
          <w:b/>
          <w:color w:val="1B1B22"/>
          <w:sz w:val="20"/>
        </w:rPr>
        <w:t>Top</w:t>
      </w:r>
      <w:r>
        <w:rPr>
          <w:b/>
          <w:color w:val="1B1B22"/>
          <w:spacing w:val="-12"/>
          <w:sz w:val="20"/>
        </w:rPr>
        <w:t> </w:t>
      </w:r>
      <w:r>
        <w:rPr>
          <w:b/>
          <w:color w:val="1B1B22"/>
          <w:sz w:val="20"/>
        </w:rPr>
        <w:t>10</w:t>
      </w:r>
      <w:r>
        <w:rPr>
          <w:b/>
          <w:color w:val="1B1B22"/>
          <w:spacing w:val="-12"/>
          <w:sz w:val="20"/>
        </w:rPr>
        <w:t> </w:t>
      </w:r>
      <w:r>
        <w:rPr>
          <w:b/>
          <w:color w:val="1B1B22"/>
          <w:sz w:val="20"/>
        </w:rPr>
        <w:t>Geral</w:t>
      </w:r>
      <w:r>
        <w:rPr>
          <w:b/>
          <w:color w:val="1B1B22"/>
          <w:spacing w:val="-12"/>
          <w:sz w:val="20"/>
        </w:rPr>
        <w:t> </w:t>
      </w:r>
      <w:r>
        <w:rPr>
          <w:color w:val="1B1B22"/>
          <w:sz w:val="20"/>
        </w:rPr>
        <w:t>referente</w:t>
      </w:r>
      <w:r>
        <w:rPr>
          <w:color w:val="1B1B22"/>
          <w:spacing w:val="-13"/>
          <w:sz w:val="20"/>
        </w:rPr>
        <w:t> </w:t>
      </w:r>
      <w:r>
        <w:rPr>
          <w:color w:val="1B1B22"/>
          <w:sz w:val="20"/>
        </w:rPr>
        <w:t>ao</w:t>
      </w:r>
      <w:r>
        <w:rPr>
          <w:color w:val="1B1B22"/>
          <w:spacing w:val="-12"/>
          <w:sz w:val="20"/>
        </w:rPr>
        <w:t> </w:t>
      </w:r>
      <w:r>
        <w:rPr>
          <w:color w:val="1B1B22"/>
          <w:sz w:val="20"/>
        </w:rPr>
        <w:t>4T23.</w:t>
      </w:r>
      <w:r>
        <w:rPr>
          <w:color w:val="1B1B22"/>
          <w:spacing w:val="-12"/>
          <w:sz w:val="20"/>
        </w:rPr>
        <w:t> </w:t>
      </w:r>
      <w:r>
        <w:rPr>
          <w:color w:val="1B1B22"/>
          <w:sz w:val="20"/>
        </w:rPr>
        <w:t>Esse ranking, que contou com a participação de 50 instituições financeiras, envolveu estimativas para uma</w:t>
      </w:r>
      <w:r>
        <w:rPr>
          <w:color w:val="1B1B22"/>
          <w:spacing w:val="39"/>
          <w:sz w:val="20"/>
        </w:rPr>
        <w:t> </w:t>
      </w:r>
      <w:r>
        <w:rPr>
          <w:color w:val="1B1B22"/>
          <w:sz w:val="20"/>
        </w:rPr>
        <w:t>gama</w:t>
      </w:r>
      <w:r>
        <w:rPr>
          <w:color w:val="1B1B22"/>
          <w:spacing w:val="41"/>
          <w:sz w:val="20"/>
        </w:rPr>
        <w:t> </w:t>
      </w:r>
      <w:r>
        <w:rPr>
          <w:color w:val="1B1B22"/>
          <w:sz w:val="20"/>
        </w:rPr>
        <w:t>de</w:t>
      </w:r>
      <w:r>
        <w:rPr>
          <w:color w:val="1B1B22"/>
          <w:spacing w:val="41"/>
          <w:sz w:val="20"/>
        </w:rPr>
        <w:t> </w:t>
      </w:r>
      <w:r>
        <w:rPr>
          <w:color w:val="1B1B22"/>
          <w:sz w:val="20"/>
        </w:rPr>
        <w:t>indicadores</w:t>
      </w:r>
      <w:r>
        <w:rPr>
          <w:color w:val="1B1B22"/>
          <w:spacing w:val="43"/>
          <w:sz w:val="20"/>
        </w:rPr>
        <w:t> </w:t>
      </w:r>
      <w:r>
        <w:rPr>
          <w:color w:val="1B1B22"/>
          <w:sz w:val="20"/>
        </w:rPr>
        <w:t>econômicos,</w:t>
      </w:r>
      <w:r>
        <w:rPr>
          <w:color w:val="1B1B22"/>
          <w:spacing w:val="42"/>
          <w:sz w:val="20"/>
        </w:rPr>
        <w:t> </w:t>
      </w:r>
      <w:r>
        <w:rPr>
          <w:color w:val="1B1B22"/>
          <w:spacing w:val="-2"/>
          <w:sz w:val="20"/>
        </w:rPr>
        <w:t>incluindo</w:t>
      </w:r>
    </w:p>
    <w:p>
      <w:pPr>
        <w:spacing w:after="0" w:line="321" w:lineRule="auto"/>
        <w:jc w:val="both"/>
        <w:rPr>
          <w:sz w:val="20"/>
        </w:rPr>
        <w:sectPr>
          <w:type w:val="continuous"/>
          <w:pgSz w:w="11910" w:h="16850"/>
          <w:pgMar w:header="152" w:footer="591" w:top="1920" w:bottom="280" w:left="180" w:right="220"/>
          <w:cols w:num="2" w:equalWidth="0">
            <w:col w:w="5422" w:space="40"/>
            <w:col w:w="6048"/>
          </w:cols>
        </w:sectPr>
      </w:pPr>
    </w:p>
    <w:p>
      <w:pPr>
        <w:pStyle w:val="BodyText"/>
        <w:spacing w:before="86"/>
        <w:jc w:val="left"/>
      </w:pPr>
    </w:p>
    <w:p>
      <w:pPr>
        <w:spacing w:after="0"/>
        <w:jc w:val="left"/>
        <w:sectPr>
          <w:pgSz w:w="11910" w:h="16850"/>
          <w:pgMar w:header="152" w:footer="591" w:top="900" w:bottom="780" w:left="180" w:right="220"/>
        </w:sectPr>
      </w:pPr>
    </w:p>
    <w:p>
      <w:pPr>
        <w:pStyle w:val="BodyText"/>
        <w:spacing w:line="321" w:lineRule="auto" w:before="78"/>
        <w:ind w:left="672" w:right="4"/>
      </w:pPr>
      <w:r>
        <w:rPr>
          <w:color w:val="1B1B22"/>
        </w:rPr>
        <w:t>IPCA,</w:t>
      </w:r>
      <w:r>
        <w:rPr>
          <w:color w:val="1B1B22"/>
          <w:spacing w:val="-13"/>
        </w:rPr>
        <w:t> </w:t>
      </w:r>
      <w:r>
        <w:rPr>
          <w:color w:val="1B1B22"/>
        </w:rPr>
        <w:t>IGP-M,</w:t>
      </w:r>
      <w:r>
        <w:rPr>
          <w:color w:val="1B1B22"/>
          <w:spacing w:val="-11"/>
        </w:rPr>
        <w:t> </w:t>
      </w:r>
      <w:r>
        <w:rPr>
          <w:color w:val="1B1B22"/>
        </w:rPr>
        <w:t>taxa</w:t>
      </w:r>
      <w:r>
        <w:rPr>
          <w:color w:val="1B1B22"/>
          <w:spacing w:val="-13"/>
        </w:rPr>
        <w:t> </w:t>
      </w:r>
      <w:r>
        <w:rPr>
          <w:color w:val="1B1B22"/>
        </w:rPr>
        <w:t>Selic,</w:t>
      </w:r>
      <w:r>
        <w:rPr>
          <w:color w:val="1B1B22"/>
          <w:spacing w:val="-12"/>
        </w:rPr>
        <w:t> </w:t>
      </w:r>
      <w:r>
        <w:rPr>
          <w:color w:val="1B1B22"/>
        </w:rPr>
        <w:t>dólar,</w:t>
      </w:r>
      <w:r>
        <w:rPr>
          <w:color w:val="1B1B22"/>
          <w:spacing w:val="-12"/>
        </w:rPr>
        <w:t> </w:t>
      </w:r>
      <w:r>
        <w:rPr>
          <w:color w:val="1B1B22"/>
        </w:rPr>
        <w:t>PIB,</w:t>
      </w:r>
      <w:r>
        <w:rPr>
          <w:color w:val="1B1B22"/>
          <w:spacing w:val="-12"/>
        </w:rPr>
        <w:t> </w:t>
      </w:r>
      <w:r>
        <w:rPr>
          <w:color w:val="1B1B22"/>
        </w:rPr>
        <w:t>saldo</w:t>
      </w:r>
      <w:r>
        <w:rPr>
          <w:color w:val="1B1B22"/>
          <w:spacing w:val="-12"/>
        </w:rPr>
        <w:t> </w:t>
      </w:r>
      <w:r>
        <w:rPr>
          <w:color w:val="1B1B22"/>
        </w:rPr>
        <w:t>da</w:t>
      </w:r>
      <w:r>
        <w:rPr>
          <w:color w:val="1B1B22"/>
          <w:spacing w:val="-11"/>
        </w:rPr>
        <w:t> </w:t>
      </w:r>
      <w:r>
        <w:rPr>
          <w:color w:val="1B1B22"/>
        </w:rPr>
        <w:t>balança comercial e relação dívida líquida/PIB.</w:t>
      </w:r>
    </w:p>
    <w:p>
      <w:pPr>
        <w:pStyle w:val="BodyText"/>
        <w:spacing w:line="321" w:lineRule="auto" w:before="120"/>
        <w:ind w:left="672"/>
      </w:pPr>
      <w:r>
        <w:rPr>
          <w:color w:val="1B1B22"/>
        </w:rPr>
        <w:t>Conquistamos</w:t>
      </w:r>
      <w:r>
        <w:rPr>
          <w:color w:val="1B1B22"/>
          <w:spacing w:val="-13"/>
        </w:rPr>
        <w:t> </w:t>
      </w:r>
      <w:r>
        <w:rPr>
          <w:color w:val="1B1B22"/>
        </w:rPr>
        <w:t>o</w:t>
      </w:r>
      <w:r>
        <w:rPr>
          <w:color w:val="1B1B22"/>
          <w:spacing w:val="-12"/>
        </w:rPr>
        <w:t> </w:t>
      </w:r>
      <w:r>
        <w:rPr>
          <w:color w:val="1B1B22"/>
        </w:rPr>
        <w:t>prêmio</w:t>
      </w:r>
      <w:r>
        <w:rPr>
          <w:color w:val="1B1B22"/>
          <w:spacing w:val="-13"/>
        </w:rPr>
        <w:t> </w:t>
      </w:r>
      <w:r>
        <w:rPr>
          <w:b/>
          <w:color w:val="1B1B22"/>
        </w:rPr>
        <w:t>Stevie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Awards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for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Sales</w:t>
      </w:r>
      <w:r>
        <w:rPr>
          <w:b/>
          <w:color w:val="1B1B22"/>
          <w:spacing w:val="-12"/>
        </w:rPr>
        <w:t> </w:t>
      </w:r>
      <w:r>
        <w:rPr>
          <w:b/>
          <w:color w:val="1B1B22"/>
        </w:rPr>
        <w:t>&amp; Customer Service, </w:t>
      </w:r>
      <w:r>
        <w:rPr>
          <w:color w:val="1B1B22"/>
        </w:rPr>
        <w:t>que reconhece os canais de apoio ao cliente, vendas e desenvolvimento empresarial. Contamos com três cases finalistas para categorias de treinamento, inovação e </w:t>
      </w:r>
      <w:r>
        <w:rPr>
          <w:color w:val="1B1B22"/>
          <w:spacing w:val="-2"/>
        </w:rPr>
        <w:t>relacionamento.</w:t>
      </w:r>
    </w:p>
    <w:p>
      <w:pPr>
        <w:pStyle w:val="BodyText"/>
        <w:spacing w:line="321" w:lineRule="auto" w:before="115"/>
        <w:ind w:left="672"/>
      </w:pPr>
      <w:r>
        <w:rPr>
          <w:color w:val="1B1B22"/>
        </w:rPr>
        <w:t>Fomos</w:t>
      </w:r>
      <w:r>
        <w:rPr>
          <w:color w:val="1B1B22"/>
          <w:spacing w:val="-10"/>
        </w:rPr>
        <w:t> </w:t>
      </w:r>
      <w:r>
        <w:rPr>
          <w:color w:val="1B1B22"/>
        </w:rPr>
        <w:t>premiados</w:t>
      </w:r>
      <w:r>
        <w:rPr>
          <w:color w:val="1B1B22"/>
          <w:spacing w:val="-10"/>
        </w:rPr>
        <w:t> </w:t>
      </w:r>
      <w:r>
        <w:rPr>
          <w:color w:val="1B1B22"/>
        </w:rPr>
        <w:t>pelo</w:t>
      </w:r>
      <w:r>
        <w:rPr>
          <w:color w:val="1B1B22"/>
          <w:spacing w:val="-11"/>
        </w:rPr>
        <w:t> </w:t>
      </w:r>
      <w:r>
        <w:rPr>
          <w:color w:val="1B1B22"/>
        </w:rPr>
        <w:t>Celent</w:t>
      </w:r>
      <w:r>
        <w:rPr>
          <w:color w:val="1B1B22"/>
          <w:spacing w:val="-11"/>
        </w:rPr>
        <w:t> </w:t>
      </w:r>
      <w:r>
        <w:rPr>
          <w:color w:val="1B1B22"/>
        </w:rPr>
        <w:t>Model</w:t>
      </w:r>
      <w:r>
        <w:rPr>
          <w:color w:val="1B1B22"/>
          <w:spacing w:val="-12"/>
        </w:rPr>
        <w:t> </w:t>
      </w:r>
      <w:r>
        <w:rPr>
          <w:color w:val="1B1B22"/>
        </w:rPr>
        <w:t>Risk</w:t>
      </w:r>
      <w:r>
        <w:rPr>
          <w:color w:val="1B1B22"/>
          <w:spacing w:val="-12"/>
        </w:rPr>
        <w:t> </w:t>
      </w:r>
      <w:r>
        <w:rPr>
          <w:color w:val="1B1B22"/>
        </w:rPr>
        <w:t>Manager 2024, na categoria de </w:t>
      </w:r>
      <w:r>
        <w:rPr>
          <w:b/>
          <w:color w:val="1B1B22"/>
        </w:rPr>
        <w:t>combate ao crime financeiro</w:t>
      </w:r>
      <w:r>
        <w:rPr>
          <w:color w:val="1B1B22"/>
        </w:rPr>
        <w:t>, pela utilização de solução tecnológica </w:t>
      </w:r>
      <w:r>
        <w:rPr>
          <w:color w:val="1B1B22"/>
          <w:spacing w:val="-2"/>
        </w:rPr>
        <w:t>para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otimização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das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operações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identificação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de </w:t>
      </w:r>
      <w:r>
        <w:rPr>
          <w:color w:val="1B1B22"/>
        </w:rPr>
        <w:t>potenciais clientes que estejam submetidos a </w:t>
      </w:r>
      <w:r>
        <w:rPr>
          <w:color w:val="1B1B22"/>
          <w:spacing w:val="-2"/>
        </w:rPr>
        <w:t>sanções.</w:t>
      </w:r>
    </w:p>
    <w:p>
      <w:pPr>
        <w:spacing w:line="321" w:lineRule="auto" w:before="118"/>
        <w:ind w:left="672" w:right="0" w:firstLine="0"/>
        <w:jc w:val="both"/>
        <w:rPr>
          <w:sz w:val="20"/>
        </w:rPr>
      </w:pPr>
      <w:r>
        <w:rPr>
          <w:color w:val="1B1B22"/>
          <w:sz w:val="20"/>
        </w:rPr>
        <w:t>Fomos reconhecidos pelos prêmios </w:t>
      </w:r>
      <w:r>
        <w:rPr>
          <w:b/>
          <w:color w:val="1B1B22"/>
          <w:sz w:val="20"/>
        </w:rPr>
        <w:t>International Business Magazine Awards 2024 e World Business Outlook Awards 2024</w:t>
      </w:r>
      <w:r>
        <w:rPr>
          <w:color w:val="1B1B22"/>
          <w:sz w:val="20"/>
        </w:rPr>
        <w:t>, nas seguintes </w:t>
      </w:r>
      <w:r>
        <w:rPr>
          <w:color w:val="1B1B22"/>
          <w:spacing w:val="-2"/>
          <w:sz w:val="20"/>
        </w:rPr>
        <w:t>categorias:</w:t>
      </w:r>
    </w:p>
    <w:p>
      <w:pPr>
        <w:pStyle w:val="ListParagraph"/>
        <w:numPr>
          <w:ilvl w:val="0"/>
          <w:numId w:val="1"/>
        </w:numPr>
        <w:tabs>
          <w:tab w:pos="1029" w:val="left" w:leader="none"/>
        </w:tabs>
        <w:spacing w:line="240" w:lineRule="auto" w:before="117" w:after="0"/>
        <w:ind w:left="1029" w:right="0" w:hanging="357"/>
        <w:jc w:val="left"/>
        <w:rPr>
          <w:sz w:val="20"/>
        </w:rPr>
      </w:pPr>
      <w:r>
        <w:rPr>
          <w:color w:val="1B1B22"/>
          <w:sz w:val="20"/>
        </w:rPr>
        <w:t>Melhor</w:t>
      </w:r>
      <w:r>
        <w:rPr>
          <w:color w:val="1B1B22"/>
          <w:spacing w:val="-9"/>
          <w:sz w:val="20"/>
        </w:rPr>
        <w:t> </w:t>
      </w:r>
      <w:r>
        <w:rPr>
          <w:color w:val="1B1B22"/>
          <w:sz w:val="20"/>
        </w:rPr>
        <w:t>Private</w:t>
      </w:r>
      <w:r>
        <w:rPr>
          <w:color w:val="1B1B22"/>
          <w:spacing w:val="-8"/>
          <w:sz w:val="20"/>
        </w:rPr>
        <w:t> </w:t>
      </w:r>
      <w:r>
        <w:rPr>
          <w:color w:val="1B1B22"/>
          <w:sz w:val="20"/>
        </w:rPr>
        <w:t>Bank</w:t>
      </w:r>
      <w:r>
        <w:rPr>
          <w:color w:val="1B1B22"/>
          <w:spacing w:val="-8"/>
          <w:sz w:val="20"/>
        </w:rPr>
        <w:t> </w:t>
      </w:r>
      <w:r>
        <w:rPr>
          <w:color w:val="1B1B22"/>
          <w:sz w:val="20"/>
        </w:rPr>
        <w:t>-</w:t>
      </w:r>
      <w:r>
        <w:rPr>
          <w:color w:val="1B1B22"/>
          <w:spacing w:val="-8"/>
          <w:sz w:val="20"/>
        </w:rPr>
        <w:t> </w:t>
      </w:r>
      <w:r>
        <w:rPr>
          <w:color w:val="1B1B22"/>
          <w:spacing w:val="-2"/>
          <w:sz w:val="20"/>
        </w:rPr>
        <w:t>Brasil</w:t>
      </w:r>
    </w:p>
    <w:p>
      <w:pPr>
        <w:pStyle w:val="ListParagraph"/>
        <w:numPr>
          <w:ilvl w:val="0"/>
          <w:numId w:val="1"/>
        </w:numPr>
        <w:tabs>
          <w:tab w:pos="1030" w:val="left" w:leader="none"/>
        </w:tabs>
        <w:spacing w:line="321" w:lineRule="auto" w:before="86" w:after="0"/>
        <w:ind w:left="1030" w:right="1" w:hanging="359"/>
        <w:jc w:val="left"/>
        <w:rPr>
          <w:sz w:val="20"/>
        </w:rPr>
      </w:pPr>
      <w:r>
        <w:rPr>
          <w:color w:val="1B1B22"/>
          <w:sz w:val="20"/>
        </w:rPr>
        <w:t>Melhor</w:t>
      </w:r>
      <w:r>
        <w:rPr>
          <w:color w:val="1B1B22"/>
          <w:spacing w:val="80"/>
          <w:sz w:val="20"/>
        </w:rPr>
        <w:t> </w:t>
      </w:r>
      <w:r>
        <w:rPr>
          <w:color w:val="1B1B22"/>
          <w:sz w:val="20"/>
        </w:rPr>
        <w:t>Private</w:t>
      </w:r>
      <w:r>
        <w:rPr>
          <w:color w:val="1B1B22"/>
          <w:spacing w:val="80"/>
          <w:sz w:val="20"/>
        </w:rPr>
        <w:t> </w:t>
      </w:r>
      <w:r>
        <w:rPr>
          <w:color w:val="1B1B22"/>
          <w:sz w:val="20"/>
        </w:rPr>
        <w:t>Bank</w:t>
      </w:r>
      <w:r>
        <w:rPr>
          <w:color w:val="1B1B22"/>
          <w:spacing w:val="80"/>
          <w:sz w:val="20"/>
        </w:rPr>
        <w:t> </w:t>
      </w:r>
      <w:r>
        <w:rPr>
          <w:color w:val="1B1B22"/>
          <w:sz w:val="20"/>
        </w:rPr>
        <w:t>em</w:t>
      </w:r>
      <w:r>
        <w:rPr>
          <w:color w:val="1B1B22"/>
          <w:spacing w:val="80"/>
          <w:sz w:val="20"/>
        </w:rPr>
        <w:t> </w:t>
      </w:r>
      <w:r>
        <w:rPr>
          <w:color w:val="1B1B22"/>
          <w:sz w:val="20"/>
        </w:rPr>
        <w:t>Assessoria</w:t>
      </w:r>
      <w:r>
        <w:rPr>
          <w:color w:val="1B1B22"/>
          <w:spacing w:val="80"/>
          <w:sz w:val="20"/>
        </w:rPr>
        <w:t> </w:t>
      </w:r>
      <w:r>
        <w:rPr>
          <w:color w:val="1B1B22"/>
          <w:sz w:val="20"/>
        </w:rPr>
        <w:t>para</w:t>
      </w:r>
      <w:r>
        <w:rPr>
          <w:color w:val="1B1B22"/>
          <w:spacing w:val="40"/>
          <w:sz w:val="20"/>
        </w:rPr>
        <w:t> </w:t>
      </w:r>
      <w:r>
        <w:rPr>
          <w:color w:val="1B1B22"/>
          <w:sz w:val="20"/>
        </w:rPr>
        <w:t>Agribusiness – Brasil</w:t>
      </w:r>
    </w:p>
    <w:p>
      <w:pPr>
        <w:pStyle w:val="ListParagraph"/>
        <w:numPr>
          <w:ilvl w:val="0"/>
          <w:numId w:val="1"/>
        </w:numPr>
        <w:tabs>
          <w:tab w:pos="1029" w:val="left" w:leader="none"/>
        </w:tabs>
        <w:spacing w:line="254" w:lineRule="exact" w:before="0" w:after="0"/>
        <w:ind w:left="1029" w:right="0" w:hanging="357"/>
        <w:jc w:val="left"/>
        <w:rPr>
          <w:sz w:val="20"/>
        </w:rPr>
      </w:pPr>
      <w:r>
        <w:rPr>
          <w:color w:val="1B1B22"/>
          <w:spacing w:val="-2"/>
          <w:sz w:val="20"/>
        </w:rPr>
        <w:t>Melhor</w:t>
      </w:r>
      <w:r>
        <w:rPr>
          <w:color w:val="1B1B22"/>
          <w:spacing w:val="-8"/>
          <w:sz w:val="20"/>
        </w:rPr>
        <w:t> </w:t>
      </w:r>
      <w:r>
        <w:rPr>
          <w:color w:val="1B1B22"/>
          <w:spacing w:val="-2"/>
          <w:sz w:val="20"/>
        </w:rPr>
        <w:t>Private</w:t>
      </w:r>
      <w:r>
        <w:rPr>
          <w:color w:val="1B1B22"/>
          <w:spacing w:val="-8"/>
          <w:sz w:val="20"/>
        </w:rPr>
        <w:t> </w:t>
      </w:r>
      <w:r>
        <w:rPr>
          <w:color w:val="1B1B22"/>
          <w:spacing w:val="-2"/>
          <w:sz w:val="20"/>
        </w:rPr>
        <w:t>Bank</w:t>
      </w:r>
      <w:r>
        <w:rPr>
          <w:color w:val="1B1B22"/>
          <w:spacing w:val="-7"/>
          <w:sz w:val="20"/>
        </w:rPr>
        <w:t> </w:t>
      </w:r>
      <w:r>
        <w:rPr>
          <w:color w:val="1B1B22"/>
          <w:spacing w:val="-2"/>
          <w:sz w:val="20"/>
        </w:rPr>
        <w:t>em</w:t>
      </w:r>
      <w:r>
        <w:rPr>
          <w:color w:val="1B1B22"/>
          <w:spacing w:val="-9"/>
          <w:sz w:val="20"/>
        </w:rPr>
        <w:t> </w:t>
      </w:r>
      <w:r>
        <w:rPr>
          <w:color w:val="1B1B22"/>
          <w:spacing w:val="-2"/>
          <w:sz w:val="20"/>
        </w:rPr>
        <w:t>Integração</w:t>
      </w:r>
      <w:r>
        <w:rPr>
          <w:color w:val="1B1B22"/>
          <w:spacing w:val="-9"/>
          <w:sz w:val="20"/>
        </w:rPr>
        <w:t> </w:t>
      </w:r>
      <w:r>
        <w:rPr>
          <w:color w:val="1B1B22"/>
          <w:spacing w:val="-2"/>
          <w:sz w:val="20"/>
        </w:rPr>
        <w:t>ASG</w:t>
      </w:r>
      <w:r>
        <w:rPr>
          <w:color w:val="1B1B22"/>
          <w:spacing w:val="-5"/>
          <w:sz w:val="20"/>
        </w:rPr>
        <w:t> </w:t>
      </w:r>
      <w:r>
        <w:rPr>
          <w:color w:val="1B1B22"/>
          <w:spacing w:val="-2"/>
          <w:sz w:val="20"/>
        </w:rPr>
        <w:t>–</w:t>
      </w:r>
      <w:r>
        <w:rPr>
          <w:color w:val="1B1B22"/>
          <w:spacing w:val="-7"/>
          <w:sz w:val="20"/>
        </w:rPr>
        <w:t> </w:t>
      </w:r>
      <w:r>
        <w:rPr>
          <w:color w:val="1B1B22"/>
          <w:spacing w:val="-2"/>
          <w:sz w:val="20"/>
        </w:rPr>
        <w:t>Brasil</w:t>
      </w:r>
    </w:p>
    <w:p>
      <w:pPr>
        <w:pStyle w:val="ListParagraph"/>
        <w:numPr>
          <w:ilvl w:val="0"/>
          <w:numId w:val="1"/>
        </w:numPr>
        <w:tabs>
          <w:tab w:pos="1029" w:val="left" w:leader="none"/>
        </w:tabs>
        <w:spacing w:line="240" w:lineRule="auto" w:before="84" w:after="0"/>
        <w:ind w:left="1029" w:right="0" w:hanging="357"/>
        <w:jc w:val="left"/>
        <w:rPr>
          <w:sz w:val="20"/>
        </w:rPr>
      </w:pPr>
      <w:r>
        <w:rPr>
          <w:color w:val="1B1B22"/>
          <w:sz w:val="20"/>
        </w:rPr>
        <w:t>Melhor</w:t>
      </w:r>
      <w:r>
        <w:rPr>
          <w:color w:val="1B1B22"/>
          <w:spacing w:val="-11"/>
          <w:sz w:val="20"/>
        </w:rPr>
        <w:t> </w:t>
      </w:r>
      <w:r>
        <w:rPr>
          <w:color w:val="1B1B22"/>
          <w:sz w:val="20"/>
        </w:rPr>
        <w:t>Private</w:t>
      </w:r>
      <w:r>
        <w:rPr>
          <w:color w:val="1B1B22"/>
          <w:spacing w:val="-10"/>
          <w:sz w:val="20"/>
        </w:rPr>
        <w:t> </w:t>
      </w:r>
      <w:r>
        <w:rPr>
          <w:color w:val="1B1B22"/>
          <w:sz w:val="20"/>
        </w:rPr>
        <w:t>Bank</w:t>
      </w:r>
      <w:r>
        <w:rPr>
          <w:color w:val="1B1B22"/>
          <w:spacing w:val="-11"/>
          <w:sz w:val="20"/>
        </w:rPr>
        <w:t> </w:t>
      </w:r>
      <w:r>
        <w:rPr>
          <w:color w:val="1B1B22"/>
          <w:sz w:val="20"/>
        </w:rPr>
        <w:t>para</w:t>
      </w:r>
      <w:r>
        <w:rPr>
          <w:color w:val="1B1B22"/>
          <w:spacing w:val="-11"/>
          <w:sz w:val="20"/>
        </w:rPr>
        <w:t> </w:t>
      </w:r>
      <w:r>
        <w:rPr>
          <w:color w:val="1B1B22"/>
          <w:sz w:val="20"/>
        </w:rPr>
        <w:t>Mulheres</w:t>
      </w:r>
      <w:r>
        <w:rPr>
          <w:color w:val="1B1B22"/>
          <w:spacing w:val="-8"/>
          <w:sz w:val="20"/>
        </w:rPr>
        <w:t> </w:t>
      </w:r>
      <w:r>
        <w:rPr>
          <w:color w:val="1B1B22"/>
          <w:sz w:val="20"/>
        </w:rPr>
        <w:t>–</w:t>
      </w:r>
      <w:r>
        <w:rPr>
          <w:color w:val="1B1B22"/>
          <w:spacing w:val="-10"/>
          <w:sz w:val="20"/>
        </w:rPr>
        <w:t> </w:t>
      </w:r>
      <w:r>
        <w:rPr>
          <w:color w:val="1B1B22"/>
          <w:spacing w:val="-2"/>
          <w:sz w:val="20"/>
        </w:rPr>
        <w:t>Brasil</w:t>
      </w:r>
    </w:p>
    <w:p>
      <w:pPr>
        <w:pStyle w:val="ListParagraph"/>
        <w:numPr>
          <w:ilvl w:val="0"/>
          <w:numId w:val="1"/>
        </w:numPr>
        <w:tabs>
          <w:tab w:pos="1030" w:val="left" w:leader="none"/>
          <w:tab w:pos="1929" w:val="left" w:leader="none"/>
          <w:tab w:pos="2812" w:val="left" w:leader="none"/>
          <w:tab w:pos="3493" w:val="left" w:leader="none"/>
          <w:tab w:pos="4127" w:val="left" w:leader="none"/>
        </w:tabs>
        <w:spacing w:line="321" w:lineRule="auto" w:before="86" w:after="0"/>
        <w:ind w:left="1030" w:right="3" w:hanging="359"/>
        <w:jc w:val="left"/>
        <w:rPr>
          <w:sz w:val="20"/>
        </w:rPr>
      </w:pPr>
      <w:r>
        <w:rPr>
          <w:color w:val="1B1B22"/>
          <w:spacing w:val="-2"/>
          <w:sz w:val="20"/>
        </w:rPr>
        <w:t>Melhor</w:t>
      </w:r>
      <w:r>
        <w:rPr>
          <w:color w:val="1B1B22"/>
          <w:sz w:val="20"/>
        </w:rPr>
        <w:tab/>
      </w:r>
      <w:r>
        <w:rPr>
          <w:color w:val="1B1B22"/>
          <w:spacing w:val="-2"/>
          <w:sz w:val="20"/>
        </w:rPr>
        <w:t>Private</w:t>
      </w:r>
      <w:r>
        <w:rPr>
          <w:color w:val="1B1B22"/>
          <w:sz w:val="20"/>
        </w:rPr>
        <w:tab/>
      </w:r>
      <w:r>
        <w:rPr>
          <w:color w:val="1B1B22"/>
          <w:spacing w:val="-4"/>
          <w:sz w:val="20"/>
        </w:rPr>
        <w:t>Bank</w:t>
      </w:r>
      <w:r>
        <w:rPr>
          <w:color w:val="1B1B22"/>
          <w:sz w:val="20"/>
        </w:rPr>
        <w:tab/>
      </w:r>
      <w:r>
        <w:rPr>
          <w:color w:val="1B1B22"/>
          <w:spacing w:val="-4"/>
          <w:sz w:val="20"/>
        </w:rPr>
        <w:t>para</w:t>
      </w:r>
      <w:r>
        <w:rPr>
          <w:color w:val="1B1B22"/>
          <w:sz w:val="20"/>
        </w:rPr>
        <w:tab/>
      </w:r>
      <w:r>
        <w:rPr>
          <w:color w:val="1B1B22"/>
          <w:spacing w:val="-2"/>
          <w:sz w:val="20"/>
        </w:rPr>
        <w:t>Planejamento </w:t>
      </w:r>
      <w:r>
        <w:rPr>
          <w:color w:val="1B1B22"/>
          <w:sz w:val="20"/>
        </w:rPr>
        <w:t>Sucessório – Brasil</w:t>
      </w:r>
    </w:p>
    <w:p>
      <w:pPr>
        <w:pStyle w:val="ListParagraph"/>
        <w:numPr>
          <w:ilvl w:val="0"/>
          <w:numId w:val="1"/>
        </w:numPr>
        <w:tabs>
          <w:tab w:pos="1030" w:val="left" w:leader="none"/>
        </w:tabs>
        <w:spacing w:line="321" w:lineRule="auto" w:before="0" w:after="0"/>
        <w:ind w:left="1030" w:right="1" w:hanging="359"/>
        <w:jc w:val="left"/>
        <w:rPr>
          <w:sz w:val="20"/>
        </w:rPr>
      </w:pPr>
      <w:r>
        <w:rPr>
          <w:color w:val="1B1B22"/>
          <w:sz w:val="20"/>
        </w:rPr>
        <w:t>Private Bank com Maior Crescimento em 2024 – Brasil</w:t>
      </w:r>
    </w:p>
    <w:p>
      <w:pPr>
        <w:pStyle w:val="Heading2"/>
        <w:rPr>
          <w:b w:val="0"/>
        </w:rPr>
      </w:pPr>
      <w:r>
        <w:rPr>
          <w:b w:val="0"/>
          <w:color w:val="465EFF"/>
          <w:spacing w:val="13"/>
        </w:rPr>
        <w:t>Maio</w:t>
      </w:r>
    </w:p>
    <w:p>
      <w:pPr>
        <w:spacing w:line="319" w:lineRule="auto" w:before="171"/>
        <w:ind w:left="672" w:right="0" w:firstLine="0"/>
        <w:jc w:val="both"/>
        <w:rPr>
          <w:sz w:val="20"/>
        </w:rPr>
      </w:pPr>
      <w:r>
        <w:rPr>
          <w:color w:val="1B1B22"/>
          <w:sz w:val="20"/>
        </w:rPr>
        <w:t>O</w:t>
      </w:r>
      <w:r>
        <w:rPr>
          <w:color w:val="1B1B22"/>
          <w:spacing w:val="-9"/>
          <w:sz w:val="20"/>
        </w:rPr>
        <w:t> </w:t>
      </w:r>
      <w:r>
        <w:rPr>
          <w:color w:val="1B1B22"/>
          <w:sz w:val="20"/>
        </w:rPr>
        <w:t>nosso</w:t>
      </w:r>
      <w:r>
        <w:rPr>
          <w:color w:val="1B1B22"/>
          <w:spacing w:val="-9"/>
          <w:sz w:val="20"/>
        </w:rPr>
        <w:t> </w:t>
      </w:r>
      <w:r>
        <w:rPr>
          <w:color w:val="1B1B22"/>
          <w:sz w:val="20"/>
        </w:rPr>
        <w:t>Private</w:t>
      </w:r>
      <w:r>
        <w:rPr>
          <w:color w:val="1B1B22"/>
          <w:spacing w:val="-9"/>
          <w:sz w:val="20"/>
        </w:rPr>
        <w:t> </w:t>
      </w:r>
      <w:r>
        <w:rPr>
          <w:color w:val="1B1B22"/>
          <w:sz w:val="20"/>
        </w:rPr>
        <w:t>foi</w:t>
      </w:r>
      <w:r>
        <w:rPr>
          <w:color w:val="1B1B22"/>
          <w:spacing w:val="-9"/>
          <w:sz w:val="20"/>
        </w:rPr>
        <w:t> </w:t>
      </w:r>
      <w:r>
        <w:rPr>
          <w:color w:val="1B1B22"/>
          <w:sz w:val="20"/>
        </w:rPr>
        <w:t>reconhecido</w:t>
      </w:r>
      <w:r>
        <w:rPr>
          <w:color w:val="1B1B22"/>
          <w:spacing w:val="-9"/>
          <w:sz w:val="20"/>
        </w:rPr>
        <w:t> </w:t>
      </w:r>
      <w:r>
        <w:rPr>
          <w:color w:val="1B1B22"/>
          <w:sz w:val="20"/>
        </w:rPr>
        <w:t>como</w:t>
      </w:r>
      <w:r>
        <w:rPr>
          <w:color w:val="1B1B22"/>
          <w:spacing w:val="-7"/>
          <w:sz w:val="20"/>
        </w:rPr>
        <w:t> </w:t>
      </w:r>
      <w:r>
        <w:rPr>
          <w:b/>
          <w:color w:val="1B1B22"/>
          <w:sz w:val="20"/>
        </w:rPr>
        <w:t>o</w:t>
      </w:r>
      <w:r>
        <w:rPr>
          <w:b/>
          <w:color w:val="1B1B22"/>
          <w:spacing w:val="-9"/>
          <w:sz w:val="20"/>
        </w:rPr>
        <w:t> </w:t>
      </w:r>
      <w:r>
        <w:rPr>
          <w:b/>
          <w:color w:val="1B1B22"/>
          <w:sz w:val="20"/>
        </w:rPr>
        <w:t>melhor</w:t>
      </w:r>
      <w:r>
        <w:rPr>
          <w:b/>
          <w:color w:val="1B1B22"/>
          <w:spacing w:val="-9"/>
          <w:sz w:val="20"/>
        </w:rPr>
        <w:t> </w:t>
      </w:r>
      <w:r>
        <w:rPr>
          <w:b/>
          <w:color w:val="1B1B22"/>
          <w:sz w:val="20"/>
        </w:rPr>
        <w:t>da América Latina na categoria Tecnologia ASG </w:t>
      </w:r>
      <w:r>
        <w:rPr>
          <w:color w:val="1B1B22"/>
          <w:sz w:val="20"/>
        </w:rPr>
        <w:t>na premiação PWM</w:t>
      </w:r>
      <w:r>
        <w:rPr>
          <w:color w:val="1B1B22"/>
          <w:spacing w:val="-4"/>
          <w:sz w:val="20"/>
        </w:rPr>
        <w:t> </w:t>
      </w:r>
      <w:r>
        <w:rPr>
          <w:color w:val="1B1B22"/>
          <w:sz w:val="20"/>
        </w:rPr>
        <w:t>Wealth</w:t>
      </w:r>
      <w:r>
        <w:rPr>
          <w:color w:val="1B1B22"/>
          <w:spacing w:val="-6"/>
          <w:sz w:val="20"/>
        </w:rPr>
        <w:t> </w:t>
      </w:r>
      <w:r>
        <w:rPr>
          <w:color w:val="1B1B22"/>
          <w:sz w:val="20"/>
        </w:rPr>
        <w:t>Tech Awards 2024.</w:t>
      </w:r>
    </w:p>
    <w:p>
      <w:pPr>
        <w:pStyle w:val="BodyText"/>
        <w:spacing w:line="321" w:lineRule="auto" w:before="124"/>
        <w:ind w:left="672" w:right="1"/>
      </w:pPr>
      <w:r>
        <w:rPr>
          <w:color w:val="1B1B22"/>
        </w:rPr>
        <w:t>Na avaliação de 2024, pelo MSCI ESG Rating mantivemos a classificação rating “A”, com pontuação 5,3.</w:t>
      </w:r>
    </w:p>
    <w:p>
      <w:pPr>
        <w:pStyle w:val="BodyText"/>
        <w:spacing w:line="321" w:lineRule="auto" w:before="119"/>
        <w:ind w:left="672" w:right="1"/>
      </w:pPr>
      <w:r>
        <w:rPr>
          <w:color w:val="1B1B22"/>
        </w:rPr>
        <w:t>Vencemos a</w:t>
      </w:r>
      <w:r>
        <w:rPr>
          <w:color w:val="1B1B22"/>
          <w:spacing w:val="-2"/>
        </w:rPr>
        <w:t> </w:t>
      </w:r>
      <w:r>
        <w:rPr>
          <w:color w:val="1B1B22"/>
        </w:rPr>
        <w:t>11ª</w:t>
      </w:r>
      <w:r>
        <w:rPr>
          <w:color w:val="1B1B22"/>
          <w:spacing w:val="-2"/>
        </w:rPr>
        <w:t> </w:t>
      </w:r>
      <w:r>
        <w:rPr>
          <w:color w:val="1B1B22"/>
        </w:rPr>
        <w:t>edição</w:t>
      </w:r>
      <w:r>
        <w:rPr>
          <w:color w:val="1B1B22"/>
          <w:spacing w:val="-1"/>
        </w:rPr>
        <w:t> </w:t>
      </w:r>
      <w:r>
        <w:rPr>
          <w:color w:val="1B1B22"/>
        </w:rPr>
        <w:t>do </w:t>
      </w:r>
      <w:r>
        <w:rPr>
          <w:b/>
          <w:color w:val="1B1B22"/>
        </w:rPr>
        <w:t>Prêmio</w:t>
      </w:r>
      <w:r>
        <w:rPr>
          <w:b/>
          <w:color w:val="1B1B22"/>
          <w:spacing w:val="-2"/>
        </w:rPr>
        <w:t> </w:t>
      </w:r>
      <w:r>
        <w:rPr>
          <w:b/>
          <w:color w:val="1B1B22"/>
        </w:rPr>
        <w:t>Global</w:t>
      </w:r>
      <w:r>
        <w:rPr>
          <w:b/>
          <w:color w:val="1B1B22"/>
          <w:spacing w:val="-2"/>
        </w:rPr>
        <w:t> </w:t>
      </w:r>
      <w:r>
        <w:rPr>
          <w:b/>
          <w:color w:val="1B1B22"/>
        </w:rPr>
        <w:t>Finance: The Innovators 2024, </w:t>
      </w:r>
      <w:r>
        <w:rPr>
          <w:color w:val="1B1B22"/>
        </w:rPr>
        <w:t>sendo reconhecidos na categoria de Solução de Empréstimo Mais </w:t>
      </w:r>
      <w:r>
        <w:rPr>
          <w:color w:val="1B1B22"/>
          <w:spacing w:val="-2"/>
        </w:rPr>
        <w:t>Inovadora.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case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"Compliance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Digital: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Empréstimo </w:t>
      </w:r>
      <w:r>
        <w:rPr>
          <w:color w:val="1B1B22"/>
        </w:rPr>
        <w:t>para</w:t>
      </w:r>
      <w:r>
        <w:rPr>
          <w:color w:val="1B1B22"/>
          <w:spacing w:val="46"/>
        </w:rPr>
        <w:t> </w:t>
      </w:r>
      <w:r>
        <w:rPr>
          <w:color w:val="1B1B22"/>
        </w:rPr>
        <w:t>Antecipação</w:t>
      </w:r>
      <w:r>
        <w:rPr>
          <w:color w:val="1B1B22"/>
          <w:spacing w:val="53"/>
        </w:rPr>
        <w:t> </w:t>
      </w:r>
      <w:r>
        <w:rPr>
          <w:color w:val="1B1B22"/>
        </w:rPr>
        <w:t>de</w:t>
      </w:r>
      <w:r>
        <w:rPr>
          <w:color w:val="1B1B22"/>
          <w:spacing w:val="51"/>
        </w:rPr>
        <w:t> </w:t>
      </w:r>
      <w:r>
        <w:rPr>
          <w:color w:val="1B1B22"/>
        </w:rPr>
        <w:t>Restituição</w:t>
      </w:r>
      <w:r>
        <w:rPr>
          <w:color w:val="1B1B22"/>
          <w:spacing w:val="52"/>
        </w:rPr>
        <w:t> </w:t>
      </w:r>
      <w:r>
        <w:rPr>
          <w:color w:val="1B1B22"/>
        </w:rPr>
        <w:t>de</w:t>
      </w:r>
      <w:r>
        <w:rPr>
          <w:color w:val="1B1B22"/>
          <w:spacing w:val="52"/>
        </w:rPr>
        <w:t> </w:t>
      </w:r>
      <w:r>
        <w:rPr>
          <w:color w:val="1B1B22"/>
        </w:rPr>
        <w:t>Imposto</w:t>
      </w:r>
      <w:r>
        <w:rPr>
          <w:color w:val="1B1B22"/>
          <w:spacing w:val="52"/>
        </w:rPr>
        <w:t> </w:t>
      </w:r>
      <w:r>
        <w:rPr>
          <w:color w:val="1B1B22"/>
          <w:spacing w:val="-7"/>
        </w:rPr>
        <w:t>de</w:t>
      </w:r>
    </w:p>
    <w:p>
      <w:pPr>
        <w:pStyle w:val="BodyText"/>
        <w:spacing w:line="321" w:lineRule="auto" w:before="78"/>
        <w:ind w:left="667" w:right="629"/>
      </w:pPr>
      <w:r>
        <w:rPr/>
        <w:br w:type="column"/>
      </w:r>
      <w:r>
        <w:rPr>
          <w:color w:val="1B1B22"/>
        </w:rPr>
        <w:t>Renda" foi o vencedor do prêmio. O compliance digital é uma iniciativa para desenvolver e implementar</w:t>
      </w:r>
      <w:r>
        <w:rPr>
          <w:color w:val="1B1B22"/>
          <w:spacing w:val="-1"/>
        </w:rPr>
        <w:t> </w:t>
      </w:r>
      <w:r>
        <w:rPr>
          <w:color w:val="1B1B22"/>
        </w:rPr>
        <w:t>serviços</w:t>
      </w:r>
      <w:r>
        <w:rPr>
          <w:color w:val="1B1B22"/>
          <w:spacing w:val="-1"/>
        </w:rPr>
        <w:t> </w:t>
      </w:r>
      <w:r>
        <w:rPr>
          <w:color w:val="1B1B22"/>
        </w:rPr>
        <w:t>de verificação</w:t>
      </w:r>
      <w:r>
        <w:rPr>
          <w:color w:val="1B1B22"/>
          <w:spacing w:val="-1"/>
        </w:rPr>
        <w:t> </w:t>
      </w:r>
      <w:r>
        <w:rPr>
          <w:color w:val="1B1B22"/>
        </w:rPr>
        <w:t>automatizada de documentos digitalizados, visa a conformidade dos processos e reduz a dependência de verificações manuais.</w:t>
      </w:r>
    </w:p>
    <w:p>
      <w:pPr>
        <w:pStyle w:val="Heading2"/>
        <w:spacing w:before="109"/>
        <w:ind w:left="667"/>
        <w:rPr>
          <w:b w:val="0"/>
        </w:rPr>
      </w:pPr>
      <w:r>
        <w:rPr>
          <w:b w:val="0"/>
          <w:color w:val="465EFF"/>
          <w:spacing w:val="16"/>
        </w:rPr>
        <w:t>Junho</w:t>
      </w:r>
    </w:p>
    <w:p>
      <w:pPr>
        <w:spacing w:line="321" w:lineRule="auto" w:before="169"/>
        <w:ind w:left="667" w:right="628" w:firstLine="0"/>
        <w:jc w:val="both"/>
        <w:rPr>
          <w:sz w:val="20"/>
        </w:rPr>
      </w:pPr>
      <w:r>
        <w:rPr>
          <w:color w:val="1B1B22"/>
          <w:sz w:val="20"/>
        </w:rPr>
        <w:t>Conquistamos o 1º lugar na categoria Prêmio de Satisfação de Atendimento aos Clientes, Reconhecimento BNDES na categoria </w:t>
      </w:r>
      <w:r>
        <w:rPr>
          <w:b/>
          <w:color w:val="1B1B22"/>
          <w:sz w:val="20"/>
        </w:rPr>
        <w:t>Agentes Financeiros de Destaque 2023</w:t>
      </w:r>
      <w:r>
        <w:rPr>
          <w:color w:val="1B1B22"/>
          <w:sz w:val="20"/>
        </w:rPr>
        <w:t>.</w:t>
      </w:r>
    </w:p>
    <w:p>
      <w:pPr>
        <w:spacing w:line="321" w:lineRule="auto" w:before="119"/>
        <w:ind w:left="667" w:right="629" w:firstLine="0"/>
        <w:jc w:val="both"/>
        <w:rPr>
          <w:sz w:val="20"/>
        </w:rPr>
      </w:pPr>
      <w:r>
        <w:rPr>
          <w:color w:val="1B1B22"/>
          <w:sz w:val="20"/>
        </w:rPr>
        <w:t>Ganhamos</w:t>
      </w:r>
      <w:r>
        <w:rPr>
          <w:color w:val="1B1B22"/>
          <w:spacing w:val="-4"/>
          <w:sz w:val="20"/>
        </w:rPr>
        <w:t> </w:t>
      </w:r>
      <w:r>
        <w:rPr>
          <w:color w:val="1B1B22"/>
          <w:sz w:val="20"/>
        </w:rPr>
        <w:t>o</w:t>
      </w:r>
      <w:r>
        <w:rPr>
          <w:color w:val="1B1B22"/>
          <w:spacing w:val="-5"/>
          <w:sz w:val="20"/>
        </w:rPr>
        <w:t> </w:t>
      </w:r>
      <w:r>
        <w:rPr>
          <w:color w:val="1B1B22"/>
          <w:sz w:val="20"/>
        </w:rPr>
        <w:t>prêmio</w:t>
      </w:r>
      <w:r>
        <w:rPr>
          <w:color w:val="1B1B22"/>
          <w:spacing w:val="-5"/>
          <w:sz w:val="20"/>
        </w:rPr>
        <w:t> </w:t>
      </w:r>
      <w:r>
        <w:rPr>
          <w:color w:val="1B1B22"/>
          <w:sz w:val="20"/>
        </w:rPr>
        <w:t>bronze</w:t>
      </w:r>
      <w:r>
        <w:rPr>
          <w:color w:val="1B1B22"/>
          <w:spacing w:val="-5"/>
          <w:sz w:val="20"/>
        </w:rPr>
        <w:t> </w:t>
      </w:r>
      <w:r>
        <w:rPr>
          <w:color w:val="1B1B22"/>
          <w:sz w:val="20"/>
        </w:rPr>
        <w:t>no</w:t>
      </w:r>
      <w:r>
        <w:rPr>
          <w:color w:val="1B1B22"/>
          <w:spacing w:val="-5"/>
          <w:sz w:val="20"/>
        </w:rPr>
        <w:t> </w:t>
      </w:r>
      <w:r>
        <w:rPr>
          <w:color w:val="1B1B22"/>
          <w:sz w:val="20"/>
        </w:rPr>
        <w:t>Smart</w:t>
      </w:r>
      <w:r>
        <w:rPr>
          <w:color w:val="1B1B22"/>
          <w:spacing w:val="-4"/>
          <w:sz w:val="20"/>
        </w:rPr>
        <w:t> </w:t>
      </w:r>
      <w:r>
        <w:rPr>
          <w:color w:val="1B1B22"/>
          <w:sz w:val="20"/>
        </w:rPr>
        <w:t>Customer</w:t>
      </w:r>
      <w:r>
        <w:rPr>
          <w:color w:val="1B1B22"/>
          <w:spacing w:val="-5"/>
          <w:sz w:val="20"/>
        </w:rPr>
        <w:t> </w:t>
      </w:r>
      <w:r>
        <w:rPr>
          <w:color w:val="1B1B22"/>
          <w:sz w:val="20"/>
        </w:rPr>
        <w:t>na categoria “</w:t>
      </w:r>
      <w:r>
        <w:rPr>
          <w:b/>
          <w:color w:val="1B1B22"/>
          <w:sz w:val="20"/>
        </w:rPr>
        <w:t>Responsabilidade Social </w:t>
      </w:r>
      <w:r>
        <w:rPr>
          <w:b/>
          <w:color w:val="1B1B22"/>
          <w:sz w:val="20"/>
        </w:rPr>
        <w:t>e Diversidade</w:t>
      </w:r>
      <w:r>
        <w:rPr>
          <w:color w:val="1B1B22"/>
          <w:sz w:val="20"/>
        </w:rPr>
        <w:t>”, com o case da autodeclaração de pessoa com deficiência no App BB.</w:t>
      </w:r>
    </w:p>
    <w:p>
      <w:pPr>
        <w:pStyle w:val="BodyText"/>
        <w:spacing w:line="321" w:lineRule="auto" w:before="116"/>
        <w:ind w:left="667" w:right="629"/>
      </w:pPr>
      <w:r>
        <w:rPr>
          <w:color w:val="1B1B22"/>
          <w:spacing w:val="-2"/>
        </w:rPr>
        <w:t>Recebemos,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pelo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segundo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ano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consecutivo,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prêmio internacional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evento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Nice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Interactions,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realizado </w:t>
      </w:r>
      <w:r>
        <w:rPr>
          <w:color w:val="1B1B22"/>
        </w:rPr>
        <w:t>em Las Vegas (EUA), que reconhece as </w:t>
      </w:r>
      <w:r>
        <w:rPr>
          <w:b/>
          <w:color w:val="1B1B22"/>
        </w:rPr>
        <w:t>principais inovações e tendências em experiência de clientes</w:t>
      </w:r>
      <w:r>
        <w:rPr>
          <w:color w:val="1B1B22"/>
        </w:rPr>
        <w:t>. O case vencedor na categoria Outstanding Cloud Realization trata do pioneirismo do BB na adaptação e uso, em larga escala, de soluções de Contact Center em nuvem para áreas de relacionamento.</w:t>
      </w:r>
    </w:p>
    <w:p>
      <w:pPr>
        <w:spacing w:line="321" w:lineRule="auto" w:before="115"/>
        <w:ind w:left="667" w:right="631" w:firstLine="0"/>
        <w:jc w:val="both"/>
        <w:rPr>
          <w:b/>
          <w:sz w:val="20"/>
        </w:rPr>
      </w:pPr>
      <w:r>
        <w:rPr>
          <w:color w:val="1B1B22"/>
          <w:sz w:val="20"/>
        </w:rPr>
        <w:t>Pela oitava vez consecutiva, estamos na melhor posição entre os 5 maiores conglomerados financeiros do país no </w:t>
      </w:r>
      <w:r>
        <w:rPr>
          <w:b/>
          <w:color w:val="1B1B22"/>
          <w:sz w:val="20"/>
        </w:rPr>
        <w:t>ranking de reclamações do </w:t>
      </w:r>
      <w:r>
        <w:rPr>
          <w:b/>
          <w:color w:val="1B1B22"/>
          <w:spacing w:val="-2"/>
          <w:sz w:val="20"/>
        </w:rPr>
        <w:t>Bacen.</w:t>
      </w:r>
    </w:p>
    <w:p>
      <w:pPr>
        <w:pStyle w:val="Heading2"/>
        <w:ind w:left="667"/>
        <w:rPr>
          <w:b w:val="0"/>
        </w:rPr>
      </w:pPr>
      <w:r>
        <w:rPr>
          <w:b w:val="0"/>
          <w:color w:val="465EFF"/>
          <w:spacing w:val="14"/>
        </w:rPr>
        <w:t>Julho</w:t>
      </w:r>
    </w:p>
    <w:p>
      <w:pPr>
        <w:pStyle w:val="BodyText"/>
        <w:spacing w:line="321" w:lineRule="auto" w:before="248"/>
        <w:ind w:left="667" w:right="629"/>
      </w:pPr>
      <w:r>
        <w:rPr>
          <w:color w:val="1B1B22"/>
        </w:rPr>
        <w:t>O evento </w:t>
      </w:r>
      <w:r>
        <w:rPr>
          <w:b/>
          <w:color w:val="1B1B22"/>
        </w:rPr>
        <w:t>AB2L Lawtech Experience 2024</w:t>
      </w:r>
      <w:r>
        <w:rPr>
          <w:color w:val="1B1B22"/>
        </w:rPr>
        <w:t>, realizado pela Associação Brasileira de Lawtechs e Legaltechs (AB2L), reuniu escritórios e departamentos jurídicos de todo o Brasil. Fomos </w:t>
      </w:r>
      <w:r>
        <w:rPr>
          <w:color w:val="1B1B22"/>
          <w:spacing w:val="-2"/>
        </w:rPr>
        <w:t>certificados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pela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adoção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práticas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inovadoras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nos </w:t>
      </w:r>
      <w:r>
        <w:rPr>
          <w:color w:val="1B1B22"/>
        </w:rPr>
        <w:t>campos Inovação Jurídica, Gestão de Pessoas, </w:t>
      </w:r>
      <w:r>
        <w:rPr>
          <w:color w:val="1B1B22"/>
          <w:spacing w:val="-2"/>
        </w:rPr>
        <w:t>Eficiência</w:t>
      </w:r>
      <w:r>
        <w:rPr>
          <w:color w:val="1B1B22"/>
          <w:spacing w:val="-1"/>
        </w:rPr>
        <w:t> </w:t>
      </w:r>
      <w:r>
        <w:rPr>
          <w:color w:val="1B1B22"/>
          <w:spacing w:val="-2"/>
        </w:rPr>
        <w:t>Jurídica</w:t>
      </w:r>
      <w:r>
        <w:rPr>
          <w:color w:val="1B1B22"/>
          <w:spacing w:val="-1"/>
        </w:rPr>
        <w:t> </w:t>
      </w:r>
      <w:r>
        <w:rPr>
          <w:color w:val="1B1B22"/>
          <w:spacing w:val="-2"/>
        </w:rPr>
        <w:t>e</w:t>
      </w:r>
      <w:r>
        <w:rPr>
          <w:color w:val="1B1B22"/>
        </w:rPr>
        <w:t> </w:t>
      </w:r>
      <w:r>
        <w:rPr>
          <w:color w:val="1B1B22"/>
          <w:spacing w:val="-2"/>
        </w:rPr>
        <w:t>Jurídico</w:t>
      </w:r>
      <w:r>
        <w:rPr>
          <w:color w:val="1B1B22"/>
        </w:rPr>
        <w:t> </w:t>
      </w:r>
      <w:r>
        <w:rPr>
          <w:color w:val="1B1B22"/>
          <w:spacing w:val="-2"/>
        </w:rPr>
        <w:t>Parceiro</w:t>
      </w:r>
      <w:r>
        <w:rPr>
          <w:color w:val="1B1B22"/>
        </w:rPr>
        <w:t> </w:t>
      </w:r>
      <w:r>
        <w:rPr>
          <w:color w:val="1B1B22"/>
          <w:spacing w:val="-2"/>
        </w:rPr>
        <w:t>dos</w:t>
      </w:r>
      <w:r>
        <w:rPr>
          <w:color w:val="1B1B22"/>
          <w:spacing w:val="1"/>
        </w:rPr>
        <w:t> </w:t>
      </w:r>
      <w:r>
        <w:rPr>
          <w:color w:val="1B1B22"/>
          <w:spacing w:val="-2"/>
        </w:rPr>
        <w:t>Negócios.</w:t>
      </w:r>
    </w:p>
    <w:p>
      <w:pPr>
        <w:spacing w:after="0" w:line="321" w:lineRule="auto"/>
        <w:sectPr>
          <w:type w:val="continuous"/>
          <w:pgSz w:w="11910" w:h="16850"/>
          <w:pgMar w:header="152" w:footer="591" w:top="1920" w:bottom="280" w:left="180" w:right="220"/>
          <w:cols w:num="2" w:equalWidth="0">
            <w:col w:w="5422" w:space="40"/>
            <w:col w:w="6048"/>
          </w:cols>
        </w:sectPr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jc w:val="left"/>
      </w:pPr>
    </w:p>
    <w:p>
      <w:pPr>
        <w:pStyle w:val="BodyText"/>
        <w:spacing w:before="32"/>
        <w:jc w:val="left"/>
      </w:pPr>
    </w:p>
    <w:p>
      <w:pPr>
        <w:spacing w:after="0"/>
        <w:jc w:val="left"/>
        <w:sectPr>
          <w:pgSz w:w="11910" w:h="16850"/>
          <w:pgMar w:header="152" w:footer="591" w:top="900" w:bottom="780" w:left="180" w:right="220"/>
        </w:sectPr>
      </w:pPr>
    </w:p>
    <w:p>
      <w:pPr>
        <w:pStyle w:val="Heading2"/>
        <w:spacing w:before="71"/>
        <w:rPr>
          <w:b w:val="0"/>
        </w:rPr>
      </w:pPr>
      <w:r>
        <w:rPr>
          <w:b w:val="0"/>
          <w:color w:val="465EFF"/>
          <w:spacing w:val="13"/>
        </w:rPr>
        <w:t>Agosto</w:t>
      </w:r>
    </w:p>
    <w:p>
      <w:pPr>
        <w:pStyle w:val="BodyText"/>
        <w:spacing w:line="321" w:lineRule="auto" w:before="248"/>
        <w:ind w:left="672" w:right="1"/>
      </w:pPr>
      <w:r>
        <w:rPr>
          <w:color w:val="1B1B22"/>
        </w:rPr>
        <w:t>Fomos premiados pela </w:t>
      </w:r>
      <w:r>
        <w:rPr>
          <w:b/>
          <w:color w:val="1B1B22"/>
        </w:rPr>
        <w:t>Latin America Executive Team 2024</w:t>
      </w:r>
      <w:r>
        <w:rPr>
          <w:color w:val="1B1B22"/>
        </w:rPr>
        <w:t>, da Institutional Investor dentre as empresas do setor financeiro, nas categorias financeiras, governança corporativa e sustentabilidade, com destaque ao programa de Relações com Investidores e ao programa de ASG.</w:t>
      </w:r>
    </w:p>
    <w:p>
      <w:pPr>
        <w:pStyle w:val="BodyText"/>
        <w:spacing w:line="321" w:lineRule="auto" w:before="115"/>
        <w:ind w:left="672"/>
      </w:pPr>
      <w:r>
        <w:rPr>
          <w:color w:val="1B1B22"/>
        </w:rPr>
        <w:t>Tivemos</w:t>
      </w:r>
      <w:r>
        <w:rPr>
          <w:color w:val="1B1B22"/>
          <w:spacing w:val="-13"/>
        </w:rPr>
        <w:t> </w:t>
      </w:r>
      <w:r>
        <w:rPr>
          <w:color w:val="1B1B22"/>
        </w:rPr>
        <w:t>duas</w:t>
      </w:r>
      <w:r>
        <w:rPr>
          <w:color w:val="1B1B22"/>
          <w:spacing w:val="-8"/>
        </w:rPr>
        <w:t> </w:t>
      </w:r>
      <w:r>
        <w:rPr>
          <w:color w:val="1B1B22"/>
        </w:rPr>
        <w:t>soluções</w:t>
      </w:r>
      <w:r>
        <w:rPr>
          <w:color w:val="1B1B22"/>
          <w:spacing w:val="-9"/>
        </w:rPr>
        <w:t> </w:t>
      </w:r>
      <w:r>
        <w:rPr>
          <w:color w:val="1B1B22"/>
        </w:rPr>
        <w:t>premiadas</w:t>
      </w:r>
      <w:r>
        <w:rPr>
          <w:color w:val="1B1B22"/>
          <w:spacing w:val="-8"/>
        </w:rPr>
        <w:t> </w:t>
      </w:r>
      <w:r>
        <w:rPr>
          <w:color w:val="1B1B22"/>
        </w:rPr>
        <w:t>no</w:t>
      </w:r>
      <w:r>
        <w:rPr>
          <w:color w:val="1B1B22"/>
          <w:spacing w:val="-6"/>
        </w:rPr>
        <w:t> </w:t>
      </w:r>
      <w:r>
        <w:rPr>
          <w:b/>
          <w:color w:val="1B1B22"/>
        </w:rPr>
        <w:t>Agile</w:t>
      </w:r>
      <w:r>
        <w:rPr>
          <w:b/>
          <w:color w:val="1B1B22"/>
          <w:spacing w:val="-13"/>
        </w:rPr>
        <w:t> </w:t>
      </w:r>
      <w:r>
        <w:rPr>
          <w:b/>
          <w:color w:val="1B1B22"/>
        </w:rPr>
        <w:t>Trends Gov</w:t>
      </w:r>
      <w:r>
        <w:rPr>
          <w:color w:val="1B1B22"/>
        </w:rPr>
        <w:t>:</w:t>
      </w:r>
      <w:r>
        <w:rPr>
          <w:color w:val="1B1B22"/>
          <w:spacing w:val="-5"/>
        </w:rPr>
        <w:t> </w:t>
      </w:r>
      <w:r>
        <w:rPr>
          <w:color w:val="1B1B22"/>
        </w:rPr>
        <w:t>o</w:t>
      </w:r>
      <w:r>
        <w:rPr>
          <w:color w:val="1B1B22"/>
          <w:spacing w:val="-5"/>
        </w:rPr>
        <w:t> </w:t>
      </w:r>
      <w:r>
        <w:rPr>
          <w:color w:val="1B1B22"/>
        </w:rPr>
        <w:t>InovAÍ,</w:t>
      </w:r>
      <w:r>
        <w:rPr>
          <w:color w:val="1B1B22"/>
          <w:spacing w:val="-6"/>
        </w:rPr>
        <w:t> </w:t>
      </w:r>
      <w:r>
        <w:rPr>
          <w:color w:val="1B1B22"/>
        </w:rPr>
        <w:t>que</w:t>
      </w:r>
      <w:r>
        <w:rPr>
          <w:color w:val="1B1B22"/>
          <w:spacing w:val="-6"/>
        </w:rPr>
        <w:t> </w:t>
      </w:r>
      <w:r>
        <w:rPr>
          <w:color w:val="1B1B22"/>
        </w:rPr>
        <w:t>ficou</w:t>
      </w:r>
      <w:r>
        <w:rPr>
          <w:color w:val="1B1B22"/>
          <w:spacing w:val="-6"/>
        </w:rPr>
        <w:t> </w:t>
      </w:r>
      <w:r>
        <w:rPr>
          <w:color w:val="1B1B22"/>
        </w:rPr>
        <w:t>com</w:t>
      </w:r>
      <w:r>
        <w:rPr>
          <w:color w:val="1B1B22"/>
          <w:spacing w:val="-6"/>
        </w:rPr>
        <w:t> </w:t>
      </w:r>
      <w:r>
        <w:rPr>
          <w:color w:val="1B1B22"/>
        </w:rPr>
        <w:t>a</w:t>
      </w:r>
      <w:r>
        <w:rPr>
          <w:color w:val="1B1B22"/>
          <w:spacing w:val="-6"/>
        </w:rPr>
        <w:t> </w:t>
      </w:r>
      <w:r>
        <w:rPr>
          <w:color w:val="1B1B22"/>
        </w:rPr>
        <w:t>medalha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6"/>
        </w:rPr>
        <w:t> </w:t>
      </w:r>
      <w:r>
        <w:rPr>
          <w:color w:val="1B1B22"/>
        </w:rPr>
        <w:t>prata,</w:t>
      </w:r>
      <w:r>
        <w:rPr>
          <w:color w:val="1B1B22"/>
          <w:spacing w:val="-5"/>
        </w:rPr>
        <w:t> </w:t>
      </w:r>
      <w:r>
        <w:rPr>
          <w:color w:val="1B1B22"/>
        </w:rPr>
        <w:t>e o Simplifique, na 8ª posição.</w:t>
      </w:r>
    </w:p>
    <w:p>
      <w:pPr>
        <w:pStyle w:val="BodyText"/>
        <w:spacing w:line="321" w:lineRule="auto" w:before="120"/>
        <w:ind w:left="672" w:right="1"/>
      </w:pPr>
      <w:r>
        <w:rPr>
          <w:color w:val="1B1B22"/>
        </w:rPr>
        <w:t>Recebemos o prêmio Top 10 Executivos de Destaque pela solução que usa IA Generativa para otimizar o processamento de ofícios e alvarás. O prêmio é concedido pelo </w:t>
      </w:r>
      <w:r>
        <w:rPr>
          <w:b/>
          <w:color w:val="1B1B22"/>
        </w:rPr>
        <w:t>A.I. Executive Summit </w:t>
      </w:r>
      <w:r>
        <w:rPr>
          <w:b/>
          <w:color w:val="1B1B22"/>
          <w:spacing w:val="-2"/>
        </w:rPr>
        <w:t>2024</w:t>
      </w:r>
      <w:r>
        <w:rPr>
          <w:color w:val="1B1B22"/>
          <w:spacing w:val="-2"/>
        </w:rPr>
        <w:t>,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iniciativa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da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7th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Experience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que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reconhece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os </w:t>
      </w:r>
      <w:r>
        <w:rPr>
          <w:color w:val="1B1B22"/>
        </w:rPr>
        <w:t>melhores projetos e implementações com uso de inteligência artificial.</w:t>
      </w:r>
    </w:p>
    <w:p>
      <w:pPr>
        <w:pStyle w:val="Heading2"/>
        <w:spacing w:before="71"/>
        <w:ind w:left="669"/>
        <w:rPr>
          <w:b w:val="0"/>
        </w:rPr>
      </w:pPr>
      <w:r>
        <w:rPr/>
        <w:br w:type="column"/>
      </w:r>
      <w:r>
        <w:rPr>
          <w:b w:val="0"/>
          <w:color w:val="465EFF"/>
          <w:spacing w:val="16"/>
        </w:rPr>
        <w:t>Setembro</w:t>
      </w:r>
    </w:p>
    <w:p>
      <w:pPr>
        <w:pStyle w:val="BodyText"/>
        <w:spacing w:line="321" w:lineRule="auto" w:before="248"/>
        <w:ind w:left="669" w:right="630"/>
      </w:pPr>
      <w:r>
        <w:rPr>
          <w:color w:val="1B1B22"/>
        </w:rPr>
        <w:t>O prêmio </w:t>
      </w:r>
      <w:r>
        <w:rPr>
          <w:b/>
          <w:color w:val="1B1B22"/>
        </w:rPr>
        <w:t>The Latin American Women Awards </w:t>
      </w:r>
      <w:r>
        <w:rPr>
          <w:color w:val="1B1B22"/>
        </w:rPr>
        <w:t>reconheceu advogadas de destaque na América Latina em múltiplas categorias. Na categoria corporativa</w:t>
      </w:r>
      <w:r>
        <w:rPr>
          <w:color w:val="1B1B22"/>
          <w:spacing w:val="-13"/>
        </w:rPr>
        <w:t> </w:t>
      </w:r>
      <w:r>
        <w:rPr>
          <w:color w:val="1B1B22"/>
        </w:rPr>
        <w:t>Banco</w:t>
      </w:r>
      <w:r>
        <w:rPr>
          <w:color w:val="1B1B22"/>
          <w:spacing w:val="-12"/>
        </w:rPr>
        <w:t> </w:t>
      </w:r>
      <w:r>
        <w:rPr>
          <w:color w:val="1B1B22"/>
        </w:rPr>
        <w:t>&amp;</w:t>
      </w:r>
      <w:r>
        <w:rPr>
          <w:color w:val="1B1B22"/>
          <w:spacing w:val="-13"/>
        </w:rPr>
        <w:t> </w:t>
      </w:r>
      <w:r>
        <w:rPr>
          <w:color w:val="1B1B22"/>
        </w:rPr>
        <w:t>Finanças,</w:t>
      </w:r>
      <w:r>
        <w:rPr>
          <w:color w:val="1B1B22"/>
          <w:spacing w:val="-12"/>
        </w:rPr>
        <w:t> </w:t>
      </w:r>
      <w:r>
        <w:rPr>
          <w:color w:val="1B1B22"/>
        </w:rPr>
        <w:t>o</w:t>
      </w:r>
      <w:r>
        <w:rPr>
          <w:color w:val="1B1B22"/>
          <w:spacing w:val="-12"/>
        </w:rPr>
        <w:t> </w:t>
      </w:r>
      <w:r>
        <w:rPr>
          <w:color w:val="1B1B22"/>
        </w:rPr>
        <w:t>destaque</w:t>
      </w:r>
      <w:r>
        <w:rPr>
          <w:color w:val="1B1B22"/>
          <w:spacing w:val="-13"/>
        </w:rPr>
        <w:t> </w:t>
      </w:r>
      <w:r>
        <w:rPr>
          <w:color w:val="1B1B22"/>
        </w:rPr>
        <w:t>foi</w:t>
      </w:r>
      <w:r>
        <w:rPr>
          <w:color w:val="1B1B22"/>
          <w:spacing w:val="-12"/>
        </w:rPr>
        <w:t> </w:t>
      </w:r>
      <w:r>
        <w:rPr>
          <w:color w:val="1B1B22"/>
        </w:rPr>
        <w:t>para</w:t>
      </w:r>
      <w:r>
        <w:rPr>
          <w:color w:val="1B1B22"/>
          <w:spacing w:val="-12"/>
        </w:rPr>
        <w:t> </w:t>
      </w:r>
      <w:r>
        <w:rPr>
          <w:color w:val="1B1B22"/>
        </w:rPr>
        <w:t>a diretora jurídica do BB, Lucinéia Possar.</w:t>
      </w:r>
    </w:p>
    <w:p>
      <w:pPr>
        <w:pStyle w:val="BodyText"/>
        <w:spacing w:line="321" w:lineRule="auto" w:before="118"/>
        <w:ind w:left="669" w:right="628"/>
      </w:pPr>
      <w:r>
        <w:rPr>
          <w:color w:val="1B1B22"/>
          <w:spacing w:val="-2"/>
        </w:rPr>
        <w:t>Recebemos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Troféus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Ouro,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Prata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Bronze</w:t>
      </w:r>
      <w:r>
        <w:rPr>
          <w:color w:val="1B1B22"/>
          <w:spacing w:val="-11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10"/>
        </w:rPr>
        <w:t> </w:t>
      </w:r>
      <w:r>
        <w:rPr>
          <w:color w:val="1B1B22"/>
          <w:spacing w:val="-2"/>
        </w:rPr>
        <w:t>prêmio </w:t>
      </w:r>
      <w:r>
        <w:rPr>
          <w:b/>
          <w:color w:val="1B1B22"/>
        </w:rPr>
        <w:t>Best Performance</w:t>
      </w:r>
      <w:r>
        <w:rPr>
          <w:color w:val="1B1B22"/>
        </w:rPr>
        <w:t>, em categorias relacionadas a Gestão de Crédito e Cobrança, Estratégias de Big Data,</w:t>
      </w:r>
      <w:r>
        <w:rPr>
          <w:color w:val="1B1B22"/>
          <w:spacing w:val="-1"/>
        </w:rPr>
        <w:t> </w:t>
      </w:r>
      <w:r>
        <w:rPr>
          <w:color w:val="1B1B22"/>
        </w:rPr>
        <w:t>Arquitetura de Dados e</w:t>
      </w:r>
      <w:r>
        <w:rPr>
          <w:color w:val="1B1B22"/>
          <w:spacing w:val="-3"/>
        </w:rPr>
        <w:t> </w:t>
      </w:r>
      <w:r>
        <w:rPr>
          <w:color w:val="1B1B22"/>
        </w:rPr>
        <w:t>Analytics, Gestão de Clientes, Gestão de Pessoas e Atendimento ao Cliente com foco em Canais e Plataformas de digitais.</w:t>
      </w:r>
      <w:r>
        <w:rPr>
          <w:color w:val="1B1B22"/>
          <w:spacing w:val="-1"/>
        </w:rPr>
        <w:t> </w:t>
      </w:r>
      <w:r>
        <w:rPr>
          <w:color w:val="1B1B22"/>
        </w:rPr>
        <w:t>O</w:t>
      </w:r>
      <w:r>
        <w:rPr>
          <w:color w:val="1B1B22"/>
          <w:spacing w:val="-2"/>
        </w:rPr>
        <w:t> </w:t>
      </w:r>
      <w:r>
        <w:rPr>
          <w:color w:val="1B1B22"/>
        </w:rPr>
        <w:t>prêmio</w:t>
      </w:r>
      <w:r>
        <w:rPr>
          <w:color w:val="1B1B22"/>
          <w:spacing w:val="-1"/>
        </w:rPr>
        <w:t> </w:t>
      </w:r>
      <w:r>
        <w:rPr>
          <w:color w:val="1B1B22"/>
        </w:rPr>
        <w:t>reconhece</w:t>
      </w:r>
      <w:r>
        <w:rPr>
          <w:color w:val="1B1B22"/>
          <w:spacing w:val="-2"/>
        </w:rPr>
        <w:t> </w:t>
      </w:r>
      <w:r>
        <w:rPr>
          <w:color w:val="1B1B22"/>
        </w:rPr>
        <w:t>práticas inovadoras e soluções disruptivas em empresas públicas e </w:t>
      </w:r>
      <w:r>
        <w:rPr>
          <w:color w:val="1B1B22"/>
          <w:spacing w:val="-2"/>
        </w:rPr>
        <w:t>privadas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relacionadas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a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diversos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setores,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entre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eles, </w:t>
      </w:r>
      <w:r>
        <w:rPr>
          <w:color w:val="1B1B22"/>
        </w:rPr>
        <w:t>Tecnologia e Inovação Financeira.</w:t>
      </w:r>
    </w:p>
    <w:p>
      <w:pPr>
        <w:pStyle w:val="BodyText"/>
        <w:spacing w:line="321" w:lineRule="auto" w:before="112"/>
        <w:ind w:left="669" w:right="630"/>
      </w:pPr>
      <w:r>
        <w:rPr>
          <w:color w:val="1B1B22"/>
        </w:rPr>
        <w:t>Também fomos contemplados com 5 premiações do</w:t>
      </w:r>
      <w:r>
        <w:rPr>
          <w:color w:val="1B1B22"/>
          <w:spacing w:val="-2"/>
        </w:rPr>
        <w:t> </w:t>
      </w:r>
      <w:r>
        <w:rPr>
          <w:b/>
          <w:color w:val="1B1B22"/>
        </w:rPr>
        <w:t>XXIV</w:t>
      </w:r>
      <w:r>
        <w:rPr>
          <w:b/>
          <w:color w:val="1B1B22"/>
          <w:spacing w:val="-10"/>
        </w:rPr>
        <w:t> </w:t>
      </w:r>
      <w:r>
        <w:rPr>
          <w:b/>
          <w:color w:val="1B1B22"/>
        </w:rPr>
        <w:t>Prêmio</w:t>
      </w:r>
      <w:r>
        <w:rPr>
          <w:b/>
          <w:color w:val="1B1B22"/>
          <w:spacing w:val="-5"/>
        </w:rPr>
        <w:t> </w:t>
      </w:r>
      <w:r>
        <w:rPr>
          <w:b/>
          <w:color w:val="1B1B22"/>
        </w:rPr>
        <w:t>ABT</w:t>
      </w:r>
      <w:r>
        <w:rPr>
          <w:color w:val="1B1B22"/>
        </w:rPr>
        <w:t>,</w:t>
      </w:r>
      <w:r>
        <w:rPr>
          <w:color w:val="1B1B22"/>
          <w:spacing w:val="-2"/>
        </w:rPr>
        <w:t> </w:t>
      </w:r>
      <w:r>
        <w:rPr>
          <w:color w:val="1B1B22"/>
        </w:rPr>
        <w:t>que</w:t>
      </w:r>
      <w:r>
        <w:rPr>
          <w:color w:val="1B1B22"/>
          <w:spacing w:val="-3"/>
        </w:rPr>
        <w:t> </w:t>
      </w:r>
      <w:r>
        <w:rPr>
          <w:color w:val="1B1B22"/>
        </w:rPr>
        <w:t>reconhecer</w:t>
      </w:r>
      <w:r>
        <w:rPr>
          <w:color w:val="1B1B22"/>
          <w:spacing w:val="-3"/>
        </w:rPr>
        <w:t> </w:t>
      </w:r>
      <w:r>
        <w:rPr>
          <w:color w:val="1B1B22"/>
        </w:rPr>
        <w:t>as</w:t>
      </w:r>
      <w:r>
        <w:rPr>
          <w:color w:val="1B1B22"/>
          <w:spacing w:val="-1"/>
        </w:rPr>
        <w:t> </w:t>
      </w:r>
      <w:r>
        <w:rPr>
          <w:color w:val="1B1B22"/>
        </w:rPr>
        <w:t>melhores práticas da indústria em atendimento e relacionamento com o cliente.</w:t>
      </w:r>
    </w:p>
    <w:p>
      <w:pPr>
        <w:spacing w:after="0" w:line="321" w:lineRule="auto"/>
        <w:sectPr>
          <w:type w:val="continuous"/>
          <w:pgSz w:w="11910" w:h="16850"/>
          <w:pgMar w:header="152" w:footer="591" w:top="1920" w:bottom="280" w:left="180" w:right="220"/>
          <w:cols w:num="2" w:equalWidth="0">
            <w:col w:w="5420" w:space="40"/>
            <w:col w:w="6050"/>
          </w:cols>
        </w:sectPr>
      </w:pPr>
    </w:p>
    <w:p>
      <w:pPr>
        <w:pStyle w:val="BodyText"/>
        <w:spacing w:before="22"/>
        <w:jc w:val="left"/>
        <w:rPr>
          <w:sz w:val="44"/>
        </w:rPr>
      </w:pPr>
    </w:p>
    <w:p>
      <w:pPr>
        <w:pStyle w:val="Heading1"/>
        <w:jc w:val="both"/>
      </w:pPr>
      <w:r>
        <w:rPr>
          <w:color w:val="465EFF"/>
          <w:spacing w:val="33"/>
        </w:rPr>
        <w:t>Auditoria</w:t>
      </w:r>
      <w:r>
        <w:rPr>
          <w:color w:val="465EFF"/>
          <w:spacing w:val="58"/>
        </w:rPr>
        <w:t> </w:t>
      </w:r>
      <w:r>
        <w:rPr>
          <w:color w:val="465EFF"/>
          <w:spacing w:val="32"/>
        </w:rPr>
        <w:t>Independente</w:t>
      </w:r>
    </w:p>
    <w:p>
      <w:pPr>
        <w:pStyle w:val="BodyText"/>
        <w:spacing w:line="321" w:lineRule="auto" w:before="335"/>
        <w:ind w:left="672" w:right="626"/>
      </w:pPr>
      <w:r>
        <w:rPr>
          <w:color w:val="1B1B22"/>
        </w:rPr>
        <w:t>Na</w:t>
      </w:r>
      <w:r>
        <w:rPr>
          <w:color w:val="1B1B22"/>
          <w:spacing w:val="-8"/>
        </w:rPr>
        <w:t> </w:t>
      </w:r>
      <w:r>
        <w:rPr>
          <w:color w:val="1B1B22"/>
        </w:rPr>
        <w:t>contratação</w:t>
      </w:r>
      <w:r>
        <w:rPr>
          <w:color w:val="1B1B22"/>
          <w:spacing w:val="-7"/>
        </w:rPr>
        <w:t> </w:t>
      </w:r>
      <w:r>
        <w:rPr>
          <w:color w:val="1B1B22"/>
        </w:rPr>
        <w:t>de</w:t>
      </w:r>
      <w:r>
        <w:rPr>
          <w:color w:val="1B1B22"/>
          <w:spacing w:val="-8"/>
        </w:rPr>
        <w:t> </w:t>
      </w:r>
      <w:r>
        <w:rPr>
          <w:color w:val="1B1B22"/>
        </w:rPr>
        <w:t>serviços</w:t>
      </w:r>
      <w:r>
        <w:rPr>
          <w:color w:val="1B1B22"/>
          <w:spacing w:val="-7"/>
        </w:rPr>
        <w:t> </w:t>
      </w:r>
      <w:r>
        <w:rPr>
          <w:color w:val="1B1B22"/>
        </w:rPr>
        <w:t>não</w:t>
      </w:r>
      <w:r>
        <w:rPr>
          <w:color w:val="1B1B22"/>
          <w:spacing w:val="-7"/>
        </w:rPr>
        <w:t> </w:t>
      </w:r>
      <w:r>
        <w:rPr>
          <w:color w:val="1B1B22"/>
        </w:rPr>
        <w:t>relacionados</w:t>
      </w:r>
      <w:r>
        <w:rPr>
          <w:color w:val="1B1B22"/>
          <w:spacing w:val="-6"/>
        </w:rPr>
        <w:t> </w:t>
      </w:r>
      <w:r>
        <w:rPr>
          <w:color w:val="1B1B22"/>
        </w:rPr>
        <w:t>à</w:t>
      </w:r>
      <w:r>
        <w:rPr>
          <w:color w:val="1B1B22"/>
          <w:spacing w:val="-8"/>
        </w:rPr>
        <w:t> </w:t>
      </w:r>
      <w:r>
        <w:rPr>
          <w:color w:val="1B1B22"/>
        </w:rPr>
        <w:t>auditoria</w:t>
      </w:r>
      <w:r>
        <w:rPr>
          <w:color w:val="1B1B22"/>
          <w:spacing w:val="-8"/>
        </w:rPr>
        <w:t> </w:t>
      </w:r>
      <w:r>
        <w:rPr>
          <w:color w:val="1B1B22"/>
        </w:rPr>
        <w:t>externa,</w:t>
      </w:r>
      <w:r>
        <w:rPr>
          <w:color w:val="1B1B22"/>
          <w:spacing w:val="-7"/>
        </w:rPr>
        <w:t> </w:t>
      </w:r>
      <w:r>
        <w:rPr>
          <w:color w:val="1B1B22"/>
        </w:rPr>
        <w:t>e</w:t>
      </w:r>
      <w:r>
        <w:rPr>
          <w:color w:val="1B1B22"/>
          <w:spacing w:val="-8"/>
        </w:rPr>
        <w:t> </w:t>
      </w:r>
      <w:r>
        <w:rPr>
          <w:color w:val="1B1B22"/>
        </w:rPr>
        <w:t>para</w:t>
      </w:r>
      <w:r>
        <w:rPr>
          <w:color w:val="1B1B22"/>
          <w:spacing w:val="-8"/>
        </w:rPr>
        <w:t> </w:t>
      </w:r>
      <w:r>
        <w:rPr>
          <w:color w:val="1B1B22"/>
        </w:rPr>
        <w:t>evitar</w:t>
      </w:r>
      <w:r>
        <w:rPr>
          <w:color w:val="1B1B22"/>
          <w:spacing w:val="-6"/>
        </w:rPr>
        <w:t> </w:t>
      </w:r>
      <w:r>
        <w:rPr>
          <w:color w:val="1B1B22"/>
        </w:rPr>
        <w:t>conflitos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8"/>
        </w:rPr>
        <w:t> </w:t>
      </w:r>
      <w:r>
        <w:rPr>
          <w:color w:val="1B1B22"/>
        </w:rPr>
        <w:t>interesse,</w:t>
      </w:r>
      <w:r>
        <w:rPr>
          <w:color w:val="1B1B22"/>
          <w:spacing w:val="-7"/>
        </w:rPr>
        <w:t> </w:t>
      </w:r>
      <w:r>
        <w:rPr>
          <w:color w:val="1B1B22"/>
        </w:rPr>
        <w:t>perda</w:t>
      </w:r>
      <w:r>
        <w:rPr>
          <w:color w:val="1B1B22"/>
          <w:spacing w:val="-8"/>
        </w:rPr>
        <w:t> </w:t>
      </w:r>
      <w:r>
        <w:rPr>
          <w:color w:val="1B1B22"/>
        </w:rPr>
        <w:t>de independência ou objetividade dos auditores independentes, adotamos procedimentos fundamentados nas legislações e normas aplicáveis e nos melhores princípios internacionalmente aceitos relacionados ao tema. Estes</w:t>
      </w:r>
      <w:r>
        <w:rPr>
          <w:color w:val="1B1B22"/>
          <w:spacing w:val="-4"/>
        </w:rPr>
        <w:t> </w:t>
      </w:r>
      <w:r>
        <w:rPr>
          <w:color w:val="1B1B22"/>
        </w:rPr>
        <w:t>princípios</w:t>
      </w:r>
      <w:r>
        <w:rPr>
          <w:color w:val="1B1B22"/>
          <w:spacing w:val="-3"/>
        </w:rPr>
        <w:t> </w:t>
      </w:r>
      <w:r>
        <w:rPr>
          <w:color w:val="1B1B22"/>
        </w:rPr>
        <w:t>são</w:t>
      </w:r>
      <w:r>
        <w:rPr>
          <w:color w:val="1B1B22"/>
          <w:spacing w:val="-4"/>
        </w:rPr>
        <w:t> </w:t>
      </w:r>
      <w:r>
        <w:rPr>
          <w:color w:val="1B1B22"/>
        </w:rPr>
        <w:t>os</w:t>
      </w:r>
      <w:r>
        <w:rPr>
          <w:color w:val="1B1B22"/>
          <w:spacing w:val="-3"/>
        </w:rPr>
        <w:t> </w:t>
      </w:r>
      <w:r>
        <w:rPr>
          <w:color w:val="1B1B22"/>
        </w:rPr>
        <w:t>seguintes:</w:t>
      </w:r>
      <w:r>
        <w:rPr>
          <w:color w:val="1B1B22"/>
          <w:spacing w:val="-4"/>
        </w:rPr>
        <w:t> </w:t>
      </w:r>
      <w:r>
        <w:rPr>
          <w:color w:val="1B1B22"/>
        </w:rPr>
        <w:t>(i)</w:t>
      </w:r>
      <w:r>
        <w:rPr>
          <w:color w:val="1B1B22"/>
          <w:spacing w:val="-5"/>
        </w:rPr>
        <w:t> </w:t>
      </w:r>
      <w:r>
        <w:rPr>
          <w:color w:val="1B1B22"/>
        </w:rPr>
        <w:t>o</w:t>
      </w:r>
      <w:r>
        <w:rPr>
          <w:color w:val="1B1B22"/>
          <w:spacing w:val="-4"/>
        </w:rPr>
        <w:t> </w:t>
      </w:r>
      <w:r>
        <w:rPr>
          <w:color w:val="1B1B22"/>
        </w:rPr>
        <w:t>auditor</w:t>
      </w:r>
      <w:r>
        <w:rPr>
          <w:color w:val="1B1B22"/>
          <w:spacing w:val="-5"/>
        </w:rPr>
        <w:t> </w:t>
      </w:r>
      <w:r>
        <w:rPr>
          <w:color w:val="1B1B22"/>
        </w:rPr>
        <w:t>não</w:t>
      </w:r>
      <w:r>
        <w:rPr>
          <w:color w:val="1B1B22"/>
          <w:spacing w:val="-4"/>
        </w:rPr>
        <w:t> </w:t>
      </w:r>
      <w:r>
        <w:rPr>
          <w:color w:val="1B1B22"/>
        </w:rPr>
        <w:t>deve</w:t>
      </w:r>
      <w:r>
        <w:rPr>
          <w:color w:val="1B1B22"/>
          <w:spacing w:val="-5"/>
        </w:rPr>
        <w:t> </w:t>
      </w:r>
      <w:r>
        <w:rPr>
          <w:color w:val="1B1B22"/>
        </w:rPr>
        <w:t>auditar</w:t>
      </w:r>
      <w:r>
        <w:rPr>
          <w:color w:val="1B1B22"/>
          <w:spacing w:val="-5"/>
        </w:rPr>
        <w:t> </w:t>
      </w:r>
      <w:r>
        <w:rPr>
          <w:color w:val="1B1B22"/>
        </w:rPr>
        <w:t>o</w:t>
      </w:r>
      <w:r>
        <w:rPr>
          <w:color w:val="1B1B22"/>
          <w:spacing w:val="-4"/>
        </w:rPr>
        <w:t> </w:t>
      </w:r>
      <w:r>
        <w:rPr>
          <w:color w:val="1B1B22"/>
        </w:rPr>
        <w:t>seu</w:t>
      </w:r>
      <w:r>
        <w:rPr>
          <w:color w:val="1B1B22"/>
          <w:spacing w:val="-5"/>
        </w:rPr>
        <w:t> </w:t>
      </w:r>
      <w:r>
        <w:rPr>
          <w:color w:val="1B1B22"/>
        </w:rPr>
        <w:t>próprio</w:t>
      </w:r>
      <w:r>
        <w:rPr>
          <w:color w:val="1B1B22"/>
          <w:spacing w:val="-2"/>
        </w:rPr>
        <w:t> </w:t>
      </w:r>
      <w:r>
        <w:rPr>
          <w:color w:val="1B1B22"/>
        </w:rPr>
        <w:t>trabalho,</w:t>
      </w:r>
      <w:r>
        <w:rPr>
          <w:color w:val="1B1B22"/>
          <w:spacing w:val="-4"/>
        </w:rPr>
        <w:t> </w:t>
      </w:r>
      <w:r>
        <w:rPr>
          <w:color w:val="1B1B22"/>
        </w:rPr>
        <w:t>(ii)</w:t>
      </w:r>
      <w:r>
        <w:rPr>
          <w:color w:val="1B1B22"/>
          <w:spacing w:val="-5"/>
        </w:rPr>
        <w:t> </w:t>
      </w:r>
      <w:r>
        <w:rPr>
          <w:color w:val="1B1B22"/>
        </w:rPr>
        <w:t>o</w:t>
      </w:r>
      <w:r>
        <w:rPr>
          <w:color w:val="1B1B22"/>
          <w:spacing w:val="-4"/>
        </w:rPr>
        <w:t> </w:t>
      </w:r>
      <w:r>
        <w:rPr>
          <w:color w:val="1B1B22"/>
        </w:rPr>
        <w:t>auditor</w:t>
      </w:r>
      <w:r>
        <w:rPr>
          <w:color w:val="1B1B22"/>
          <w:spacing w:val="-5"/>
        </w:rPr>
        <w:t> </w:t>
      </w:r>
      <w:r>
        <w:rPr>
          <w:color w:val="1B1B22"/>
        </w:rPr>
        <w:t>não</w:t>
      </w:r>
      <w:r>
        <w:rPr>
          <w:color w:val="1B1B22"/>
          <w:spacing w:val="-4"/>
        </w:rPr>
        <w:t> </w:t>
      </w:r>
      <w:r>
        <w:rPr>
          <w:color w:val="1B1B22"/>
        </w:rPr>
        <w:t>deve </w:t>
      </w:r>
      <w:r>
        <w:rPr>
          <w:color w:val="1B1B22"/>
          <w:spacing w:val="-2"/>
        </w:rPr>
        <w:t>exercer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funções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gerenciais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em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seu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cliente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e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(iii)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o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auditor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não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deve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promover</w:t>
      </w:r>
      <w:r>
        <w:rPr>
          <w:color w:val="1B1B22"/>
          <w:spacing w:val="-4"/>
        </w:rPr>
        <w:t> </w:t>
      </w:r>
      <w:r>
        <w:rPr>
          <w:color w:val="1B1B22"/>
          <w:spacing w:val="-2"/>
        </w:rPr>
        <w:t>os interesses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do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cliente.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No</w:t>
      </w:r>
      <w:r>
        <w:rPr>
          <w:color w:val="1B1B22"/>
          <w:spacing w:val="-3"/>
        </w:rPr>
        <w:t> </w:t>
      </w:r>
      <w:r>
        <w:rPr>
          <w:color w:val="1B1B22"/>
          <w:spacing w:val="-2"/>
        </w:rPr>
        <w:t>Banco </w:t>
      </w:r>
      <w:r>
        <w:rPr>
          <w:color w:val="1B1B22"/>
        </w:rPr>
        <w:t>do</w:t>
      </w:r>
      <w:r>
        <w:rPr>
          <w:color w:val="1B1B22"/>
          <w:spacing w:val="-12"/>
        </w:rPr>
        <w:t> </w:t>
      </w:r>
      <w:r>
        <w:rPr>
          <w:color w:val="1B1B22"/>
        </w:rPr>
        <w:t>Brasil,</w:t>
      </w:r>
      <w:r>
        <w:rPr>
          <w:color w:val="1B1B22"/>
          <w:spacing w:val="-12"/>
        </w:rPr>
        <w:t> </w:t>
      </w:r>
      <w:r>
        <w:rPr>
          <w:color w:val="1B1B22"/>
        </w:rPr>
        <w:t>a</w:t>
      </w:r>
      <w:r>
        <w:rPr>
          <w:color w:val="1B1B22"/>
          <w:spacing w:val="-12"/>
        </w:rPr>
        <w:t> </w:t>
      </w:r>
      <w:r>
        <w:rPr>
          <w:color w:val="1B1B22"/>
        </w:rPr>
        <w:t>contratação</w:t>
      </w:r>
      <w:r>
        <w:rPr>
          <w:color w:val="1B1B22"/>
          <w:spacing w:val="-12"/>
        </w:rPr>
        <w:t> </w:t>
      </w:r>
      <w:r>
        <w:rPr>
          <w:color w:val="1B1B22"/>
        </w:rPr>
        <w:t>de</w:t>
      </w:r>
      <w:r>
        <w:rPr>
          <w:color w:val="1B1B22"/>
          <w:spacing w:val="-12"/>
        </w:rPr>
        <w:t> </w:t>
      </w:r>
      <w:r>
        <w:rPr>
          <w:color w:val="1B1B22"/>
        </w:rPr>
        <w:t>serviços</w:t>
      </w:r>
      <w:r>
        <w:rPr>
          <w:color w:val="1B1B22"/>
          <w:spacing w:val="-11"/>
        </w:rPr>
        <w:t> </w:t>
      </w:r>
      <w:r>
        <w:rPr>
          <w:color w:val="1B1B22"/>
        </w:rPr>
        <w:t>relacionados</w:t>
      </w:r>
      <w:r>
        <w:rPr>
          <w:color w:val="1B1B22"/>
          <w:spacing w:val="-11"/>
        </w:rPr>
        <w:t> </w:t>
      </w:r>
      <w:r>
        <w:rPr>
          <w:color w:val="1B1B22"/>
        </w:rPr>
        <w:t>à</w:t>
      </w:r>
      <w:r>
        <w:rPr>
          <w:color w:val="1B1B22"/>
          <w:spacing w:val="-12"/>
        </w:rPr>
        <w:t> </w:t>
      </w:r>
      <w:r>
        <w:rPr>
          <w:color w:val="1B1B22"/>
        </w:rPr>
        <w:t>auditoria</w:t>
      </w:r>
      <w:r>
        <w:rPr>
          <w:color w:val="1B1B22"/>
          <w:spacing w:val="-12"/>
        </w:rPr>
        <w:t> </w:t>
      </w:r>
      <w:r>
        <w:rPr>
          <w:color w:val="1B1B22"/>
        </w:rPr>
        <w:t>externa</w:t>
      </w:r>
      <w:r>
        <w:rPr>
          <w:color w:val="1B1B22"/>
          <w:spacing w:val="-12"/>
        </w:rPr>
        <w:t> </w:t>
      </w:r>
      <w:r>
        <w:rPr>
          <w:color w:val="1B1B22"/>
        </w:rPr>
        <w:t>deve</w:t>
      </w:r>
      <w:r>
        <w:rPr>
          <w:color w:val="1B1B22"/>
          <w:spacing w:val="-12"/>
        </w:rPr>
        <w:t> </w:t>
      </w:r>
      <w:r>
        <w:rPr>
          <w:color w:val="1B1B22"/>
        </w:rPr>
        <w:t>ser</w:t>
      </w:r>
      <w:r>
        <w:rPr>
          <w:color w:val="1B1B22"/>
          <w:spacing w:val="-10"/>
        </w:rPr>
        <w:t> </w:t>
      </w:r>
      <w:r>
        <w:rPr>
          <w:color w:val="1B1B22"/>
        </w:rPr>
        <w:t>precedida</w:t>
      </w:r>
      <w:r>
        <w:rPr>
          <w:color w:val="1B1B22"/>
          <w:spacing w:val="-12"/>
        </w:rPr>
        <w:t> </w:t>
      </w:r>
      <w:r>
        <w:rPr>
          <w:color w:val="1B1B22"/>
        </w:rPr>
        <w:t>por</w:t>
      </w:r>
      <w:r>
        <w:rPr>
          <w:color w:val="1B1B22"/>
          <w:spacing w:val="-12"/>
        </w:rPr>
        <w:t> </w:t>
      </w:r>
      <w:r>
        <w:rPr>
          <w:color w:val="1B1B22"/>
        </w:rPr>
        <w:t>parecer</w:t>
      </w:r>
      <w:r>
        <w:rPr>
          <w:color w:val="1B1B22"/>
          <w:spacing w:val="-12"/>
        </w:rPr>
        <w:t> </w:t>
      </w:r>
      <w:r>
        <w:rPr>
          <w:color w:val="1B1B22"/>
        </w:rPr>
        <w:t>do</w:t>
      </w:r>
      <w:r>
        <w:rPr>
          <w:color w:val="1B1B22"/>
          <w:spacing w:val="-12"/>
        </w:rPr>
        <w:t> </w:t>
      </w:r>
      <w:r>
        <w:rPr>
          <w:color w:val="1B1B22"/>
        </w:rPr>
        <w:t>Comitê de</w:t>
      </w:r>
      <w:r>
        <w:rPr>
          <w:color w:val="1B1B22"/>
          <w:spacing w:val="-1"/>
        </w:rPr>
        <w:t> </w:t>
      </w:r>
      <w:r>
        <w:rPr>
          <w:color w:val="1B1B22"/>
        </w:rPr>
        <w:t>Auditoria.</w:t>
      </w:r>
    </w:p>
    <w:p>
      <w:pPr>
        <w:pStyle w:val="Heading2"/>
        <w:spacing w:line="216" w:lineRule="auto" w:before="134"/>
        <w:ind w:right="664"/>
        <w:jc w:val="both"/>
        <w:rPr>
          <w:b w:val="0"/>
        </w:rPr>
      </w:pPr>
      <w:r>
        <w:rPr>
          <w:b w:val="0"/>
          <w:color w:val="465EFF"/>
          <w:spacing w:val="17"/>
        </w:rPr>
        <w:t>Títulos</w:t>
      </w:r>
      <w:r>
        <w:rPr>
          <w:b w:val="0"/>
          <w:color w:val="465EFF"/>
          <w:spacing w:val="17"/>
        </w:rPr>
        <w:t> </w:t>
      </w:r>
      <w:r>
        <w:rPr>
          <w:b w:val="0"/>
          <w:color w:val="465EFF"/>
        </w:rPr>
        <w:t>e </w:t>
      </w:r>
      <w:r>
        <w:rPr>
          <w:b w:val="0"/>
          <w:color w:val="465EFF"/>
          <w:spacing w:val="14"/>
        </w:rPr>
        <w:t>Valores</w:t>
      </w:r>
      <w:r>
        <w:rPr>
          <w:b w:val="0"/>
          <w:color w:val="465EFF"/>
          <w:spacing w:val="14"/>
        </w:rPr>
        <w:t> </w:t>
      </w:r>
      <w:r>
        <w:rPr>
          <w:b w:val="0"/>
          <w:color w:val="465EFF"/>
          <w:spacing w:val="20"/>
        </w:rPr>
        <w:t>Mobiliários</w:t>
      </w:r>
      <w:r>
        <w:rPr>
          <w:b w:val="0"/>
          <w:color w:val="465EFF"/>
          <w:spacing w:val="20"/>
        </w:rPr>
        <w:t> </w:t>
      </w:r>
      <w:r>
        <w:rPr>
          <w:b w:val="0"/>
          <w:color w:val="465EFF"/>
        </w:rPr>
        <w:t>e </w:t>
      </w:r>
      <w:r>
        <w:rPr>
          <w:b w:val="0"/>
          <w:color w:val="465EFF"/>
          <w:spacing w:val="19"/>
        </w:rPr>
        <w:t>Informações</w:t>
      </w:r>
      <w:r>
        <w:rPr>
          <w:b w:val="0"/>
          <w:color w:val="465EFF"/>
          <w:spacing w:val="19"/>
        </w:rPr>
        <w:t> </w:t>
      </w:r>
      <w:r>
        <w:rPr>
          <w:b w:val="0"/>
          <w:color w:val="465EFF"/>
          <w:spacing w:val="11"/>
        </w:rPr>
        <w:t>de</w:t>
      </w:r>
      <w:r>
        <w:rPr>
          <w:b w:val="0"/>
          <w:color w:val="465EFF"/>
          <w:spacing w:val="11"/>
        </w:rPr>
        <w:t> </w:t>
      </w:r>
      <w:r>
        <w:rPr>
          <w:b w:val="0"/>
          <w:color w:val="465EFF"/>
          <w:spacing w:val="19"/>
        </w:rPr>
        <w:t>Coligadas</w:t>
      </w:r>
      <w:r>
        <w:rPr>
          <w:b w:val="0"/>
          <w:color w:val="465EFF"/>
          <w:spacing w:val="19"/>
        </w:rPr>
        <w:t> </w:t>
      </w:r>
      <w:r>
        <w:rPr>
          <w:b w:val="0"/>
          <w:color w:val="465EFF"/>
        </w:rPr>
        <w:t>e </w:t>
      </w:r>
      <w:r>
        <w:rPr>
          <w:b w:val="0"/>
          <w:color w:val="465EFF"/>
          <w:spacing w:val="17"/>
        </w:rPr>
        <w:t>Controladas</w:t>
      </w:r>
    </w:p>
    <w:p>
      <w:pPr>
        <w:pStyle w:val="BodyText"/>
        <w:spacing w:line="321" w:lineRule="auto" w:before="175"/>
        <w:ind w:left="672" w:right="630"/>
      </w:pPr>
      <w:r>
        <w:rPr>
          <w:color w:val="1B1B22"/>
        </w:rPr>
        <w:t>Em conformidade com o art. 8º da Circular Bacen 3.068/2001, afirmamos nossa intenção e capacidade financeira de manter, até o vencimento, os títulos classificados na categoria “Títulos Mantidos até o Vencimento”. Nossa capacidade financeira está amparada em projeção de fluxo de caixa que não considera a possibilidade de venda desses títulos.</w:t>
      </w:r>
    </w:p>
    <w:p>
      <w:pPr>
        <w:pStyle w:val="BodyText"/>
        <w:spacing w:line="321" w:lineRule="auto" w:before="119"/>
        <w:ind w:left="672" w:right="634"/>
      </w:pPr>
      <w:r>
        <w:rPr>
          <w:color w:val="1B1B22"/>
        </w:rPr>
        <w:t>A</w:t>
      </w:r>
      <w:r>
        <w:rPr>
          <w:color w:val="1B1B22"/>
          <w:spacing w:val="-9"/>
        </w:rPr>
        <w:t> </w:t>
      </w:r>
      <w:r>
        <w:rPr>
          <w:color w:val="1B1B22"/>
        </w:rPr>
        <w:t>abertura</w:t>
      </w:r>
      <w:r>
        <w:rPr>
          <w:color w:val="1B1B22"/>
          <w:spacing w:val="-7"/>
        </w:rPr>
        <w:t> </w:t>
      </w:r>
      <w:r>
        <w:rPr>
          <w:color w:val="1B1B22"/>
        </w:rPr>
        <w:t>dos</w:t>
      </w:r>
      <w:r>
        <w:rPr>
          <w:color w:val="1B1B22"/>
          <w:spacing w:val="-5"/>
        </w:rPr>
        <w:t> </w:t>
      </w:r>
      <w:r>
        <w:rPr>
          <w:color w:val="1B1B22"/>
        </w:rPr>
        <w:t>títulos</w:t>
      </w:r>
      <w:r>
        <w:rPr>
          <w:color w:val="1B1B22"/>
          <w:spacing w:val="-5"/>
        </w:rPr>
        <w:t> </w:t>
      </w:r>
      <w:r>
        <w:rPr>
          <w:color w:val="1B1B22"/>
        </w:rPr>
        <w:t>por</w:t>
      </w:r>
      <w:r>
        <w:rPr>
          <w:color w:val="1B1B22"/>
          <w:spacing w:val="-7"/>
        </w:rPr>
        <w:t> </w:t>
      </w:r>
      <w:r>
        <w:rPr>
          <w:color w:val="1B1B22"/>
        </w:rPr>
        <w:t>categoria</w:t>
      </w:r>
      <w:r>
        <w:rPr>
          <w:color w:val="1B1B22"/>
          <w:spacing w:val="-7"/>
        </w:rPr>
        <w:t> </w:t>
      </w:r>
      <w:r>
        <w:rPr>
          <w:color w:val="1B1B22"/>
        </w:rPr>
        <w:t>e</w:t>
      </w:r>
      <w:r>
        <w:rPr>
          <w:color w:val="1B1B22"/>
          <w:spacing w:val="-7"/>
        </w:rPr>
        <w:t> </w:t>
      </w:r>
      <w:r>
        <w:rPr>
          <w:color w:val="1B1B22"/>
        </w:rPr>
        <w:t>a</w:t>
      </w:r>
      <w:r>
        <w:rPr>
          <w:color w:val="1B1B22"/>
          <w:spacing w:val="-7"/>
        </w:rPr>
        <w:t> </w:t>
      </w:r>
      <w:r>
        <w:rPr>
          <w:color w:val="1B1B22"/>
        </w:rPr>
        <w:t>reclassificação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7"/>
        </w:rPr>
        <w:t> </w:t>
      </w:r>
      <w:r>
        <w:rPr>
          <w:color w:val="1B1B22"/>
        </w:rPr>
        <w:t>títulos</w:t>
      </w:r>
      <w:r>
        <w:rPr>
          <w:color w:val="1B1B22"/>
          <w:spacing w:val="-5"/>
        </w:rPr>
        <w:t> </w:t>
      </w:r>
      <w:r>
        <w:rPr>
          <w:color w:val="1B1B22"/>
        </w:rPr>
        <w:t>e</w:t>
      </w:r>
      <w:r>
        <w:rPr>
          <w:color w:val="1B1B22"/>
          <w:spacing w:val="-7"/>
        </w:rPr>
        <w:t> </w:t>
      </w:r>
      <w:r>
        <w:rPr>
          <w:color w:val="1B1B22"/>
        </w:rPr>
        <w:t>valores</w:t>
      </w:r>
      <w:r>
        <w:rPr>
          <w:color w:val="1B1B22"/>
          <w:spacing w:val="-6"/>
        </w:rPr>
        <w:t> </w:t>
      </w:r>
      <w:r>
        <w:rPr>
          <w:color w:val="1B1B22"/>
        </w:rPr>
        <w:t>mobiliários</w:t>
      </w:r>
      <w:r>
        <w:rPr>
          <w:color w:val="1B1B22"/>
          <w:spacing w:val="-5"/>
        </w:rPr>
        <w:t> </w:t>
      </w:r>
      <w:r>
        <w:rPr>
          <w:color w:val="1B1B22"/>
        </w:rPr>
        <w:t>podem</w:t>
      </w:r>
      <w:r>
        <w:rPr>
          <w:color w:val="1B1B22"/>
          <w:spacing w:val="-7"/>
        </w:rPr>
        <w:t> </w:t>
      </w:r>
      <w:r>
        <w:rPr>
          <w:color w:val="1B1B22"/>
        </w:rPr>
        <w:t>ser</w:t>
      </w:r>
      <w:r>
        <w:rPr>
          <w:color w:val="1B1B22"/>
          <w:spacing w:val="-7"/>
        </w:rPr>
        <w:t> </w:t>
      </w:r>
      <w:r>
        <w:rPr>
          <w:color w:val="1B1B22"/>
        </w:rPr>
        <w:t>consultadas na nota explicativa 10 –</w:t>
      </w:r>
      <w:r>
        <w:rPr>
          <w:color w:val="1B1B22"/>
          <w:spacing w:val="-4"/>
        </w:rPr>
        <w:t> </w:t>
      </w:r>
      <w:r>
        <w:rPr>
          <w:color w:val="1B1B22"/>
        </w:rPr>
        <w:t>Títulos e</w:t>
      </w:r>
      <w:r>
        <w:rPr>
          <w:color w:val="1B1B22"/>
          <w:spacing w:val="-2"/>
        </w:rPr>
        <w:t> </w:t>
      </w:r>
      <w:r>
        <w:rPr>
          <w:color w:val="1B1B22"/>
        </w:rPr>
        <w:t>Valores Mobiliários.</w:t>
      </w:r>
    </w:p>
    <w:p>
      <w:pPr>
        <w:pStyle w:val="BodyText"/>
        <w:spacing w:line="319" w:lineRule="auto" w:before="119"/>
        <w:ind w:left="672" w:right="627"/>
      </w:pPr>
      <w:r>
        <w:rPr>
          <w:color w:val="1B1B22"/>
        </w:rPr>
        <w:t>Em cumprimento ao artigo 243 da Lei 6.404/1976, informamos que os investimentos da companhia em sociedades coligadas e controladas estão relacionados nas notas explicativas 2 – Apresentação das Demonstrações Contábeis e 14 – Investimentos.</w:t>
      </w:r>
    </w:p>
    <w:p>
      <w:pPr>
        <w:pStyle w:val="Heading1"/>
        <w:spacing w:before="99"/>
        <w:jc w:val="both"/>
      </w:pPr>
      <w:r>
        <w:rPr>
          <w:color w:val="465EFF"/>
          <w:spacing w:val="34"/>
        </w:rPr>
        <w:t>Esclarecimentos</w:t>
      </w:r>
      <w:r>
        <w:rPr>
          <w:color w:val="465EFF"/>
          <w:spacing w:val="37"/>
        </w:rPr>
        <w:t> </w:t>
      </w:r>
      <w:r>
        <w:rPr>
          <w:color w:val="465EFF"/>
          <w:spacing w:val="32"/>
        </w:rPr>
        <w:t>Adicionais</w:t>
      </w:r>
    </w:p>
    <w:p>
      <w:pPr>
        <w:pStyle w:val="BodyText"/>
        <w:spacing w:line="321" w:lineRule="auto" w:before="166"/>
        <w:ind w:left="672" w:right="628"/>
      </w:pPr>
      <w:r>
        <w:rPr>
          <w:color w:val="1B1B22"/>
        </w:rPr>
        <w:t>Possuímos</w:t>
      </w:r>
      <w:r>
        <w:rPr>
          <w:color w:val="1B1B22"/>
          <w:spacing w:val="-1"/>
        </w:rPr>
        <w:t> </w:t>
      </w:r>
      <w:r>
        <w:rPr>
          <w:color w:val="1B1B22"/>
        </w:rPr>
        <w:t>R$</w:t>
      </w:r>
      <w:r>
        <w:rPr>
          <w:color w:val="1B1B22"/>
          <w:spacing w:val="-3"/>
        </w:rPr>
        <w:t> </w:t>
      </w:r>
      <w:r>
        <w:rPr>
          <w:color w:val="1B1B22"/>
        </w:rPr>
        <w:t>1,2</w:t>
      </w:r>
      <w:r>
        <w:rPr>
          <w:color w:val="1B1B22"/>
          <w:spacing w:val="-2"/>
        </w:rPr>
        <w:t> </w:t>
      </w:r>
      <w:r>
        <w:rPr>
          <w:color w:val="1B1B22"/>
        </w:rPr>
        <w:t>bilhão</w:t>
      </w:r>
      <w:r>
        <w:rPr>
          <w:color w:val="1B1B22"/>
          <w:spacing w:val="-3"/>
        </w:rPr>
        <w:t> </w:t>
      </w:r>
      <w:r>
        <w:rPr>
          <w:color w:val="1B1B22"/>
        </w:rPr>
        <w:t>(consolidado)</w:t>
      </w:r>
      <w:r>
        <w:rPr>
          <w:color w:val="1B1B22"/>
          <w:spacing w:val="-1"/>
        </w:rPr>
        <w:t> </w:t>
      </w:r>
      <w:r>
        <w:rPr>
          <w:color w:val="1B1B22"/>
        </w:rPr>
        <w:t>de</w:t>
      </w:r>
      <w:r>
        <w:rPr>
          <w:color w:val="1B1B22"/>
          <w:spacing w:val="-3"/>
        </w:rPr>
        <w:t> </w:t>
      </w:r>
      <w:r>
        <w:rPr>
          <w:color w:val="1B1B22"/>
        </w:rPr>
        <w:t>créditos tributários</w:t>
      </w:r>
      <w:r>
        <w:rPr>
          <w:color w:val="1B1B22"/>
          <w:spacing w:val="-2"/>
        </w:rPr>
        <w:t> </w:t>
      </w:r>
      <w:r>
        <w:rPr>
          <w:color w:val="1B1B22"/>
        </w:rPr>
        <w:t>não</w:t>
      </w:r>
      <w:r>
        <w:rPr>
          <w:color w:val="1B1B22"/>
          <w:spacing w:val="-3"/>
        </w:rPr>
        <w:t> </w:t>
      </w:r>
      <w:r>
        <w:rPr>
          <w:color w:val="1B1B22"/>
        </w:rPr>
        <w:t>ativados,</w:t>
      </w:r>
      <w:r>
        <w:rPr>
          <w:color w:val="1B1B22"/>
          <w:spacing w:val="-1"/>
        </w:rPr>
        <w:t> </w:t>
      </w:r>
      <w:r>
        <w:rPr>
          <w:color w:val="1B1B22"/>
        </w:rPr>
        <w:t>apresentados</w:t>
      </w:r>
      <w:r>
        <w:rPr>
          <w:color w:val="1B1B22"/>
          <w:spacing w:val="-2"/>
        </w:rPr>
        <w:t> </w:t>
      </w:r>
      <w:r>
        <w:rPr>
          <w:color w:val="1B1B22"/>
        </w:rPr>
        <w:t>na</w:t>
      </w:r>
      <w:r>
        <w:rPr>
          <w:color w:val="1B1B22"/>
          <w:spacing w:val="-3"/>
        </w:rPr>
        <w:t> </w:t>
      </w:r>
      <w:r>
        <w:rPr>
          <w:color w:val="1B1B22"/>
        </w:rPr>
        <w:t>nota</w:t>
      </w:r>
      <w:r>
        <w:rPr>
          <w:color w:val="1B1B22"/>
          <w:spacing w:val="-2"/>
        </w:rPr>
        <w:t> </w:t>
      </w:r>
      <w:r>
        <w:rPr>
          <w:color w:val="1B1B22"/>
        </w:rPr>
        <w:t>explicativa 22</w:t>
      </w:r>
      <w:r>
        <w:rPr>
          <w:color w:val="1B1B22"/>
          <w:spacing w:val="-13"/>
        </w:rPr>
        <w:t> </w:t>
      </w:r>
      <w:r>
        <w:rPr>
          <w:color w:val="1B1B22"/>
        </w:rPr>
        <w:t>-</w:t>
      </w:r>
      <w:r>
        <w:rPr>
          <w:color w:val="1B1B22"/>
          <w:spacing w:val="-12"/>
        </w:rPr>
        <w:t> </w:t>
      </w:r>
      <w:r>
        <w:rPr>
          <w:color w:val="1B1B22"/>
        </w:rPr>
        <w:t>Tributos</w:t>
      </w:r>
      <w:r>
        <w:rPr>
          <w:color w:val="1B1B22"/>
          <w:spacing w:val="-13"/>
        </w:rPr>
        <w:t> </w:t>
      </w:r>
      <w:r>
        <w:rPr>
          <w:color w:val="1B1B22"/>
        </w:rPr>
        <w:t>das</w:t>
      </w:r>
      <w:r>
        <w:rPr>
          <w:color w:val="1B1B22"/>
          <w:spacing w:val="-12"/>
        </w:rPr>
        <w:t> </w:t>
      </w:r>
      <w:r>
        <w:rPr>
          <w:color w:val="1B1B22"/>
        </w:rPr>
        <w:t>Demonstrações</w:t>
      </w:r>
      <w:r>
        <w:rPr>
          <w:color w:val="1B1B22"/>
          <w:spacing w:val="-12"/>
        </w:rPr>
        <w:t> </w:t>
      </w:r>
      <w:r>
        <w:rPr>
          <w:color w:val="1B1B22"/>
        </w:rPr>
        <w:t>Contábeis</w:t>
      </w:r>
      <w:r>
        <w:rPr>
          <w:color w:val="1B1B22"/>
          <w:spacing w:val="-13"/>
        </w:rPr>
        <w:t> </w:t>
      </w:r>
      <w:r>
        <w:rPr>
          <w:color w:val="1B1B22"/>
        </w:rPr>
        <w:t>Individuais</w:t>
      </w:r>
      <w:r>
        <w:rPr>
          <w:color w:val="1B1B22"/>
          <w:spacing w:val="-12"/>
        </w:rPr>
        <w:t> </w:t>
      </w:r>
      <w:r>
        <w:rPr>
          <w:color w:val="1B1B22"/>
        </w:rPr>
        <w:t>e</w:t>
      </w:r>
      <w:r>
        <w:rPr>
          <w:color w:val="1B1B22"/>
          <w:spacing w:val="-12"/>
        </w:rPr>
        <w:t> </w:t>
      </w:r>
      <w:r>
        <w:rPr>
          <w:color w:val="1B1B22"/>
        </w:rPr>
        <w:t>Consolidadas</w:t>
      </w:r>
      <w:r>
        <w:rPr>
          <w:color w:val="1B1B22"/>
          <w:spacing w:val="-13"/>
        </w:rPr>
        <w:t> </w:t>
      </w:r>
      <w:r>
        <w:rPr>
          <w:color w:val="1B1B22"/>
        </w:rPr>
        <w:t>(subitem</w:t>
      </w:r>
      <w:r>
        <w:rPr>
          <w:color w:val="1B1B22"/>
          <w:spacing w:val="-12"/>
        </w:rPr>
        <w:t> </w:t>
      </w:r>
      <w:r>
        <w:rPr>
          <w:color w:val="1B1B22"/>
        </w:rPr>
        <w:t>“f”).</w:t>
      </w:r>
      <w:r>
        <w:rPr>
          <w:color w:val="1B1B22"/>
          <w:spacing w:val="-12"/>
        </w:rPr>
        <w:t> </w:t>
      </w:r>
      <w:r>
        <w:rPr>
          <w:color w:val="1B1B22"/>
        </w:rPr>
        <w:t>Mantemos</w:t>
      </w:r>
      <w:r>
        <w:rPr>
          <w:color w:val="1B1B22"/>
          <w:spacing w:val="-13"/>
        </w:rPr>
        <w:t> </w:t>
      </w:r>
      <w:r>
        <w:rPr>
          <w:color w:val="1B1B22"/>
        </w:rPr>
        <w:t>registrado</w:t>
      </w:r>
      <w:r>
        <w:rPr>
          <w:color w:val="1B1B22"/>
          <w:spacing w:val="-12"/>
        </w:rPr>
        <w:t> </w:t>
      </w:r>
      <w:r>
        <w:rPr>
          <w:color w:val="1B1B22"/>
        </w:rPr>
        <w:t>em contas de compensação, conforme regras dispostas no Plano Contábil das Instituições Financeiras (Cosif), o montante de R$ 20,4 bilhões decorrentes de coobrigações e riscos em garantias prestadas a clientes e empresas integrantes do Conglomerado Banco do Brasil.</w:t>
      </w:r>
    </w:p>
    <w:p>
      <w:pPr>
        <w:pStyle w:val="BodyText"/>
        <w:spacing w:line="321" w:lineRule="auto" w:before="117"/>
        <w:ind w:left="672" w:right="631"/>
      </w:pPr>
      <w:r>
        <w:rPr>
          <w:color w:val="1B1B22"/>
          <w:spacing w:val="-2"/>
        </w:rPr>
        <w:t>Publicamos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anualmente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os</w:t>
      </w:r>
      <w:r>
        <w:rPr>
          <w:color w:val="1B1B22"/>
          <w:spacing w:val="-7"/>
        </w:rPr>
        <w:t> </w:t>
      </w:r>
      <w:r>
        <w:rPr>
          <w:color w:val="1B1B22"/>
          <w:spacing w:val="-2"/>
        </w:rPr>
        <w:t>investimentos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realizados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em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decorrência</w:t>
      </w:r>
      <w:r>
        <w:rPr>
          <w:color w:val="1B1B22"/>
          <w:spacing w:val="-9"/>
        </w:rPr>
        <w:t> </w:t>
      </w:r>
      <w:r>
        <w:rPr>
          <w:color w:val="1B1B22"/>
          <w:spacing w:val="-2"/>
        </w:rPr>
        <w:t>do</w:t>
      </w:r>
      <w:r>
        <w:rPr>
          <w:color w:val="1B1B22"/>
          <w:spacing w:val="-5"/>
        </w:rPr>
        <w:t> </w:t>
      </w:r>
      <w:r>
        <w:rPr>
          <w:color w:val="1B1B22"/>
          <w:spacing w:val="-2"/>
        </w:rPr>
        <w:t>exercício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de</w:t>
      </w:r>
      <w:r>
        <w:rPr>
          <w:color w:val="1B1B22"/>
          <w:spacing w:val="-8"/>
        </w:rPr>
        <w:t> </w:t>
      </w:r>
      <w:r>
        <w:rPr>
          <w:color w:val="1B1B22"/>
          <w:spacing w:val="-2"/>
        </w:rPr>
        <w:t>políticas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públicas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em</w:t>
      </w:r>
      <w:r>
        <w:rPr>
          <w:color w:val="1B1B22"/>
          <w:spacing w:val="-6"/>
        </w:rPr>
        <w:t> </w:t>
      </w:r>
      <w:r>
        <w:rPr>
          <w:color w:val="1B1B22"/>
          <w:spacing w:val="-2"/>
        </w:rPr>
        <w:t>nossa </w:t>
      </w:r>
      <w:r>
        <w:rPr>
          <w:color w:val="1B1B22"/>
        </w:rPr>
        <w:t>Carta Anual de Políticas Públicas e Governança Corporativa, disponível em nosso sítio (ri.bb.com.br).</w:t>
      </w:r>
    </w:p>
    <w:p>
      <w:pPr>
        <w:pStyle w:val="BodyText"/>
        <w:spacing w:line="321" w:lineRule="auto" w:before="119"/>
        <w:ind w:left="672" w:right="625"/>
      </w:pPr>
      <w:r>
        <w:rPr>
          <w:color w:val="1B1B22"/>
        </w:rPr>
        <w:t>O Banco do Brasil, seus acionistas, administradores e os membros do Conselho Fiscal se comprometem a resolver</w:t>
      </w:r>
      <w:r>
        <w:rPr>
          <w:color w:val="1B1B22"/>
          <w:spacing w:val="-7"/>
        </w:rPr>
        <w:t> </w:t>
      </w:r>
      <w:r>
        <w:rPr>
          <w:color w:val="1B1B22"/>
        </w:rPr>
        <w:t>toda</w:t>
      </w:r>
      <w:r>
        <w:rPr>
          <w:color w:val="1B1B22"/>
          <w:spacing w:val="-7"/>
        </w:rPr>
        <w:t> </w:t>
      </w:r>
      <w:r>
        <w:rPr>
          <w:color w:val="1B1B22"/>
        </w:rPr>
        <w:t>e</w:t>
      </w:r>
      <w:r>
        <w:rPr>
          <w:color w:val="1B1B22"/>
          <w:spacing w:val="-4"/>
        </w:rPr>
        <w:t> </w:t>
      </w:r>
      <w:r>
        <w:rPr>
          <w:color w:val="1B1B22"/>
        </w:rPr>
        <w:t>qualquer</w:t>
      </w:r>
      <w:r>
        <w:rPr>
          <w:color w:val="1B1B22"/>
          <w:spacing w:val="-4"/>
        </w:rPr>
        <w:t> </w:t>
      </w:r>
      <w:r>
        <w:rPr>
          <w:color w:val="1B1B22"/>
        </w:rPr>
        <w:t>disputa</w:t>
      </w:r>
      <w:r>
        <w:rPr>
          <w:color w:val="1B1B22"/>
          <w:spacing w:val="-5"/>
        </w:rPr>
        <w:t> </w:t>
      </w:r>
      <w:r>
        <w:rPr>
          <w:color w:val="1B1B22"/>
        </w:rPr>
        <w:t>ou</w:t>
      </w:r>
      <w:r>
        <w:rPr>
          <w:color w:val="1B1B22"/>
          <w:spacing w:val="-6"/>
        </w:rPr>
        <w:t> </w:t>
      </w:r>
      <w:r>
        <w:rPr>
          <w:color w:val="1B1B22"/>
        </w:rPr>
        <w:t>controvérsia</w:t>
      </w:r>
      <w:r>
        <w:rPr>
          <w:color w:val="1B1B22"/>
          <w:spacing w:val="-7"/>
        </w:rPr>
        <w:t> </w:t>
      </w:r>
      <w:r>
        <w:rPr>
          <w:color w:val="1B1B22"/>
        </w:rPr>
        <w:t>relacionada</w:t>
      </w:r>
      <w:r>
        <w:rPr>
          <w:color w:val="1B1B22"/>
          <w:spacing w:val="-5"/>
        </w:rPr>
        <w:t> </w:t>
      </w:r>
      <w:r>
        <w:rPr>
          <w:color w:val="1B1B22"/>
        </w:rPr>
        <w:t>ao</w:t>
      </w:r>
      <w:r>
        <w:rPr>
          <w:color w:val="1B1B22"/>
          <w:spacing w:val="-6"/>
        </w:rPr>
        <w:t> </w:t>
      </w:r>
      <w:r>
        <w:rPr>
          <w:color w:val="1B1B22"/>
        </w:rPr>
        <w:t>Regulamento</w:t>
      </w:r>
      <w:r>
        <w:rPr>
          <w:color w:val="1B1B22"/>
          <w:spacing w:val="-6"/>
        </w:rPr>
        <w:t> </w:t>
      </w:r>
      <w:r>
        <w:rPr>
          <w:color w:val="1B1B22"/>
        </w:rPr>
        <w:t>de</w:t>
      </w:r>
      <w:r>
        <w:rPr>
          <w:color w:val="1B1B22"/>
          <w:spacing w:val="-6"/>
        </w:rPr>
        <w:t> </w:t>
      </w:r>
      <w:r>
        <w:rPr>
          <w:color w:val="1B1B22"/>
        </w:rPr>
        <w:t>Listagem</w:t>
      </w:r>
      <w:r>
        <w:rPr>
          <w:color w:val="1B1B22"/>
          <w:spacing w:val="-7"/>
        </w:rPr>
        <w:t> </w:t>
      </w:r>
      <w:r>
        <w:rPr>
          <w:color w:val="1B1B22"/>
        </w:rPr>
        <w:t>do</w:t>
      </w:r>
      <w:r>
        <w:rPr>
          <w:color w:val="1B1B22"/>
          <w:spacing w:val="-6"/>
        </w:rPr>
        <w:t> </w:t>
      </w:r>
      <w:r>
        <w:rPr>
          <w:color w:val="1B1B22"/>
        </w:rPr>
        <w:t>Novo</w:t>
      </w:r>
      <w:r>
        <w:rPr>
          <w:color w:val="1B1B22"/>
          <w:spacing w:val="-6"/>
        </w:rPr>
        <w:t> </w:t>
      </w:r>
      <w:r>
        <w:rPr>
          <w:color w:val="1B1B22"/>
        </w:rPr>
        <w:t>Mercado por meio da Câmara de Arbitragem do Mercado da B3, conforme cláusula compromissória constante do Estatuto Social do Banco do Brasil.</w:t>
      </w:r>
    </w:p>
    <w:p>
      <w:pPr>
        <w:pStyle w:val="BodyText"/>
        <w:spacing w:line="321" w:lineRule="auto" w:before="116"/>
        <w:ind w:left="672" w:right="629"/>
      </w:pPr>
      <w:r>
        <w:rPr>
          <w:color w:val="1B1B22"/>
        </w:rPr>
        <w:t>Esse Relatório da Administração foi preparado com base nas Demonstrações Contábeis Individuais e Consolidadas elaboradas no Padrão Contábil das Instituições Reguladas pelo Banco Central do Brasil (Cosif). Para mais informações, o Formulário de Referência, o relatório de</w:t>
      </w:r>
      <w:r>
        <w:rPr>
          <w:color w:val="1B1B22"/>
          <w:spacing w:val="-2"/>
        </w:rPr>
        <w:t> </w:t>
      </w:r>
      <w:r>
        <w:rPr>
          <w:color w:val="1B1B22"/>
        </w:rPr>
        <w:t>Análise do Desempenho e a Apresentação Institucional estão disponíveis no sítio de Relações com Investidores (ri.bb.com.br).</w:t>
      </w:r>
    </w:p>
    <w:sectPr>
      <w:pgSz w:w="11910" w:h="16850"/>
      <w:pgMar w:header="152" w:footer="591" w:top="900" w:bottom="780" w:left="180" w:right="22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charset w:val="0"/>
    <w:family w:val="roman"/>
    <w:pitch w:val="variable"/>
  </w:font>
  <w:font w:name="Arial">
    <w:altName w:val="Arial"/>
    <w:charset w:val="0"/>
    <w:family w:val="swiss"/>
    <w:pitch w:val="variable"/>
  </w:font>
  <w:font w:name="BancoDoBrasil Textos">
    <w:altName w:val="BancoDoBrasil Textos"/>
    <w:charset w:val="0"/>
    <w:family w:val="auto"/>
    <w:pitch w:val="variable"/>
  </w:font>
  <w:font w:name="BancoDoBrasil Textos Light">
    <w:altName w:val="BancoDoBrasil Textos Light"/>
    <w:charset w:val="0"/>
    <w:family w:val="auto"/>
    <w:pitch w:val="variable"/>
  </w:font>
  <w:font w:name="BancoDoBrasil Textos Medium">
    <w:altName w:val="BancoDoBrasil Textos Medium"/>
    <w:charset w:val="0"/>
    <w:family w:val="auto"/>
    <w:pitch w:val="variable"/>
  </w:font>
  <w:font w:name="BancoDoBrasil Titulos">
    <w:altName w:val="BancoDoBrasil Titulos"/>
    <w:charset w:val="0"/>
    <w:family w:val="auto"/>
    <w:pitch w:val="variable"/>
  </w:font>
  <w:font w:name="BancoDoBrasil Titulos Light">
    <w:altName w:val="BancoDoBrasil Titulos Light"/>
    <w:charset w:val="0"/>
    <w:family w:val="auto"/>
    <w:pitch w:val="variable"/>
  </w:font>
  <w:font w:name="BancoDoBrasil Titulos Medium">
    <w:altName w:val="BancoDoBrasil Titulos Medium"/>
    <w:charset w:val="0"/>
    <w:family w:val="auto"/>
    <w:pitch w:val="variable"/>
  </w:font>
  <w:font w:name="BancoDoBrasil Titulos ExtraBold">
    <w:altName w:val="BancoDoBrasil Titulos ExtraBold"/>
    <w:charset w:val="0"/>
    <w:family w:val="auto"/>
    <w:pitch w:val="variable"/>
  </w:font>
</w:fonts>
</file>

<file path=word/footer1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265792">
              <wp:simplePos x="0" y="0"/>
              <wp:positionH relativeFrom="page">
                <wp:posOffset>4572</wp:posOffset>
              </wp:positionH>
              <wp:positionV relativeFrom="page">
                <wp:posOffset>10154411</wp:posOffset>
              </wp:positionV>
              <wp:extent cx="7556500" cy="539750"/>
              <wp:effectExtent l="0" t="0" r="0" b="0"/>
              <wp:wrapNone/>
              <wp:docPr id="11" name="Graphic 1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1" name="Graphic 11"/>
                    <wps:cNvSpPr/>
                    <wps:spPr>
                      <a:xfrm>
                        <a:off x="0" y="0"/>
                        <a:ext cx="7556500" cy="53975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56500" h="539750">
                            <a:moveTo>
                              <a:pt x="7555992" y="0"/>
                            </a:moveTo>
                            <a:lnTo>
                              <a:pt x="7026910" y="0"/>
                            </a:lnTo>
                            <a:lnTo>
                              <a:pt x="6487414" y="0"/>
                            </a:lnTo>
                            <a:lnTo>
                              <a:pt x="541020" y="0"/>
                            </a:lnTo>
                            <a:lnTo>
                              <a:pt x="0" y="0"/>
                            </a:lnTo>
                            <a:lnTo>
                              <a:pt x="0" y="539496"/>
                            </a:lnTo>
                            <a:lnTo>
                              <a:pt x="541020" y="539496"/>
                            </a:lnTo>
                            <a:lnTo>
                              <a:pt x="6487414" y="539496"/>
                            </a:lnTo>
                            <a:lnTo>
                              <a:pt x="7026910" y="539496"/>
                            </a:lnTo>
                            <a:lnTo>
                              <a:pt x="7555992" y="539496"/>
                            </a:lnTo>
                            <a:lnTo>
                              <a:pt x="7555992" y="0"/>
                            </a:lnTo>
                            <a:close/>
                          </a:path>
                        </a:pathLst>
                      </a:custGeom>
                      <a:solidFill>
                        <a:srgbClr val="FBFB2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.36pt;margin-top:799.559998pt;width:595pt;height:42.5pt;mso-position-horizontal-relative:page;mso-position-vertical-relative:page;z-index:-16050688" id="docshape11" coordorigin="7,15991" coordsize="11900,850" path="m11906,15991l11073,15991,10224,15991,859,15991,7,15991,7,16841,859,16841,10224,16841,11073,16841,11906,16841,11906,15991xe" filled="true" fillcolor="#fbfb2f" stroked="false">
              <v:path arrowok="t"/>
              <v:fill type="solid"/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266304">
              <wp:simplePos x="0" y="0"/>
              <wp:positionH relativeFrom="page">
                <wp:posOffset>532891</wp:posOffset>
              </wp:positionH>
              <wp:positionV relativeFrom="page">
                <wp:posOffset>10341066</wp:posOffset>
              </wp:positionV>
              <wp:extent cx="3369945" cy="168275"/>
              <wp:effectExtent l="0" t="0" r="0" b="0"/>
              <wp:wrapNone/>
              <wp:docPr id="12" name="Textbox 1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2" name="Textbox 12"/>
                    <wps:cNvSpPr txBox="1"/>
                    <wps:spPr>
                      <a:xfrm>
                        <a:off x="0" y="0"/>
                        <a:ext cx="3369945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20"/>
                            <w:jc w:val="left"/>
                            <w:rPr>
                              <w:rFonts w:ascii="BancoDoBrasil Titulos Light" w:hAnsi="BancoDoBrasil Titulos Light"/>
                              <w:b w:val="0"/>
                            </w:rPr>
                          </w:pP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5"/>
                            </w:rPr>
                            <w:t>Banco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9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0"/>
                            </w:rPr>
                            <w:t>do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41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5"/>
                            </w:rPr>
                            <w:t>Brasil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9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</w:rPr>
                            <w:t>S.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-27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</w:rPr>
                            <w:t>A.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47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</w:rPr>
                            <w:t>|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9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6"/>
                            </w:rPr>
                            <w:t>Relações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43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1"/>
                            </w:rPr>
                            <w:t>com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42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4"/>
                            </w:rPr>
                            <w:t>Investidores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1.959999pt;margin-top:814.257202pt;width:265.350pt;height:13.25pt;mso-position-horizontal-relative:page;mso-position-vertical-relative:page;z-index:-16050176" type="#_x0000_t202" id="docshape12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20"/>
                      <w:jc w:val="left"/>
                      <w:rPr>
                        <w:rFonts w:ascii="BancoDoBrasil Titulos Light" w:hAnsi="BancoDoBrasil Titulos Light"/>
                        <w:b w:val="0"/>
                      </w:rPr>
                    </w:pP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5"/>
                      </w:rPr>
                      <w:t>Banco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9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0"/>
                      </w:rPr>
                      <w:t>do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41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5"/>
                      </w:rPr>
                      <w:t>Brasil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9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</w:rPr>
                      <w:t>S.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-27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</w:rPr>
                      <w:t>A.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47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</w:rPr>
                      <w:t>|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9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6"/>
                      </w:rPr>
                      <w:t>Relações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43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1"/>
                      </w:rPr>
                      <w:t>com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42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4"/>
                      </w:rPr>
                      <w:t>Investidores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266816">
              <wp:simplePos x="0" y="0"/>
              <wp:positionH relativeFrom="page">
                <wp:posOffset>6904990</wp:posOffset>
              </wp:positionH>
              <wp:positionV relativeFrom="page">
                <wp:posOffset>10341066</wp:posOffset>
              </wp:positionV>
              <wp:extent cx="164465" cy="168275"/>
              <wp:effectExtent l="0" t="0" r="0" b="0"/>
              <wp:wrapNone/>
              <wp:docPr id="13" name="Textbox 1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3" name="Textbox 13"/>
                    <wps:cNvSpPr txBox="1"/>
                    <wps:spPr>
                      <a:xfrm>
                        <a:off x="0" y="0"/>
                        <a:ext cx="164465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60"/>
                            <w:jc w:val="left"/>
                            <w:rPr>
                              <w:rFonts w:ascii="BancoDoBrasil Titulos Medium"/>
                              <w:b w:val="0"/>
                            </w:rPr>
                          </w:pP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10"/>
                            </w:rPr>
                            <w:instrText> PAGE </w:instrText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10"/>
                            </w:rPr>
                            <w:t>2</w:t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43.700012pt;margin-top:814.257202pt;width:12.95pt;height:13.25pt;mso-position-horizontal-relative:page;mso-position-vertical-relative:page;z-index:-16049664" type="#_x0000_t202" id="docshape13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60"/>
                      <w:jc w:val="left"/>
                      <w:rPr>
                        <w:rFonts w:ascii="BancoDoBrasil Titulos Medium"/>
                        <w:b w:val="0"/>
                      </w:rPr>
                    </w:pPr>
                    <w:r>
                      <w:rPr>
                        <w:rFonts w:ascii="BancoDoBrasil Titulos Medium"/>
                        <w:b w:val="0"/>
                        <w:color w:val="465EFF"/>
                        <w:spacing w:val="-10"/>
                      </w:rPr>
                      <w:fldChar w:fldCharType="begin"/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10"/>
                      </w:rPr>
                      <w:instrText> PAGE </w:instrText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10"/>
                      </w:rPr>
                      <w:fldChar w:fldCharType="separate"/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10"/>
                      </w:rPr>
                      <w:t>2</w:t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10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2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267840">
              <wp:simplePos x="0" y="0"/>
              <wp:positionH relativeFrom="page">
                <wp:posOffset>4572</wp:posOffset>
              </wp:positionH>
              <wp:positionV relativeFrom="page">
                <wp:posOffset>10140708</wp:posOffset>
              </wp:positionV>
              <wp:extent cx="7556500" cy="539750"/>
              <wp:effectExtent l="0" t="0" r="0" b="0"/>
              <wp:wrapNone/>
              <wp:docPr id="22" name="Graphic 22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2" name="Graphic 22"/>
                    <wps:cNvSpPr/>
                    <wps:spPr>
                      <a:xfrm>
                        <a:off x="0" y="0"/>
                        <a:ext cx="7556500" cy="53975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56500" h="539750">
                            <a:moveTo>
                              <a:pt x="539483" y="0"/>
                            </a:moveTo>
                            <a:lnTo>
                              <a:pt x="0" y="0"/>
                            </a:lnTo>
                            <a:lnTo>
                              <a:pt x="0" y="539483"/>
                            </a:lnTo>
                            <a:lnTo>
                              <a:pt x="539483" y="539483"/>
                            </a:lnTo>
                            <a:lnTo>
                              <a:pt x="539483" y="0"/>
                            </a:lnTo>
                            <a:close/>
                          </a:path>
                          <a:path w="7556500" h="539750">
                            <a:moveTo>
                              <a:pt x="7555992" y="0"/>
                            </a:moveTo>
                            <a:lnTo>
                              <a:pt x="7025386" y="0"/>
                            </a:lnTo>
                            <a:lnTo>
                              <a:pt x="6485890" y="0"/>
                            </a:lnTo>
                            <a:lnTo>
                              <a:pt x="539496" y="0"/>
                            </a:lnTo>
                            <a:lnTo>
                              <a:pt x="539496" y="539483"/>
                            </a:lnTo>
                            <a:lnTo>
                              <a:pt x="6485890" y="539483"/>
                            </a:lnTo>
                            <a:lnTo>
                              <a:pt x="7025386" y="539483"/>
                            </a:lnTo>
                            <a:lnTo>
                              <a:pt x="7555992" y="539483"/>
                            </a:lnTo>
                            <a:lnTo>
                              <a:pt x="7555992" y="0"/>
                            </a:lnTo>
                            <a:close/>
                          </a:path>
                        </a:pathLst>
                      </a:custGeom>
                      <a:solidFill>
                        <a:srgbClr val="FBFB2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.36pt;margin-top:798.480957pt;width:595pt;height:42.5pt;mso-position-horizontal-relative:page;mso-position-vertical-relative:page;z-index:-16048640" id="docshape22" coordorigin="7,15970" coordsize="11900,850" path="m857,15970l7,15970,7,16819,857,16819,857,15970xm11906,15970l11071,15970,10221,15970,857,15970,857,16819,10221,16819,11071,16819,11906,16819,11906,15970xe" filled="true" fillcolor="#fbfb2f" stroked="false">
              <v:path arrowok="t"/>
              <v:fill type="solid"/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268352">
              <wp:simplePos x="0" y="0"/>
              <wp:positionH relativeFrom="page">
                <wp:posOffset>531368</wp:posOffset>
              </wp:positionH>
              <wp:positionV relativeFrom="page">
                <wp:posOffset>10327350</wp:posOffset>
              </wp:positionV>
              <wp:extent cx="3369945" cy="168275"/>
              <wp:effectExtent l="0" t="0" r="0" b="0"/>
              <wp:wrapNone/>
              <wp:docPr id="23" name="Textbox 23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3" name="Textbox 23"/>
                    <wps:cNvSpPr txBox="1"/>
                    <wps:spPr>
                      <a:xfrm>
                        <a:off x="0" y="0"/>
                        <a:ext cx="3369945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20"/>
                            <w:jc w:val="left"/>
                            <w:rPr>
                              <w:rFonts w:ascii="BancoDoBrasil Titulos Light" w:hAnsi="BancoDoBrasil Titulos Light"/>
                              <w:b w:val="0"/>
                            </w:rPr>
                          </w:pP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5"/>
                            </w:rPr>
                            <w:t>Banco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9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0"/>
                            </w:rPr>
                            <w:t>do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41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5"/>
                            </w:rPr>
                            <w:t>Brasil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9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</w:rPr>
                            <w:t>S.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-27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</w:rPr>
                            <w:t>A.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47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</w:rPr>
                            <w:t>|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9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6"/>
                            </w:rPr>
                            <w:t>Relações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43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1"/>
                            </w:rPr>
                            <w:t>com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42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4"/>
                            </w:rPr>
                            <w:t>Investidores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1.84pt;margin-top:813.177185pt;width:265.350pt;height:13.25pt;mso-position-horizontal-relative:page;mso-position-vertical-relative:page;z-index:-16048128" type="#_x0000_t202" id="docshape23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20"/>
                      <w:jc w:val="left"/>
                      <w:rPr>
                        <w:rFonts w:ascii="BancoDoBrasil Titulos Light" w:hAnsi="BancoDoBrasil Titulos Light"/>
                        <w:b w:val="0"/>
                      </w:rPr>
                    </w:pP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5"/>
                      </w:rPr>
                      <w:t>Banco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9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0"/>
                      </w:rPr>
                      <w:t>do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41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5"/>
                      </w:rPr>
                      <w:t>Brasil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9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</w:rPr>
                      <w:t>S.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-27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</w:rPr>
                      <w:t>A.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47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</w:rPr>
                      <w:t>|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9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6"/>
                      </w:rPr>
                      <w:t>Relações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43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1"/>
                      </w:rPr>
                      <w:t>com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42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4"/>
                      </w:rPr>
                      <w:t>Investidores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268864">
              <wp:simplePos x="0" y="0"/>
              <wp:positionH relativeFrom="page">
                <wp:posOffset>6895845</wp:posOffset>
              </wp:positionH>
              <wp:positionV relativeFrom="page">
                <wp:posOffset>10327350</wp:posOffset>
              </wp:positionV>
              <wp:extent cx="172085" cy="168275"/>
              <wp:effectExtent l="0" t="0" r="0" b="0"/>
              <wp:wrapNone/>
              <wp:docPr id="24" name="Textbox 2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4" name="Textbox 24"/>
                    <wps:cNvSpPr txBox="1"/>
                    <wps:spPr>
                      <a:xfrm>
                        <a:off x="0" y="0"/>
                        <a:ext cx="172085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60"/>
                            <w:jc w:val="left"/>
                            <w:rPr>
                              <w:rFonts w:ascii="BancoDoBrasil Titulos Medium"/>
                              <w:b w:val="0"/>
                            </w:rPr>
                          </w:pP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10"/>
                            </w:rPr>
                            <w:fldChar w:fldCharType="begin"/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10"/>
                            </w:rPr>
                            <w:instrText> PAGE </w:instrText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10"/>
                            </w:rPr>
                            <w:fldChar w:fldCharType="separate"/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10"/>
                            </w:rPr>
                            <w:t>4</w:t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10"/>
                            </w:rPr>
                            <w:fldChar w:fldCharType="end"/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42.979980pt;margin-top:813.177185pt;width:13.55pt;height:13.25pt;mso-position-horizontal-relative:page;mso-position-vertical-relative:page;z-index:-16047616" type="#_x0000_t202" id="docshape24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60"/>
                      <w:jc w:val="left"/>
                      <w:rPr>
                        <w:rFonts w:ascii="BancoDoBrasil Titulos Medium"/>
                        <w:b w:val="0"/>
                      </w:rPr>
                    </w:pPr>
                    <w:r>
                      <w:rPr>
                        <w:rFonts w:ascii="BancoDoBrasil Titulos Medium"/>
                        <w:b w:val="0"/>
                        <w:color w:val="465EFF"/>
                        <w:spacing w:val="-10"/>
                      </w:rPr>
                      <w:fldChar w:fldCharType="begin"/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10"/>
                      </w:rPr>
                      <w:instrText> PAGE </w:instrText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10"/>
                      </w:rPr>
                      <w:fldChar w:fldCharType="separate"/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10"/>
                      </w:rPr>
                      <w:t>4</w:t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10"/>
                      </w:rPr>
                      <w:fldChar w:fldCharType="end"/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footer3.xml><?xml version="1.0" encoding="utf-8"?>
<w:ft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270912">
              <wp:simplePos x="0" y="0"/>
              <wp:positionH relativeFrom="page">
                <wp:posOffset>4572</wp:posOffset>
              </wp:positionH>
              <wp:positionV relativeFrom="page">
                <wp:posOffset>10140708</wp:posOffset>
              </wp:positionV>
              <wp:extent cx="7556500" cy="539750"/>
              <wp:effectExtent l="0" t="0" r="0" b="0"/>
              <wp:wrapNone/>
              <wp:docPr id="37" name="Graphic 37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7" name="Graphic 37"/>
                    <wps:cNvSpPr/>
                    <wps:spPr>
                      <a:xfrm>
                        <a:off x="0" y="0"/>
                        <a:ext cx="7556500" cy="53975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56500" h="539750">
                            <a:moveTo>
                              <a:pt x="539483" y="0"/>
                            </a:moveTo>
                            <a:lnTo>
                              <a:pt x="0" y="0"/>
                            </a:lnTo>
                            <a:lnTo>
                              <a:pt x="0" y="539483"/>
                            </a:lnTo>
                            <a:lnTo>
                              <a:pt x="539483" y="539483"/>
                            </a:lnTo>
                            <a:lnTo>
                              <a:pt x="539483" y="0"/>
                            </a:lnTo>
                            <a:close/>
                          </a:path>
                          <a:path w="7556500" h="539750">
                            <a:moveTo>
                              <a:pt x="7555992" y="0"/>
                            </a:moveTo>
                            <a:lnTo>
                              <a:pt x="7025386" y="0"/>
                            </a:lnTo>
                            <a:lnTo>
                              <a:pt x="6485890" y="0"/>
                            </a:lnTo>
                            <a:lnTo>
                              <a:pt x="539496" y="0"/>
                            </a:lnTo>
                            <a:lnTo>
                              <a:pt x="539496" y="539483"/>
                            </a:lnTo>
                            <a:lnTo>
                              <a:pt x="6485890" y="539483"/>
                            </a:lnTo>
                            <a:lnTo>
                              <a:pt x="7025386" y="539483"/>
                            </a:lnTo>
                            <a:lnTo>
                              <a:pt x="7555992" y="539483"/>
                            </a:lnTo>
                            <a:lnTo>
                              <a:pt x="7555992" y="0"/>
                            </a:lnTo>
                            <a:close/>
                          </a:path>
                        </a:pathLst>
                      </a:custGeom>
                      <a:solidFill>
                        <a:srgbClr val="FBFB2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.36pt;margin-top:798.480957pt;width:595pt;height:42.5pt;mso-position-horizontal-relative:page;mso-position-vertical-relative:page;z-index:-16045568" id="docshape37" coordorigin="7,15970" coordsize="11900,850" path="m857,15970l7,15970,7,16819,857,16819,857,15970xm11906,15970l11071,15970,10221,15970,857,15970,857,16819,10221,16819,11071,16819,11906,16819,11906,15970xe" filled="true" fillcolor="#fbfb2f" stroked="false">
              <v:path arrowok="t"/>
              <v:fill type="solid"/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271424">
              <wp:simplePos x="0" y="0"/>
              <wp:positionH relativeFrom="page">
                <wp:posOffset>531368</wp:posOffset>
              </wp:positionH>
              <wp:positionV relativeFrom="page">
                <wp:posOffset>10327350</wp:posOffset>
              </wp:positionV>
              <wp:extent cx="3369945" cy="168275"/>
              <wp:effectExtent l="0" t="0" r="0" b="0"/>
              <wp:wrapNone/>
              <wp:docPr id="38" name="Textbox 3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8" name="Textbox 38"/>
                    <wps:cNvSpPr txBox="1"/>
                    <wps:spPr>
                      <a:xfrm>
                        <a:off x="0" y="0"/>
                        <a:ext cx="3369945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20"/>
                            <w:jc w:val="left"/>
                            <w:rPr>
                              <w:rFonts w:ascii="BancoDoBrasil Titulos Light" w:hAnsi="BancoDoBrasil Titulos Light"/>
                              <w:b w:val="0"/>
                            </w:rPr>
                          </w:pP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5"/>
                            </w:rPr>
                            <w:t>Banco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9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0"/>
                            </w:rPr>
                            <w:t>do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41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15"/>
                            </w:rPr>
                            <w:t>Brasil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9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</w:rPr>
                            <w:t>S.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-27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</w:rPr>
                            <w:t>A.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47"/>
                            </w:rPr>
                            <w:t> 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</w:rPr>
                            <w:t>|</w:t>
                          </w:r>
                          <w:r>
                            <w:rPr>
                              <w:rFonts w:ascii="BancoDoBrasil Titulos Medium" w:hAnsi="BancoDoBrasil Titulos Medium"/>
                              <w:b w:val="0"/>
                              <w:color w:val="465EFF"/>
                              <w:spacing w:val="39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6"/>
                            </w:rPr>
                            <w:t>Relações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43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1"/>
                            </w:rPr>
                            <w:t>com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42"/>
                            </w:rPr>
                            <w:t> </w:t>
                          </w:r>
                          <w:r>
                            <w:rPr>
                              <w:rFonts w:ascii="BancoDoBrasil Titulos Light" w:hAnsi="BancoDoBrasil Titulos Light"/>
                              <w:b w:val="0"/>
                              <w:color w:val="465EFF"/>
                              <w:spacing w:val="14"/>
                            </w:rPr>
                            <w:t>Investidores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1.84pt;margin-top:813.177185pt;width:265.350pt;height:13.25pt;mso-position-horizontal-relative:page;mso-position-vertical-relative:page;z-index:-16045056" type="#_x0000_t202" id="docshape38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20"/>
                      <w:jc w:val="left"/>
                      <w:rPr>
                        <w:rFonts w:ascii="BancoDoBrasil Titulos Light" w:hAnsi="BancoDoBrasil Titulos Light"/>
                        <w:b w:val="0"/>
                      </w:rPr>
                    </w:pP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5"/>
                      </w:rPr>
                      <w:t>Banco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9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0"/>
                      </w:rPr>
                      <w:t>do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41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15"/>
                      </w:rPr>
                      <w:t>Brasil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9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</w:rPr>
                      <w:t>S.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-27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</w:rPr>
                      <w:t>A.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47"/>
                      </w:rPr>
                      <w:t> 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</w:rPr>
                      <w:t>|</w:t>
                    </w:r>
                    <w:r>
                      <w:rPr>
                        <w:rFonts w:ascii="BancoDoBrasil Titulos Medium" w:hAnsi="BancoDoBrasil Titulos Medium"/>
                        <w:b w:val="0"/>
                        <w:color w:val="465EFF"/>
                        <w:spacing w:val="39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6"/>
                      </w:rPr>
                      <w:t>Relações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43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1"/>
                      </w:rPr>
                      <w:t>com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42"/>
                      </w:rPr>
                      <w:t> </w:t>
                    </w:r>
                    <w:r>
                      <w:rPr>
                        <w:rFonts w:ascii="BancoDoBrasil Titulos Light" w:hAnsi="BancoDoBrasil Titulos Light"/>
                        <w:b w:val="0"/>
                        <w:color w:val="465EFF"/>
                        <w:spacing w:val="14"/>
                      </w:rPr>
                      <w:t>Investidores</w:t>
                    </w:r>
                  </w:p>
                </w:txbxContent>
              </v:textbox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271936">
              <wp:simplePos x="0" y="0"/>
              <wp:positionH relativeFrom="page">
                <wp:posOffset>6845045</wp:posOffset>
              </wp:positionH>
              <wp:positionV relativeFrom="page">
                <wp:posOffset>10327350</wp:posOffset>
              </wp:positionV>
              <wp:extent cx="235585" cy="168275"/>
              <wp:effectExtent l="0" t="0" r="0" b="0"/>
              <wp:wrapNone/>
              <wp:docPr id="39" name="Textbox 39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9" name="Textbox 39"/>
                    <wps:cNvSpPr txBox="1"/>
                    <wps:spPr>
                      <a:xfrm>
                        <a:off x="0" y="0"/>
                        <a:ext cx="235585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20"/>
                            <w:jc w:val="left"/>
                            <w:rPr>
                              <w:rFonts w:ascii="BancoDoBrasil Titulos Medium"/>
                              <w:b w:val="0"/>
                            </w:rPr>
                          </w:pP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fldChar w:fldCharType="begin"/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instrText> PAGE </w:instrText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fldChar w:fldCharType="separate"/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t>10</w:t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fldChar w:fldCharType="end"/>
                          </w:r>
                          <w:r>
                            <w:rPr>
                              <w:rFonts w:ascii="BancoDoBrasil Titulos Medium"/>
                              <w:b w:val="0"/>
                              <w:color w:val="465EFF"/>
                              <w:spacing w:val="-5"/>
                            </w:rPr>
                            <w:t> 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38.979980pt;margin-top:813.177185pt;width:18.55pt;height:13.25pt;mso-position-horizontal-relative:page;mso-position-vertical-relative:page;z-index:-16044544" type="#_x0000_t202" id="docshape39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20"/>
                      <w:jc w:val="left"/>
                      <w:rPr>
                        <w:rFonts w:ascii="BancoDoBrasil Titulos Medium"/>
                        <w:b w:val="0"/>
                      </w:rPr>
                    </w:pP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fldChar w:fldCharType="begin"/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instrText> PAGE </w:instrText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fldChar w:fldCharType="separate"/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t>10</w:t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fldChar w:fldCharType="end"/>
                    </w:r>
                    <w:r>
                      <w:rPr>
                        <w:rFonts w:ascii="BancoDoBrasil Titulos Medium"/>
                        <w:b w:val="0"/>
                        <w:color w:val="465EFF"/>
                        <w:spacing w:val="-5"/>
                      </w:rPr>
                      <w:t> </w:t>
                    </w:r>
                  </w:p>
                </w:txbxContent>
              </v:textbox>
              <w10:wrap type="none"/>
            </v:shape>
          </w:pict>
        </mc:Fallback>
      </mc:AlternateContent>
    </w:r>
  </w:p>
</w:ftr>
</file>

<file path=word/header1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264256">
              <wp:simplePos x="0" y="0"/>
              <wp:positionH relativeFrom="page">
                <wp:posOffset>6659181</wp:posOffset>
              </wp:positionH>
              <wp:positionV relativeFrom="page">
                <wp:posOffset>96531</wp:posOffset>
              </wp:positionV>
              <wp:extent cx="353695" cy="346710"/>
              <wp:effectExtent l="0" t="0" r="0" b="0"/>
              <wp:wrapNone/>
              <wp:docPr id="8" name="Graphic 8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8" name="Graphic 8"/>
                    <wps:cNvSpPr/>
                    <wps:spPr>
                      <a:xfrm>
                        <a:off x="0" y="0"/>
                        <a:ext cx="353695" cy="34671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353695" h="346710">
                            <a:moveTo>
                              <a:pt x="71615" y="300278"/>
                            </a:moveTo>
                            <a:lnTo>
                              <a:pt x="35052" y="275628"/>
                            </a:lnTo>
                            <a:lnTo>
                              <a:pt x="0" y="297815"/>
                            </a:lnTo>
                            <a:lnTo>
                              <a:pt x="0" y="346506"/>
                            </a:lnTo>
                            <a:lnTo>
                              <a:pt x="71615" y="300278"/>
                            </a:lnTo>
                            <a:close/>
                          </a:path>
                          <a:path w="353695" h="346710">
                            <a:moveTo>
                              <a:pt x="350850" y="230276"/>
                            </a:moveTo>
                            <a:lnTo>
                              <a:pt x="278193" y="181483"/>
                            </a:lnTo>
                            <a:lnTo>
                              <a:pt x="192201" y="239649"/>
                            </a:lnTo>
                            <a:lnTo>
                              <a:pt x="228282" y="263994"/>
                            </a:lnTo>
                            <a:lnTo>
                              <a:pt x="180835" y="296824"/>
                            </a:lnTo>
                            <a:lnTo>
                              <a:pt x="76568" y="226834"/>
                            </a:lnTo>
                            <a:lnTo>
                              <a:pt x="245579" y="117411"/>
                            </a:lnTo>
                            <a:lnTo>
                              <a:pt x="208013" y="92748"/>
                            </a:lnTo>
                            <a:lnTo>
                              <a:pt x="0" y="230276"/>
                            </a:lnTo>
                            <a:lnTo>
                              <a:pt x="176707" y="346506"/>
                            </a:lnTo>
                            <a:lnTo>
                              <a:pt x="350850" y="230276"/>
                            </a:lnTo>
                            <a:close/>
                          </a:path>
                          <a:path w="353695" h="346710">
                            <a:moveTo>
                              <a:pt x="350850" y="115430"/>
                            </a:moveTo>
                            <a:lnTo>
                              <a:pt x="176707" y="0"/>
                            </a:lnTo>
                            <a:lnTo>
                              <a:pt x="0" y="113461"/>
                            </a:lnTo>
                            <a:lnTo>
                              <a:pt x="74091" y="162750"/>
                            </a:lnTo>
                            <a:lnTo>
                              <a:pt x="159092" y="106070"/>
                            </a:lnTo>
                            <a:lnTo>
                              <a:pt x="123507" y="80429"/>
                            </a:lnTo>
                            <a:lnTo>
                              <a:pt x="171945" y="48399"/>
                            </a:lnTo>
                            <a:lnTo>
                              <a:pt x="274243" y="116916"/>
                            </a:lnTo>
                            <a:lnTo>
                              <a:pt x="108191" y="228803"/>
                            </a:lnTo>
                            <a:lnTo>
                              <a:pt x="143281" y="252463"/>
                            </a:lnTo>
                            <a:lnTo>
                              <a:pt x="350850" y="115430"/>
                            </a:lnTo>
                            <a:close/>
                          </a:path>
                          <a:path w="353695" h="346710">
                            <a:moveTo>
                              <a:pt x="353402" y="0"/>
                            </a:moveTo>
                            <a:lnTo>
                              <a:pt x="282155" y="45440"/>
                            </a:lnTo>
                            <a:lnTo>
                              <a:pt x="320205" y="72059"/>
                            </a:lnTo>
                            <a:lnTo>
                              <a:pt x="353402" y="50368"/>
                            </a:lnTo>
                            <a:lnTo>
                              <a:pt x="353402" y="0"/>
                            </a:lnTo>
                            <a:close/>
                          </a:path>
                        </a:pathLst>
                      </a:custGeom>
                      <a:solidFill>
                        <a:srgbClr val="465E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24.345032pt;margin-top:7.600938pt;width:27.85pt;height:27.3pt;mso-position-horizontal-relative:page;mso-position-vertical-relative:page;z-index:-16052224" id="docshape8" coordorigin="10487,152" coordsize="557,546" path="m10600,625l10542,586,10487,621,10487,698,10600,625xm11039,515l10925,438,10790,529,10846,568,10772,619,10607,509,10874,337,10814,298,10487,515,10765,698,11039,515xm11039,334l10765,152,10487,331,10604,408,10737,319,10681,279,10758,228,10919,336,10657,512,10713,550,11039,334xm11043,152l10931,224,10991,265,11043,231,11043,152xe" filled="true" fillcolor="#465eff" stroked="false">
              <v:path arrowok="t"/>
              <v:fill type="solid"/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264768">
              <wp:simplePos x="0" y="0"/>
              <wp:positionH relativeFrom="page">
                <wp:posOffset>0</wp:posOffset>
              </wp:positionH>
              <wp:positionV relativeFrom="page">
                <wp:posOffset>539495</wp:posOffset>
              </wp:positionV>
              <wp:extent cx="7560945" cy="38100"/>
              <wp:effectExtent l="0" t="0" r="0" b="0"/>
              <wp:wrapNone/>
              <wp:docPr id="9" name="Graphic 9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9" name="Graphic 9"/>
                    <wps:cNvSpPr/>
                    <wps:spPr>
                      <a:xfrm>
                        <a:off x="0" y="0"/>
                        <a:ext cx="7560945" cy="3810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945" h="38100">
                            <a:moveTo>
                              <a:pt x="7560564" y="0"/>
                            </a:moveTo>
                            <a:lnTo>
                              <a:pt x="7560564" y="0"/>
                            </a:lnTo>
                            <a:lnTo>
                              <a:pt x="0" y="0"/>
                            </a:lnTo>
                            <a:lnTo>
                              <a:pt x="0" y="38100"/>
                            </a:lnTo>
                            <a:lnTo>
                              <a:pt x="7560564" y="38100"/>
                            </a:lnTo>
                            <a:lnTo>
                              <a:pt x="7560564" y="0"/>
                            </a:lnTo>
                            <a:close/>
                          </a:path>
                        </a:pathLst>
                      </a:custGeom>
                      <a:solidFill>
                        <a:srgbClr val="FCF429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style="position:absolute;margin-left:0pt;margin-top:42.479939pt;width:595.320028pt;height:3.0pt;mso-position-horizontal-relative:page;mso-position-vertical-relative:page;z-index:-16051712" id="docshape9" filled="true" fillcolor="#fcf429" stroked="false">
              <v:fill type="solid"/>
              <w10:wrap type="none"/>
            </v:rect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265280">
              <wp:simplePos x="0" y="0"/>
              <wp:positionH relativeFrom="page">
                <wp:posOffset>525272</wp:posOffset>
              </wp:positionH>
              <wp:positionV relativeFrom="page">
                <wp:posOffset>186654</wp:posOffset>
              </wp:positionV>
              <wp:extent cx="2519680" cy="168275"/>
              <wp:effectExtent l="0" t="0" r="0" b="0"/>
              <wp:wrapNone/>
              <wp:docPr id="10" name="Textbox 10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10" name="Textbox 10"/>
                    <wps:cNvSpPr txBox="1"/>
                    <wps:spPr>
                      <a:xfrm>
                        <a:off x="0" y="0"/>
                        <a:ext cx="2519680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20"/>
                            <w:jc w:val="left"/>
                            <w:rPr>
                              <w:rFonts w:ascii="BancoDoBrasil Textos Medium" w:hAnsi="BancoDoBrasil Textos Medium"/>
                              <w:b w:val="0"/>
                            </w:rPr>
                          </w:pP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5"/>
                            </w:rPr>
                            <w:t>Relatório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2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1"/>
                            </w:rPr>
                            <w:t>da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1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7"/>
                            </w:rPr>
                            <w:t>Administração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7"/>
                            </w:rPr>
                            <w:t> </w:t>
                          </w:r>
                          <w:r>
                            <w:rPr>
                              <w:rFonts w:ascii="BancoDoBrasil Textos Light" w:hAnsi="BancoDoBrasil Textos Light"/>
                              <w:b w:val="0"/>
                              <w:color w:val="465EFF"/>
                            </w:rPr>
                            <w:t>|</w:t>
                          </w:r>
                          <w:r>
                            <w:rPr>
                              <w:rFonts w:ascii="BancoDoBrasil Textos Light" w:hAnsi="BancoDoBrasil Textos Light"/>
                              <w:b w:val="0"/>
                              <w:color w:val="465EFF"/>
                              <w:spacing w:val="37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1"/>
                            </w:rPr>
                            <w:t>9M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-28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1"/>
                            </w:rPr>
                            <w:t>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type id="_x0000_t202" o:spt="202" coordsize="21600,21600" path="m,l,21600r21600,l21600,xe">
              <v:stroke joinstyle="miter"/>
              <v:path gradientshapeok="t" o:connecttype="rect"/>
            </v:shapetype>
            <v:shape style="position:absolute;margin-left:41.360001pt;margin-top:14.697178pt;width:198.4pt;height:13.25pt;mso-position-horizontal-relative:page;mso-position-vertical-relative:page;z-index:-16051200" type="#_x0000_t202" id="docshape10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20"/>
                      <w:jc w:val="left"/>
                      <w:rPr>
                        <w:rFonts w:ascii="BancoDoBrasil Textos Medium" w:hAnsi="BancoDoBrasil Textos Medium"/>
                        <w:b w:val="0"/>
                      </w:rPr>
                    </w:pP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5"/>
                      </w:rPr>
                      <w:t>Relatório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2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1"/>
                      </w:rPr>
                      <w:t>da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1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7"/>
                      </w:rPr>
                      <w:t>Administração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7"/>
                      </w:rPr>
                      <w:t> </w:t>
                    </w:r>
                    <w:r>
                      <w:rPr>
                        <w:rFonts w:ascii="BancoDoBrasil Textos Light" w:hAnsi="BancoDoBrasil Textos Light"/>
                        <w:b w:val="0"/>
                        <w:color w:val="465EFF"/>
                      </w:rPr>
                      <w:t>|</w:t>
                    </w:r>
                    <w:r>
                      <w:rPr>
                        <w:rFonts w:ascii="BancoDoBrasil Textos Light" w:hAnsi="BancoDoBrasil Textos Light"/>
                        <w:b w:val="0"/>
                        <w:color w:val="465EFF"/>
                        <w:spacing w:val="37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1"/>
                      </w:rPr>
                      <w:t>9M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-28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1"/>
                      </w:rPr>
                      <w:t>24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2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267328">
              <wp:simplePos x="0" y="0"/>
              <wp:positionH relativeFrom="page">
                <wp:posOffset>525272</wp:posOffset>
              </wp:positionH>
              <wp:positionV relativeFrom="page">
                <wp:posOffset>186654</wp:posOffset>
              </wp:positionV>
              <wp:extent cx="2519680" cy="168275"/>
              <wp:effectExtent l="0" t="0" r="0" b="0"/>
              <wp:wrapNone/>
              <wp:docPr id="21" name="Textbox 21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21" name="Textbox 21"/>
                    <wps:cNvSpPr txBox="1"/>
                    <wps:spPr>
                      <a:xfrm>
                        <a:off x="0" y="0"/>
                        <a:ext cx="2519680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20"/>
                            <w:jc w:val="left"/>
                            <w:rPr>
                              <w:rFonts w:ascii="BancoDoBrasil Textos Medium" w:hAnsi="BancoDoBrasil Textos Medium"/>
                              <w:b w:val="0"/>
                            </w:rPr>
                          </w:pP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5"/>
                            </w:rPr>
                            <w:t>Relatório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2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1"/>
                            </w:rPr>
                            <w:t>da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1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7"/>
                            </w:rPr>
                            <w:t>Administração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7"/>
                            </w:rPr>
                            <w:t> </w:t>
                          </w:r>
                          <w:r>
                            <w:rPr>
                              <w:rFonts w:ascii="BancoDoBrasil Textos Light" w:hAnsi="BancoDoBrasil Textos Light"/>
                              <w:b w:val="0"/>
                              <w:color w:val="465EFF"/>
                            </w:rPr>
                            <w:t>|</w:t>
                          </w:r>
                          <w:r>
                            <w:rPr>
                              <w:rFonts w:ascii="BancoDoBrasil Textos Light" w:hAnsi="BancoDoBrasil Textos Light"/>
                              <w:b w:val="0"/>
                              <w:color w:val="465EFF"/>
                              <w:spacing w:val="37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1"/>
                            </w:rPr>
                            <w:t>9M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-28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1"/>
                            </w:rPr>
                            <w:t>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1.360001pt;margin-top:14.697178pt;width:198.4pt;height:13.25pt;mso-position-horizontal-relative:page;mso-position-vertical-relative:page;z-index:-16049152" type="#_x0000_t202" id="docshape21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20"/>
                      <w:jc w:val="left"/>
                      <w:rPr>
                        <w:rFonts w:ascii="BancoDoBrasil Textos Medium" w:hAnsi="BancoDoBrasil Textos Medium"/>
                        <w:b w:val="0"/>
                      </w:rPr>
                    </w:pP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5"/>
                      </w:rPr>
                      <w:t>Relatório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2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1"/>
                      </w:rPr>
                      <w:t>da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1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7"/>
                      </w:rPr>
                      <w:t>Administração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7"/>
                      </w:rPr>
                      <w:t> </w:t>
                    </w:r>
                    <w:r>
                      <w:rPr>
                        <w:rFonts w:ascii="BancoDoBrasil Textos Light" w:hAnsi="BancoDoBrasil Textos Light"/>
                        <w:b w:val="0"/>
                        <w:color w:val="465EFF"/>
                      </w:rPr>
                      <w:t>|</w:t>
                    </w:r>
                    <w:r>
                      <w:rPr>
                        <w:rFonts w:ascii="BancoDoBrasil Textos Light" w:hAnsi="BancoDoBrasil Textos Light"/>
                        <w:b w:val="0"/>
                        <w:color w:val="465EFF"/>
                        <w:spacing w:val="37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1"/>
                      </w:rPr>
                      <w:t>9M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-28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1"/>
                      </w:rPr>
                      <w:t>24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header3.xml><?xml version="1.0" encoding="utf-8"?>
<w:hdr xmlns:mc="http://schemas.openxmlformats.org/markup-compatibility/2006"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a="http://schemas.openxmlformats.org/drawingml/2006/main" xmlns:pic="http://schemas.openxmlformats.org/drawingml/2006/picture" xmlns:wpg="http://schemas.microsoft.com/office/word/2010/wordprocessingGroup" xmlns:wps="http://schemas.microsoft.com/office/word/2010/wordprocessingShape" xmlns:w14="http://schemas.microsoft.com/office/word/2010/wordml" mc:Ignorable="w14" xml:space="preserve">
  <w:p>
    <w:pPr>
      <w:pStyle w:val="BodyText"/>
      <w:spacing w:line="14" w:lineRule="auto"/>
      <w:jc w:val="left"/>
    </w:pPr>
    <w:r>
      <w:rPr/>
      <mc:AlternateContent>
        <mc:Choice Requires="wps">
          <w:drawing>
            <wp:anchor distT="0" distB="0" distL="0" distR="0" allowOverlap="1" layoutInCell="1" locked="0" behindDoc="1" simplePos="0" relativeHeight="487269376">
              <wp:simplePos x="0" y="0"/>
              <wp:positionH relativeFrom="page">
                <wp:posOffset>6659181</wp:posOffset>
              </wp:positionH>
              <wp:positionV relativeFrom="page">
                <wp:posOffset>96531</wp:posOffset>
              </wp:positionV>
              <wp:extent cx="353695" cy="346710"/>
              <wp:effectExtent l="0" t="0" r="0" b="0"/>
              <wp:wrapNone/>
              <wp:docPr id="34" name="Graphic 34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4" name="Graphic 34"/>
                    <wps:cNvSpPr/>
                    <wps:spPr>
                      <a:xfrm>
                        <a:off x="0" y="0"/>
                        <a:ext cx="353695" cy="34671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353695" h="346710">
                            <a:moveTo>
                              <a:pt x="71615" y="300278"/>
                            </a:moveTo>
                            <a:lnTo>
                              <a:pt x="35052" y="275628"/>
                            </a:lnTo>
                            <a:lnTo>
                              <a:pt x="0" y="297815"/>
                            </a:lnTo>
                            <a:lnTo>
                              <a:pt x="0" y="346506"/>
                            </a:lnTo>
                            <a:lnTo>
                              <a:pt x="71615" y="300278"/>
                            </a:lnTo>
                            <a:close/>
                          </a:path>
                          <a:path w="353695" h="346710">
                            <a:moveTo>
                              <a:pt x="350850" y="230276"/>
                            </a:moveTo>
                            <a:lnTo>
                              <a:pt x="278193" y="181483"/>
                            </a:lnTo>
                            <a:lnTo>
                              <a:pt x="192201" y="239649"/>
                            </a:lnTo>
                            <a:lnTo>
                              <a:pt x="228282" y="263994"/>
                            </a:lnTo>
                            <a:lnTo>
                              <a:pt x="180835" y="296824"/>
                            </a:lnTo>
                            <a:lnTo>
                              <a:pt x="76568" y="226834"/>
                            </a:lnTo>
                            <a:lnTo>
                              <a:pt x="245579" y="117411"/>
                            </a:lnTo>
                            <a:lnTo>
                              <a:pt x="208013" y="92748"/>
                            </a:lnTo>
                            <a:lnTo>
                              <a:pt x="0" y="230276"/>
                            </a:lnTo>
                            <a:lnTo>
                              <a:pt x="176707" y="346506"/>
                            </a:lnTo>
                            <a:lnTo>
                              <a:pt x="350850" y="230276"/>
                            </a:lnTo>
                            <a:close/>
                          </a:path>
                          <a:path w="353695" h="346710">
                            <a:moveTo>
                              <a:pt x="350850" y="115430"/>
                            </a:moveTo>
                            <a:lnTo>
                              <a:pt x="176707" y="0"/>
                            </a:lnTo>
                            <a:lnTo>
                              <a:pt x="0" y="113461"/>
                            </a:lnTo>
                            <a:lnTo>
                              <a:pt x="74091" y="162750"/>
                            </a:lnTo>
                            <a:lnTo>
                              <a:pt x="159092" y="106070"/>
                            </a:lnTo>
                            <a:lnTo>
                              <a:pt x="123507" y="80429"/>
                            </a:lnTo>
                            <a:lnTo>
                              <a:pt x="171945" y="48399"/>
                            </a:lnTo>
                            <a:lnTo>
                              <a:pt x="274243" y="116916"/>
                            </a:lnTo>
                            <a:lnTo>
                              <a:pt x="108191" y="228803"/>
                            </a:lnTo>
                            <a:lnTo>
                              <a:pt x="143281" y="252463"/>
                            </a:lnTo>
                            <a:lnTo>
                              <a:pt x="350850" y="115430"/>
                            </a:lnTo>
                            <a:close/>
                          </a:path>
                          <a:path w="353695" h="346710">
                            <a:moveTo>
                              <a:pt x="353402" y="0"/>
                            </a:moveTo>
                            <a:lnTo>
                              <a:pt x="282155" y="45440"/>
                            </a:lnTo>
                            <a:lnTo>
                              <a:pt x="320205" y="72059"/>
                            </a:lnTo>
                            <a:lnTo>
                              <a:pt x="353402" y="50368"/>
                            </a:lnTo>
                            <a:lnTo>
                              <a:pt x="353402" y="0"/>
                            </a:lnTo>
                            <a:close/>
                          </a:path>
                        </a:pathLst>
                      </a:custGeom>
                      <a:solidFill>
                        <a:srgbClr val="465EFF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524.345032pt;margin-top:7.600938pt;width:27.85pt;height:27.3pt;mso-position-horizontal-relative:page;mso-position-vertical-relative:page;z-index:-16047104" id="docshape34" coordorigin="10487,152" coordsize="557,546" path="m10600,625l10542,586,10487,621,10487,698,10600,625xm11039,515l10925,438,10790,529,10846,568,10772,619,10607,509,10874,337,10814,298,10487,515,10765,698,11039,515xm11039,334l10765,152,10487,331,10604,408,10737,319,10681,279,10758,228,10919,336,10657,512,10713,550,11039,334xm11043,152l10931,224,10991,265,11043,231,11043,152xe" filled="true" fillcolor="#465eff" stroked="false">
              <v:path arrowok="t"/>
              <v:fill type="solid"/>
              <w10:wrap type="none"/>
            </v:shape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269888">
              <wp:simplePos x="0" y="0"/>
              <wp:positionH relativeFrom="page">
                <wp:posOffset>0</wp:posOffset>
              </wp:positionH>
              <wp:positionV relativeFrom="page">
                <wp:posOffset>539495</wp:posOffset>
              </wp:positionV>
              <wp:extent cx="7560945" cy="38100"/>
              <wp:effectExtent l="0" t="0" r="0" b="0"/>
              <wp:wrapNone/>
              <wp:docPr id="35" name="Graphic 35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5" name="Graphic 35"/>
                    <wps:cNvSpPr/>
                    <wps:spPr>
                      <a:xfrm>
                        <a:off x="0" y="0"/>
                        <a:ext cx="7560945" cy="38100"/>
                      </a:xfrm>
                      <a:custGeom>
                        <a:avLst/>
                        <a:gdLst/>
                        <a:ahLst/>
                        <a:cxnLst/>
                        <a:rect l="l" t="t" r="r" b="b"/>
                        <a:pathLst>
                          <a:path w="7560945" h="38100">
                            <a:moveTo>
                              <a:pt x="7560564" y="0"/>
                            </a:moveTo>
                            <a:lnTo>
                              <a:pt x="7560564" y="0"/>
                            </a:lnTo>
                            <a:lnTo>
                              <a:pt x="0" y="0"/>
                            </a:lnTo>
                            <a:lnTo>
                              <a:pt x="0" y="38100"/>
                            </a:lnTo>
                            <a:lnTo>
                              <a:pt x="7560564" y="38100"/>
                            </a:lnTo>
                            <a:lnTo>
                              <a:pt x="7560564" y="0"/>
                            </a:lnTo>
                            <a:close/>
                          </a:path>
                        </a:pathLst>
                      </a:custGeom>
                      <a:solidFill>
                        <a:srgbClr val="FCF429"/>
                      </a:solidFill>
                    </wps:spPr>
                    <wps:bodyPr wrap="square" lIns="0" tIns="0" rIns="0" bIns="0" rtlCol="0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rect style="position:absolute;margin-left:0pt;margin-top:42.479939pt;width:595.320028pt;height:3.0pt;mso-position-horizontal-relative:page;mso-position-vertical-relative:page;z-index:-16046592" id="docshape35" filled="true" fillcolor="#fcf429" stroked="false">
              <v:fill type="solid"/>
              <w10:wrap type="none"/>
            </v:rect>
          </w:pict>
        </mc:Fallback>
      </mc:AlternateContent>
    </w:r>
    <w:r>
      <w:rPr/>
      <mc:AlternateContent>
        <mc:Choice Requires="wps">
          <w:drawing>
            <wp:anchor distT="0" distB="0" distL="0" distR="0" allowOverlap="1" layoutInCell="1" locked="0" behindDoc="1" simplePos="0" relativeHeight="487270400">
              <wp:simplePos x="0" y="0"/>
              <wp:positionH relativeFrom="page">
                <wp:posOffset>525272</wp:posOffset>
              </wp:positionH>
              <wp:positionV relativeFrom="page">
                <wp:posOffset>186654</wp:posOffset>
              </wp:positionV>
              <wp:extent cx="2519680" cy="168275"/>
              <wp:effectExtent l="0" t="0" r="0" b="0"/>
              <wp:wrapNone/>
              <wp:docPr id="36" name="Textbox 36"/>
              <wp:cNvGraphicFramePr>
                <a:graphicFrameLocks/>
              </wp:cNvGraphicFramePr>
              <a:graphic>
                <a:graphicData uri="http://schemas.microsoft.com/office/word/2010/wordprocessingShape">
                  <wps:wsp>
                    <wps:cNvPr id="36" name="Textbox 36"/>
                    <wps:cNvSpPr txBox="1"/>
                    <wps:spPr>
                      <a:xfrm>
                        <a:off x="0" y="0"/>
                        <a:ext cx="2519680" cy="168275"/>
                      </a:xfrm>
                      <a:prstGeom prst="rect">
                        <a:avLst/>
                      </a:prstGeom>
                    </wps:spPr>
                    <wps:txbx>
                      <w:txbxContent>
                        <w:p>
                          <w:pPr>
                            <w:pStyle w:val="BodyText"/>
                            <w:spacing w:line="252" w:lineRule="exact"/>
                            <w:ind w:left="20"/>
                            <w:jc w:val="left"/>
                            <w:rPr>
                              <w:rFonts w:ascii="BancoDoBrasil Textos Medium" w:hAnsi="BancoDoBrasil Textos Medium"/>
                              <w:b w:val="0"/>
                            </w:rPr>
                          </w:pP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5"/>
                            </w:rPr>
                            <w:t>Relatório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2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1"/>
                            </w:rPr>
                            <w:t>da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1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7"/>
                            </w:rPr>
                            <w:t>Administração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37"/>
                            </w:rPr>
                            <w:t> </w:t>
                          </w:r>
                          <w:r>
                            <w:rPr>
                              <w:rFonts w:ascii="BancoDoBrasil Textos Light" w:hAnsi="BancoDoBrasil Textos Light"/>
                              <w:b w:val="0"/>
                              <w:color w:val="465EFF"/>
                            </w:rPr>
                            <w:t>|</w:t>
                          </w:r>
                          <w:r>
                            <w:rPr>
                              <w:rFonts w:ascii="BancoDoBrasil Textos Light" w:hAnsi="BancoDoBrasil Textos Light"/>
                              <w:b w:val="0"/>
                              <w:color w:val="465EFF"/>
                              <w:spacing w:val="37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1"/>
                            </w:rPr>
                            <w:t>9M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-28"/>
                            </w:rPr>
                            <w:t> </w:t>
                          </w:r>
                          <w:r>
                            <w:rPr>
                              <w:rFonts w:ascii="BancoDoBrasil Textos Medium" w:hAnsi="BancoDoBrasil Textos Medium"/>
                              <w:b w:val="0"/>
                              <w:color w:val="465EFF"/>
                              <w:spacing w:val="11"/>
                            </w:rPr>
                            <w:t>24</w:t>
                          </w:r>
                        </w:p>
                      </w:txbxContent>
                    </wps:txbx>
                    <wps:bodyPr wrap="square" lIns="0" tIns="0" rIns="0" bIns="0" rtlCol="0">
                      <a:noAutofit/>
                    </wps:bodyPr>
                  </wps:wsp>
                </a:graphicData>
              </a:graphic>
            </wp:anchor>
          </w:drawing>
        </mc:Choice>
        <mc:Fallback>
          <w:pict>
            <v:shape style="position:absolute;margin-left:41.360001pt;margin-top:14.697178pt;width:198.4pt;height:13.25pt;mso-position-horizontal-relative:page;mso-position-vertical-relative:page;z-index:-16046080" type="#_x0000_t202" id="docshape36" filled="false" stroked="false">
              <v:textbox inset="0,0,0,0">
                <w:txbxContent>
                  <w:p>
                    <w:pPr>
                      <w:pStyle w:val="BodyText"/>
                      <w:spacing w:line="252" w:lineRule="exact"/>
                      <w:ind w:left="20"/>
                      <w:jc w:val="left"/>
                      <w:rPr>
                        <w:rFonts w:ascii="BancoDoBrasil Textos Medium" w:hAnsi="BancoDoBrasil Textos Medium"/>
                        <w:b w:val="0"/>
                      </w:rPr>
                    </w:pP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5"/>
                      </w:rPr>
                      <w:t>Relatório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2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1"/>
                      </w:rPr>
                      <w:t>da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1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7"/>
                      </w:rPr>
                      <w:t>Administração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37"/>
                      </w:rPr>
                      <w:t> </w:t>
                    </w:r>
                    <w:r>
                      <w:rPr>
                        <w:rFonts w:ascii="BancoDoBrasil Textos Light" w:hAnsi="BancoDoBrasil Textos Light"/>
                        <w:b w:val="0"/>
                        <w:color w:val="465EFF"/>
                      </w:rPr>
                      <w:t>|</w:t>
                    </w:r>
                    <w:r>
                      <w:rPr>
                        <w:rFonts w:ascii="BancoDoBrasil Textos Light" w:hAnsi="BancoDoBrasil Textos Light"/>
                        <w:b w:val="0"/>
                        <w:color w:val="465EFF"/>
                        <w:spacing w:val="37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1"/>
                      </w:rPr>
                      <w:t>9M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-28"/>
                      </w:rPr>
                      <w:t> </w:t>
                    </w:r>
                    <w:r>
                      <w:rPr>
                        <w:rFonts w:ascii="BancoDoBrasil Textos Medium" w:hAnsi="BancoDoBrasil Textos Medium"/>
                        <w:b w:val="0"/>
                        <w:color w:val="465EFF"/>
                        <w:spacing w:val="11"/>
                      </w:rPr>
                      <w:t>24</w:t>
                    </w:r>
                  </w:p>
                </w:txbxContent>
              </v:textbox>
              <w10:wrap type="none"/>
            </v:shape>
          </w:pict>
        </mc:Fallback>
      </mc:AlternateConten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multiLevelType w:val="hybridMultilevel"/>
    <w:lvl w:ilvl="0">
      <w:start w:val="0"/>
      <w:numFmt w:val="bullet"/>
      <w:lvlText w:val="•"/>
      <w:lvlJc w:val="left"/>
      <w:pPr>
        <w:ind w:left="1030" w:hanging="359"/>
      </w:pPr>
      <w:rPr>
        <w:rFonts w:hint="default" w:ascii="BancoDoBrasil Textos" w:hAnsi="BancoDoBrasil Textos" w:eastAsia="BancoDoBrasil Textos" w:cs="BancoDoBrasil Textos"/>
        <w:b w:val="0"/>
        <w:bCs w:val="0"/>
        <w:i w:val="0"/>
        <w:iCs w:val="0"/>
        <w:color w:val="1B1B22"/>
        <w:spacing w:val="0"/>
        <w:w w:val="99"/>
        <w:sz w:val="20"/>
        <w:szCs w:val="20"/>
        <w:lang w:val="pt-PT" w:eastAsia="en-US" w:bidi="ar-SA"/>
      </w:rPr>
    </w:lvl>
    <w:lvl w:ilvl="1">
      <w:start w:val="0"/>
      <w:numFmt w:val="bullet"/>
      <w:lvlText w:val="•"/>
      <w:lvlJc w:val="left"/>
      <w:pPr>
        <w:ind w:left="1478" w:hanging="359"/>
      </w:pPr>
      <w:rPr>
        <w:rFonts w:hint="default"/>
        <w:lang w:val="pt-PT" w:eastAsia="en-US" w:bidi="ar-SA"/>
      </w:rPr>
    </w:lvl>
    <w:lvl w:ilvl="2">
      <w:start w:val="0"/>
      <w:numFmt w:val="bullet"/>
      <w:lvlText w:val="•"/>
      <w:lvlJc w:val="left"/>
      <w:pPr>
        <w:ind w:left="1916" w:hanging="359"/>
      </w:pPr>
      <w:rPr>
        <w:rFonts w:hint="default"/>
        <w:lang w:val="pt-PT" w:eastAsia="en-US" w:bidi="ar-SA"/>
      </w:rPr>
    </w:lvl>
    <w:lvl w:ilvl="3">
      <w:start w:val="0"/>
      <w:numFmt w:val="bullet"/>
      <w:lvlText w:val="•"/>
      <w:lvlJc w:val="left"/>
      <w:pPr>
        <w:ind w:left="2354" w:hanging="359"/>
      </w:pPr>
      <w:rPr>
        <w:rFonts w:hint="default"/>
        <w:lang w:val="pt-PT" w:eastAsia="en-US" w:bidi="ar-SA"/>
      </w:rPr>
    </w:lvl>
    <w:lvl w:ilvl="4">
      <w:start w:val="0"/>
      <w:numFmt w:val="bullet"/>
      <w:lvlText w:val="•"/>
      <w:lvlJc w:val="left"/>
      <w:pPr>
        <w:ind w:left="2792" w:hanging="359"/>
      </w:pPr>
      <w:rPr>
        <w:rFonts w:hint="default"/>
        <w:lang w:val="pt-PT" w:eastAsia="en-US" w:bidi="ar-SA"/>
      </w:rPr>
    </w:lvl>
    <w:lvl w:ilvl="5">
      <w:start w:val="0"/>
      <w:numFmt w:val="bullet"/>
      <w:lvlText w:val="•"/>
      <w:lvlJc w:val="left"/>
      <w:pPr>
        <w:ind w:left="3230" w:hanging="359"/>
      </w:pPr>
      <w:rPr>
        <w:rFonts w:hint="default"/>
        <w:lang w:val="pt-PT" w:eastAsia="en-US" w:bidi="ar-SA"/>
      </w:rPr>
    </w:lvl>
    <w:lvl w:ilvl="6">
      <w:start w:val="0"/>
      <w:numFmt w:val="bullet"/>
      <w:lvlText w:val="•"/>
      <w:lvlJc w:val="left"/>
      <w:pPr>
        <w:ind w:left="3668" w:hanging="359"/>
      </w:pPr>
      <w:rPr>
        <w:rFonts w:hint="default"/>
        <w:lang w:val="pt-PT" w:eastAsia="en-US" w:bidi="ar-SA"/>
      </w:rPr>
    </w:lvl>
    <w:lvl w:ilvl="7">
      <w:start w:val="0"/>
      <w:numFmt w:val="bullet"/>
      <w:lvlText w:val="•"/>
      <w:lvlJc w:val="left"/>
      <w:pPr>
        <w:ind w:left="4106" w:hanging="359"/>
      </w:pPr>
      <w:rPr>
        <w:rFonts w:hint="default"/>
        <w:lang w:val="pt-PT" w:eastAsia="en-US" w:bidi="ar-SA"/>
      </w:rPr>
    </w:lvl>
    <w:lvl w:ilvl="8">
      <w:start w:val="0"/>
      <w:numFmt w:val="bullet"/>
      <w:lvlText w:val="•"/>
      <w:lvlJc w:val="left"/>
      <w:pPr>
        <w:ind w:left="4545" w:hanging="359"/>
      </w:pPr>
      <w:rPr>
        <w:rFonts w:hint="default"/>
        <w:lang w:val="pt-PT" w:eastAsia="en-US" w:bidi="ar-SA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efaultTabStop w:val="720"/>
  <w:drawingGridHorizontalSpacing w:val="110"/>
  <w:displayHorizontalDrawingGridEvery w:val="2"/>
  <w:characterSpacingControl w:val="doNotCompress"/>
  <w:compat>
    <w:ulTrailSpace/>
    <w:shapeLayoutLikeWW8/>
    <w:useFELayout/>
    <w:compatSetting w:val="14" w:uri="http://schemas.microsoft.com/office/word" w:name="compatibilityMode"/>
  </w:compat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cstheme="minorBidi" w:hAnsiTheme="minorHAnsi" w:eastAsiaTheme="minorHAnsi" w:asciiTheme="minorHAnsi"/>
        <w:sz w:val="22"/>
        <w:szCs w:val="22"/>
        <w:lang w:val="en-US" w:bidi="ar-SA" w:eastAsia="en-US"/>
      </w:rPr>
    </w:rPrDefault>
    <w:pPrDefault>
      <w:pPr>
        <w:widowControl w:val="0"/>
        <w:autoSpaceDE w:val="0"/>
        <w:autoSpaceDN w:val="0"/>
        <w:spacing w:lineRule="auto" w:line="240" w:before="0" w:after="0"/>
        <w:ind w:left="0" w:right="0"/>
        <w:jc w:val="left"/>
      </w:pPr>
    </w:pPrDefault>
  </w:docDefaults>
  <w:style w:styleId="DefaultParagraphFont" w:default="1" w:type="character">
    <w:name w:val="Default Paragraph Font"/>
    <w:uiPriority w:val="1"/>
    <w:semiHidden/>
    <w:unhideWhenUsed/>
  </w:style>
  <w:style w:styleId="TableNormal" w:default="1" w:type="table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styleId="NoList" w:default="1" w:type="numbering">
    <w:name w:val="No List"/>
    <w:uiPriority w:val="99"/>
    <w:semiHidden/>
    <w:unhideWhenUsed/>
  </w:style>
  <w:style w:default="1" w:styleId="Normal" w:type="paragraph">
    <w:name w:val="Normal"/>
    <w:uiPriority w:val="1"/>
    <w:qFormat/>
    <w:pPr/>
    <w:rPr>
      <w:rFonts w:ascii="BancoDoBrasil Textos" w:hAnsi="BancoDoBrasil Textos" w:eastAsia="BancoDoBrasil Textos" w:cs="BancoDoBrasil Textos"/>
      <w:lang w:val="pt-PT" w:eastAsia="en-US" w:bidi="ar-SA"/>
    </w:rPr>
  </w:style>
  <w:style w:styleId="BodyText" w:type="paragraph">
    <w:name w:val="Body Text"/>
    <w:basedOn w:val="Normal"/>
    <w:uiPriority w:val="1"/>
    <w:qFormat/>
    <w:pPr>
      <w:jc w:val="both"/>
    </w:pPr>
    <w:rPr>
      <w:rFonts w:ascii="BancoDoBrasil Textos" w:hAnsi="BancoDoBrasil Textos" w:eastAsia="BancoDoBrasil Textos" w:cs="BancoDoBrasil Textos"/>
      <w:sz w:val="20"/>
      <w:szCs w:val="20"/>
      <w:lang w:val="pt-PT" w:eastAsia="en-US" w:bidi="ar-SA"/>
    </w:rPr>
  </w:style>
  <w:style w:styleId="Heading1" w:type="paragraph">
    <w:name w:val="Heading 1"/>
    <w:basedOn w:val="Normal"/>
    <w:uiPriority w:val="1"/>
    <w:qFormat/>
    <w:pPr>
      <w:ind w:left="672"/>
      <w:outlineLvl w:val="1"/>
    </w:pPr>
    <w:rPr>
      <w:rFonts w:ascii="BancoDoBrasil Titulos" w:hAnsi="BancoDoBrasil Titulos" w:eastAsia="BancoDoBrasil Titulos" w:cs="BancoDoBrasil Titulos"/>
      <w:sz w:val="44"/>
      <w:szCs w:val="44"/>
      <w:lang w:val="pt-PT" w:eastAsia="en-US" w:bidi="ar-SA"/>
    </w:rPr>
  </w:style>
  <w:style w:styleId="Heading2" w:type="paragraph">
    <w:name w:val="Heading 2"/>
    <w:basedOn w:val="Normal"/>
    <w:uiPriority w:val="1"/>
    <w:qFormat/>
    <w:pPr>
      <w:spacing w:before="110"/>
      <w:ind w:left="672"/>
      <w:outlineLvl w:val="2"/>
    </w:pPr>
    <w:rPr>
      <w:rFonts w:ascii="BancoDoBrasil Textos Medium" w:hAnsi="BancoDoBrasil Textos Medium" w:eastAsia="BancoDoBrasil Textos Medium" w:cs="BancoDoBrasil Textos Medium"/>
      <w:sz w:val="28"/>
      <w:szCs w:val="28"/>
      <w:lang w:val="pt-PT" w:eastAsia="en-US" w:bidi="ar-SA"/>
    </w:rPr>
  </w:style>
  <w:style w:styleId="Title" w:type="paragraph">
    <w:name w:val="Title"/>
    <w:basedOn w:val="Normal"/>
    <w:uiPriority w:val="1"/>
    <w:qFormat/>
    <w:pPr>
      <w:spacing w:line="1459" w:lineRule="exact"/>
      <w:ind w:left="1812"/>
    </w:pPr>
    <w:rPr>
      <w:rFonts w:ascii="BancoDoBrasil Titulos" w:hAnsi="BancoDoBrasil Titulos" w:eastAsia="BancoDoBrasil Titulos" w:cs="BancoDoBrasil Titulos"/>
      <w:b/>
      <w:bCs/>
      <w:sz w:val="120"/>
      <w:szCs w:val="120"/>
      <w:lang w:val="pt-PT" w:eastAsia="en-US" w:bidi="ar-SA"/>
    </w:rPr>
  </w:style>
  <w:style w:styleId="ListParagraph" w:type="paragraph">
    <w:name w:val="List Paragraph"/>
    <w:basedOn w:val="Normal"/>
    <w:uiPriority w:val="1"/>
    <w:qFormat/>
    <w:pPr>
      <w:ind w:left="1029" w:hanging="359"/>
    </w:pPr>
    <w:rPr>
      <w:rFonts w:ascii="BancoDoBrasil Textos" w:hAnsi="BancoDoBrasil Textos" w:eastAsia="BancoDoBrasil Textos" w:cs="BancoDoBrasil Textos"/>
      <w:lang w:val="pt-PT" w:eastAsia="en-US" w:bidi="ar-SA"/>
    </w:rPr>
  </w:style>
  <w:style w:styleId="TableParagraph" w:type="paragraph">
    <w:name w:val="Table Paragraph"/>
    <w:basedOn w:val="Normal"/>
    <w:uiPriority w:val="1"/>
    <w:qFormat/>
    <w:pPr>
      <w:spacing w:before="120"/>
    </w:pPr>
    <w:rPr>
      <w:rFonts w:ascii="BancoDoBrasil Textos Light" w:hAnsi="BancoDoBrasil Textos Light" w:eastAsia="BancoDoBrasil Textos Light" w:cs="BancoDoBrasil Textos Light"/>
      <w:lang w:val="pt-PT" w:eastAsia="en-US" w:bidi="ar-SA"/>
    </w:rPr>
  </w:style>
</w:styles>
</file>

<file path=word/_rels/document.xml.rels><?xml version="1.0" encoding="UTF-8" standalone="yes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fontTable" Target="fontTable.xml"/><Relationship Id="rId3" Type="http://schemas.openxmlformats.org/officeDocument/2006/relationships/theme" Target="theme/theme1.xml"/><Relationship Id="rId4" Type="http://schemas.openxmlformats.org/officeDocument/2006/relationships/settings" Target="settings.xml"/><Relationship Id="rId5" Type="http://schemas.openxmlformats.org/officeDocument/2006/relationships/image" Target="media/image1.png"/><Relationship Id="rId6" Type="http://schemas.openxmlformats.org/officeDocument/2006/relationships/header" Target="header1.xml"/><Relationship Id="rId7" Type="http://schemas.openxmlformats.org/officeDocument/2006/relationships/footer" Target="footer1.xml"/><Relationship Id="rId8" Type="http://schemas.openxmlformats.org/officeDocument/2006/relationships/header" Target="header2.xml"/><Relationship Id="rId9" Type="http://schemas.openxmlformats.org/officeDocument/2006/relationships/footer" Target="footer2.xml"/><Relationship Id="rId10" Type="http://schemas.openxmlformats.org/officeDocument/2006/relationships/image" Target="media/image2.png"/><Relationship Id="rId11" Type="http://schemas.openxmlformats.org/officeDocument/2006/relationships/image" Target="media/image3.png"/><Relationship Id="rId12" Type="http://schemas.openxmlformats.org/officeDocument/2006/relationships/header" Target="header3.xml"/><Relationship Id="rId13" Type="http://schemas.openxmlformats.org/officeDocument/2006/relationships/footer" Target="footer3.xml"/><Relationship Id="rId14" Type="http://schemas.openxmlformats.org/officeDocument/2006/relationships/image" Target="media/image4.jpeg"/><Relationship Id="rId15" Type="http://schemas.openxmlformats.org/officeDocument/2006/relationships/image" Target="media/image5.jpeg"/><Relationship Id="rId16" Type="http://schemas.openxmlformats.org/officeDocument/2006/relationships/image" Target="media/image6.jpeg"/><Relationship Id="rId17" Type="http://schemas.openxmlformats.org/officeDocument/2006/relationships/image" Target="media/image7.jpeg"/><Relationship Id="rId18" Type="http://schemas.openxmlformats.org/officeDocument/2006/relationships/numbering" Target="numbering.xml"/></Relationships>
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Application>Microsoft Office Word</Application>
  <DocSecurity>0</DocSecurity>
  <ScaleCrop>false</ScaleCrop>
  <LinksUpToDate>false</LinksUpToDate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Luiz Fernando de Almeida</dc:creator>
  <dcterms:created xsi:type="dcterms:W3CDTF">2024-11-13T18:16:31Z</dcterms:created>
  <dcterms:modified xsi:type="dcterms:W3CDTF">2024-11-13T18:16:31Z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2024-11-11T00:00:00Z</vt:filetime>
  </property>
  <property fmtid="{D5CDD505-2E9C-101B-9397-08002B2CF9AE}" pid="3" name="Creator">
    <vt:lpwstr>Microsoft® Word para Microsoft 365</vt:lpwstr>
  </property>
  <property fmtid="{D5CDD505-2E9C-101B-9397-08002B2CF9AE}" pid="4" name="LastSaved">
    <vt:filetime>2024-11-13T00:00:00Z</vt:filetime>
  </property>
  <property fmtid="{D5CDD505-2E9C-101B-9397-08002B2CF9AE}" pid="5" name="MSIP_Label_40881dc9-f7f2-41de-a334-ceff3dc15b31_ContentBits">
    <vt:lpwstr>1</vt:lpwstr>
  </property>
  <property fmtid="{D5CDD505-2E9C-101B-9397-08002B2CF9AE}" pid="6" name="MSIP_Label_40881dc9-f7f2-41de-a334-ceff3dc15b31_Enabled">
    <vt:lpwstr>true</vt:lpwstr>
  </property>
  <property fmtid="{D5CDD505-2E9C-101B-9397-08002B2CF9AE}" pid="7" name="MSIP_Label_40881dc9-f7f2-41de-a334-ceff3dc15b31_Method">
    <vt:lpwstr>Standard</vt:lpwstr>
  </property>
  <property fmtid="{D5CDD505-2E9C-101B-9397-08002B2CF9AE}" pid="8" name="MSIP_Label_40881dc9-f7f2-41de-a334-ceff3dc15b31_Name">
    <vt:lpwstr>40881dc9-f7f2-41de-a334-ceff3dc15b31</vt:lpwstr>
  </property>
  <property fmtid="{D5CDD505-2E9C-101B-9397-08002B2CF9AE}" pid="9" name="MSIP_Label_40881dc9-f7f2-41de-a334-ceff3dc15b31_SiteId">
    <vt:lpwstr>ea0c2907-38d2-4181-8750-b0b190b60443</vt:lpwstr>
  </property>
  <property fmtid="{D5CDD505-2E9C-101B-9397-08002B2CF9AE}" pid="10" name="Producer">
    <vt:lpwstr>Microsoft® Word para Microsoft 365</vt:lpwstr>
  </property>
</Properties>
</file>