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jc w:val="left"/>
        <w:rPr>
          <w:rFonts w:ascii="Times New Roman"/>
          <w:sz w:val="48"/>
        </w:rPr>
      </w:pPr>
      <w:r>
        <w:rPr/>
        <mc:AlternateContent>
          <mc:Choice Requires="wps">
            <w:drawing>
              <wp:anchor distT="0" distB="0" distL="0" distR="0" allowOverlap="1" layoutInCell="1" locked="0" behindDoc="1" simplePos="0" relativeHeight="487268864">
                <wp:simplePos x="0" y="0"/>
                <wp:positionH relativeFrom="page">
                  <wp:posOffset>0</wp:posOffset>
                </wp:positionH>
                <wp:positionV relativeFrom="page">
                  <wp:posOffset>0</wp:posOffset>
                </wp:positionV>
                <wp:extent cx="7559675" cy="10694035"/>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7559675" cy="10694035"/>
                        </a:xfrm>
                        <a:custGeom>
                          <a:avLst/>
                          <a:gdLst/>
                          <a:ahLst/>
                          <a:cxnLst/>
                          <a:rect l="l" t="t" r="r" b="b"/>
                          <a:pathLst>
                            <a:path w="7559675" h="10694035">
                              <a:moveTo>
                                <a:pt x="7559675" y="0"/>
                              </a:moveTo>
                              <a:lnTo>
                                <a:pt x="0" y="0"/>
                              </a:lnTo>
                              <a:lnTo>
                                <a:pt x="0" y="10694035"/>
                              </a:lnTo>
                              <a:lnTo>
                                <a:pt x="7559675" y="10694035"/>
                              </a:lnTo>
                              <a:lnTo>
                                <a:pt x="7559675" y="0"/>
                              </a:lnTo>
                              <a:close/>
                            </a:path>
                          </a:pathLst>
                        </a:custGeom>
                        <a:solidFill>
                          <a:srgbClr val="465EFF"/>
                        </a:solidFill>
                      </wps:spPr>
                      <wps:bodyPr wrap="square" lIns="0" tIns="0" rIns="0" bIns="0" rtlCol="0">
                        <a:prstTxWarp prst="textNoShape">
                          <a:avLst/>
                        </a:prstTxWarp>
                        <a:noAutofit/>
                      </wps:bodyPr>
                    </wps:wsp>
                  </a:graphicData>
                </a:graphic>
              </wp:anchor>
            </w:drawing>
          </mc:Choice>
          <mc:Fallback>
            <w:pict>
              <v:rect style="position:absolute;margin-left:0pt;margin-top:-.000017pt;width:595.25pt;height:842.05pt;mso-position-horizontal-relative:page;mso-position-vertical-relative:page;z-index:-16047616" id="docshape1" filled="true" fillcolor="#465eff" stroked="false">
                <v:fill type="solid"/>
                <w10:wrap type="none"/>
              </v:rect>
            </w:pict>
          </mc:Fallback>
        </mc:AlternateContent>
      </w:r>
      <w:r>
        <w:rPr/>
        <mc:AlternateContent>
          <mc:Choice Requires="wps">
            <w:drawing>
              <wp:anchor distT="0" distB="0" distL="0" distR="0" allowOverlap="1" layoutInCell="1" locked="0" behindDoc="1" simplePos="0" relativeHeight="487269376">
                <wp:simplePos x="0" y="0"/>
                <wp:positionH relativeFrom="page">
                  <wp:posOffset>0</wp:posOffset>
                </wp:positionH>
                <wp:positionV relativeFrom="page">
                  <wp:posOffset>-3395</wp:posOffset>
                </wp:positionV>
                <wp:extent cx="7564120" cy="10694670"/>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7564120" cy="10694670"/>
                          <a:chExt cx="7564120" cy="10694670"/>
                        </a:xfrm>
                      </wpg:grpSpPr>
                      <pic:pic>
                        <pic:nvPicPr>
                          <pic:cNvPr id="3" name="Image 3"/>
                          <pic:cNvPicPr/>
                        </pic:nvPicPr>
                        <pic:blipFill>
                          <a:blip r:embed="rId5" cstate="print"/>
                          <a:stretch>
                            <a:fillRect/>
                          </a:stretch>
                        </pic:blipFill>
                        <pic:spPr>
                          <a:xfrm>
                            <a:off x="450163" y="2774296"/>
                            <a:ext cx="7110400" cy="7920204"/>
                          </a:xfrm>
                          <a:prstGeom prst="rect">
                            <a:avLst/>
                          </a:prstGeom>
                        </pic:spPr>
                      </pic:pic>
                      <wps:wsp>
                        <wps:cNvPr id="4" name="Graphic 4"/>
                        <wps:cNvSpPr/>
                        <wps:spPr>
                          <a:xfrm>
                            <a:off x="2081171" y="3395"/>
                            <a:ext cx="5479415" cy="3724275"/>
                          </a:xfrm>
                          <a:custGeom>
                            <a:avLst/>
                            <a:gdLst/>
                            <a:ahLst/>
                            <a:cxnLst/>
                            <a:rect l="l" t="t" r="r" b="b"/>
                            <a:pathLst>
                              <a:path w="5479415" h="3724275">
                                <a:moveTo>
                                  <a:pt x="5479392" y="3724237"/>
                                </a:moveTo>
                                <a:lnTo>
                                  <a:pt x="3997302" y="2744596"/>
                                </a:lnTo>
                                <a:lnTo>
                                  <a:pt x="3928595" y="2699257"/>
                                </a:lnTo>
                                <a:lnTo>
                                  <a:pt x="3913924" y="2688407"/>
                                </a:lnTo>
                                <a:lnTo>
                                  <a:pt x="3880081" y="2646044"/>
                                </a:lnTo>
                                <a:lnTo>
                                  <a:pt x="3863888" y="2579623"/>
                                </a:lnTo>
                                <a:lnTo>
                                  <a:pt x="3867937" y="2545675"/>
                                </a:lnTo>
                                <a:lnTo>
                                  <a:pt x="3889536" y="2497637"/>
                                </a:lnTo>
                                <a:lnTo>
                                  <a:pt x="3928595" y="2459989"/>
                                </a:lnTo>
                                <a:lnTo>
                                  <a:pt x="5479392" y="1442693"/>
                                </a:lnTo>
                              </a:path>
                              <a:path w="5479415" h="3724275">
                                <a:moveTo>
                                  <a:pt x="5479392" y="1098884"/>
                                </a:moveTo>
                                <a:lnTo>
                                  <a:pt x="3694534" y="2316860"/>
                                </a:lnTo>
                                <a:lnTo>
                                  <a:pt x="3656053" y="2335291"/>
                                </a:lnTo>
                                <a:lnTo>
                                  <a:pt x="3613762" y="2341625"/>
                                </a:lnTo>
                                <a:lnTo>
                                  <a:pt x="3592978" y="2340115"/>
                                </a:lnTo>
                                <a:lnTo>
                                  <a:pt x="3572741" y="2335640"/>
                                </a:lnTo>
                                <a:lnTo>
                                  <a:pt x="3553362" y="2328284"/>
                                </a:lnTo>
                                <a:lnTo>
                                  <a:pt x="3535149" y="2318130"/>
                                </a:lnTo>
                                <a:lnTo>
                                  <a:pt x="0" y="0"/>
                                </a:lnTo>
                              </a:path>
                            </a:pathLst>
                          </a:custGeom>
                          <a:ln w="6790">
                            <a:solidFill>
                              <a:srgbClr val="FFFFFF"/>
                            </a:solidFill>
                            <a:prstDash val="solid"/>
                          </a:ln>
                        </wps:spPr>
                        <wps:bodyPr wrap="square" lIns="0" tIns="0" rIns="0" bIns="0" rtlCol="0">
                          <a:prstTxWarp prst="textNoShape">
                            <a:avLst/>
                          </a:prstTxWarp>
                          <a:noAutofit/>
                        </wps:bodyPr>
                      </wps:wsp>
                      <wps:wsp>
                        <wps:cNvPr id="5" name="Graphic 5"/>
                        <wps:cNvSpPr/>
                        <wps:spPr>
                          <a:xfrm>
                            <a:off x="0" y="1204306"/>
                            <a:ext cx="5425440" cy="9488805"/>
                          </a:xfrm>
                          <a:custGeom>
                            <a:avLst/>
                            <a:gdLst/>
                            <a:ahLst/>
                            <a:cxnLst/>
                            <a:rect l="l" t="t" r="r" b="b"/>
                            <a:pathLst>
                              <a:path w="5425440" h="9488805">
                                <a:moveTo>
                                  <a:pt x="1537335" y="1055624"/>
                                </a:moveTo>
                                <a:lnTo>
                                  <a:pt x="1415923" y="973201"/>
                                </a:lnTo>
                                <a:lnTo>
                                  <a:pt x="1297559" y="1055624"/>
                                </a:lnTo>
                                <a:lnTo>
                                  <a:pt x="1297559" y="1226820"/>
                                </a:lnTo>
                                <a:lnTo>
                                  <a:pt x="1537335" y="1055624"/>
                                </a:lnTo>
                                <a:close/>
                              </a:path>
                              <a:path w="5425440" h="9488805">
                                <a:moveTo>
                                  <a:pt x="2474849" y="814705"/>
                                </a:moveTo>
                                <a:lnTo>
                                  <a:pt x="2235073" y="646684"/>
                                </a:lnTo>
                                <a:lnTo>
                                  <a:pt x="1936115" y="849503"/>
                                </a:lnTo>
                                <a:lnTo>
                                  <a:pt x="2063750" y="932053"/>
                                </a:lnTo>
                                <a:lnTo>
                                  <a:pt x="1898650" y="1049274"/>
                                </a:lnTo>
                                <a:lnTo>
                                  <a:pt x="1549908" y="808355"/>
                                </a:lnTo>
                                <a:lnTo>
                                  <a:pt x="2113661" y="412115"/>
                                </a:lnTo>
                                <a:lnTo>
                                  <a:pt x="2001520" y="332867"/>
                                </a:lnTo>
                                <a:lnTo>
                                  <a:pt x="1297559" y="814705"/>
                                </a:lnTo>
                                <a:lnTo>
                                  <a:pt x="1886204" y="1220470"/>
                                </a:lnTo>
                                <a:lnTo>
                                  <a:pt x="2134552" y="1049274"/>
                                </a:lnTo>
                                <a:lnTo>
                                  <a:pt x="2474849" y="814705"/>
                                </a:lnTo>
                                <a:close/>
                              </a:path>
                              <a:path w="5425440" h="9488805">
                                <a:moveTo>
                                  <a:pt x="2474976" y="405765"/>
                                </a:moveTo>
                                <a:lnTo>
                                  <a:pt x="2134679" y="171196"/>
                                </a:lnTo>
                                <a:lnTo>
                                  <a:pt x="1886331" y="0"/>
                                </a:lnTo>
                                <a:lnTo>
                                  <a:pt x="1297559" y="405765"/>
                                </a:lnTo>
                                <a:lnTo>
                                  <a:pt x="1543558" y="573786"/>
                                </a:lnTo>
                                <a:lnTo>
                                  <a:pt x="1836420" y="374015"/>
                                </a:lnTo>
                                <a:lnTo>
                                  <a:pt x="1708658" y="288544"/>
                                </a:lnTo>
                                <a:lnTo>
                                  <a:pt x="1873758" y="171196"/>
                                </a:lnTo>
                                <a:lnTo>
                                  <a:pt x="2222627" y="412115"/>
                                </a:lnTo>
                                <a:lnTo>
                                  <a:pt x="1658874" y="808355"/>
                                </a:lnTo>
                                <a:lnTo>
                                  <a:pt x="1777238" y="887603"/>
                                </a:lnTo>
                                <a:lnTo>
                                  <a:pt x="2474976" y="405765"/>
                                </a:lnTo>
                                <a:close/>
                              </a:path>
                              <a:path w="5425440" h="9488805">
                                <a:moveTo>
                                  <a:pt x="2481199" y="6350"/>
                                </a:moveTo>
                                <a:lnTo>
                                  <a:pt x="2241296" y="171196"/>
                                </a:lnTo>
                                <a:lnTo>
                                  <a:pt x="2359660" y="256794"/>
                                </a:lnTo>
                                <a:lnTo>
                                  <a:pt x="2481199" y="171196"/>
                                </a:lnTo>
                                <a:lnTo>
                                  <a:pt x="2481199" y="6350"/>
                                </a:lnTo>
                                <a:close/>
                              </a:path>
                              <a:path w="5425440" h="9488805">
                                <a:moveTo>
                                  <a:pt x="5425122" y="8757031"/>
                                </a:moveTo>
                                <a:lnTo>
                                  <a:pt x="5408930" y="8690635"/>
                                </a:lnTo>
                                <a:lnTo>
                                  <a:pt x="5375021" y="8648243"/>
                                </a:lnTo>
                                <a:lnTo>
                                  <a:pt x="268655" y="5298186"/>
                                </a:lnTo>
                                <a:lnTo>
                                  <a:pt x="230009" y="5280418"/>
                                </a:lnTo>
                                <a:lnTo>
                                  <a:pt x="188734" y="5274729"/>
                                </a:lnTo>
                                <a:lnTo>
                                  <a:pt x="147548" y="5281079"/>
                                </a:lnTo>
                                <a:lnTo>
                                  <a:pt x="109194" y="5299456"/>
                                </a:lnTo>
                                <a:lnTo>
                                  <a:pt x="0" y="5373967"/>
                                </a:lnTo>
                                <a:lnTo>
                                  <a:pt x="0" y="9488564"/>
                                </a:lnTo>
                                <a:lnTo>
                                  <a:pt x="4434332" y="9488576"/>
                                </a:lnTo>
                                <a:lnTo>
                                  <a:pt x="5360416" y="8876652"/>
                                </a:lnTo>
                                <a:lnTo>
                                  <a:pt x="5399456" y="8839009"/>
                                </a:lnTo>
                                <a:lnTo>
                                  <a:pt x="5421071" y="8790965"/>
                                </a:lnTo>
                                <a:lnTo>
                                  <a:pt x="5425122" y="8757031"/>
                                </a:lnTo>
                                <a:close/>
                              </a:path>
                            </a:pathLst>
                          </a:custGeom>
                          <a:solidFill>
                            <a:srgbClr val="FBFB2F"/>
                          </a:solidFill>
                        </wps:spPr>
                        <wps:bodyPr wrap="square" lIns="0" tIns="0" rIns="0" bIns="0" rtlCol="0">
                          <a:prstTxWarp prst="textNoShape">
                            <a:avLst/>
                          </a:prstTxWarp>
                          <a:noAutofit/>
                        </wps:bodyPr>
                      </wps:wsp>
                    </wpg:wgp>
                  </a:graphicData>
                </a:graphic>
              </wp:anchor>
            </w:drawing>
          </mc:Choice>
          <mc:Fallback>
            <w:pict>
              <v:group style="position:absolute;margin-left:.0pt;margin-top:-.267325pt;width:595.6pt;height:842.1pt;mso-position-horizontal-relative:page;mso-position-vertical-relative:page;z-index:-16047104" id="docshapegroup2" coordorigin="0,-5" coordsize="11912,16842">
                <v:shape style="position:absolute;left:708;top:4363;width:11198;height:12473" type="#_x0000_t75" id="docshape3" stroked="false">
                  <v:imagedata r:id="rId5" o:title=""/>
                </v:shape>
                <v:shape style="position:absolute;left:3277;top:0;width:8629;height:5865" id="docshape4" coordorigin="3277,0" coordsize="8629,5865" path="m11906,5865l9572,4322,9464,4251,9441,4234,9421,4214,9403,4192,9388,4167,9369,4116,9362,4062,9369,4009,9388,3958,9403,3933,9421,3911,9441,3891,9464,3874,11906,2272m11906,1731l9096,3649,9066,3665,9035,3678,9002,3685,8968,3688,8936,3685,8904,3678,8873,3667,8845,3651,3277,0e" filled="false" stroked="true" strokeweight=".534650pt" strokecolor="#ffffff">
                  <v:path arrowok="t"/>
                  <v:stroke dashstyle="solid"/>
                </v:shape>
                <v:shape style="position:absolute;left:0;top:1891;width:8544;height:14943" id="docshape5" coordorigin="0,1891" coordsize="8544,14943" path="m2421,3554l2230,3424,2043,3554,2043,3823,2421,3554xm3897,3174l3520,2910,3049,3229,3250,3359,2990,3544,2441,3164,3329,2540,3152,2415,2043,3174,2970,3813,3362,3544,3897,3174xm3898,2530l3362,2161,2971,1891,2043,2530,2431,2795,2892,2480,2691,2346,2951,2161,3500,2540,2612,3164,2799,3289,3898,2530xm3907,1901l3530,2161,3716,2296,3907,2161,3907,1901xm8544,15682l8537,15628,8518,15577,8503,15553,8485,15530,8465,15510,8442,15493,423,10235,362,10207,297,10198,232,10208,172,10237,0,10354,0,16834,6983,16834,8442,15870,8465,15853,8485,15833,8503,15811,8518,15786,8537,15735,8544,15682xe" filled="true" fillcolor="#fbfb2f" stroked="false">
                  <v:path arrowok="t"/>
                  <v:fill type="solid"/>
                </v:shape>
                <w10:wrap type="none"/>
              </v:group>
            </w:pict>
          </mc:Fallback>
        </mc:AlternateContent>
      </w:r>
    </w:p>
    <w:p>
      <w:pPr>
        <w:pStyle w:val="BodyText"/>
        <w:ind w:left="0"/>
        <w:jc w:val="left"/>
        <w:rPr>
          <w:rFonts w:ascii="Times New Roman"/>
          <w:sz w:val="48"/>
        </w:rPr>
      </w:pPr>
    </w:p>
    <w:p>
      <w:pPr>
        <w:pStyle w:val="BodyText"/>
        <w:spacing w:before="460"/>
        <w:ind w:left="0"/>
        <w:jc w:val="left"/>
        <w:rPr>
          <w:rFonts w:ascii="Times New Roman"/>
          <w:sz w:val="48"/>
        </w:rPr>
      </w:pPr>
    </w:p>
    <w:p>
      <w:pPr>
        <w:spacing w:before="0"/>
        <w:ind w:left="2032" w:right="0" w:firstLine="0"/>
        <w:jc w:val="left"/>
        <w:rPr>
          <w:rFonts w:ascii="BancoDoBrasil Titulos"/>
          <w:b/>
          <w:sz w:val="48"/>
        </w:rPr>
      </w:pPr>
      <w:bookmarkStart w:name="Capa_Relad_EN" w:id="1"/>
      <w:bookmarkEnd w:id="1"/>
      <w:r>
        <w:rPr/>
      </w:r>
      <w:r>
        <w:rPr>
          <w:rFonts w:ascii="BancoDoBrasil Titulos"/>
          <w:b/>
          <w:color w:val="FFF8F8"/>
          <w:spacing w:val="-2"/>
          <w:sz w:val="48"/>
        </w:rPr>
        <w:t>Management</w:t>
      </w:r>
    </w:p>
    <w:p>
      <w:pPr>
        <w:spacing w:line="263" w:lineRule="exact" w:before="22"/>
        <w:ind w:left="2034" w:right="0" w:firstLine="0"/>
        <w:jc w:val="left"/>
        <w:rPr>
          <w:rFonts w:ascii="BancoDoBrasil Titulos"/>
          <w:b/>
          <w:sz w:val="26"/>
        </w:rPr>
      </w:pPr>
      <w:r>
        <w:rPr>
          <w:rFonts w:ascii="BancoDoBrasil Titulos"/>
          <w:b/>
          <w:color w:val="FFF8F8"/>
          <w:spacing w:val="-2"/>
          <w:sz w:val="26"/>
        </w:rPr>
        <w:t>Report</w:t>
      </w:r>
    </w:p>
    <w:p>
      <w:pPr>
        <w:pStyle w:val="Title"/>
      </w:pPr>
      <w:r>
        <w:rPr>
          <w:color w:val="FFFFFF"/>
          <w:spacing w:val="-6"/>
        </w:rPr>
        <w:t>September</w:t>
      </w:r>
      <w:r>
        <w:rPr>
          <w:color w:val="FFFFFF"/>
          <w:spacing w:val="-67"/>
        </w:rPr>
        <w:t> </w:t>
      </w:r>
      <w:r>
        <w:rPr>
          <w:color w:val="FFFFFF"/>
          <w:spacing w:val="-6"/>
        </w:rPr>
        <w:t>30, </w:t>
      </w:r>
      <w:r>
        <w:rPr>
          <w:color w:val="FFFFFF"/>
          <w:spacing w:val="-4"/>
        </w:rPr>
        <w:t>2024</w:t>
      </w:r>
    </w:p>
    <w:p>
      <w:pPr>
        <w:spacing w:after="0"/>
        <w:sectPr>
          <w:type w:val="continuous"/>
          <w:pgSz w:w="11910" w:h="16840"/>
          <w:pgMar w:top="1920" w:bottom="280" w:left="0" w:right="278"/>
        </w:sectPr>
      </w:pPr>
    </w:p>
    <w:p>
      <w:pPr>
        <w:spacing w:before="58"/>
        <w:ind w:left="844" w:right="0" w:firstLine="0"/>
        <w:jc w:val="left"/>
        <w:rPr>
          <w:rFonts w:ascii="BancoDoBrasil Titulos Medium"/>
          <w:b w:val="0"/>
          <w:sz w:val="32"/>
        </w:rPr>
      </w:pPr>
      <w:r>
        <w:rPr/>
        <mc:AlternateContent>
          <mc:Choice Requires="wps">
            <w:drawing>
              <wp:anchor distT="0" distB="0" distL="0" distR="0" allowOverlap="1" layoutInCell="1" locked="0" behindDoc="0" simplePos="0" relativeHeight="15730176">
                <wp:simplePos x="0" y="0"/>
                <wp:positionH relativeFrom="page">
                  <wp:posOffset>6657429</wp:posOffset>
                </wp:positionH>
                <wp:positionV relativeFrom="paragraph">
                  <wp:posOffset>-1232</wp:posOffset>
                </wp:positionV>
                <wp:extent cx="353695" cy="34671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353695" cy="346710"/>
                        </a:xfrm>
                        <a:custGeom>
                          <a:avLst/>
                          <a:gdLst/>
                          <a:ahLst/>
                          <a:cxnLst/>
                          <a:rect l="l" t="t" r="r" b="b"/>
                          <a:pathLst>
                            <a:path w="353695" h="346710">
                              <a:moveTo>
                                <a:pt x="71589" y="300037"/>
                              </a:moveTo>
                              <a:lnTo>
                                <a:pt x="35026" y="275412"/>
                              </a:lnTo>
                              <a:lnTo>
                                <a:pt x="0" y="297573"/>
                              </a:lnTo>
                              <a:lnTo>
                                <a:pt x="0" y="346227"/>
                              </a:lnTo>
                              <a:lnTo>
                                <a:pt x="71589" y="300037"/>
                              </a:lnTo>
                              <a:close/>
                            </a:path>
                            <a:path w="353695" h="346710">
                              <a:moveTo>
                                <a:pt x="350710" y="230085"/>
                              </a:moveTo>
                              <a:lnTo>
                                <a:pt x="278091" y="181330"/>
                              </a:lnTo>
                              <a:lnTo>
                                <a:pt x="192138" y="239445"/>
                              </a:lnTo>
                              <a:lnTo>
                                <a:pt x="228193" y="263779"/>
                              </a:lnTo>
                              <a:lnTo>
                                <a:pt x="180759" y="296583"/>
                              </a:lnTo>
                              <a:lnTo>
                                <a:pt x="76530" y="226644"/>
                              </a:lnTo>
                              <a:lnTo>
                                <a:pt x="245478" y="117309"/>
                              </a:lnTo>
                              <a:lnTo>
                                <a:pt x="207937" y="92671"/>
                              </a:lnTo>
                              <a:lnTo>
                                <a:pt x="0" y="230085"/>
                              </a:lnTo>
                              <a:lnTo>
                                <a:pt x="176631" y="346227"/>
                              </a:lnTo>
                              <a:lnTo>
                                <a:pt x="350710" y="230085"/>
                              </a:lnTo>
                              <a:close/>
                            </a:path>
                            <a:path w="353695" h="346710">
                              <a:moveTo>
                                <a:pt x="350710" y="115328"/>
                              </a:moveTo>
                              <a:lnTo>
                                <a:pt x="176631" y="0"/>
                              </a:lnTo>
                              <a:lnTo>
                                <a:pt x="0" y="113360"/>
                              </a:lnTo>
                              <a:lnTo>
                                <a:pt x="74053" y="162610"/>
                              </a:lnTo>
                              <a:lnTo>
                                <a:pt x="159029" y="105981"/>
                              </a:lnTo>
                              <a:lnTo>
                                <a:pt x="123469" y="80365"/>
                              </a:lnTo>
                              <a:lnTo>
                                <a:pt x="171869" y="48348"/>
                              </a:lnTo>
                              <a:lnTo>
                                <a:pt x="274129" y="116814"/>
                              </a:lnTo>
                              <a:lnTo>
                                <a:pt x="108140" y="228612"/>
                              </a:lnTo>
                              <a:lnTo>
                                <a:pt x="143230" y="252260"/>
                              </a:lnTo>
                              <a:lnTo>
                                <a:pt x="350710" y="115328"/>
                              </a:lnTo>
                              <a:close/>
                            </a:path>
                            <a:path w="353695" h="346710">
                              <a:moveTo>
                                <a:pt x="353275" y="0"/>
                              </a:moveTo>
                              <a:lnTo>
                                <a:pt x="282041" y="45389"/>
                              </a:lnTo>
                              <a:lnTo>
                                <a:pt x="320090" y="71996"/>
                              </a:lnTo>
                              <a:lnTo>
                                <a:pt x="353275" y="50330"/>
                              </a:lnTo>
                              <a:lnTo>
                                <a:pt x="35327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style="position:absolute;margin-left:524.207031pt;margin-top:-.097038pt;width:27.85pt;height:27.3pt;mso-position-horizontal-relative:page;mso-position-vertical-relative:paragraph;z-index:15730176" id="docshape6" coordorigin="10484,-2" coordsize="557,546" path="m10597,471l10539,432,10484,467,10484,543,10597,471xm11036,360l10922,284,10787,375,10844,413,10769,465,10605,355,10871,183,10812,144,10484,360,10762,543,11036,360xm11036,180l10762,-2,10484,177,10601,254,10735,165,10679,125,10755,74,10916,182,10654,358,10710,395,11036,180xm11040,-2l10928,70,10988,111,11040,77,11040,-2xe" filled="true" fillcolor="#ffffff" stroked="false">
                <v:path arrowok="t"/>
                <v:fill type="solid"/>
                <w10:wrap type="none"/>
              </v:shape>
            </w:pict>
          </mc:Fallback>
        </mc:AlternateContent>
      </w:r>
      <w:bookmarkStart w:name="Relad 3T24_EN" w:id="2"/>
      <w:bookmarkEnd w:id="2"/>
      <w:r>
        <w:rPr/>
      </w:r>
      <w:r>
        <w:rPr>
          <w:rFonts w:ascii="BancoDoBrasil Titulos Medium"/>
          <w:b w:val="0"/>
          <w:color w:val="FFFFFF"/>
          <w:spacing w:val="16"/>
          <w:sz w:val="32"/>
        </w:rPr>
        <w:t>Management</w:t>
      </w:r>
      <w:r>
        <w:rPr>
          <w:rFonts w:ascii="BancoDoBrasil Titulos Medium"/>
          <w:b w:val="0"/>
          <w:color w:val="FFFFFF"/>
          <w:spacing w:val="37"/>
          <w:sz w:val="32"/>
        </w:rPr>
        <w:t> </w:t>
      </w:r>
      <w:r>
        <w:rPr>
          <w:rFonts w:ascii="BancoDoBrasil Titulos Medium"/>
          <w:b w:val="0"/>
          <w:color w:val="FFFFFF"/>
          <w:spacing w:val="14"/>
          <w:sz w:val="32"/>
        </w:rPr>
        <w:t>Report</w:t>
      </w:r>
      <w:r>
        <w:rPr>
          <w:rFonts w:ascii="BancoDoBrasil Titulos Medium"/>
          <w:b w:val="0"/>
          <w:color w:val="FFFFFF"/>
          <w:spacing w:val="46"/>
          <w:sz w:val="32"/>
        </w:rPr>
        <w:t> </w:t>
      </w:r>
      <w:r>
        <w:rPr>
          <w:rFonts w:ascii="BancoDoBrasil Textos Light"/>
          <w:b w:val="0"/>
          <w:color w:val="FFFFFF"/>
          <w:sz w:val="32"/>
        </w:rPr>
        <w:t>|</w:t>
      </w:r>
      <w:r>
        <w:rPr>
          <w:rFonts w:ascii="BancoDoBrasil Textos Light"/>
          <w:b w:val="0"/>
          <w:color w:val="FFFFFF"/>
          <w:spacing w:val="43"/>
          <w:sz w:val="32"/>
        </w:rPr>
        <w:t> </w:t>
      </w:r>
      <w:r>
        <w:rPr>
          <w:rFonts w:ascii="BancoDoBrasil Titulos Medium"/>
          <w:b w:val="0"/>
          <w:color w:val="FFFFFF"/>
          <w:spacing w:val="11"/>
          <w:sz w:val="32"/>
        </w:rPr>
        <w:t>9M24</w:t>
      </w:r>
    </w:p>
    <w:p>
      <w:pPr>
        <w:pStyle w:val="BodyText"/>
        <w:ind w:left="0"/>
        <w:jc w:val="left"/>
        <w:rPr>
          <w:rFonts w:ascii="BancoDoBrasil Titulos Medium"/>
          <w:b w:val="0"/>
        </w:rPr>
      </w:pPr>
    </w:p>
    <w:p>
      <w:pPr>
        <w:pStyle w:val="BodyText"/>
        <w:ind w:left="0"/>
        <w:jc w:val="left"/>
        <w:rPr>
          <w:rFonts w:ascii="BancoDoBrasil Titulos Medium"/>
          <w:b w:val="0"/>
        </w:rPr>
      </w:pPr>
    </w:p>
    <w:p>
      <w:pPr>
        <w:pStyle w:val="BodyText"/>
        <w:ind w:left="0"/>
        <w:jc w:val="left"/>
        <w:rPr>
          <w:rFonts w:ascii="BancoDoBrasil Titulos Medium"/>
          <w:b w:val="0"/>
        </w:rPr>
      </w:pPr>
    </w:p>
    <w:p>
      <w:pPr>
        <w:pStyle w:val="BodyText"/>
        <w:ind w:left="0"/>
        <w:jc w:val="left"/>
        <w:rPr>
          <w:rFonts w:ascii="BancoDoBrasil Titulos Medium"/>
          <w:b w:val="0"/>
        </w:rPr>
      </w:pPr>
    </w:p>
    <w:p>
      <w:pPr>
        <w:pStyle w:val="BodyText"/>
        <w:ind w:left="0"/>
        <w:jc w:val="left"/>
        <w:rPr>
          <w:rFonts w:ascii="BancoDoBrasil Titulos Medium"/>
          <w:b w:val="0"/>
        </w:rPr>
      </w:pPr>
    </w:p>
    <w:p>
      <w:pPr>
        <w:pStyle w:val="BodyText"/>
        <w:spacing w:before="22"/>
        <w:ind w:left="0"/>
        <w:jc w:val="left"/>
        <w:rPr>
          <w:rFonts w:ascii="BancoDoBrasil Titulos Medium"/>
          <w:b w:val="0"/>
        </w:rPr>
      </w:pPr>
    </w:p>
    <w:p>
      <w:pPr>
        <w:spacing w:after="0"/>
        <w:jc w:val="left"/>
        <w:rPr>
          <w:rFonts w:ascii="BancoDoBrasil Titulos Medium"/>
        </w:rPr>
        <w:sectPr>
          <w:pgSz w:w="11910" w:h="16840"/>
          <w:pgMar w:top="620" w:bottom="280" w:left="0" w:right="280"/>
        </w:sectPr>
      </w:pPr>
    </w:p>
    <w:p>
      <w:pPr>
        <w:spacing w:before="69"/>
        <w:ind w:left="850" w:right="0" w:firstLine="0"/>
        <w:jc w:val="both"/>
        <w:rPr>
          <w:rFonts w:ascii="BancoDoBrasil Textos Medium"/>
          <w:b w:val="0"/>
          <w:sz w:val="28"/>
        </w:rPr>
      </w:pPr>
      <w:r>
        <w:rPr/>
        <mc:AlternateContent>
          <mc:Choice Requires="wps">
            <w:drawing>
              <wp:anchor distT="0" distB="0" distL="0" distR="0" allowOverlap="1" layoutInCell="1" locked="0" behindDoc="1" simplePos="0" relativeHeight="487269888">
                <wp:simplePos x="0" y="0"/>
                <wp:positionH relativeFrom="page">
                  <wp:posOffset>0</wp:posOffset>
                </wp:positionH>
                <wp:positionV relativeFrom="page">
                  <wp:posOffset>-1</wp:posOffset>
                </wp:positionV>
                <wp:extent cx="7561580" cy="10691495"/>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7561580" cy="10691495"/>
                        </a:xfrm>
                        <a:custGeom>
                          <a:avLst/>
                          <a:gdLst/>
                          <a:ahLst/>
                          <a:cxnLst/>
                          <a:rect l="l" t="t" r="r" b="b"/>
                          <a:pathLst>
                            <a:path w="7561580" h="10691495">
                              <a:moveTo>
                                <a:pt x="0" y="10691495"/>
                              </a:moveTo>
                              <a:lnTo>
                                <a:pt x="7561326" y="10691495"/>
                              </a:lnTo>
                              <a:lnTo>
                                <a:pt x="7561326" y="0"/>
                              </a:lnTo>
                              <a:lnTo>
                                <a:pt x="0" y="0"/>
                              </a:lnTo>
                              <a:lnTo>
                                <a:pt x="0" y="10691495"/>
                              </a:lnTo>
                              <a:close/>
                            </a:path>
                          </a:pathLst>
                        </a:custGeom>
                        <a:solidFill>
                          <a:srgbClr val="465EFF"/>
                        </a:solidFill>
                      </wps:spPr>
                      <wps:bodyPr wrap="square" lIns="0" tIns="0" rIns="0" bIns="0" rtlCol="0">
                        <a:prstTxWarp prst="textNoShape">
                          <a:avLst/>
                        </a:prstTxWarp>
                        <a:noAutofit/>
                      </wps:bodyPr>
                    </wps:wsp>
                  </a:graphicData>
                </a:graphic>
              </wp:anchor>
            </w:drawing>
          </mc:Choice>
          <mc:Fallback>
            <w:pict>
              <v:rect style="position:absolute;margin-left:.0pt;margin-top:-.00009pt;width:595.380005pt;height:841.85pt;mso-position-horizontal-relative:page;mso-position-vertical-relative:page;z-index:-16046592" id="docshape7" filled="true" fillcolor="#465eff" stroked="false">
                <v:fill type="solid"/>
                <w10:wrap type="none"/>
              </v:rect>
            </w:pict>
          </mc:Fallback>
        </mc:AlternateContent>
      </w:r>
      <w:r>
        <w:rPr>
          <w:rFonts w:ascii="BancoDoBrasil Textos Medium"/>
          <w:b w:val="0"/>
          <w:color w:val="FBFB2F"/>
          <w:spacing w:val="16"/>
          <w:sz w:val="28"/>
        </w:rPr>
        <w:t>Dear</w:t>
      </w:r>
      <w:r>
        <w:rPr>
          <w:rFonts w:ascii="BancoDoBrasil Textos Medium"/>
          <w:b w:val="0"/>
          <w:color w:val="FBFB2F"/>
          <w:spacing w:val="43"/>
          <w:sz w:val="28"/>
        </w:rPr>
        <w:t> </w:t>
      </w:r>
      <w:r>
        <w:rPr>
          <w:rFonts w:ascii="BancoDoBrasil Textos Medium"/>
          <w:b w:val="0"/>
          <w:color w:val="FBFB2F"/>
          <w:spacing w:val="13"/>
          <w:sz w:val="28"/>
        </w:rPr>
        <w:t>reader,</w:t>
      </w:r>
    </w:p>
    <w:p>
      <w:pPr>
        <w:pStyle w:val="BodyText"/>
        <w:spacing w:line="321" w:lineRule="auto" w:before="171"/>
      </w:pPr>
      <w:r>
        <w:rPr>
          <w:color w:val="FFFFFF"/>
        </w:rPr>
        <w:t>In the first nine months of 2024, we recorded net profit of R$26.7 billion, an increase of 6.9% compared to the same period in 2023, supported by the successful execution of our strategic planning.</w:t>
      </w:r>
      <w:r>
        <w:rPr>
          <w:color w:val="FFFFFF"/>
          <w:spacing w:val="-12"/>
        </w:rPr>
        <w:t> </w:t>
      </w:r>
      <w:r>
        <w:rPr>
          <w:color w:val="FFFFFF"/>
        </w:rPr>
        <w:t>We</w:t>
      </w:r>
      <w:r>
        <w:rPr>
          <w:color w:val="FFFFFF"/>
          <w:spacing w:val="-2"/>
        </w:rPr>
        <w:t> </w:t>
      </w:r>
      <w:r>
        <w:rPr>
          <w:color w:val="FFFFFF"/>
        </w:rPr>
        <w:t>have</w:t>
      </w:r>
      <w:r>
        <w:rPr>
          <w:color w:val="FFFFFF"/>
          <w:spacing w:val="-2"/>
        </w:rPr>
        <w:t> </w:t>
      </w:r>
      <w:r>
        <w:rPr>
          <w:color w:val="FFFFFF"/>
        </w:rPr>
        <w:t>continually</w:t>
      </w:r>
      <w:r>
        <w:rPr>
          <w:color w:val="FFFFFF"/>
          <w:spacing w:val="-3"/>
        </w:rPr>
        <w:t> </w:t>
      </w:r>
      <w:r>
        <w:rPr>
          <w:color w:val="FFFFFF"/>
        </w:rPr>
        <w:t>worked</w:t>
      </w:r>
      <w:r>
        <w:rPr>
          <w:color w:val="FFFFFF"/>
          <w:spacing w:val="-2"/>
        </w:rPr>
        <w:t> </w:t>
      </w:r>
      <w:r>
        <w:rPr>
          <w:color w:val="FFFFFF"/>
        </w:rPr>
        <w:t>to</w:t>
      </w:r>
      <w:r>
        <w:rPr>
          <w:color w:val="FFFFFF"/>
          <w:spacing w:val="-3"/>
        </w:rPr>
        <w:t> </w:t>
      </w:r>
      <w:r>
        <w:rPr>
          <w:color w:val="FFFFFF"/>
        </w:rPr>
        <w:t>deliver</w:t>
      </w:r>
      <w:r>
        <w:rPr>
          <w:color w:val="FFFFFF"/>
          <w:spacing w:val="-3"/>
        </w:rPr>
        <w:t> </w:t>
      </w:r>
      <w:r>
        <w:rPr>
          <w:color w:val="FFFFFF"/>
        </w:rPr>
        <w:t>a Banco do Brasil for each of our customers, with close</w:t>
      </w:r>
      <w:r>
        <w:rPr>
          <w:color w:val="FFFFFF"/>
          <w:spacing w:val="-5"/>
        </w:rPr>
        <w:t> </w:t>
      </w:r>
      <w:r>
        <w:rPr>
          <w:color w:val="FFFFFF"/>
        </w:rPr>
        <w:t>relationships</w:t>
      </w:r>
      <w:r>
        <w:rPr>
          <w:color w:val="FFFFFF"/>
          <w:spacing w:val="-6"/>
        </w:rPr>
        <w:t> </w:t>
      </w:r>
      <w:r>
        <w:rPr>
          <w:color w:val="FFFFFF"/>
        </w:rPr>
        <w:t>and</w:t>
      </w:r>
      <w:r>
        <w:rPr>
          <w:color w:val="FFFFFF"/>
          <w:spacing w:val="-6"/>
        </w:rPr>
        <w:t> </w:t>
      </w:r>
      <w:r>
        <w:rPr>
          <w:color w:val="FFFFFF"/>
        </w:rPr>
        <w:t>phygital</w:t>
      </w:r>
      <w:r>
        <w:rPr>
          <w:color w:val="FFFFFF"/>
          <w:spacing w:val="-5"/>
        </w:rPr>
        <w:t> </w:t>
      </w:r>
      <w:r>
        <w:rPr>
          <w:color w:val="FFFFFF"/>
        </w:rPr>
        <w:t>experience.</w:t>
      </w:r>
      <w:r>
        <w:rPr>
          <w:color w:val="FFFFFF"/>
          <w:spacing w:val="-5"/>
        </w:rPr>
        <w:t> </w:t>
      </w:r>
      <w:r>
        <w:rPr>
          <w:color w:val="FFFFFF"/>
        </w:rPr>
        <w:t>In</w:t>
      </w:r>
      <w:r>
        <w:rPr>
          <w:color w:val="FFFFFF"/>
          <w:spacing w:val="-5"/>
        </w:rPr>
        <w:t> </w:t>
      </w:r>
      <w:r>
        <w:rPr>
          <w:color w:val="FFFFFF"/>
        </w:rPr>
        <w:t>this way, business generation is done in a sustainable way</w:t>
      </w:r>
      <w:r>
        <w:rPr>
          <w:color w:val="FFFFFF"/>
          <w:spacing w:val="-13"/>
        </w:rPr>
        <w:t> </w:t>
      </w:r>
      <w:r>
        <w:rPr>
          <w:color w:val="FFFFFF"/>
        </w:rPr>
        <w:t>and</w:t>
      </w:r>
      <w:r>
        <w:rPr>
          <w:color w:val="FFFFFF"/>
          <w:spacing w:val="-12"/>
        </w:rPr>
        <w:t> </w:t>
      </w:r>
      <w:r>
        <w:rPr>
          <w:color w:val="FFFFFF"/>
        </w:rPr>
        <w:t>the</w:t>
      </w:r>
      <w:r>
        <w:rPr>
          <w:color w:val="FFFFFF"/>
          <w:spacing w:val="-13"/>
        </w:rPr>
        <w:t> </w:t>
      </w:r>
      <w:r>
        <w:rPr>
          <w:color w:val="FFFFFF"/>
        </w:rPr>
        <w:t>return</w:t>
      </w:r>
      <w:r>
        <w:rPr>
          <w:color w:val="FFFFFF"/>
          <w:spacing w:val="-12"/>
        </w:rPr>
        <w:t> </w:t>
      </w:r>
      <w:r>
        <w:rPr>
          <w:color w:val="FFFFFF"/>
        </w:rPr>
        <w:t>to</w:t>
      </w:r>
      <w:r>
        <w:rPr>
          <w:color w:val="FFFFFF"/>
          <w:spacing w:val="-12"/>
        </w:rPr>
        <w:t> </w:t>
      </w:r>
      <w:r>
        <w:rPr>
          <w:color w:val="FFFFFF"/>
        </w:rPr>
        <w:t>our</w:t>
      </w:r>
      <w:r>
        <w:rPr>
          <w:color w:val="FFFFFF"/>
          <w:spacing w:val="-13"/>
        </w:rPr>
        <w:t> </w:t>
      </w:r>
      <w:r>
        <w:rPr>
          <w:color w:val="FFFFFF"/>
        </w:rPr>
        <w:t>shareholders</w:t>
      </w:r>
      <w:r>
        <w:rPr>
          <w:color w:val="FFFFFF"/>
          <w:spacing w:val="-12"/>
        </w:rPr>
        <w:t> </w:t>
      </w:r>
      <w:r>
        <w:rPr>
          <w:color w:val="FFFFFF"/>
        </w:rPr>
        <w:t>and</w:t>
      </w:r>
      <w:r>
        <w:rPr>
          <w:color w:val="FFFFFF"/>
          <w:spacing w:val="-12"/>
        </w:rPr>
        <w:t> </w:t>
      </w:r>
      <w:r>
        <w:rPr>
          <w:color w:val="FFFFFF"/>
        </w:rPr>
        <w:t>society is an organic consequence of our way of being BB.</w:t>
      </w:r>
    </w:p>
    <w:p>
      <w:pPr>
        <w:pStyle w:val="BodyText"/>
        <w:spacing w:line="321" w:lineRule="auto" w:before="113"/>
        <w:ind w:right="1"/>
      </w:pPr>
      <w:r>
        <w:rPr>
          <w:color w:val="FFFFFF"/>
        </w:rPr>
        <w:t>In addition to a result that remunerates shareholders and supports credit growth, </w:t>
      </w:r>
      <w:r>
        <w:rPr>
          <w:color w:val="FFFFFF"/>
        </w:rPr>
        <w:t>with R$63.4 billion in value added to society, when we consider taxes, salaries, dividends and other components. The classified portfolio exceeded R$1.0 trillion, with important developments in all the segments in which we operate.</w:t>
      </w:r>
    </w:p>
    <w:p>
      <w:pPr>
        <w:pStyle w:val="BodyText"/>
        <w:spacing w:line="321" w:lineRule="auto" w:before="116"/>
      </w:pPr>
      <w:r>
        <w:rPr>
          <w:color w:val="FFFFFF"/>
        </w:rPr>
        <w:t>In the Individuals portfolio, emphasis on payroll loans, which reached R$137.2 billion. In the companies segment, both MSMEs and large companies and the government segment showed growth, demonstrating our commitment to these </w:t>
      </w:r>
      <w:r>
        <w:rPr>
          <w:color w:val="FFFFFF"/>
          <w:spacing w:val="-2"/>
        </w:rPr>
        <w:t>segments.</w:t>
      </w:r>
    </w:p>
    <w:p>
      <w:pPr>
        <w:pStyle w:val="BodyText"/>
        <w:spacing w:line="321" w:lineRule="auto" w:before="116"/>
      </w:pPr>
      <w:r>
        <w:rPr>
          <w:color w:val="FFFFFF"/>
        </w:rPr>
        <w:t>In agribusiness, we highlight the </w:t>
      </w:r>
      <w:r>
        <w:rPr>
          <w:color w:val="FFFFFF"/>
        </w:rPr>
        <w:t>positive performance of the expanded portfolio (13.7%), compared</w:t>
      </w:r>
      <w:r>
        <w:rPr>
          <w:color w:val="FFFFFF"/>
          <w:spacing w:val="-10"/>
        </w:rPr>
        <w:t> </w:t>
      </w:r>
      <w:r>
        <w:rPr>
          <w:color w:val="FFFFFF"/>
        </w:rPr>
        <w:t>to</w:t>
      </w:r>
      <w:r>
        <w:rPr>
          <w:color w:val="FFFFFF"/>
          <w:spacing w:val="-10"/>
        </w:rPr>
        <w:t> </w:t>
      </w:r>
      <w:r>
        <w:rPr>
          <w:color w:val="FFFFFF"/>
        </w:rPr>
        <w:t>the</w:t>
      </w:r>
      <w:r>
        <w:rPr>
          <w:color w:val="FFFFFF"/>
          <w:spacing w:val="-10"/>
        </w:rPr>
        <w:t> </w:t>
      </w:r>
      <w:r>
        <w:rPr>
          <w:color w:val="FFFFFF"/>
        </w:rPr>
        <w:t>same</w:t>
      </w:r>
      <w:r>
        <w:rPr>
          <w:color w:val="FFFFFF"/>
          <w:spacing w:val="-10"/>
        </w:rPr>
        <w:t> </w:t>
      </w:r>
      <w:r>
        <w:rPr>
          <w:color w:val="FFFFFF"/>
        </w:rPr>
        <w:t>period</w:t>
      </w:r>
      <w:r>
        <w:rPr>
          <w:color w:val="FFFFFF"/>
          <w:spacing w:val="-10"/>
        </w:rPr>
        <w:t> </w:t>
      </w:r>
      <w:r>
        <w:rPr>
          <w:color w:val="FFFFFF"/>
        </w:rPr>
        <w:t>of</w:t>
      </w:r>
      <w:r>
        <w:rPr>
          <w:color w:val="FFFFFF"/>
          <w:spacing w:val="-9"/>
        </w:rPr>
        <w:t> </w:t>
      </w:r>
      <w:r>
        <w:rPr>
          <w:color w:val="FFFFFF"/>
        </w:rPr>
        <w:t>the</w:t>
      </w:r>
      <w:r>
        <w:rPr>
          <w:color w:val="FFFFFF"/>
          <w:spacing w:val="-10"/>
        </w:rPr>
        <w:t> </w:t>
      </w:r>
      <w:r>
        <w:rPr>
          <w:color w:val="FFFFFF"/>
        </w:rPr>
        <w:t>previous</w:t>
      </w:r>
      <w:r>
        <w:rPr>
          <w:color w:val="FFFFFF"/>
          <w:spacing w:val="-9"/>
        </w:rPr>
        <w:t> </w:t>
      </w:r>
      <w:r>
        <w:rPr>
          <w:color w:val="FFFFFF"/>
        </w:rPr>
        <w:t>year. In the 2024/2025 Harvest Plan, we disbursed R$63.4 billion. Furthermore, there was a disbursement of R$11.0 billion in the agricultural value</w:t>
      </w:r>
      <w:r>
        <w:rPr>
          <w:color w:val="FFFFFF"/>
          <w:spacing w:val="49"/>
        </w:rPr>
        <w:t> </w:t>
      </w:r>
      <w:r>
        <w:rPr>
          <w:color w:val="FFFFFF"/>
        </w:rPr>
        <w:t>chain,</w:t>
      </w:r>
      <w:r>
        <w:rPr>
          <w:color w:val="FFFFFF"/>
          <w:spacing w:val="49"/>
        </w:rPr>
        <w:t> </w:t>
      </w:r>
      <w:r>
        <w:rPr>
          <w:color w:val="FFFFFF"/>
        </w:rPr>
        <w:t>totaling</w:t>
      </w:r>
      <w:r>
        <w:rPr>
          <w:color w:val="FFFFFF"/>
          <w:spacing w:val="49"/>
        </w:rPr>
        <w:t> </w:t>
      </w:r>
      <w:r>
        <w:rPr>
          <w:color w:val="FFFFFF"/>
        </w:rPr>
        <w:t>R$74.4</w:t>
      </w:r>
      <w:r>
        <w:rPr>
          <w:color w:val="FFFFFF"/>
          <w:spacing w:val="50"/>
        </w:rPr>
        <w:t> </w:t>
      </w:r>
      <w:r>
        <w:rPr>
          <w:color w:val="FFFFFF"/>
        </w:rPr>
        <w:t>billion.</w:t>
      </w:r>
      <w:r>
        <w:rPr>
          <w:color w:val="FFFFFF"/>
          <w:spacing w:val="38"/>
        </w:rPr>
        <w:t> </w:t>
      </w:r>
      <w:r>
        <w:rPr>
          <w:color w:val="FFFFFF"/>
        </w:rPr>
        <w:t>There</w:t>
      </w:r>
      <w:r>
        <w:rPr>
          <w:color w:val="FFFFFF"/>
          <w:spacing w:val="50"/>
        </w:rPr>
        <w:t> </w:t>
      </w:r>
      <w:r>
        <w:rPr>
          <w:color w:val="FFFFFF"/>
          <w:spacing w:val="-4"/>
        </w:rPr>
        <w:t>were</w:t>
      </w:r>
    </w:p>
    <w:p>
      <w:pPr>
        <w:spacing w:line="240" w:lineRule="auto" w:before="0"/>
        <w:rPr>
          <w:sz w:val="20"/>
        </w:rPr>
      </w:pPr>
      <w:r>
        <w:rPr/>
        <w:br w:type="column"/>
      </w:r>
      <w:r>
        <w:rPr>
          <w:sz w:val="20"/>
        </w:rPr>
      </w:r>
    </w:p>
    <w:p>
      <w:pPr>
        <w:pStyle w:val="BodyText"/>
        <w:spacing w:before="87"/>
        <w:ind w:left="0"/>
        <w:jc w:val="left"/>
      </w:pPr>
    </w:p>
    <w:p>
      <w:pPr>
        <w:pStyle w:val="BodyText"/>
        <w:spacing w:line="321" w:lineRule="auto"/>
        <w:ind w:left="667" w:right="569"/>
      </w:pPr>
      <w:r>
        <w:rPr>
          <w:color w:val="FFFFFF"/>
        </w:rPr>
        <w:t>more than 200 thousand</w:t>
      </w:r>
      <w:r>
        <w:rPr>
          <w:color w:val="FFFFFF"/>
          <w:spacing w:val="-1"/>
        </w:rPr>
        <w:t> </w:t>
      </w:r>
      <w:r>
        <w:rPr>
          <w:color w:val="FFFFFF"/>
        </w:rPr>
        <w:t>operations contracted in the period in more than 4.8 thousand municipalities across the country, 69.8% of which were destined for family farming (Pronaf) and medium producers (Pronamp).</w:t>
      </w:r>
    </w:p>
    <w:p>
      <w:pPr>
        <w:pStyle w:val="BodyText"/>
        <w:spacing w:line="321" w:lineRule="auto" w:before="117"/>
        <w:ind w:left="667" w:right="568"/>
      </w:pPr>
      <w:r>
        <w:rPr>
          <w:color w:val="FFFFFF"/>
        </w:rPr>
        <w:t>In</w:t>
      </w:r>
      <w:r>
        <w:rPr>
          <w:color w:val="FFFFFF"/>
          <w:spacing w:val="-7"/>
        </w:rPr>
        <w:t> </w:t>
      </w:r>
      <w:r>
        <w:rPr>
          <w:color w:val="FFFFFF"/>
        </w:rPr>
        <w:t>September,</w:t>
      </w:r>
      <w:r>
        <w:rPr>
          <w:color w:val="FFFFFF"/>
          <w:spacing w:val="-7"/>
        </w:rPr>
        <w:t> </w:t>
      </w:r>
      <w:r>
        <w:rPr>
          <w:color w:val="FFFFFF"/>
        </w:rPr>
        <w:t>we</w:t>
      </w:r>
      <w:r>
        <w:rPr>
          <w:color w:val="FFFFFF"/>
          <w:spacing w:val="-6"/>
        </w:rPr>
        <w:t> </w:t>
      </w:r>
      <w:r>
        <w:rPr>
          <w:color w:val="FFFFFF"/>
        </w:rPr>
        <w:t>were</w:t>
      </w:r>
      <w:r>
        <w:rPr>
          <w:color w:val="FFFFFF"/>
          <w:spacing w:val="-6"/>
        </w:rPr>
        <w:t> </w:t>
      </w:r>
      <w:r>
        <w:rPr>
          <w:color w:val="FFFFFF"/>
        </w:rPr>
        <w:t>protagonists</w:t>
      </w:r>
      <w:r>
        <w:rPr>
          <w:color w:val="FFFFFF"/>
          <w:spacing w:val="-7"/>
        </w:rPr>
        <w:t> </w:t>
      </w:r>
      <w:r>
        <w:rPr>
          <w:color w:val="FFFFFF"/>
        </w:rPr>
        <w:t>in</w:t>
      </w:r>
      <w:r>
        <w:rPr>
          <w:color w:val="FFFFFF"/>
          <w:spacing w:val="-8"/>
        </w:rPr>
        <w:t> </w:t>
      </w:r>
      <w:r>
        <w:rPr>
          <w:color w:val="FFFFFF"/>
        </w:rPr>
        <w:t>leading</w:t>
      </w:r>
      <w:r>
        <w:rPr>
          <w:color w:val="FFFFFF"/>
          <w:spacing w:val="-7"/>
        </w:rPr>
        <w:t> </w:t>
      </w:r>
      <w:r>
        <w:rPr>
          <w:color w:val="FFFFFF"/>
        </w:rPr>
        <w:t>the sustainable economy agenda and presenting BB's strength in the ESG agenda at the UN Global Compact and Climate Week events, both in New York/USA. We highlight BB as the main hub for </w:t>
      </w:r>
      <w:r>
        <w:rPr>
          <w:color w:val="FFFFFF"/>
          <w:spacing w:val="-2"/>
        </w:rPr>
        <w:t>attracting</w:t>
      </w:r>
      <w:r>
        <w:rPr>
          <w:color w:val="FFFFFF"/>
          <w:spacing w:val="-9"/>
        </w:rPr>
        <w:t> </w:t>
      </w:r>
      <w:r>
        <w:rPr>
          <w:color w:val="FFFFFF"/>
          <w:spacing w:val="-2"/>
        </w:rPr>
        <w:t>external</w:t>
      </w:r>
      <w:r>
        <w:rPr>
          <w:color w:val="FFFFFF"/>
          <w:spacing w:val="-8"/>
        </w:rPr>
        <w:t> </w:t>
      </w:r>
      <w:r>
        <w:rPr>
          <w:color w:val="FFFFFF"/>
          <w:spacing w:val="-2"/>
        </w:rPr>
        <w:t>resources</w:t>
      </w:r>
      <w:r>
        <w:rPr>
          <w:color w:val="FFFFFF"/>
          <w:spacing w:val="-9"/>
        </w:rPr>
        <w:t> </w:t>
      </w:r>
      <w:r>
        <w:rPr>
          <w:color w:val="FFFFFF"/>
          <w:spacing w:val="-2"/>
        </w:rPr>
        <w:t>for</w:t>
      </w:r>
      <w:r>
        <w:rPr>
          <w:color w:val="FFFFFF"/>
          <w:spacing w:val="-8"/>
        </w:rPr>
        <w:t> </w:t>
      </w:r>
      <w:r>
        <w:rPr>
          <w:color w:val="FFFFFF"/>
          <w:spacing w:val="-2"/>
        </w:rPr>
        <w:t>green</w:t>
      </w:r>
      <w:r>
        <w:rPr>
          <w:color w:val="FFFFFF"/>
          <w:spacing w:val="-9"/>
        </w:rPr>
        <w:t> </w:t>
      </w:r>
      <w:r>
        <w:rPr>
          <w:color w:val="FFFFFF"/>
          <w:spacing w:val="-2"/>
        </w:rPr>
        <w:t>initiatives</w:t>
      </w:r>
      <w:r>
        <w:rPr>
          <w:color w:val="FFFFFF"/>
          <w:spacing w:val="-9"/>
        </w:rPr>
        <w:t> </w:t>
      </w:r>
      <w:r>
        <w:rPr>
          <w:color w:val="FFFFFF"/>
          <w:spacing w:val="-2"/>
        </w:rPr>
        <w:t>in </w:t>
      </w:r>
      <w:r>
        <w:rPr>
          <w:color w:val="FFFFFF"/>
        </w:rPr>
        <w:t>the country, as well as being pioneers in bioeconomy and carbon credit solutions, with these topics already advancing in our portfolio.</w:t>
      </w:r>
    </w:p>
    <w:p>
      <w:pPr>
        <w:pStyle w:val="BodyText"/>
        <w:spacing w:line="321" w:lineRule="auto" w:before="114"/>
        <w:ind w:left="667" w:right="568"/>
      </w:pPr>
      <w:r>
        <w:rPr>
          <w:color w:val="FFFFFF"/>
        </w:rPr>
        <w:t>Furthermore, on the same occasion, we promoted </w:t>
      </w:r>
      <w:r>
        <w:rPr>
          <w:color w:val="FFFFFF"/>
          <w:spacing w:val="-2"/>
        </w:rPr>
        <w:t>the</w:t>
      </w:r>
      <w:r>
        <w:rPr>
          <w:color w:val="FFFFFF"/>
          <w:spacing w:val="-11"/>
        </w:rPr>
        <w:t> </w:t>
      </w:r>
      <w:r>
        <w:rPr>
          <w:color w:val="FFFFFF"/>
          <w:spacing w:val="-2"/>
        </w:rPr>
        <w:t>first</w:t>
      </w:r>
      <w:r>
        <w:rPr>
          <w:color w:val="FFFFFF"/>
          <w:spacing w:val="-10"/>
        </w:rPr>
        <w:t> </w:t>
      </w:r>
      <w:r>
        <w:rPr>
          <w:color w:val="FFFFFF"/>
          <w:spacing w:val="-2"/>
        </w:rPr>
        <w:t>edition</w:t>
      </w:r>
      <w:r>
        <w:rPr>
          <w:color w:val="FFFFFF"/>
          <w:spacing w:val="-11"/>
        </w:rPr>
        <w:t> </w:t>
      </w:r>
      <w:r>
        <w:rPr>
          <w:color w:val="FFFFFF"/>
          <w:spacing w:val="-2"/>
        </w:rPr>
        <w:t>of</w:t>
      </w:r>
      <w:r>
        <w:rPr>
          <w:color w:val="FFFFFF"/>
          <w:spacing w:val="-10"/>
        </w:rPr>
        <w:t> </w:t>
      </w:r>
      <w:r>
        <w:rPr>
          <w:color w:val="FFFFFF"/>
          <w:spacing w:val="-2"/>
        </w:rPr>
        <w:t>Investor</w:t>
      </w:r>
      <w:r>
        <w:rPr>
          <w:color w:val="FFFFFF"/>
          <w:spacing w:val="-10"/>
        </w:rPr>
        <w:t> </w:t>
      </w:r>
      <w:r>
        <w:rPr>
          <w:color w:val="FFFFFF"/>
          <w:spacing w:val="-2"/>
        </w:rPr>
        <w:t>Day</w:t>
      </w:r>
      <w:r>
        <w:rPr>
          <w:color w:val="FFFFFF"/>
          <w:spacing w:val="-11"/>
        </w:rPr>
        <w:t> </w:t>
      </w:r>
      <w:r>
        <w:rPr>
          <w:color w:val="FFFFFF"/>
          <w:spacing w:val="-2"/>
        </w:rPr>
        <w:t>in</w:t>
      </w:r>
      <w:r>
        <w:rPr>
          <w:color w:val="FFFFFF"/>
          <w:spacing w:val="-10"/>
        </w:rPr>
        <w:t> </w:t>
      </w:r>
      <w:r>
        <w:rPr>
          <w:color w:val="FFFFFF"/>
          <w:spacing w:val="-2"/>
        </w:rPr>
        <w:t>the</w:t>
      </w:r>
      <w:r>
        <w:rPr>
          <w:color w:val="FFFFFF"/>
          <w:spacing w:val="-10"/>
        </w:rPr>
        <w:t> </w:t>
      </w:r>
      <w:r>
        <w:rPr>
          <w:color w:val="FFFFFF"/>
          <w:spacing w:val="-2"/>
        </w:rPr>
        <w:t>USA,</w:t>
      </w:r>
      <w:r>
        <w:rPr>
          <w:color w:val="FFFFFF"/>
          <w:spacing w:val="-11"/>
        </w:rPr>
        <w:t> </w:t>
      </w:r>
      <w:r>
        <w:rPr>
          <w:color w:val="FFFFFF"/>
          <w:spacing w:val="-2"/>
        </w:rPr>
        <w:t>an</w:t>
      </w:r>
      <w:r>
        <w:rPr>
          <w:color w:val="FFFFFF"/>
          <w:spacing w:val="-10"/>
        </w:rPr>
        <w:t> </w:t>
      </w:r>
      <w:r>
        <w:rPr>
          <w:color w:val="FFFFFF"/>
          <w:spacing w:val="-2"/>
        </w:rPr>
        <w:t>event </w:t>
      </w:r>
      <w:r>
        <w:rPr>
          <w:color w:val="FFFFFF"/>
        </w:rPr>
        <w:t>that brought together relevant institutional investors, market analysts and other financial market professionals.</w:t>
      </w:r>
    </w:p>
    <w:p>
      <w:pPr>
        <w:pStyle w:val="BodyText"/>
        <w:spacing w:line="321" w:lineRule="auto" w:before="117"/>
        <w:ind w:left="667" w:right="569"/>
      </w:pPr>
      <w:r>
        <w:rPr>
          <w:color w:val="FFFFFF"/>
        </w:rPr>
        <w:t>In 3Q24, we continued to stand out for the reduction in complaints received in the Central Bank Complaints Ranking. We maintained 14th place</w:t>
      </w:r>
      <w:r>
        <w:rPr>
          <w:color w:val="FFFFFF"/>
          <w:spacing w:val="-11"/>
        </w:rPr>
        <w:t> </w:t>
      </w:r>
      <w:r>
        <w:rPr>
          <w:color w:val="FFFFFF"/>
        </w:rPr>
        <w:t>among</w:t>
      </w:r>
      <w:r>
        <w:rPr>
          <w:color w:val="FFFFFF"/>
          <w:spacing w:val="-12"/>
        </w:rPr>
        <w:t> </w:t>
      </w:r>
      <w:r>
        <w:rPr>
          <w:color w:val="FFFFFF"/>
        </w:rPr>
        <w:t>15</w:t>
      </w:r>
      <w:r>
        <w:rPr>
          <w:color w:val="FFFFFF"/>
          <w:spacing w:val="-10"/>
        </w:rPr>
        <w:t> </w:t>
      </w:r>
      <w:r>
        <w:rPr>
          <w:color w:val="FFFFFF"/>
        </w:rPr>
        <w:t>financial</w:t>
      </w:r>
      <w:r>
        <w:rPr>
          <w:color w:val="FFFFFF"/>
          <w:spacing w:val="-12"/>
        </w:rPr>
        <w:t> </w:t>
      </w:r>
      <w:r>
        <w:rPr>
          <w:color w:val="FFFFFF"/>
        </w:rPr>
        <w:t>and</w:t>
      </w:r>
      <w:r>
        <w:rPr>
          <w:color w:val="FFFFFF"/>
          <w:spacing w:val="-11"/>
        </w:rPr>
        <w:t> </w:t>
      </w:r>
      <w:r>
        <w:rPr>
          <w:color w:val="FFFFFF"/>
        </w:rPr>
        <w:t>payment</w:t>
      </w:r>
      <w:r>
        <w:rPr>
          <w:color w:val="FFFFFF"/>
          <w:spacing w:val="-11"/>
        </w:rPr>
        <w:t> </w:t>
      </w:r>
      <w:r>
        <w:rPr>
          <w:color w:val="FFFFFF"/>
        </w:rPr>
        <w:t>institutions, continuing with our best result for the 9th consecutive quarter.</w:t>
      </w:r>
    </w:p>
    <w:p>
      <w:pPr>
        <w:pStyle w:val="BodyText"/>
        <w:spacing w:line="319" w:lineRule="auto" w:before="116"/>
        <w:ind w:left="667" w:right="571"/>
      </w:pPr>
      <w:r>
        <w:rPr>
          <w:color w:val="FFFFFF"/>
          <w:spacing w:val="-2"/>
        </w:rPr>
        <w:t>We</w:t>
      </w:r>
      <w:r>
        <w:rPr>
          <w:color w:val="FFFFFF"/>
          <w:spacing w:val="-8"/>
        </w:rPr>
        <w:t> </w:t>
      </w:r>
      <w:r>
        <w:rPr>
          <w:color w:val="FFFFFF"/>
          <w:spacing w:val="-2"/>
        </w:rPr>
        <w:t>invite</w:t>
      </w:r>
      <w:r>
        <w:rPr>
          <w:color w:val="FFFFFF"/>
          <w:spacing w:val="-8"/>
        </w:rPr>
        <w:t> </w:t>
      </w:r>
      <w:r>
        <w:rPr>
          <w:color w:val="FFFFFF"/>
          <w:spacing w:val="-2"/>
        </w:rPr>
        <w:t>you</w:t>
      </w:r>
      <w:r>
        <w:rPr>
          <w:color w:val="FFFFFF"/>
          <w:spacing w:val="-8"/>
        </w:rPr>
        <w:t> </w:t>
      </w:r>
      <w:r>
        <w:rPr>
          <w:color w:val="FFFFFF"/>
          <w:spacing w:val="-2"/>
        </w:rPr>
        <w:t>to</w:t>
      </w:r>
      <w:r>
        <w:rPr>
          <w:color w:val="FFFFFF"/>
          <w:spacing w:val="-7"/>
        </w:rPr>
        <w:t> </w:t>
      </w:r>
      <w:r>
        <w:rPr>
          <w:color w:val="FFFFFF"/>
          <w:spacing w:val="-2"/>
        </w:rPr>
        <w:t>learn</w:t>
      </w:r>
      <w:r>
        <w:rPr>
          <w:color w:val="FFFFFF"/>
          <w:spacing w:val="-8"/>
        </w:rPr>
        <w:t> </w:t>
      </w:r>
      <w:r>
        <w:rPr>
          <w:color w:val="FFFFFF"/>
          <w:spacing w:val="-2"/>
        </w:rPr>
        <w:t>more</w:t>
      </w:r>
      <w:r>
        <w:rPr>
          <w:color w:val="FFFFFF"/>
          <w:spacing w:val="-8"/>
        </w:rPr>
        <w:t> </w:t>
      </w:r>
      <w:r>
        <w:rPr>
          <w:color w:val="FFFFFF"/>
          <w:spacing w:val="-2"/>
        </w:rPr>
        <w:t>about</w:t>
      </w:r>
      <w:r>
        <w:rPr>
          <w:color w:val="FFFFFF"/>
          <w:spacing w:val="-8"/>
        </w:rPr>
        <w:t> </w:t>
      </w:r>
      <w:r>
        <w:rPr>
          <w:color w:val="FFFFFF"/>
          <w:spacing w:val="-2"/>
        </w:rPr>
        <w:t>our</w:t>
      </w:r>
      <w:r>
        <w:rPr>
          <w:color w:val="FFFFFF"/>
          <w:spacing w:val="-7"/>
        </w:rPr>
        <w:t> </w:t>
      </w:r>
      <w:r>
        <w:rPr>
          <w:color w:val="FFFFFF"/>
          <w:spacing w:val="-2"/>
        </w:rPr>
        <w:t>deliveries</w:t>
      </w:r>
      <w:r>
        <w:rPr>
          <w:color w:val="FFFFFF"/>
          <w:spacing w:val="-8"/>
        </w:rPr>
        <w:t> </w:t>
      </w:r>
      <w:r>
        <w:rPr>
          <w:color w:val="FFFFFF"/>
          <w:spacing w:val="-2"/>
        </w:rPr>
        <w:t>on </w:t>
      </w:r>
      <w:r>
        <w:rPr>
          <w:color w:val="FFFFFF"/>
        </w:rPr>
        <w:t>the following pages.</w:t>
      </w:r>
    </w:p>
    <w:p>
      <w:pPr>
        <w:pStyle w:val="BodyText"/>
        <w:ind w:left="0"/>
        <w:jc w:val="left"/>
      </w:pPr>
    </w:p>
    <w:p>
      <w:pPr>
        <w:pStyle w:val="BodyText"/>
        <w:spacing w:before="75"/>
        <w:ind w:left="0"/>
        <w:jc w:val="left"/>
      </w:pPr>
    </w:p>
    <w:p>
      <w:pPr>
        <w:pStyle w:val="BodyText"/>
        <w:ind w:left="667"/>
      </w:pPr>
      <w:r>
        <w:rPr>
          <w:color w:val="FFFFFF"/>
        </w:rPr>
        <w:t>Good </w:t>
      </w:r>
      <w:r>
        <w:rPr>
          <w:color w:val="FFFFFF"/>
          <w:spacing w:val="-2"/>
        </w:rPr>
        <w:t>reading!</w:t>
      </w:r>
    </w:p>
    <w:p>
      <w:pPr>
        <w:spacing w:after="0"/>
        <w:sectPr>
          <w:type w:val="continuous"/>
          <w:pgSz w:w="11910" w:h="16840"/>
          <w:pgMar w:top="1920" w:bottom="280" w:left="0" w:right="280"/>
          <w:cols w:num="2" w:equalWidth="0">
            <w:col w:w="5601" w:space="40"/>
            <w:col w:w="5989"/>
          </w:cols>
        </w:sectPr>
      </w:pPr>
    </w:p>
    <w:p>
      <w:pPr>
        <w:pStyle w:val="Heading1"/>
        <w:spacing w:before="190"/>
        <w:jc w:val="both"/>
      </w:pPr>
      <w:r>
        <w:rPr>
          <w:color w:val="465EFF"/>
          <w:spacing w:val="32"/>
        </w:rPr>
        <w:t>Consolidated</w:t>
      </w:r>
      <w:r>
        <w:rPr>
          <w:color w:val="465EFF"/>
          <w:spacing w:val="70"/>
        </w:rPr>
        <w:t> </w:t>
      </w:r>
      <w:r>
        <w:rPr>
          <w:color w:val="465EFF"/>
          <w:spacing w:val="34"/>
        </w:rPr>
        <w:t>Financial</w:t>
      </w:r>
      <w:r>
        <w:rPr>
          <w:color w:val="465EFF"/>
          <w:spacing w:val="67"/>
        </w:rPr>
        <w:t> </w:t>
      </w:r>
      <w:r>
        <w:rPr>
          <w:color w:val="465EFF"/>
          <w:spacing w:val="32"/>
        </w:rPr>
        <w:t>Statements</w:t>
      </w:r>
      <w:r>
        <w:rPr>
          <w:color w:val="465EFF"/>
          <w:spacing w:val="65"/>
        </w:rPr>
        <w:t> </w:t>
      </w:r>
      <w:r>
        <w:rPr>
          <w:color w:val="465EFF"/>
          <w:spacing w:val="25"/>
        </w:rPr>
        <w:t>Results</w:t>
      </w:r>
    </w:p>
    <w:p>
      <w:pPr>
        <w:pStyle w:val="BodyText"/>
        <w:spacing w:line="321" w:lineRule="auto" w:before="332"/>
        <w:ind w:right="569"/>
      </w:pPr>
      <w:r>
        <w:rPr>
          <w:color w:val="1B1B22"/>
        </w:rPr>
        <w:t>We</w:t>
      </w:r>
      <w:r>
        <w:rPr>
          <w:color w:val="1B1B22"/>
          <w:spacing w:val="-13"/>
        </w:rPr>
        <w:t> </w:t>
      </w:r>
      <w:r>
        <w:rPr>
          <w:color w:val="1B1B22"/>
        </w:rPr>
        <w:t>achieved</w:t>
      </w:r>
      <w:r>
        <w:rPr>
          <w:color w:val="1B1B22"/>
          <w:spacing w:val="-12"/>
        </w:rPr>
        <w:t> </w:t>
      </w:r>
      <w:r>
        <w:rPr>
          <w:color w:val="1B1B22"/>
        </w:rPr>
        <w:t>net</w:t>
      </w:r>
      <w:r>
        <w:rPr>
          <w:color w:val="1B1B22"/>
          <w:spacing w:val="-13"/>
        </w:rPr>
        <w:t> </w:t>
      </w:r>
      <w:r>
        <w:rPr>
          <w:color w:val="1B1B22"/>
        </w:rPr>
        <w:t>profit</w:t>
      </w:r>
      <w:r>
        <w:rPr>
          <w:color w:val="1B1B22"/>
          <w:spacing w:val="-12"/>
        </w:rPr>
        <w:t> </w:t>
      </w:r>
      <w:r>
        <w:rPr>
          <w:color w:val="1B1B22"/>
        </w:rPr>
        <w:t>of</w:t>
      </w:r>
      <w:r>
        <w:rPr>
          <w:color w:val="1B1B22"/>
          <w:spacing w:val="-12"/>
        </w:rPr>
        <w:t> </w:t>
      </w:r>
      <w:r>
        <w:rPr>
          <w:color w:val="1B1B22"/>
        </w:rPr>
        <w:t>R$26.7</w:t>
      </w:r>
      <w:r>
        <w:rPr>
          <w:color w:val="1B1B22"/>
          <w:spacing w:val="-13"/>
        </w:rPr>
        <w:t> </w:t>
      </w:r>
      <w:r>
        <w:rPr>
          <w:color w:val="1B1B22"/>
        </w:rPr>
        <w:t>billion</w:t>
      </w:r>
      <w:r>
        <w:rPr>
          <w:color w:val="1B1B22"/>
          <w:spacing w:val="-12"/>
        </w:rPr>
        <w:t> </w:t>
      </w:r>
      <w:r>
        <w:rPr>
          <w:color w:val="1B1B22"/>
        </w:rPr>
        <w:t>in</w:t>
      </w:r>
      <w:r>
        <w:rPr>
          <w:color w:val="1B1B22"/>
          <w:spacing w:val="-12"/>
        </w:rPr>
        <w:t> </w:t>
      </w:r>
      <w:r>
        <w:rPr>
          <w:color w:val="1B1B22"/>
        </w:rPr>
        <w:t>9M24,</w:t>
      </w:r>
      <w:r>
        <w:rPr>
          <w:color w:val="1B1B22"/>
          <w:spacing w:val="-13"/>
        </w:rPr>
        <w:t> </w:t>
      </w:r>
      <w:r>
        <w:rPr>
          <w:color w:val="1B1B22"/>
        </w:rPr>
        <w:t>reflecting</w:t>
      </w:r>
      <w:r>
        <w:rPr>
          <w:color w:val="1B1B22"/>
          <w:spacing w:val="-12"/>
        </w:rPr>
        <w:t> </w:t>
      </w:r>
      <w:r>
        <w:rPr>
          <w:color w:val="1B1B22"/>
        </w:rPr>
        <w:t>the</w:t>
      </w:r>
      <w:r>
        <w:rPr>
          <w:color w:val="1B1B22"/>
          <w:spacing w:val="-12"/>
        </w:rPr>
        <w:t> </w:t>
      </w:r>
      <w:r>
        <w:rPr>
          <w:color w:val="1B1B22"/>
        </w:rPr>
        <w:t>good</w:t>
      </w:r>
      <w:r>
        <w:rPr>
          <w:color w:val="1B1B22"/>
          <w:spacing w:val="-13"/>
        </w:rPr>
        <w:t> </w:t>
      </w:r>
      <w:r>
        <w:rPr>
          <w:color w:val="1B1B22"/>
        </w:rPr>
        <w:t>performance</w:t>
      </w:r>
      <w:r>
        <w:rPr>
          <w:color w:val="1B1B22"/>
          <w:spacing w:val="-12"/>
        </w:rPr>
        <w:t> </w:t>
      </w:r>
      <w:r>
        <w:rPr>
          <w:color w:val="1B1B22"/>
        </w:rPr>
        <w:t>in</w:t>
      </w:r>
      <w:r>
        <w:rPr>
          <w:color w:val="1B1B22"/>
          <w:spacing w:val="-12"/>
        </w:rPr>
        <w:t> </w:t>
      </w:r>
      <w:r>
        <w:rPr>
          <w:color w:val="1B1B22"/>
        </w:rPr>
        <w:t>credit,</w:t>
      </w:r>
      <w:r>
        <w:rPr>
          <w:color w:val="1B1B22"/>
          <w:spacing w:val="-13"/>
        </w:rPr>
        <w:t> </w:t>
      </w:r>
      <w:r>
        <w:rPr>
          <w:color w:val="1B1B22"/>
        </w:rPr>
        <w:t>funding,</w:t>
      </w:r>
      <w:r>
        <w:rPr>
          <w:color w:val="1B1B22"/>
          <w:spacing w:val="-12"/>
        </w:rPr>
        <w:t> </w:t>
      </w:r>
      <w:r>
        <w:rPr>
          <w:color w:val="1B1B22"/>
        </w:rPr>
        <w:t>services, conglomerate businesses and focus on cost control. Our classified credit portfolio exceeded R$1.0 trillion, </w:t>
      </w:r>
      <w:r>
        <w:rPr>
          <w:color w:val="1B1B22"/>
          <w:spacing w:val="-2"/>
        </w:rPr>
        <w:t>growth</w:t>
      </w:r>
      <w:r>
        <w:rPr>
          <w:color w:val="1B1B22"/>
          <w:spacing w:val="-11"/>
        </w:rPr>
        <w:t> </w:t>
      </w:r>
      <w:r>
        <w:rPr>
          <w:color w:val="1B1B22"/>
          <w:spacing w:val="-2"/>
        </w:rPr>
        <w:t>of</w:t>
      </w:r>
      <w:r>
        <w:rPr>
          <w:color w:val="1B1B22"/>
          <w:spacing w:val="-10"/>
        </w:rPr>
        <w:t> </w:t>
      </w:r>
      <w:r>
        <w:rPr>
          <w:color w:val="1B1B22"/>
          <w:spacing w:val="-2"/>
        </w:rPr>
        <w:t>11.1%</w:t>
      </w:r>
      <w:r>
        <w:rPr>
          <w:color w:val="1B1B22"/>
          <w:spacing w:val="-11"/>
        </w:rPr>
        <w:t> </w:t>
      </w:r>
      <w:r>
        <w:rPr>
          <w:color w:val="1B1B22"/>
          <w:spacing w:val="-2"/>
        </w:rPr>
        <w:t>compared</w:t>
      </w:r>
      <w:r>
        <w:rPr>
          <w:color w:val="1B1B22"/>
          <w:spacing w:val="-10"/>
        </w:rPr>
        <w:t> </w:t>
      </w:r>
      <w:r>
        <w:rPr>
          <w:color w:val="1B1B22"/>
          <w:spacing w:val="-2"/>
        </w:rPr>
        <w:t>to</w:t>
      </w:r>
      <w:r>
        <w:rPr>
          <w:color w:val="1B1B22"/>
          <w:spacing w:val="-10"/>
        </w:rPr>
        <w:t> </w:t>
      </w:r>
      <w:r>
        <w:rPr>
          <w:color w:val="1B1B22"/>
          <w:spacing w:val="-2"/>
        </w:rPr>
        <w:t>September/23.</w:t>
      </w:r>
      <w:r>
        <w:rPr>
          <w:color w:val="1B1B22"/>
          <w:spacing w:val="-11"/>
        </w:rPr>
        <w:t> </w:t>
      </w:r>
      <w:r>
        <w:rPr>
          <w:color w:val="1B1B22"/>
          <w:spacing w:val="-2"/>
        </w:rPr>
        <w:t>The</w:t>
      </w:r>
      <w:r>
        <w:rPr>
          <w:color w:val="1B1B22"/>
          <w:spacing w:val="-10"/>
        </w:rPr>
        <w:t> </w:t>
      </w:r>
      <w:r>
        <w:rPr>
          <w:color w:val="1B1B22"/>
          <w:spacing w:val="-2"/>
        </w:rPr>
        <w:t>portfolio</w:t>
      </w:r>
      <w:r>
        <w:rPr>
          <w:color w:val="1B1B22"/>
          <w:spacing w:val="-10"/>
        </w:rPr>
        <w:t> </w:t>
      </w:r>
      <w:r>
        <w:rPr>
          <w:color w:val="1B1B22"/>
          <w:spacing w:val="-2"/>
        </w:rPr>
        <w:t>for</w:t>
      </w:r>
      <w:r>
        <w:rPr>
          <w:color w:val="1B1B22"/>
          <w:spacing w:val="-11"/>
        </w:rPr>
        <w:t> </w:t>
      </w:r>
      <w:r>
        <w:rPr>
          <w:color w:val="1B1B22"/>
          <w:spacing w:val="-2"/>
        </w:rPr>
        <w:t>individuals</w:t>
      </w:r>
      <w:r>
        <w:rPr>
          <w:color w:val="1B1B22"/>
          <w:spacing w:val="-10"/>
        </w:rPr>
        <w:t> </w:t>
      </w:r>
      <w:r>
        <w:rPr>
          <w:color w:val="1B1B22"/>
          <w:spacing w:val="-2"/>
        </w:rPr>
        <w:t>grew</w:t>
      </w:r>
      <w:r>
        <w:rPr>
          <w:color w:val="1B1B22"/>
          <w:spacing w:val="-10"/>
        </w:rPr>
        <w:t> </w:t>
      </w:r>
      <w:r>
        <w:rPr>
          <w:color w:val="1B1B22"/>
          <w:spacing w:val="-2"/>
        </w:rPr>
        <w:t>7.5%.</w:t>
      </w:r>
      <w:r>
        <w:rPr>
          <w:color w:val="1B1B22"/>
          <w:spacing w:val="-11"/>
        </w:rPr>
        <w:t> </w:t>
      </w:r>
      <w:r>
        <w:rPr>
          <w:color w:val="1B1B22"/>
          <w:spacing w:val="-2"/>
        </w:rPr>
        <w:t>The</w:t>
      </w:r>
      <w:r>
        <w:rPr>
          <w:color w:val="1B1B22"/>
          <w:spacing w:val="-9"/>
        </w:rPr>
        <w:t> </w:t>
      </w:r>
      <w:r>
        <w:rPr>
          <w:color w:val="1B1B22"/>
          <w:spacing w:val="-2"/>
        </w:rPr>
        <w:t>Corporate</w:t>
      </w:r>
      <w:r>
        <w:rPr>
          <w:color w:val="1B1B22"/>
          <w:spacing w:val="-10"/>
        </w:rPr>
        <w:t> </w:t>
      </w:r>
      <w:r>
        <w:rPr>
          <w:color w:val="1B1B22"/>
          <w:spacing w:val="-2"/>
        </w:rPr>
        <w:t>portfolio, </w:t>
      </w:r>
      <w:r>
        <w:rPr>
          <w:color w:val="1B1B22"/>
        </w:rPr>
        <w:t>without</w:t>
      </w:r>
      <w:r>
        <w:rPr>
          <w:color w:val="1B1B22"/>
          <w:spacing w:val="-9"/>
        </w:rPr>
        <w:t> </w:t>
      </w:r>
      <w:r>
        <w:rPr>
          <w:color w:val="1B1B22"/>
        </w:rPr>
        <w:t>agricultural</w:t>
      </w:r>
      <w:r>
        <w:rPr>
          <w:color w:val="1B1B22"/>
          <w:spacing w:val="-8"/>
        </w:rPr>
        <w:t> </w:t>
      </w:r>
      <w:r>
        <w:rPr>
          <w:color w:val="1B1B22"/>
        </w:rPr>
        <w:t>companies,</w:t>
      </w:r>
      <w:r>
        <w:rPr>
          <w:color w:val="1B1B22"/>
          <w:spacing w:val="-9"/>
        </w:rPr>
        <w:t> </w:t>
      </w:r>
      <w:r>
        <w:rPr>
          <w:color w:val="1B1B22"/>
        </w:rPr>
        <w:t>grew</w:t>
      </w:r>
      <w:r>
        <w:rPr>
          <w:color w:val="1B1B22"/>
          <w:spacing w:val="-9"/>
        </w:rPr>
        <w:t> </w:t>
      </w:r>
      <w:r>
        <w:rPr>
          <w:color w:val="1B1B22"/>
        </w:rPr>
        <w:t>10.4%,</w:t>
      </w:r>
      <w:r>
        <w:rPr>
          <w:color w:val="1B1B22"/>
          <w:spacing w:val="-8"/>
        </w:rPr>
        <w:t> </w:t>
      </w:r>
      <w:r>
        <w:rPr>
          <w:color w:val="1B1B22"/>
        </w:rPr>
        <w:t>with</w:t>
      </w:r>
      <w:r>
        <w:rPr>
          <w:color w:val="1B1B22"/>
          <w:spacing w:val="-8"/>
        </w:rPr>
        <w:t> </w:t>
      </w:r>
      <w:r>
        <w:rPr>
          <w:color w:val="1B1B22"/>
        </w:rPr>
        <w:t>emphasis</w:t>
      </w:r>
      <w:r>
        <w:rPr>
          <w:color w:val="1B1B22"/>
          <w:spacing w:val="-9"/>
        </w:rPr>
        <w:t> </w:t>
      </w:r>
      <w:r>
        <w:rPr>
          <w:color w:val="1B1B22"/>
        </w:rPr>
        <w:t>on</w:t>
      </w:r>
      <w:r>
        <w:rPr>
          <w:color w:val="1B1B22"/>
          <w:spacing w:val="-8"/>
        </w:rPr>
        <w:t> </w:t>
      </w:r>
      <w:r>
        <w:rPr>
          <w:color w:val="1B1B22"/>
        </w:rPr>
        <w:t>the</w:t>
      </w:r>
      <w:r>
        <w:rPr>
          <w:color w:val="1B1B22"/>
          <w:spacing w:val="-8"/>
        </w:rPr>
        <w:t> </w:t>
      </w:r>
      <w:r>
        <w:rPr>
          <w:color w:val="1B1B22"/>
        </w:rPr>
        <w:t>balance</w:t>
      </w:r>
      <w:r>
        <w:rPr>
          <w:color w:val="1B1B22"/>
          <w:spacing w:val="-8"/>
        </w:rPr>
        <w:t> </w:t>
      </w:r>
      <w:r>
        <w:rPr>
          <w:color w:val="1B1B22"/>
        </w:rPr>
        <w:t>with</w:t>
      </w:r>
      <w:r>
        <w:rPr>
          <w:color w:val="1B1B22"/>
          <w:spacing w:val="-8"/>
        </w:rPr>
        <w:t> </w:t>
      </w:r>
      <w:r>
        <w:rPr>
          <w:color w:val="1B1B22"/>
        </w:rPr>
        <w:t>Large</w:t>
      </w:r>
      <w:r>
        <w:rPr>
          <w:color w:val="1B1B22"/>
          <w:spacing w:val="-8"/>
        </w:rPr>
        <w:t> </w:t>
      </w:r>
      <w:r>
        <w:rPr>
          <w:color w:val="1B1B22"/>
        </w:rPr>
        <w:t>Business</w:t>
      </w:r>
      <w:r>
        <w:rPr>
          <w:color w:val="1B1B22"/>
          <w:spacing w:val="-9"/>
        </w:rPr>
        <w:t> </w:t>
      </w:r>
      <w:r>
        <w:rPr>
          <w:color w:val="1B1B22"/>
        </w:rPr>
        <w:t>clients,</w:t>
      </w:r>
      <w:r>
        <w:rPr>
          <w:color w:val="1B1B22"/>
          <w:spacing w:val="-9"/>
        </w:rPr>
        <w:t> </w:t>
      </w:r>
      <w:r>
        <w:rPr>
          <w:color w:val="1B1B22"/>
        </w:rPr>
        <w:t>which increased to R$132.3 billion. Credit operations in</w:t>
      </w:r>
      <w:r>
        <w:rPr>
          <w:color w:val="1B1B22"/>
          <w:spacing w:val="-1"/>
        </w:rPr>
        <w:t> </w:t>
      </w:r>
      <w:r>
        <w:rPr>
          <w:color w:val="1B1B22"/>
        </w:rPr>
        <w:t>agribusiness, with small, medium</w:t>
      </w:r>
      <w:r>
        <w:rPr>
          <w:color w:val="1B1B22"/>
          <w:spacing w:val="-1"/>
        </w:rPr>
        <w:t> </w:t>
      </w:r>
      <w:r>
        <w:rPr>
          <w:color w:val="1B1B22"/>
        </w:rPr>
        <w:t>and large rural producers and with companies operating in the segment, grew by 12.2% in the same period.</w:t>
      </w:r>
      <w:r>
        <w:rPr>
          <w:color w:val="1B1B22"/>
          <w:spacing w:val="-1"/>
        </w:rPr>
        <w:t> </w:t>
      </w:r>
      <w:r>
        <w:rPr>
          <w:color w:val="1B1B22"/>
        </w:rPr>
        <w:t>The Basel Index reached 14.66% and the Core Capital Index ended September at 11.77%.</w:t>
      </w:r>
    </w:p>
    <w:p>
      <w:pPr>
        <w:pStyle w:val="BodyText"/>
        <w:spacing w:line="321" w:lineRule="auto" w:before="115"/>
        <w:ind w:right="573"/>
      </w:pPr>
      <w:r>
        <w:rPr>
          <w:color w:val="1B1B22"/>
        </w:rPr>
        <w:t>To</w:t>
      </w:r>
      <w:r>
        <w:rPr>
          <w:color w:val="1B1B22"/>
          <w:spacing w:val="-2"/>
        </w:rPr>
        <w:t> </w:t>
      </w:r>
      <w:r>
        <w:rPr>
          <w:color w:val="1B1B22"/>
        </w:rPr>
        <w:t>find</w:t>
      </w:r>
      <w:r>
        <w:rPr>
          <w:color w:val="1B1B22"/>
          <w:spacing w:val="-2"/>
        </w:rPr>
        <w:t> </w:t>
      </w:r>
      <w:r>
        <w:rPr>
          <w:color w:val="1B1B22"/>
        </w:rPr>
        <w:t>out</w:t>
      </w:r>
      <w:r>
        <w:rPr>
          <w:color w:val="1B1B22"/>
          <w:spacing w:val="-3"/>
        </w:rPr>
        <w:t> </w:t>
      </w:r>
      <w:r>
        <w:rPr>
          <w:color w:val="1B1B22"/>
        </w:rPr>
        <w:t>more</w:t>
      </w:r>
      <w:r>
        <w:rPr>
          <w:color w:val="1B1B22"/>
          <w:spacing w:val="-2"/>
        </w:rPr>
        <w:t> </w:t>
      </w:r>
      <w:r>
        <w:rPr>
          <w:color w:val="1B1B22"/>
        </w:rPr>
        <w:t>details</w:t>
      </w:r>
      <w:r>
        <w:rPr>
          <w:color w:val="1B1B22"/>
          <w:spacing w:val="-2"/>
        </w:rPr>
        <w:t> </w:t>
      </w:r>
      <w:r>
        <w:rPr>
          <w:color w:val="1B1B22"/>
        </w:rPr>
        <w:t>about</w:t>
      </w:r>
      <w:r>
        <w:rPr>
          <w:color w:val="1B1B22"/>
          <w:spacing w:val="-2"/>
        </w:rPr>
        <w:t> </w:t>
      </w:r>
      <w:r>
        <w:rPr>
          <w:color w:val="1B1B22"/>
        </w:rPr>
        <w:t>the</w:t>
      </w:r>
      <w:r>
        <w:rPr>
          <w:color w:val="1B1B22"/>
          <w:spacing w:val="-2"/>
        </w:rPr>
        <w:t> </w:t>
      </w:r>
      <w:r>
        <w:rPr>
          <w:color w:val="1B1B22"/>
        </w:rPr>
        <w:t>profit</w:t>
      </w:r>
      <w:r>
        <w:rPr>
          <w:color w:val="1B1B22"/>
          <w:spacing w:val="-2"/>
        </w:rPr>
        <w:t> </w:t>
      </w:r>
      <w:r>
        <w:rPr>
          <w:color w:val="1B1B22"/>
        </w:rPr>
        <w:t>and</w:t>
      </w:r>
      <w:r>
        <w:rPr>
          <w:color w:val="1B1B22"/>
          <w:spacing w:val="-2"/>
        </w:rPr>
        <w:t> </w:t>
      </w:r>
      <w:r>
        <w:rPr>
          <w:color w:val="1B1B22"/>
        </w:rPr>
        <w:t>loss</w:t>
      </w:r>
      <w:r>
        <w:rPr>
          <w:color w:val="1B1B22"/>
          <w:spacing w:val="-3"/>
        </w:rPr>
        <w:t> </w:t>
      </w:r>
      <w:r>
        <w:rPr>
          <w:color w:val="1B1B22"/>
        </w:rPr>
        <w:t>items</w:t>
      </w:r>
      <w:r>
        <w:rPr>
          <w:color w:val="1B1B22"/>
          <w:spacing w:val="-3"/>
        </w:rPr>
        <w:t> </w:t>
      </w:r>
      <w:r>
        <w:rPr>
          <w:color w:val="1B1B22"/>
        </w:rPr>
        <w:t>for</w:t>
      </w:r>
      <w:r>
        <w:rPr>
          <w:color w:val="1B1B22"/>
          <w:spacing w:val="-2"/>
        </w:rPr>
        <w:t> </w:t>
      </w:r>
      <w:r>
        <w:rPr>
          <w:color w:val="1B1B22"/>
        </w:rPr>
        <w:t>the</w:t>
      </w:r>
      <w:r>
        <w:rPr>
          <w:color w:val="1B1B22"/>
          <w:spacing w:val="-2"/>
        </w:rPr>
        <w:t> </w:t>
      </w:r>
      <w:r>
        <w:rPr>
          <w:color w:val="1B1B22"/>
        </w:rPr>
        <w:t>period,</w:t>
      </w:r>
      <w:r>
        <w:rPr>
          <w:color w:val="1B1B22"/>
          <w:spacing w:val="-2"/>
        </w:rPr>
        <w:t> </w:t>
      </w:r>
      <w:r>
        <w:rPr>
          <w:color w:val="1B1B22"/>
        </w:rPr>
        <w:t>see</w:t>
      </w:r>
      <w:r>
        <w:rPr>
          <w:color w:val="1B1B22"/>
          <w:spacing w:val="-2"/>
        </w:rPr>
        <w:t> </w:t>
      </w:r>
      <w:r>
        <w:rPr>
          <w:color w:val="1B1B22"/>
        </w:rPr>
        <w:t>the</w:t>
      </w:r>
      <w:r>
        <w:rPr>
          <w:color w:val="1B1B22"/>
          <w:spacing w:val="-2"/>
        </w:rPr>
        <w:t> </w:t>
      </w:r>
      <w:r>
        <w:rPr>
          <w:color w:val="1B1B22"/>
        </w:rPr>
        <w:t>Explanatory</w:t>
      </w:r>
      <w:r>
        <w:rPr>
          <w:color w:val="1B1B22"/>
          <w:spacing w:val="-2"/>
        </w:rPr>
        <w:t> </w:t>
      </w:r>
      <w:r>
        <w:rPr>
          <w:color w:val="1B1B22"/>
        </w:rPr>
        <w:t>Notes</w:t>
      </w:r>
      <w:r>
        <w:rPr>
          <w:color w:val="1B1B22"/>
          <w:spacing w:val="-3"/>
        </w:rPr>
        <w:t> </w:t>
      </w:r>
      <w:r>
        <w:rPr>
          <w:color w:val="1B1B22"/>
        </w:rPr>
        <w:t>contained in the Financial Statements and the Performance Analysis Report.</w:t>
      </w:r>
    </w:p>
    <w:p>
      <w:pPr>
        <w:pStyle w:val="BodyText"/>
        <w:spacing w:before="171"/>
        <w:ind w:left="0"/>
        <w:jc w:val="left"/>
      </w:pPr>
      <w:r>
        <w:rPr/>
        <mc:AlternateContent>
          <mc:Choice Requires="wps">
            <w:drawing>
              <wp:anchor distT="0" distB="0" distL="0" distR="0" allowOverlap="1" layoutInCell="1" locked="0" behindDoc="1" simplePos="0" relativeHeight="487589888">
                <wp:simplePos x="0" y="0"/>
                <wp:positionH relativeFrom="page">
                  <wp:posOffset>201929</wp:posOffset>
                </wp:positionH>
                <wp:positionV relativeFrom="paragraph">
                  <wp:posOffset>310136</wp:posOffset>
                </wp:positionV>
                <wp:extent cx="3444875" cy="1453515"/>
                <wp:effectExtent l="0" t="0" r="0" b="0"/>
                <wp:wrapTopAndBottom/>
                <wp:docPr id="14" name="Group 14"/>
                <wp:cNvGraphicFramePr>
                  <a:graphicFrameLocks/>
                </wp:cNvGraphicFramePr>
                <a:graphic>
                  <a:graphicData uri="http://schemas.microsoft.com/office/word/2010/wordprocessingGroup">
                    <wpg:wgp>
                      <wpg:cNvPr id="14" name="Group 14"/>
                      <wpg:cNvGrpSpPr/>
                      <wpg:grpSpPr>
                        <a:xfrm>
                          <a:off x="0" y="0"/>
                          <a:ext cx="3444875" cy="1453515"/>
                          <a:chExt cx="3444875" cy="1453515"/>
                        </a:xfrm>
                      </wpg:grpSpPr>
                      <wps:wsp>
                        <wps:cNvPr id="15" name="Graphic 15"/>
                        <wps:cNvSpPr/>
                        <wps:spPr>
                          <a:xfrm>
                            <a:off x="0" y="0"/>
                            <a:ext cx="3444875" cy="1453515"/>
                          </a:xfrm>
                          <a:custGeom>
                            <a:avLst/>
                            <a:gdLst/>
                            <a:ahLst/>
                            <a:cxnLst/>
                            <a:rect l="l" t="t" r="r" b="b"/>
                            <a:pathLst>
                              <a:path w="3444875" h="1453515">
                                <a:moveTo>
                                  <a:pt x="3377692" y="0"/>
                                </a:moveTo>
                                <a:lnTo>
                                  <a:pt x="67157" y="0"/>
                                </a:lnTo>
                                <a:lnTo>
                                  <a:pt x="41014" y="5282"/>
                                </a:lnTo>
                                <a:lnTo>
                                  <a:pt x="19667" y="19684"/>
                                </a:lnTo>
                                <a:lnTo>
                                  <a:pt x="5276" y="41040"/>
                                </a:lnTo>
                                <a:lnTo>
                                  <a:pt x="0" y="67183"/>
                                </a:lnTo>
                                <a:lnTo>
                                  <a:pt x="0" y="1385951"/>
                                </a:lnTo>
                                <a:lnTo>
                                  <a:pt x="5276" y="1412093"/>
                                </a:lnTo>
                                <a:lnTo>
                                  <a:pt x="19667" y="1433449"/>
                                </a:lnTo>
                                <a:lnTo>
                                  <a:pt x="41014" y="1447851"/>
                                </a:lnTo>
                                <a:lnTo>
                                  <a:pt x="67157" y="1453134"/>
                                </a:lnTo>
                                <a:lnTo>
                                  <a:pt x="3377692" y="1453134"/>
                                </a:lnTo>
                                <a:lnTo>
                                  <a:pt x="3403834" y="1447851"/>
                                </a:lnTo>
                                <a:lnTo>
                                  <a:pt x="3425190" y="1433449"/>
                                </a:lnTo>
                                <a:lnTo>
                                  <a:pt x="3439592" y="1412093"/>
                                </a:lnTo>
                                <a:lnTo>
                                  <a:pt x="3444875" y="1385951"/>
                                </a:lnTo>
                                <a:lnTo>
                                  <a:pt x="3444875" y="67183"/>
                                </a:lnTo>
                                <a:lnTo>
                                  <a:pt x="3439592" y="41040"/>
                                </a:lnTo>
                                <a:lnTo>
                                  <a:pt x="3425190" y="19685"/>
                                </a:lnTo>
                                <a:lnTo>
                                  <a:pt x="3403834" y="5282"/>
                                </a:lnTo>
                                <a:lnTo>
                                  <a:pt x="3377692" y="0"/>
                                </a:lnTo>
                                <a:close/>
                              </a:path>
                            </a:pathLst>
                          </a:custGeom>
                          <a:solidFill>
                            <a:srgbClr val="FAAEA9"/>
                          </a:solidFill>
                        </wps:spPr>
                        <wps:bodyPr wrap="square" lIns="0" tIns="0" rIns="0" bIns="0" rtlCol="0">
                          <a:prstTxWarp prst="textNoShape">
                            <a:avLst/>
                          </a:prstTxWarp>
                          <a:noAutofit/>
                        </wps:bodyPr>
                      </wps:wsp>
                      <wps:wsp>
                        <wps:cNvPr id="16" name="Textbox 16"/>
                        <wps:cNvSpPr txBox="1"/>
                        <wps:spPr>
                          <a:xfrm>
                            <a:off x="0" y="0"/>
                            <a:ext cx="3444875" cy="1453515"/>
                          </a:xfrm>
                          <a:prstGeom prst="rect">
                            <a:avLst/>
                          </a:prstGeom>
                        </wps:spPr>
                        <wps:txbx>
                          <w:txbxContent>
                            <w:p>
                              <w:pPr>
                                <w:spacing w:before="192"/>
                                <w:ind w:left="669" w:right="0" w:firstLine="0"/>
                                <w:jc w:val="left"/>
                                <w:rPr>
                                  <w:rFonts w:ascii="BancoDoBrasil Titulos"/>
                                  <w:sz w:val="32"/>
                                </w:rPr>
                              </w:pPr>
                              <w:r>
                                <w:rPr>
                                  <w:rFonts w:ascii="BancoDoBrasil Titulos"/>
                                  <w:color w:val="FBFB2F"/>
                                  <w:sz w:val="32"/>
                                </w:rPr>
                                <w:t>Net</w:t>
                              </w:r>
                              <w:r>
                                <w:rPr>
                                  <w:rFonts w:ascii="BancoDoBrasil Titulos"/>
                                  <w:color w:val="FBFB2F"/>
                                  <w:spacing w:val="2"/>
                                  <w:sz w:val="32"/>
                                </w:rPr>
                                <w:t> </w:t>
                              </w:r>
                              <w:r>
                                <w:rPr>
                                  <w:rFonts w:ascii="BancoDoBrasil Titulos"/>
                                  <w:color w:val="FBFB2F"/>
                                  <w:spacing w:val="-2"/>
                                  <w:sz w:val="32"/>
                                </w:rPr>
                                <w:t>profit</w:t>
                              </w:r>
                            </w:p>
                            <w:p>
                              <w:pPr>
                                <w:spacing w:before="75"/>
                                <w:ind w:left="669" w:right="0" w:firstLine="0"/>
                                <w:jc w:val="left"/>
                                <w:rPr>
                                  <w:rFonts w:ascii="BancoDoBrasil Titulos"/>
                                  <w:b/>
                                  <w:sz w:val="32"/>
                                </w:rPr>
                              </w:pPr>
                              <w:r>
                                <w:rPr>
                                  <w:rFonts w:ascii="BancoDoBrasil Titulos"/>
                                  <w:color w:val="FBFB2F"/>
                                  <w:spacing w:val="-2"/>
                                  <w:sz w:val="32"/>
                                </w:rPr>
                                <w:t>of</w:t>
                              </w:r>
                              <w:r>
                                <w:rPr>
                                  <w:rFonts w:ascii="BancoDoBrasil Titulos"/>
                                  <w:color w:val="FBFB2F"/>
                                  <w:spacing w:val="-17"/>
                                  <w:sz w:val="32"/>
                                </w:rPr>
                                <w:t> </w:t>
                              </w:r>
                              <w:r>
                                <w:rPr>
                                  <w:rFonts w:ascii="BancoDoBrasil Titulos"/>
                                  <w:b/>
                                  <w:color w:val="FBFB2F"/>
                                  <w:spacing w:val="-2"/>
                                  <w:sz w:val="32"/>
                                </w:rPr>
                                <w:t>R$26.7</w:t>
                              </w:r>
                              <w:r>
                                <w:rPr>
                                  <w:rFonts w:ascii="BancoDoBrasil Titulos"/>
                                  <w:b/>
                                  <w:color w:val="FBFB2F"/>
                                  <w:spacing w:val="-14"/>
                                  <w:sz w:val="32"/>
                                </w:rPr>
                                <w:t> </w:t>
                              </w:r>
                              <w:r>
                                <w:rPr>
                                  <w:rFonts w:ascii="BancoDoBrasil Titulos"/>
                                  <w:b/>
                                  <w:color w:val="FBFB2F"/>
                                  <w:spacing w:val="-2"/>
                                  <w:sz w:val="32"/>
                                </w:rPr>
                                <w:t>billion</w:t>
                              </w:r>
                            </w:p>
                            <w:p>
                              <w:pPr>
                                <w:spacing w:before="76"/>
                                <w:ind w:left="669" w:right="0" w:firstLine="0"/>
                                <w:jc w:val="left"/>
                                <w:rPr>
                                  <w:rFonts w:ascii="BancoDoBrasil Titulos"/>
                                  <w:sz w:val="32"/>
                                </w:rPr>
                              </w:pPr>
                              <w:r>
                                <w:rPr>
                                  <w:rFonts w:ascii="BancoDoBrasil Titulos"/>
                                  <w:color w:val="FBFB2F"/>
                                  <w:sz w:val="32"/>
                                </w:rPr>
                                <w:t>growth</w:t>
                              </w:r>
                              <w:r>
                                <w:rPr>
                                  <w:rFonts w:ascii="BancoDoBrasil Titulos"/>
                                  <w:color w:val="FBFB2F"/>
                                  <w:spacing w:val="-17"/>
                                  <w:sz w:val="32"/>
                                </w:rPr>
                                <w:t> </w:t>
                              </w:r>
                              <w:r>
                                <w:rPr>
                                  <w:rFonts w:ascii="BancoDoBrasil Titulos"/>
                                  <w:color w:val="FBFB2F"/>
                                  <w:sz w:val="32"/>
                                </w:rPr>
                                <w:t>of</w:t>
                              </w:r>
                              <w:r>
                                <w:rPr>
                                  <w:rFonts w:ascii="BancoDoBrasil Titulos"/>
                                  <w:color w:val="FBFB2F"/>
                                  <w:spacing w:val="-15"/>
                                  <w:sz w:val="32"/>
                                </w:rPr>
                                <w:t> </w:t>
                              </w:r>
                              <w:r>
                                <w:rPr>
                                  <w:rFonts w:ascii="BancoDoBrasil Titulos"/>
                                  <w:color w:val="FBFB2F"/>
                                  <w:spacing w:val="-4"/>
                                  <w:sz w:val="32"/>
                                </w:rPr>
                                <w:t>6.9%</w:t>
                              </w:r>
                            </w:p>
                            <w:p>
                              <w:pPr>
                                <w:spacing w:before="76"/>
                                <w:ind w:left="669" w:right="0" w:firstLine="0"/>
                                <w:jc w:val="left"/>
                                <w:rPr>
                                  <w:rFonts w:ascii="BancoDoBrasil Titulos"/>
                                  <w:sz w:val="32"/>
                                </w:rPr>
                              </w:pPr>
                              <w:r>
                                <w:rPr>
                                  <w:rFonts w:ascii="BancoDoBrasil Titulos"/>
                                  <w:color w:val="FBFB2F"/>
                                  <w:sz w:val="32"/>
                                </w:rPr>
                                <w:t>in</w:t>
                              </w:r>
                              <w:r>
                                <w:rPr>
                                  <w:rFonts w:ascii="BancoDoBrasil Titulos"/>
                                  <w:color w:val="FBFB2F"/>
                                  <w:spacing w:val="-12"/>
                                  <w:sz w:val="32"/>
                                </w:rPr>
                                <w:t> </w:t>
                              </w:r>
                              <w:r>
                                <w:rPr>
                                  <w:rFonts w:ascii="BancoDoBrasil Titulos"/>
                                  <w:color w:val="FBFB2F"/>
                                  <w:sz w:val="32"/>
                                </w:rPr>
                                <w:t>relation</w:t>
                              </w:r>
                              <w:r>
                                <w:rPr>
                                  <w:rFonts w:ascii="BancoDoBrasil Titulos"/>
                                  <w:color w:val="FBFB2F"/>
                                  <w:spacing w:val="-11"/>
                                  <w:sz w:val="32"/>
                                </w:rPr>
                                <w:t> </w:t>
                              </w:r>
                              <w:r>
                                <w:rPr>
                                  <w:rFonts w:ascii="BancoDoBrasil Titulos"/>
                                  <w:color w:val="FBFB2F"/>
                                  <w:sz w:val="32"/>
                                </w:rPr>
                                <w:t>to</w:t>
                              </w:r>
                              <w:r>
                                <w:rPr>
                                  <w:rFonts w:ascii="BancoDoBrasil Titulos"/>
                                  <w:color w:val="FBFB2F"/>
                                  <w:spacing w:val="-9"/>
                                  <w:sz w:val="32"/>
                                </w:rPr>
                                <w:t> </w:t>
                              </w:r>
                              <w:r>
                                <w:rPr>
                                  <w:rFonts w:ascii="BancoDoBrasil Titulos"/>
                                  <w:color w:val="FBFB2F"/>
                                  <w:spacing w:val="-2"/>
                                  <w:sz w:val="32"/>
                                </w:rPr>
                                <w:t>September/23</w:t>
                              </w:r>
                            </w:p>
                          </w:txbxContent>
                        </wps:txbx>
                        <wps:bodyPr wrap="square" lIns="0" tIns="0" rIns="0" bIns="0" rtlCol="0">
                          <a:noAutofit/>
                        </wps:bodyPr>
                      </wps:wsp>
                    </wpg:wgp>
                  </a:graphicData>
                </a:graphic>
              </wp:anchor>
            </w:drawing>
          </mc:Choice>
          <mc:Fallback>
            <w:pict>
              <v:group style="position:absolute;margin-left:15.9pt;margin-top:24.4202pt;width:271.25pt;height:114.45pt;mso-position-horizontal-relative:page;mso-position-vertical-relative:paragraph;z-index:-15726592;mso-wrap-distance-left:0;mso-wrap-distance-right:0" id="docshapegroup14" coordorigin="318,488" coordsize="5425,2289">
                <v:shape style="position:absolute;left:318;top:488;width:5425;height:2289" id="docshape15" coordorigin="318,488" coordsize="5425,2289" path="m5637,488l424,488,383,497,349,519,326,553,318,594,318,2671,326,2712,349,2746,383,2768,424,2777,5637,2777,5678,2768,5712,2746,5735,2712,5743,2671,5743,594,5735,553,5712,519,5678,497,5637,488xe" filled="true" fillcolor="#faaea9" stroked="false">
                  <v:path arrowok="t"/>
                  <v:fill type="solid"/>
                </v:shape>
                <v:shape style="position:absolute;left:318;top:488;width:5425;height:2289" type="#_x0000_t202" id="docshape16" filled="false" stroked="false">
                  <v:textbox inset="0,0,0,0">
                    <w:txbxContent>
                      <w:p>
                        <w:pPr>
                          <w:spacing w:before="192"/>
                          <w:ind w:left="669" w:right="0" w:firstLine="0"/>
                          <w:jc w:val="left"/>
                          <w:rPr>
                            <w:rFonts w:ascii="BancoDoBrasil Titulos"/>
                            <w:sz w:val="32"/>
                          </w:rPr>
                        </w:pPr>
                        <w:r>
                          <w:rPr>
                            <w:rFonts w:ascii="BancoDoBrasil Titulos"/>
                            <w:color w:val="FBFB2F"/>
                            <w:sz w:val="32"/>
                          </w:rPr>
                          <w:t>Net</w:t>
                        </w:r>
                        <w:r>
                          <w:rPr>
                            <w:rFonts w:ascii="BancoDoBrasil Titulos"/>
                            <w:color w:val="FBFB2F"/>
                            <w:spacing w:val="2"/>
                            <w:sz w:val="32"/>
                          </w:rPr>
                          <w:t> </w:t>
                        </w:r>
                        <w:r>
                          <w:rPr>
                            <w:rFonts w:ascii="BancoDoBrasil Titulos"/>
                            <w:color w:val="FBFB2F"/>
                            <w:spacing w:val="-2"/>
                            <w:sz w:val="32"/>
                          </w:rPr>
                          <w:t>profit</w:t>
                        </w:r>
                      </w:p>
                      <w:p>
                        <w:pPr>
                          <w:spacing w:before="75"/>
                          <w:ind w:left="669" w:right="0" w:firstLine="0"/>
                          <w:jc w:val="left"/>
                          <w:rPr>
                            <w:rFonts w:ascii="BancoDoBrasil Titulos"/>
                            <w:b/>
                            <w:sz w:val="32"/>
                          </w:rPr>
                        </w:pPr>
                        <w:r>
                          <w:rPr>
                            <w:rFonts w:ascii="BancoDoBrasil Titulos"/>
                            <w:color w:val="FBFB2F"/>
                            <w:spacing w:val="-2"/>
                            <w:sz w:val="32"/>
                          </w:rPr>
                          <w:t>of</w:t>
                        </w:r>
                        <w:r>
                          <w:rPr>
                            <w:rFonts w:ascii="BancoDoBrasil Titulos"/>
                            <w:color w:val="FBFB2F"/>
                            <w:spacing w:val="-17"/>
                            <w:sz w:val="32"/>
                          </w:rPr>
                          <w:t> </w:t>
                        </w:r>
                        <w:r>
                          <w:rPr>
                            <w:rFonts w:ascii="BancoDoBrasil Titulos"/>
                            <w:b/>
                            <w:color w:val="FBFB2F"/>
                            <w:spacing w:val="-2"/>
                            <w:sz w:val="32"/>
                          </w:rPr>
                          <w:t>R$26.7</w:t>
                        </w:r>
                        <w:r>
                          <w:rPr>
                            <w:rFonts w:ascii="BancoDoBrasil Titulos"/>
                            <w:b/>
                            <w:color w:val="FBFB2F"/>
                            <w:spacing w:val="-14"/>
                            <w:sz w:val="32"/>
                          </w:rPr>
                          <w:t> </w:t>
                        </w:r>
                        <w:r>
                          <w:rPr>
                            <w:rFonts w:ascii="BancoDoBrasil Titulos"/>
                            <w:b/>
                            <w:color w:val="FBFB2F"/>
                            <w:spacing w:val="-2"/>
                            <w:sz w:val="32"/>
                          </w:rPr>
                          <w:t>billion</w:t>
                        </w:r>
                      </w:p>
                      <w:p>
                        <w:pPr>
                          <w:spacing w:before="76"/>
                          <w:ind w:left="669" w:right="0" w:firstLine="0"/>
                          <w:jc w:val="left"/>
                          <w:rPr>
                            <w:rFonts w:ascii="BancoDoBrasil Titulos"/>
                            <w:sz w:val="32"/>
                          </w:rPr>
                        </w:pPr>
                        <w:r>
                          <w:rPr>
                            <w:rFonts w:ascii="BancoDoBrasil Titulos"/>
                            <w:color w:val="FBFB2F"/>
                            <w:sz w:val="32"/>
                          </w:rPr>
                          <w:t>growth</w:t>
                        </w:r>
                        <w:r>
                          <w:rPr>
                            <w:rFonts w:ascii="BancoDoBrasil Titulos"/>
                            <w:color w:val="FBFB2F"/>
                            <w:spacing w:val="-17"/>
                            <w:sz w:val="32"/>
                          </w:rPr>
                          <w:t> </w:t>
                        </w:r>
                        <w:r>
                          <w:rPr>
                            <w:rFonts w:ascii="BancoDoBrasil Titulos"/>
                            <w:color w:val="FBFB2F"/>
                            <w:sz w:val="32"/>
                          </w:rPr>
                          <w:t>of</w:t>
                        </w:r>
                        <w:r>
                          <w:rPr>
                            <w:rFonts w:ascii="BancoDoBrasil Titulos"/>
                            <w:color w:val="FBFB2F"/>
                            <w:spacing w:val="-15"/>
                            <w:sz w:val="32"/>
                          </w:rPr>
                          <w:t> </w:t>
                        </w:r>
                        <w:r>
                          <w:rPr>
                            <w:rFonts w:ascii="BancoDoBrasil Titulos"/>
                            <w:color w:val="FBFB2F"/>
                            <w:spacing w:val="-4"/>
                            <w:sz w:val="32"/>
                          </w:rPr>
                          <w:t>6.9%</w:t>
                        </w:r>
                      </w:p>
                      <w:p>
                        <w:pPr>
                          <w:spacing w:before="76"/>
                          <w:ind w:left="669" w:right="0" w:firstLine="0"/>
                          <w:jc w:val="left"/>
                          <w:rPr>
                            <w:rFonts w:ascii="BancoDoBrasil Titulos"/>
                            <w:sz w:val="32"/>
                          </w:rPr>
                        </w:pPr>
                        <w:r>
                          <w:rPr>
                            <w:rFonts w:ascii="BancoDoBrasil Titulos"/>
                            <w:color w:val="FBFB2F"/>
                            <w:sz w:val="32"/>
                          </w:rPr>
                          <w:t>in</w:t>
                        </w:r>
                        <w:r>
                          <w:rPr>
                            <w:rFonts w:ascii="BancoDoBrasil Titulos"/>
                            <w:color w:val="FBFB2F"/>
                            <w:spacing w:val="-12"/>
                            <w:sz w:val="32"/>
                          </w:rPr>
                          <w:t> </w:t>
                        </w:r>
                        <w:r>
                          <w:rPr>
                            <w:rFonts w:ascii="BancoDoBrasil Titulos"/>
                            <w:color w:val="FBFB2F"/>
                            <w:sz w:val="32"/>
                          </w:rPr>
                          <w:t>relation</w:t>
                        </w:r>
                        <w:r>
                          <w:rPr>
                            <w:rFonts w:ascii="BancoDoBrasil Titulos"/>
                            <w:color w:val="FBFB2F"/>
                            <w:spacing w:val="-11"/>
                            <w:sz w:val="32"/>
                          </w:rPr>
                          <w:t> </w:t>
                        </w:r>
                        <w:r>
                          <w:rPr>
                            <w:rFonts w:ascii="BancoDoBrasil Titulos"/>
                            <w:color w:val="FBFB2F"/>
                            <w:sz w:val="32"/>
                          </w:rPr>
                          <w:t>to</w:t>
                        </w:r>
                        <w:r>
                          <w:rPr>
                            <w:rFonts w:ascii="BancoDoBrasil Titulos"/>
                            <w:color w:val="FBFB2F"/>
                            <w:spacing w:val="-9"/>
                            <w:sz w:val="32"/>
                          </w:rPr>
                          <w:t> </w:t>
                        </w:r>
                        <w:r>
                          <w:rPr>
                            <w:rFonts w:ascii="BancoDoBrasil Titulos"/>
                            <w:color w:val="FBFB2F"/>
                            <w:spacing w:val="-2"/>
                            <w:sz w:val="32"/>
                          </w:rPr>
                          <w:t>September/23</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590400">
                <wp:simplePos x="0" y="0"/>
                <wp:positionH relativeFrom="page">
                  <wp:posOffset>3848100</wp:posOffset>
                </wp:positionH>
                <wp:positionV relativeFrom="paragraph">
                  <wp:posOffset>286006</wp:posOffset>
                </wp:positionV>
                <wp:extent cx="3444875" cy="1452880"/>
                <wp:effectExtent l="0" t="0" r="0" b="0"/>
                <wp:wrapTopAndBottom/>
                <wp:docPr id="17" name="Group 17"/>
                <wp:cNvGraphicFramePr>
                  <a:graphicFrameLocks/>
                </wp:cNvGraphicFramePr>
                <a:graphic>
                  <a:graphicData uri="http://schemas.microsoft.com/office/word/2010/wordprocessingGroup">
                    <wpg:wgp>
                      <wpg:cNvPr id="17" name="Group 17"/>
                      <wpg:cNvGrpSpPr/>
                      <wpg:grpSpPr>
                        <a:xfrm>
                          <a:off x="0" y="0"/>
                          <a:ext cx="3444875" cy="1452880"/>
                          <a:chExt cx="3444875" cy="1452880"/>
                        </a:xfrm>
                      </wpg:grpSpPr>
                      <wps:wsp>
                        <wps:cNvPr id="18" name="Graphic 18"/>
                        <wps:cNvSpPr/>
                        <wps:spPr>
                          <a:xfrm>
                            <a:off x="0" y="0"/>
                            <a:ext cx="3444875" cy="1452880"/>
                          </a:xfrm>
                          <a:custGeom>
                            <a:avLst/>
                            <a:gdLst/>
                            <a:ahLst/>
                            <a:cxnLst/>
                            <a:rect l="l" t="t" r="r" b="b"/>
                            <a:pathLst>
                              <a:path w="3444875" h="1452880">
                                <a:moveTo>
                                  <a:pt x="3377692" y="0"/>
                                </a:moveTo>
                                <a:lnTo>
                                  <a:pt x="67183" y="0"/>
                                </a:lnTo>
                                <a:lnTo>
                                  <a:pt x="41040" y="5282"/>
                                </a:lnTo>
                                <a:lnTo>
                                  <a:pt x="19685" y="19684"/>
                                </a:lnTo>
                                <a:lnTo>
                                  <a:pt x="5282" y="41040"/>
                                </a:lnTo>
                                <a:lnTo>
                                  <a:pt x="0" y="67183"/>
                                </a:lnTo>
                                <a:lnTo>
                                  <a:pt x="0" y="1385824"/>
                                </a:lnTo>
                                <a:lnTo>
                                  <a:pt x="5282" y="1411892"/>
                                </a:lnTo>
                                <a:lnTo>
                                  <a:pt x="19685" y="1433210"/>
                                </a:lnTo>
                                <a:lnTo>
                                  <a:pt x="41040" y="1447599"/>
                                </a:lnTo>
                                <a:lnTo>
                                  <a:pt x="67183" y="1452880"/>
                                </a:lnTo>
                                <a:lnTo>
                                  <a:pt x="3377692" y="1452880"/>
                                </a:lnTo>
                                <a:lnTo>
                                  <a:pt x="3403834" y="1447599"/>
                                </a:lnTo>
                                <a:lnTo>
                                  <a:pt x="3425189" y="1433210"/>
                                </a:lnTo>
                                <a:lnTo>
                                  <a:pt x="3439592" y="1411892"/>
                                </a:lnTo>
                                <a:lnTo>
                                  <a:pt x="3444875" y="1385824"/>
                                </a:lnTo>
                                <a:lnTo>
                                  <a:pt x="3444875" y="67183"/>
                                </a:lnTo>
                                <a:lnTo>
                                  <a:pt x="3439592" y="41040"/>
                                </a:lnTo>
                                <a:lnTo>
                                  <a:pt x="3425190" y="19685"/>
                                </a:lnTo>
                                <a:lnTo>
                                  <a:pt x="3403834" y="5282"/>
                                </a:lnTo>
                                <a:lnTo>
                                  <a:pt x="3377692" y="0"/>
                                </a:lnTo>
                                <a:close/>
                              </a:path>
                            </a:pathLst>
                          </a:custGeom>
                          <a:solidFill>
                            <a:srgbClr val="53DCFB"/>
                          </a:solidFill>
                        </wps:spPr>
                        <wps:bodyPr wrap="square" lIns="0" tIns="0" rIns="0" bIns="0" rtlCol="0">
                          <a:prstTxWarp prst="textNoShape">
                            <a:avLst/>
                          </a:prstTxWarp>
                          <a:noAutofit/>
                        </wps:bodyPr>
                      </wps:wsp>
                      <wps:wsp>
                        <wps:cNvPr id="19" name="Textbox 19"/>
                        <wps:cNvSpPr txBox="1"/>
                        <wps:spPr>
                          <a:xfrm>
                            <a:off x="0" y="0"/>
                            <a:ext cx="3444875" cy="1452880"/>
                          </a:xfrm>
                          <a:prstGeom prst="rect">
                            <a:avLst/>
                          </a:prstGeom>
                        </wps:spPr>
                        <wps:txbx>
                          <w:txbxContent>
                            <w:p>
                              <w:pPr>
                                <w:spacing w:before="147"/>
                                <w:ind w:left="185" w:right="0" w:firstLine="0"/>
                                <w:jc w:val="left"/>
                                <w:rPr>
                                  <w:rFonts w:ascii="BancoDoBrasil Titulos"/>
                                  <w:sz w:val="32"/>
                                </w:rPr>
                              </w:pPr>
                              <w:r>
                                <w:rPr>
                                  <w:rFonts w:ascii="BancoDoBrasil Titulos"/>
                                  <w:color w:val="FBFB2F"/>
                                  <w:sz w:val="32"/>
                                </w:rPr>
                                <w:t>Classified</w:t>
                              </w:r>
                              <w:r>
                                <w:rPr>
                                  <w:rFonts w:ascii="BancoDoBrasil Titulos"/>
                                  <w:color w:val="FBFB2F"/>
                                  <w:spacing w:val="-15"/>
                                  <w:sz w:val="32"/>
                                </w:rPr>
                                <w:t> </w:t>
                              </w:r>
                              <w:r>
                                <w:rPr>
                                  <w:rFonts w:ascii="BancoDoBrasil Titulos"/>
                                  <w:color w:val="FBFB2F"/>
                                  <w:sz w:val="32"/>
                                </w:rPr>
                                <w:t>Credit</w:t>
                              </w:r>
                              <w:r>
                                <w:rPr>
                                  <w:rFonts w:ascii="BancoDoBrasil Titulos"/>
                                  <w:color w:val="FBFB2F"/>
                                  <w:spacing w:val="-13"/>
                                  <w:sz w:val="32"/>
                                </w:rPr>
                                <w:t> </w:t>
                              </w:r>
                              <w:r>
                                <w:rPr>
                                  <w:rFonts w:ascii="BancoDoBrasil Titulos"/>
                                  <w:color w:val="FBFB2F"/>
                                  <w:spacing w:val="-2"/>
                                  <w:sz w:val="32"/>
                                </w:rPr>
                                <w:t>Portfolio</w:t>
                              </w:r>
                            </w:p>
                            <w:p>
                              <w:pPr>
                                <w:spacing w:before="76"/>
                                <w:ind w:left="185" w:right="0" w:firstLine="0"/>
                                <w:jc w:val="left"/>
                                <w:rPr>
                                  <w:rFonts w:ascii="BancoDoBrasil Titulos"/>
                                  <w:b/>
                                  <w:sz w:val="32"/>
                                </w:rPr>
                              </w:pPr>
                              <w:r>
                                <w:rPr>
                                  <w:rFonts w:ascii="BancoDoBrasil Titulos"/>
                                  <w:b/>
                                  <w:color w:val="FBFB2F"/>
                                  <w:sz w:val="32"/>
                                </w:rPr>
                                <w:t>R$</w:t>
                              </w:r>
                              <w:r>
                                <w:rPr>
                                  <w:rFonts w:ascii="BancoDoBrasil Titulos"/>
                                  <w:b/>
                                  <w:color w:val="FBFB2F"/>
                                  <w:spacing w:val="-10"/>
                                  <w:sz w:val="32"/>
                                </w:rPr>
                                <w:t> </w:t>
                              </w:r>
                              <w:r>
                                <w:rPr>
                                  <w:rFonts w:ascii="BancoDoBrasil Titulos"/>
                                  <w:b/>
                                  <w:color w:val="FBFB2F"/>
                                  <w:sz w:val="32"/>
                                </w:rPr>
                                <w:t>1.0</w:t>
                              </w:r>
                              <w:r>
                                <w:rPr>
                                  <w:rFonts w:ascii="BancoDoBrasil Titulos"/>
                                  <w:b/>
                                  <w:color w:val="FBFB2F"/>
                                  <w:spacing w:val="-10"/>
                                  <w:sz w:val="32"/>
                                </w:rPr>
                                <w:t> </w:t>
                              </w:r>
                              <w:r>
                                <w:rPr>
                                  <w:rFonts w:ascii="BancoDoBrasil Titulos"/>
                                  <w:b/>
                                  <w:color w:val="FBFB2F"/>
                                  <w:spacing w:val="-2"/>
                                  <w:sz w:val="32"/>
                                </w:rPr>
                                <w:t>trillion</w:t>
                              </w:r>
                            </w:p>
                            <w:p>
                              <w:pPr>
                                <w:spacing w:before="75"/>
                                <w:ind w:left="185" w:right="0" w:firstLine="0"/>
                                <w:jc w:val="left"/>
                                <w:rPr>
                                  <w:rFonts w:ascii="BancoDoBrasil Titulos"/>
                                  <w:sz w:val="32"/>
                                </w:rPr>
                              </w:pPr>
                              <w:r>
                                <w:rPr>
                                  <w:rFonts w:ascii="BancoDoBrasil Titulos"/>
                                  <w:color w:val="FBFB2F"/>
                                  <w:sz w:val="32"/>
                                </w:rPr>
                                <w:t>growth</w:t>
                              </w:r>
                              <w:r>
                                <w:rPr>
                                  <w:rFonts w:ascii="BancoDoBrasil Titulos"/>
                                  <w:color w:val="FBFB2F"/>
                                  <w:spacing w:val="-17"/>
                                  <w:sz w:val="32"/>
                                </w:rPr>
                                <w:t> </w:t>
                              </w:r>
                              <w:r>
                                <w:rPr>
                                  <w:rFonts w:ascii="BancoDoBrasil Titulos"/>
                                  <w:color w:val="FBFB2F"/>
                                  <w:sz w:val="32"/>
                                </w:rPr>
                                <w:t>of</w:t>
                              </w:r>
                              <w:r>
                                <w:rPr>
                                  <w:rFonts w:ascii="BancoDoBrasil Titulos"/>
                                  <w:color w:val="FBFB2F"/>
                                  <w:spacing w:val="-15"/>
                                  <w:sz w:val="32"/>
                                </w:rPr>
                                <w:t> </w:t>
                              </w:r>
                              <w:r>
                                <w:rPr>
                                  <w:rFonts w:ascii="BancoDoBrasil Titulos"/>
                                  <w:color w:val="FBFB2F"/>
                                  <w:spacing w:val="-4"/>
                                  <w:sz w:val="32"/>
                                </w:rPr>
                                <w:t>11.1%</w:t>
                              </w:r>
                            </w:p>
                            <w:p>
                              <w:pPr>
                                <w:spacing w:before="77"/>
                                <w:ind w:left="185" w:right="0" w:firstLine="0"/>
                                <w:jc w:val="left"/>
                                <w:rPr>
                                  <w:rFonts w:ascii="BancoDoBrasil Titulos"/>
                                  <w:sz w:val="32"/>
                                </w:rPr>
                              </w:pPr>
                              <w:r>
                                <w:rPr>
                                  <w:rFonts w:ascii="BancoDoBrasil Titulos"/>
                                  <w:color w:val="FBFB2F"/>
                                  <w:sz w:val="32"/>
                                </w:rPr>
                                <w:t>in</w:t>
                              </w:r>
                              <w:r>
                                <w:rPr>
                                  <w:rFonts w:ascii="BancoDoBrasil Titulos"/>
                                  <w:color w:val="FBFB2F"/>
                                  <w:spacing w:val="-10"/>
                                  <w:sz w:val="32"/>
                                </w:rPr>
                                <w:t> </w:t>
                              </w:r>
                              <w:r>
                                <w:rPr>
                                  <w:rFonts w:ascii="BancoDoBrasil Titulos"/>
                                  <w:color w:val="FBFB2F"/>
                                  <w:sz w:val="32"/>
                                </w:rPr>
                                <w:t>relation</w:t>
                              </w:r>
                              <w:r>
                                <w:rPr>
                                  <w:rFonts w:ascii="BancoDoBrasil Titulos"/>
                                  <w:color w:val="FBFB2F"/>
                                  <w:spacing w:val="-10"/>
                                  <w:sz w:val="32"/>
                                </w:rPr>
                                <w:t> </w:t>
                              </w:r>
                              <w:r>
                                <w:rPr>
                                  <w:rFonts w:ascii="BancoDoBrasil Titulos"/>
                                  <w:color w:val="FBFB2F"/>
                                  <w:sz w:val="32"/>
                                </w:rPr>
                                <w:t>to</w:t>
                              </w:r>
                              <w:r>
                                <w:rPr>
                                  <w:rFonts w:ascii="BancoDoBrasil Titulos"/>
                                  <w:color w:val="FBFB2F"/>
                                  <w:spacing w:val="-8"/>
                                  <w:sz w:val="32"/>
                                </w:rPr>
                                <w:t> </w:t>
                              </w:r>
                              <w:r>
                                <w:rPr>
                                  <w:rFonts w:ascii="BancoDoBrasil Titulos"/>
                                  <w:color w:val="FBFB2F"/>
                                  <w:spacing w:val="-2"/>
                                  <w:sz w:val="32"/>
                                </w:rPr>
                                <w:t>September/23</w:t>
                              </w:r>
                            </w:p>
                          </w:txbxContent>
                        </wps:txbx>
                        <wps:bodyPr wrap="square" lIns="0" tIns="0" rIns="0" bIns="0" rtlCol="0">
                          <a:noAutofit/>
                        </wps:bodyPr>
                      </wps:wsp>
                    </wpg:wgp>
                  </a:graphicData>
                </a:graphic>
              </wp:anchor>
            </w:drawing>
          </mc:Choice>
          <mc:Fallback>
            <w:pict>
              <v:group style="position:absolute;margin-left:303pt;margin-top:22.520201pt;width:271.25pt;height:114.4pt;mso-position-horizontal-relative:page;mso-position-vertical-relative:paragraph;z-index:-15726080;mso-wrap-distance-left:0;mso-wrap-distance-right:0" id="docshapegroup17" coordorigin="6060,450" coordsize="5425,2288">
                <v:shape style="position:absolute;left:6060;top:450;width:5425;height:2288" id="docshape18" coordorigin="6060,450" coordsize="5425,2288" path="m11379,450l6166,450,6125,459,6091,481,6068,515,6060,556,6060,2633,6068,2674,6091,2707,6125,2730,6166,2738,11379,2738,11420,2730,11454,2707,11477,2674,11485,2633,11485,556,11477,515,11454,481,11420,459,11379,450xe" filled="true" fillcolor="#53dcfb" stroked="false">
                  <v:path arrowok="t"/>
                  <v:fill type="solid"/>
                </v:shape>
                <v:shape style="position:absolute;left:6060;top:450;width:5425;height:2288" type="#_x0000_t202" id="docshape19" filled="false" stroked="false">
                  <v:textbox inset="0,0,0,0">
                    <w:txbxContent>
                      <w:p>
                        <w:pPr>
                          <w:spacing w:before="147"/>
                          <w:ind w:left="185" w:right="0" w:firstLine="0"/>
                          <w:jc w:val="left"/>
                          <w:rPr>
                            <w:rFonts w:ascii="BancoDoBrasil Titulos"/>
                            <w:sz w:val="32"/>
                          </w:rPr>
                        </w:pPr>
                        <w:r>
                          <w:rPr>
                            <w:rFonts w:ascii="BancoDoBrasil Titulos"/>
                            <w:color w:val="FBFB2F"/>
                            <w:sz w:val="32"/>
                          </w:rPr>
                          <w:t>Classified</w:t>
                        </w:r>
                        <w:r>
                          <w:rPr>
                            <w:rFonts w:ascii="BancoDoBrasil Titulos"/>
                            <w:color w:val="FBFB2F"/>
                            <w:spacing w:val="-15"/>
                            <w:sz w:val="32"/>
                          </w:rPr>
                          <w:t> </w:t>
                        </w:r>
                        <w:r>
                          <w:rPr>
                            <w:rFonts w:ascii="BancoDoBrasil Titulos"/>
                            <w:color w:val="FBFB2F"/>
                            <w:sz w:val="32"/>
                          </w:rPr>
                          <w:t>Credit</w:t>
                        </w:r>
                        <w:r>
                          <w:rPr>
                            <w:rFonts w:ascii="BancoDoBrasil Titulos"/>
                            <w:color w:val="FBFB2F"/>
                            <w:spacing w:val="-13"/>
                            <w:sz w:val="32"/>
                          </w:rPr>
                          <w:t> </w:t>
                        </w:r>
                        <w:r>
                          <w:rPr>
                            <w:rFonts w:ascii="BancoDoBrasil Titulos"/>
                            <w:color w:val="FBFB2F"/>
                            <w:spacing w:val="-2"/>
                            <w:sz w:val="32"/>
                          </w:rPr>
                          <w:t>Portfolio</w:t>
                        </w:r>
                      </w:p>
                      <w:p>
                        <w:pPr>
                          <w:spacing w:before="76"/>
                          <w:ind w:left="185" w:right="0" w:firstLine="0"/>
                          <w:jc w:val="left"/>
                          <w:rPr>
                            <w:rFonts w:ascii="BancoDoBrasil Titulos"/>
                            <w:b/>
                            <w:sz w:val="32"/>
                          </w:rPr>
                        </w:pPr>
                        <w:r>
                          <w:rPr>
                            <w:rFonts w:ascii="BancoDoBrasil Titulos"/>
                            <w:b/>
                            <w:color w:val="FBFB2F"/>
                            <w:sz w:val="32"/>
                          </w:rPr>
                          <w:t>R$</w:t>
                        </w:r>
                        <w:r>
                          <w:rPr>
                            <w:rFonts w:ascii="BancoDoBrasil Titulos"/>
                            <w:b/>
                            <w:color w:val="FBFB2F"/>
                            <w:spacing w:val="-10"/>
                            <w:sz w:val="32"/>
                          </w:rPr>
                          <w:t> </w:t>
                        </w:r>
                        <w:r>
                          <w:rPr>
                            <w:rFonts w:ascii="BancoDoBrasil Titulos"/>
                            <w:b/>
                            <w:color w:val="FBFB2F"/>
                            <w:sz w:val="32"/>
                          </w:rPr>
                          <w:t>1.0</w:t>
                        </w:r>
                        <w:r>
                          <w:rPr>
                            <w:rFonts w:ascii="BancoDoBrasil Titulos"/>
                            <w:b/>
                            <w:color w:val="FBFB2F"/>
                            <w:spacing w:val="-10"/>
                            <w:sz w:val="32"/>
                          </w:rPr>
                          <w:t> </w:t>
                        </w:r>
                        <w:r>
                          <w:rPr>
                            <w:rFonts w:ascii="BancoDoBrasil Titulos"/>
                            <w:b/>
                            <w:color w:val="FBFB2F"/>
                            <w:spacing w:val="-2"/>
                            <w:sz w:val="32"/>
                          </w:rPr>
                          <w:t>trillion</w:t>
                        </w:r>
                      </w:p>
                      <w:p>
                        <w:pPr>
                          <w:spacing w:before="75"/>
                          <w:ind w:left="185" w:right="0" w:firstLine="0"/>
                          <w:jc w:val="left"/>
                          <w:rPr>
                            <w:rFonts w:ascii="BancoDoBrasil Titulos"/>
                            <w:sz w:val="32"/>
                          </w:rPr>
                        </w:pPr>
                        <w:r>
                          <w:rPr>
                            <w:rFonts w:ascii="BancoDoBrasil Titulos"/>
                            <w:color w:val="FBFB2F"/>
                            <w:sz w:val="32"/>
                          </w:rPr>
                          <w:t>growth</w:t>
                        </w:r>
                        <w:r>
                          <w:rPr>
                            <w:rFonts w:ascii="BancoDoBrasil Titulos"/>
                            <w:color w:val="FBFB2F"/>
                            <w:spacing w:val="-17"/>
                            <w:sz w:val="32"/>
                          </w:rPr>
                          <w:t> </w:t>
                        </w:r>
                        <w:r>
                          <w:rPr>
                            <w:rFonts w:ascii="BancoDoBrasil Titulos"/>
                            <w:color w:val="FBFB2F"/>
                            <w:sz w:val="32"/>
                          </w:rPr>
                          <w:t>of</w:t>
                        </w:r>
                        <w:r>
                          <w:rPr>
                            <w:rFonts w:ascii="BancoDoBrasil Titulos"/>
                            <w:color w:val="FBFB2F"/>
                            <w:spacing w:val="-15"/>
                            <w:sz w:val="32"/>
                          </w:rPr>
                          <w:t> </w:t>
                        </w:r>
                        <w:r>
                          <w:rPr>
                            <w:rFonts w:ascii="BancoDoBrasil Titulos"/>
                            <w:color w:val="FBFB2F"/>
                            <w:spacing w:val="-4"/>
                            <w:sz w:val="32"/>
                          </w:rPr>
                          <w:t>11.1%</w:t>
                        </w:r>
                      </w:p>
                      <w:p>
                        <w:pPr>
                          <w:spacing w:before="77"/>
                          <w:ind w:left="185" w:right="0" w:firstLine="0"/>
                          <w:jc w:val="left"/>
                          <w:rPr>
                            <w:rFonts w:ascii="BancoDoBrasil Titulos"/>
                            <w:sz w:val="32"/>
                          </w:rPr>
                        </w:pPr>
                        <w:r>
                          <w:rPr>
                            <w:rFonts w:ascii="BancoDoBrasil Titulos"/>
                            <w:color w:val="FBFB2F"/>
                            <w:sz w:val="32"/>
                          </w:rPr>
                          <w:t>in</w:t>
                        </w:r>
                        <w:r>
                          <w:rPr>
                            <w:rFonts w:ascii="BancoDoBrasil Titulos"/>
                            <w:color w:val="FBFB2F"/>
                            <w:spacing w:val="-10"/>
                            <w:sz w:val="32"/>
                          </w:rPr>
                          <w:t> </w:t>
                        </w:r>
                        <w:r>
                          <w:rPr>
                            <w:rFonts w:ascii="BancoDoBrasil Titulos"/>
                            <w:color w:val="FBFB2F"/>
                            <w:sz w:val="32"/>
                          </w:rPr>
                          <w:t>relation</w:t>
                        </w:r>
                        <w:r>
                          <w:rPr>
                            <w:rFonts w:ascii="BancoDoBrasil Titulos"/>
                            <w:color w:val="FBFB2F"/>
                            <w:spacing w:val="-10"/>
                            <w:sz w:val="32"/>
                          </w:rPr>
                          <w:t> </w:t>
                        </w:r>
                        <w:r>
                          <w:rPr>
                            <w:rFonts w:ascii="BancoDoBrasil Titulos"/>
                            <w:color w:val="FBFB2F"/>
                            <w:sz w:val="32"/>
                          </w:rPr>
                          <w:t>to</w:t>
                        </w:r>
                        <w:r>
                          <w:rPr>
                            <w:rFonts w:ascii="BancoDoBrasil Titulos"/>
                            <w:color w:val="FBFB2F"/>
                            <w:spacing w:val="-8"/>
                            <w:sz w:val="32"/>
                          </w:rPr>
                          <w:t> </w:t>
                        </w:r>
                        <w:r>
                          <w:rPr>
                            <w:rFonts w:ascii="BancoDoBrasil Titulos"/>
                            <w:color w:val="FBFB2F"/>
                            <w:spacing w:val="-2"/>
                            <w:sz w:val="32"/>
                          </w:rPr>
                          <w:t>September/23</w:t>
                        </w:r>
                      </w:p>
                    </w:txbxContent>
                  </v:textbox>
                  <w10:wrap type="none"/>
                </v:shape>
                <w10:wrap type="topAndBottom"/>
              </v:group>
            </w:pict>
          </mc:Fallback>
        </mc:AlternateContent>
      </w:r>
    </w:p>
    <w:p>
      <w:pPr>
        <w:pStyle w:val="BodyText"/>
        <w:spacing w:before="89"/>
        <w:ind w:left="0"/>
        <w:jc w:val="left"/>
      </w:pPr>
    </w:p>
    <w:tbl>
      <w:tblPr>
        <w:tblW w:w="0" w:type="auto"/>
        <w:jc w:val="left"/>
        <w:tblInd w:w="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16"/>
        <w:gridCol w:w="1729"/>
        <w:gridCol w:w="1400"/>
        <w:gridCol w:w="1371"/>
        <w:gridCol w:w="1122"/>
      </w:tblGrid>
      <w:tr>
        <w:trPr>
          <w:trHeight w:val="342" w:hRule="atLeast"/>
        </w:trPr>
        <w:tc>
          <w:tcPr>
            <w:tcW w:w="7445" w:type="dxa"/>
            <w:gridSpan w:val="3"/>
          </w:tcPr>
          <w:p>
            <w:pPr>
              <w:pStyle w:val="TableParagraph"/>
              <w:spacing w:line="210" w:lineRule="exact" w:before="0"/>
              <w:ind w:right="744"/>
              <w:jc w:val="right"/>
              <w:rPr>
                <w:rFonts w:ascii="BancoDoBrasil Textos Medium"/>
                <w:b w:val="0"/>
                <w:sz w:val="18"/>
              </w:rPr>
            </w:pPr>
            <w:r>
              <w:rPr>
                <w:rFonts w:ascii="BancoDoBrasil Textos Medium"/>
                <w:b w:val="0"/>
                <w:color w:val="3333BC"/>
                <w:sz w:val="18"/>
              </w:rPr>
              <w:t>Banco</w:t>
            </w:r>
            <w:r>
              <w:rPr>
                <w:rFonts w:ascii="BancoDoBrasil Textos Medium"/>
                <w:b w:val="0"/>
                <w:color w:val="3333BC"/>
                <w:spacing w:val="-3"/>
                <w:sz w:val="18"/>
              </w:rPr>
              <w:t> </w:t>
            </w:r>
            <w:r>
              <w:rPr>
                <w:rFonts w:ascii="BancoDoBrasil Textos Medium"/>
                <w:b w:val="0"/>
                <w:color w:val="3333BC"/>
                <w:sz w:val="18"/>
              </w:rPr>
              <w:t>do</w:t>
            </w:r>
            <w:r>
              <w:rPr>
                <w:rFonts w:ascii="BancoDoBrasil Textos Medium"/>
                <w:b w:val="0"/>
                <w:color w:val="3333BC"/>
                <w:spacing w:val="-2"/>
                <w:sz w:val="18"/>
              </w:rPr>
              <w:t> Brasil</w:t>
            </w:r>
          </w:p>
        </w:tc>
        <w:tc>
          <w:tcPr>
            <w:tcW w:w="2493" w:type="dxa"/>
            <w:gridSpan w:val="2"/>
          </w:tcPr>
          <w:p>
            <w:pPr>
              <w:pStyle w:val="TableParagraph"/>
              <w:spacing w:line="210" w:lineRule="exact" w:before="0"/>
              <w:ind w:left="669"/>
              <w:rPr>
                <w:rFonts w:ascii="BancoDoBrasil Textos Medium"/>
                <w:b w:val="0"/>
                <w:sz w:val="18"/>
              </w:rPr>
            </w:pPr>
            <w:r>
              <w:rPr>
                <w:rFonts w:ascii="BancoDoBrasil Textos Medium"/>
                <w:b w:val="0"/>
                <w:color w:val="3333BC"/>
                <w:sz w:val="18"/>
              </w:rPr>
              <w:t>BB</w:t>
            </w:r>
            <w:r>
              <w:rPr>
                <w:rFonts w:ascii="BancoDoBrasil Textos Medium"/>
                <w:b w:val="0"/>
                <w:color w:val="3333BC"/>
                <w:spacing w:val="-4"/>
                <w:sz w:val="18"/>
              </w:rPr>
              <w:t> </w:t>
            </w:r>
            <w:r>
              <w:rPr>
                <w:rFonts w:ascii="BancoDoBrasil Textos Medium"/>
                <w:b w:val="0"/>
                <w:color w:val="3333BC"/>
                <w:spacing w:val="-2"/>
                <w:sz w:val="18"/>
              </w:rPr>
              <w:t>Consolidated</w:t>
            </w:r>
          </w:p>
        </w:tc>
      </w:tr>
      <w:tr>
        <w:trPr>
          <w:trHeight w:val="440" w:hRule="atLeast"/>
        </w:trPr>
        <w:tc>
          <w:tcPr>
            <w:tcW w:w="4316" w:type="dxa"/>
          </w:tcPr>
          <w:p>
            <w:pPr>
              <w:pStyle w:val="TableParagraph"/>
              <w:spacing w:before="138"/>
              <w:ind w:left="50"/>
              <w:rPr>
                <w:rFonts w:ascii="BancoDoBrasil Titulos ExtraBold"/>
                <w:b/>
                <w:sz w:val="18"/>
              </w:rPr>
            </w:pPr>
            <w:r>
              <w:rPr>
                <w:rFonts w:ascii="BancoDoBrasil Titulos ExtraBold"/>
                <w:b/>
                <w:color w:val="465EFF"/>
                <w:sz w:val="18"/>
              </w:rPr>
              <w:t>Earnings</w:t>
            </w:r>
            <w:r>
              <w:rPr>
                <w:rFonts w:ascii="BancoDoBrasil Titulos ExtraBold"/>
                <w:b/>
                <w:color w:val="465EFF"/>
                <w:spacing w:val="-3"/>
                <w:sz w:val="18"/>
              </w:rPr>
              <w:t> </w:t>
            </w:r>
            <w:r>
              <w:rPr>
                <w:rFonts w:ascii="BancoDoBrasil Titulos ExtraBold"/>
                <w:b/>
                <w:color w:val="465EFF"/>
                <w:sz w:val="18"/>
              </w:rPr>
              <w:t>(R$</w:t>
            </w:r>
            <w:r>
              <w:rPr>
                <w:rFonts w:ascii="BancoDoBrasil Titulos ExtraBold"/>
                <w:b/>
                <w:color w:val="465EFF"/>
                <w:spacing w:val="-2"/>
                <w:sz w:val="18"/>
              </w:rPr>
              <w:t> million)</w:t>
            </w:r>
          </w:p>
        </w:tc>
        <w:tc>
          <w:tcPr>
            <w:tcW w:w="1729" w:type="dxa"/>
          </w:tcPr>
          <w:p>
            <w:pPr>
              <w:pStyle w:val="TableParagraph"/>
              <w:spacing w:before="120"/>
              <w:ind w:right="444"/>
              <w:jc w:val="right"/>
              <w:rPr>
                <w:rFonts w:ascii="BancoDoBrasil Textos Medium"/>
                <w:b w:val="0"/>
                <w:sz w:val="18"/>
              </w:rPr>
            </w:pPr>
            <w:r>
              <w:rPr>
                <w:rFonts w:ascii="BancoDoBrasil Textos Medium"/>
                <w:b w:val="0"/>
                <w:color w:val="465EFF"/>
                <w:spacing w:val="-4"/>
                <w:sz w:val="18"/>
              </w:rPr>
              <w:t>9M24</w:t>
            </w:r>
          </w:p>
        </w:tc>
        <w:tc>
          <w:tcPr>
            <w:tcW w:w="1400" w:type="dxa"/>
          </w:tcPr>
          <w:p>
            <w:pPr>
              <w:pStyle w:val="TableParagraph"/>
              <w:spacing w:before="120"/>
              <w:ind w:left="21" w:right="2"/>
              <w:jc w:val="center"/>
              <w:rPr>
                <w:rFonts w:ascii="BancoDoBrasil Titulos Light"/>
                <w:b w:val="0"/>
                <w:sz w:val="18"/>
              </w:rPr>
            </w:pPr>
            <w:r>
              <w:rPr>
                <w:rFonts w:ascii="BancoDoBrasil Titulos Light"/>
                <w:b w:val="0"/>
                <w:color w:val="735CC5"/>
                <w:spacing w:val="-4"/>
                <w:sz w:val="18"/>
              </w:rPr>
              <w:t>9M23</w:t>
            </w:r>
          </w:p>
        </w:tc>
        <w:tc>
          <w:tcPr>
            <w:tcW w:w="1371" w:type="dxa"/>
          </w:tcPr>
          <w:p>
            <w:pPr>
              <w:pStyle w:val="TableParagraph"/>
              <w:spacing w:before="120"/>
              <w:ind w:right="7"/>
              <w:jc w:val="center"/>
              <w:rPr>
                <w:rFonts w:ascii="BancoDoBrasil Textos Medium"/>
                <w:b w:val="0"/>
                <w:sz w:val="18"/>
              </w:rPr>
            </w:pPr>
            <w:r>
              <w:rPr>
                <w:rFonts w:ascii="BancoDoBrasil Textos Medium"/>
                <w:b w:val="0"/>
                <w:color w:val="465EFF"/>
                <w:spacing w:val="-4"/>
                <w:sz w:val="18"/>
              </w:rPr>
              <w:t>9M24</w:t>
            </w:r>
          </w:p>
        </w:tc>
        <w:tc>
          <w:tcPr>
            <w:tcW w:w="1122" w:type="dxa"/>
          </w:tcPr>
          <w:p>
            <w:pPr>
              <w:pStyle w:val="TableParagraph"/>
              <w:spacing w:before="120"/>
              <w:ind w:left="441"/>
              <w:rPr>
                <w:rFonts w:ascii="BancoDoBrasil Titulos Light"/>
                <w:b w:val="0"/>
                <w:sz w:val="18"/>
              </w:rPr>
            </w:pPr>
            <w:r>
              <w:rPr>
                <w:rFonts w:ascii="BancoDoBrasil Titulos Light"/>
                <w:b w:val="0"/>
                <w:color w:val="735CC5"/>
                <w:spacing w:val="-4"/>
                <w:sz w:val="18"/>
              </w:rPr>
              <w:t>9M23</w:t>
            </w:r>
          </w:p>
        </w:tc>
      </w:tr>
      <w:tr>
        <w:trPr>
          <w:trHeight w:val="491" w:hRule="atLeast"/>
        </w:trPr>
        <w:tc>
          <w:tcPr>
            <w:tcW w:w="4316" w:type="dxa"/>
          </w:tcPr>
          <w:p>
            <w:pPr>
              <w:pStyle w:val="TableParagraph"/>
              <w:spacing w:before="60"/>
              <w:ind w:left="50"/>
              <w:rPr>
                <w:b w:val="0"/>
                <w:sz w:val="18"/>
              </w:rPr>
            </w:pPr>
            <w:r>
              <w:rPr>
                <w:b w:val="0"/>
                <w:color w:val="3333BC"/>
                <w:sz w:val="18"/>
              </w:rPr>
              <w:t>Net </w:t>
            </w:r>
            <w:r>
              <w:rPr>
                <w:b w:val="0"/>
                <w:color w:val="3333BC"/>
                <w:spacing w:val="-2"/>
                <w:sz w:val="18"/>
              </w:rPr>
              <w:t>Income</w:t>
            </w:r>
          </w:p>
        </w:tc>
        <w:tc>
          <w:tcPr>
            <w:tcW w:w="1729" w:type="dxa"/>
          </w:tcPr>
          <w:p>
            <w:pPr>
              <w:pStyle w:val="TableParagraph"/>
              <w:spacing w:before="180"/>
              <w:ind w:right="414"/>
              <w:jc w:val="right"/>
              <w:rPr>
                <w:b w:val="0"/>
                <w:sz w:val="18"/>
              </w:rPr>
            </w:pPr>
            <w:r>
              <w:rPr>
                <w:b w:val="0"/>
                <w:color w:val="3333BC"/>
                <w:spacing w:val="-2"/>
                <w:sz w:val="18"/>
              </w:rPr>
              <w:t>26,572</w:t>
            </w:r>
          </w:p>
        </w:tc>
        <w:tc>
          <w:tcPr>
            <w:tcW w:w="1400" w:type="dxa"/>
          </w:tcPr>
          <w:p>
            <w:pPr>
              <w:pStyle w:val="TableParagraph"/>
              <w:spacing w:before="180"/>
              <w:ind w:left="21" w:right="4"/>
              <w:jc w:val="center"/>
              <w:rPr>
                <w:b w:val="0"/>
                <w:sz w:val="18"/>
              </w:rPr>
            </w:pPr>
            <w:r>
              <w:rPr>
                <w:b w:val="0"/>
                <w:color w:val="3333BC"/>
                <w:spacing w:val="-2"/>
                <w:sz w:val="18"/>
              </w:rPr>
              <w:t>24,835</w:t>
            </w:r>
          </w:p>
        </w:tc>
        <w:tc>
          <w:tcPr>
            <w:tcW w:w="1371" w:type="dxa"/>
          </w:tcPr>
          <w:p>
            <w:pPr>
              <w:pStyle w:val="TableParagraph"/>
              <w:spacing w:before="180"/>
              <w:ind w:left="1" w:right="7"/>
              <w:jc w:val="center"/>
              <w:rPr>
                <w:b w:val="0"/>
                <w:sz w:val="18"/>
              </w:rPr>
            </w:pPr>
            <w:r>
              <w:rPr>
                <w:b w:val="0"/>
                <w:color w:val="3333BC"/>
                <w:spacing w:val="-2"/>
                <w:sz w:val="18"/>
              </w:rPr>
              <w:t>26,667</w:t>
            </w:r>
          </w:p>
        </w:tc>
        <w:tc>
          <w:tcPr>
            <w:tcW w:w="1122" w:type="dxa"/>
          </w:tcPr>
          <w:p>
            <w:pPr>
              <w:pStyle w:val="TableParagraph"/>
              <w:spacing w:before="180"/>
              <w:ind w:left="407"/>
              <w:rPr>
                <w:b w:val="0"/>
                <w:sz w:val="18"/>
              </w:rPr>
            </w:pPr>
            <w:r>
              <w:rPr>
                <w:b w:val="0"/>
                <w:color w:val="3333BC"/>
                <w:spacing w:val="-2"/>
                <w:sz w:val="18"/>
              </w:rPr>
              <w:t>24,957</w:t>
            </w:r>
          </w:p>
        </w:tc>
      </w:tr>
      <w:tr>
        <w:trPr>
          <w:trHeight w:val="499" w:hRule="atLeast"/>
        </w:trPr>
        <w:tc>
          <w:tcPr>
            <w:tcW w:w="4316" w:type="dxa"/>
          </w:tcPr>
          <w:p>
            <w:pPr>
              <w:pStyle w:val="TableParagraph"/>
              <w:spacing w:before="69"/>
              <w:ind w:left="50"/>
              <w:rPr>
                <w:b w:val="0"/>
                <w:sz w:val="18"/>
              </w:rPr>
            </w:pPr>
            <w:r>
              <w:rPr>
                <w:b w:val="0"/>
                <w:color w:val="3333BC"/>
                <w:sz w:val="18"/>
              </w:rPr>
              <w:t>Income</w:t>
            </w:r>
            <w:r>
              <w:rPr>
                <w:b w:val="0"/>
                <w:color w:val="3333BC"/>
                <w:spacing w:val="-5"/>
                <w:sz w:val="18"/>
              </w:rPr>
              <w:t> </w:t>
            </w:r>
            <w:r>
              <w:rPr>
                <w:b w:val="0"/>
                <w:color w:val="3333BC"/>
                <w:sz w:val="18"/>
              </w:rPr>
              <w:t>from</w:t>
            </w:r>
            <w:r>
              <w:rPr>
                <w:b w:val="0"/>
                <w:color w:val="3333BC"/>
                <w:spacing w:val="-5"/>
                <w:sz w:val="18"/>
              </w:rPr>
              <w:t> </w:t>
            </w:r>
            <w:r>
              <w:rPr>
                <w:b w:val="0"/>
                <w:color w:val="3333BC"/>
                <w:sz w:val="18"/>
              </w:rPr>
              <w:t>Financial</w:t>
            </w:r>
            <w:r>
              <w:rPr>
                <w:b w:val="0"/>
                <w:color w:val="3333BC"/>
                <w:spacing w:val="-3"/>
                <w:sz w:val="18"/>
              </w:rPr>
              <w:t> </w:t>
            </w:r>
            <w:r>
              <w:rPr>
                <w:b w:val="0"/>
                <w:color w:val="3333BC"/>
                <w:spacing w:val="-2"/>
                <w:sz w:val="18"/>
              </w:rPr>
              <w:t>Intermediation</w:t>
            </w:r>
          </w:p>
        </w:tc>
        <w:tc>
          <w:tcPr>
            <w:tcW w:w="1729" w:type="dxa"/>
          </w:tcPr>
          <w:p>
            <w:pPr>
              <w:pStyle w:val="TableParagraph"/>
              <w:ind w:right="406"/>
              <w:jc w:val="right"/>
              <w:rPr>
                <w:b w:val="0"/>
                <w:sz w:val="18"/>
              </w:rPr>
            </w:pPr>
            <w:r>
              <w:rPr>
                <w:b w:val="0"/>
                <w:color w:val="3333BC"/>
                <w:spacing w:val="-2"/>
                <w:sz w:val="18"/>
              </w:rPr>
              <w:t>40,873</w:t>
            </w:r>
          </w:p>
        </w:tc>
        <w:tc>
          <w:tcPr>
            <w:tcW w:w="1400" w:type="dxa"/>
          </w:tcPr>
          <w:p>
            <w:pPr>
              <w:pStyle w:val="TableParagraph"/>
              <w:ind w:left="21"/>
              <w:jc w:val="center"/>
              <w:rPr>
                <w:b w:val="0"/>
                <w:sz w:val="18"/>
              </w:rPr>
            </w:pPr>
            <w:r>
              <w:rPr>
                <w:b w:val="0"/>
                <w:color w:val="3333BC"/>
                <w:spacing w:val="-2"/>
                <w:sz w:val="18"/>
              </w:rPr>
              <w:t>40,084</w:t>
            </w:r>
          </w:p>
        </w:tc>
        <w:tc>
          <w:tcPr>
            <w:tcW w:w="1371" w:type="dxa"/>
          </w:tcPr>
          <w:p>
            <w:pPr>
              <w:pStyle w:val="TableParagraph"/>
              <w:ind w:left="2" w:right="7"/>
              <w:jc w:val="center"/>
              <w:rPr>
                <w:b w:val="0"/>
                <w:sz w:val="18"/>
              </w:rPr>
            </w:pPr>
            <w:r>
              <w:rPr>
                <w:b w:val="0"/>
                <w:color w:val="3333BC"/>
                <w:spacing w:val="-2"/>
                <w:sz w:val="18"/>
              </w:rPr>
              <w:t>49,360</w:t>
            </w:r>
          </w:p>
        </w:tc>
        <w:tc>
          <w:tcPr>
            <w:tcW w:w="1122" w:type="dxa"/>
          </w:tcPr>
          <w:p>
            <w:pPr>
              <w:pStyle w:val="TableParagraph"/>
              <w:ind w:left="413"/>
              <w:rPr>
                <w:b w:val="0"/>
                <w:sz w:val="18"/>
              </w:rPr>
            </w:pPr>
            <w:r>
              <w:rPr>
                <w:b w:val="0"/>
                <w:color w:val="3333BC"/>
                <w:spacing w:val="-2"/>
                <w:sz w:val="18"/>
              </w:rPr>
              <w:t>47,933</w:t>
            </w:r>
          </w:p>
        </w:tc>
      </w:tr>
      <w:tr>
        <w:trPr>
          <w:trHeight w:val="559" w:hRule="atLeast"/>
        </w:trPr>
        <w:tc>
          <w:tcPr>
            <w:tcW w:w="4316" w:type="dxa"/>
          </w:tcPr>
          <w:p>
            <w:pPr>
              <w:pStyle w:val="TableParagraph"/>
              <w:spacing w:before="69"/>
              <w:ind w:left="50"/>
              <w:rPr>
                <w:b w:val="0"/>
                <w:sz w:val="18"/>
              </w:rPr>
            </w:pPr>
            <w:r>
              <w:rPr>
                <w:b w:val="0"/>
                <w:color w:val="3333BC"/>
                <w:sz w:val="18"/>
              </w:rPr>
              <w:t>Provision</w:t>
            </w:r>
            <w:r>
              <w:rPr>
                <w:b w:val="0"/>
                <w:color w:val="3333BC"/>
                <w:spacing w:val="-9"/>
                <w:sz w:val="18"/>
              </w:rPr>
              <w:t> </w:t>
            </w:r>
            <w:r>
              <w:rPr>
                <w:b w:val="0"/>
                <w:color w:val="3333BC"/>
                <w:sz w:val="18"/>
              </w:rPr>
              <w:t>for</w:t>
            </w:r>
            <w:r>
              <w:rPr>
                <w:b w:val="0"/>
                <w:color w:val="3333BC"/>
                <w:spacing w:val="-8"/>
                <w:sz w:val="18"/>
              </w:rPr>
              <w:t> </w:t>
            </w:r>
            <w:r>
              <w:rPr>
                <w:b w:val="0"/>
                <w:color w:val="3333BC"/>
                <w:sz w:val="18"/>
              </w:rPr>
              <w:t>losses</w:t>
            </w:r>
            <w:r>
              <w:rPr>
                <w:b w:val="0"/>
                <w:color w:val="3333BC"/>
                <w:spacing w:val="-8"/>
                <w:sz w:val="18"/>
              </w:rPr>
              <w:t> </w:t>
            </w:r>
            <w:r>
              <w:rPr>
                <w:b w:val="0"/>
                <w:color w:val="3333BC"/>
                <w:sz w:val="18"/>
              </w:rPr>
              <w:t>associated</w:t>
            </w:r>
            <w:r>
              <w:rPr>
                <w:b w:val="0"/>
                <w:color w:val="3333BC"/>
                <w:spacing w:val="-10"/>
                <w:sz w:val="18"/>
              </w:rPr>
              <w:t> </w:t>
            </w:r>
            <w:r>
              <w:rPr>
                <w:b w:val="0"/>
                <w:color w:val="3333BC"/>
                <w:sz w:val="18"/>
              </w:rPr>
              <w:t>with</w:t>
            </w:r>
            <w:r>
              <w:rPr>
                <w:b w:val="0"/>
                <w:color w:val="3333BC"/>
                <w:spacing w:val="-8"/>
                <w:sz w:val="18"/>
              </w:rPr>
              <w:t> </w:t>
            </w:r>
            <w:r>
              <w:rPr>
                <w:b w:val="0"/>
                <w:color w:val="3333BC"/>
                <w:sz w:val="18"/>
              </w:rPr>
              <w:t>credit</w:t>
            </w:r>
            <w:r>
              <w:rPr>
                <w:b w:val="0"/>
                <w:color w:val="3333BC"/>
                <w:spacing w:val="-8"/>
                <w:sz w:val="18"/>
              </w:rPr>
              <w:t> </w:t>
            </w:r>
            <w:r>
              <w:rPr>
                <w:b w:val="0"/>
                <w:color w:val="3333BC"/>
                <w:spacing w:val="-4"/>
                <w:sz w:val="18"/>
              </w:rPr>
              <w:t>risk</w:t>
            </w:r>
          </w:p>
        </w:tc>
        <w:tc>
          <w:tcPr>
            <w:tcW w:w="1729" w:type="dxa"/>
          </w:tcPr>
          <w:p>
            <w:pPr>
              <w:pStyle w:val="TableParagraph"/>
              <w:ind w:right="355"/>
              <w:jc w:val="right"/>
              <w:rPr>
                <w:b w:val="0"/>
                <w:sz w:val="18"/>
              </w:rPr>
            </w:pPr>
            <w:r>
              <w:rPr>
                <w:b w:val="0"/>
                <w:color w:val="3333BC"/>
                <w:spacing w:val="-2"/>
                <w:sz w:val="18"/>
              </w:rPr>
              <w:t>(31,556)</w:t>
            </w:r>
          </w:p>
        </w:tc>
        <w:tc>
          <w:tcPr>
            <w:tcW w:w="1400" w:type="dxa"/>
          </w:tcPr>
          <w:p>
            <w:pPr>
              <w:pStyle w:val="TableParagraph"/>
              <w:ind w:left="21" w:right="1"/>
              <w:jc w:val="center"/>
              <w:rPr>
                <w:b w:val="0"/>
                <w:sz w:val="18"/>
              </w:rPr>
            </w:pPr>
            <w:r>
              <w:rPr>
                <w:b w:val="0"/>
                <w:color w:val="3333BC"/>
                <w:spacing w:val="-2"/>
                <w:sz w:val="18"/>
              </w:rPr>
              <w:t>(21,928)</w:t>
            </w:r>
          </w:p>
        </w:tc>
        <w:tc>
          <w:tcPr>
            <w:tcW w:w="1371" w:type="dxa"/>
          </w:tcPr>
          <w:p>
            <w:pPr>
              <w:pStyle w:val="TableParagraph"/>
              <w:ind w:left="1" w:right="7"/>
              <w:jc w:val="center"/>
              <w:rPr>
                <w:b w:val="0"/>
                <w:sz w:val="18"/>
              </w:rPr>
            </w:pPr>
            <w:r>
              <w:rPr>
                <w:b w:val="0"/>
                <w:color w:val="3333BC"/>
                <w:spacing w:val="-2"/>
                <w:sz w:val="18"/>
              </w:rPr>
              <w:t>(31,692)</w:t>
            </w:r>
          </w:p>
        </w:tc>
        <w:tc>
          <w:tcPr>
            <w:tcW w:w="1122" w:type="dxa"/>
          </w:tcPr>
          <w:p>
            <w:pPr>
              <w:pStyle w:val="TableParagraph"/>
              <w:ind w:left="334"/>
              <w:rPr>
                <w:b w:val="0"/>
                <w:sz w:val="18"/>
              </w:rPr>
            </w:pPr>
            <w:r>
              <w:rPr>
                <w:b w:val="0"/>
                <w:color w:val="3333BC"/>
                <w:spacing w:val="-2"/>
                <w:sz w:val="18"/>
              </w:rPr>
              <w:t>(22,079)</w:t>
            </w:r>
          </w:p>
        </w:tc>
      </w:tr>
      <w:tr>
        <w:trPr>
          <w:trHeight w:val="500" w:hRule="atLeast"/>
        </w:trPr>
        <w:tc>
          <w:tcPr>
            <w:tcW w:w="4316" w:type="dxa"/>
          </w:tcPr>
          <w:p>
            <w:pPr>
              <w:pStyle w:val="TableParagraph"/>
              <w:spacing w:before="129"/>
              <w:ind w:left="50"/>
              <w:rPr>
                <w:b w:val="0"/>
                <w:sz w:val="18"/>
              </w:rPr>
            </w:pPr>
            <w:r>
              <w:rPr>
                <w:b w:val="0"/>
                <w:color w:val="3333BC"/>
                <w:sz w:val="18"/>
              </w:rPr>
              <w:t>Fee</w:t>
            </w:r>
            <w:r>
              <w:rPr>
                <w:b w:val="0"/>
                <w:color w:val="3333BC"/>
                <w:spacing w:val="-6"/>
                <w:sz w:val="18"/>
              </w:rPr>
              <w:t> </w:t>
            </w:r>
            <w:r>
              <w:rPr>
                <w:b w:val="0"/>
                <w:color w:val="3333BC"/>
                <w:spacing w:val="-2"/>
                <w:sz w:val="18"/>
              </w:rPr>
              <w:t>Income</w:t>
            </w:r>
          </w:p>
        </w:tc>
        <w:tc>
          <w:tcPr>
            <w:tcW w:w="1729" w:type="dxa"/>
          </w:tcPr>
          <w:p>
            <w:pPr>
              <w:pStyle w:val="TableParagraph"/>
              <w:spacing w:before="129"/>
              <w:ind w:right="417"/>
              <w:jc w:val="right"/>
              <w:rPr>
                <w:b w:val="0"/>
                <w:sz w:val="18"/>
              </w:rPr>
            </w:pPr>
            <w:r>
              <w:rPr>
                <w:b w:val="0"/>
                <w:color w:val="3333BC"/>
                <w:spacing w:val="-2"/>
                <w:sz w:val="18"/>
              </w:rPr>
              <w:t>15,842</w:t>
            </w:r>
          </w:p>
        </w:tc>
        <w:tc>
          <w:tcPr>
            <w:tcW w:w="1400" w:type="dxa"/>
          </w:tcPr>
          <w:p>
            <w:pPr>
              <w:pStyle w:val="TableParagraph"/>
              <w:spacing w:before="129"/>
              <w:ind w:left="21" w:right="2"/>
              <w:jc w:val="center"/>
              <w:rPr>
                <w:b w:val="0"/>
                <w:sz w:val="18"/>
              </w:rPr>
            </w:pPr>
            <w:r>
              <w:rPr>
                <w:b w:val="0"/>
                <w:color w:val="3333BC"/>
                <w:spacing w:val="-2"/>
                <w:sz w:val="18"/>
              </w:rPr>
              <w:t>15,761</w:t>
            </w:r>
          </w:p>
        </w:tc>
        <w:tc>
          <w:tcPr>
            <w:tcW w:w="1371" w:type="dxa"/>
          </w:tcPr>
          <w:p>
            <w:pPr>
              <w:pStyle w:val="TableParagraph"/>
              <w:spacing w:before="129"/>
              <w:ind w:left="2" w:right="7"/>
              <w:jc w:val="center"/>
              <w:rPr>
                <w:b w:val="0"/>
                <w:sz w:val="18"/>
              </w:rPr>
            </w:pPr>
            <w:r>
              <w:rPr>
                <w:b w:val="0"/>
                <w:color w:val="3333BC"/>
                <w:spacing w:val="-2"/>
                <w:sz w:val="18"/>
              </w:rPr>
              <w:t>26,285</w:t>
            </w:r>
          </w:p>
        </w:tc>
        <w:tc>
          <w:tcPr>
            <w:tcW w:w="1122" w:type="dxa"/>
          </w:tcPr>
          <w:p>
            <w:pPr>
              <w:pStyle w:val="TableParagraph"/>
              <w:spacing w:before="129"/>
              <w:ind w:left="392"/>
              <w:rPr>
                <w:b w:val="0"/>
                <w:sz w:val="18"/>
              </w:rPr>
            </w:pPr>
            <w:r>
              <w:rPr>
                <w:b w:val="0"/>
                <w:color w:val="3333BC"/>
                <w:spacing w:val="-2"/>
                <w:sz w:val="18"/>
              </w:rPr>
              <w:t>25,088</w:t>
            </w:r>
          </w:p>
        </w:tc>
      </w:tr>
      <w:tr>
        <w:trPr>
          <w:trHeight w:val="690" w:hRule="atLeast"/>
        </w:trPr>
        <w:tc>
          <w:tcPr>
            <w:tcW w:w="4316" w:type="dxa"/>
          </w:tcPr>
          <w:p>
            <w:pPr>
              <w:pStyle w:val="TableParagraph"/>
              <w:spacing w:before="129"/>
              <w:ind w:left="50"/>
              <w:rPr>
                <w:b w:val="0"/>
                <w:sz w:val="18"/>
              </w:rPr>
            </w:pPr>
            <w:r>
              <w:rPr>
                <w:b w:val="0"/>
                <w:color w:val="3333BC"/>
                <w:sz w:val="18"/>
              </w:rPr>
              <w:t>Administrative</w:t>
            </w:r>
            <w:r>
              <w:rPr>
                <w:b w:val="0"/>
                <w:color w:val="3333BC"/>
                <w:spacing w:val="-12"/>
                <w:sz w:val="18"/>
              </w:rPr>
              <w:t> </w:t>
            </w:r>
            <w:r>
              <w:rPr>
                <w:b w:val="0"/>
                <w:color w:val="3333BC"/>
                <w:sz w:val="18"/>
              </w:rPr>
              <w:t>and</w:t>
            </w:r>
            <w:r>
              <w:rPr>
                <w:b w:val="0"/>
                <w:color w:val="3333BC"/>
                <w:spacing w:val="-10"/>
                <w:sz w:val="18"/>
              </w:rPr>
              <w:t> </w:t>
            </w:r>
            <w:r>
              <w:rPr>
                <w:b w:val="0"/>
                <w:color w:val="3333BC"/>
                <w:sz w:val="18"/>
              </w:rPr>
              <w:t>Personnel</w:t>
            </w:r>
            <w:r>
              <w:rPr>
                <w:b w:val="0"/>
                <w:color w:val="3333BC"/>
                <w:spacing w:val="-11"/>
                <w:sz w:val="18"/>
              </w:rPr>
              <w:t> </w:t>
            </w:r>
            <w:r>
              <w:rPr>
                <w:b w:val="0"/>
                <w:color w:val="3333BC"/>
                <w:spacing w:val="-2"/>
                <w:sz w:val="18"/>
              </w:rPr>
              <w:t>Expenses</w:t>
            </w:r>
          </w:p>
        </w:tc>
        <w:tc>
          <w:tcPr>
            <w:tcW w:w="1729" w:type="dxa"/>
          </w:tcPr>
          <w:p>
            <w:pPr>
              <w:pStyle w:val="TableParagraph"/>
              <w:spacing w:before="129"/>
              <w:ind w:right="351"/>
              <w:jc w:val="right"/>
              <w:rPr>
                <w:b w:val="0"/>
                <w:sz w:val="18"/>
              </w:rPr>
            </w:pPr>
            <w:r>
              <w:rPr>
                <w:b w:val="0"/>
                <w:color w:val="3333BC"/>
                <w:spacing w:val="-2"/>
                <w:sz w:val="18"/>
              </w:rPr>
              <w:t>(27,685)</w:t>
            </w:r>
          </w:p>
        </w:tc>
        <w:tc>
          <w:tcPr>
            <w:tcW w:w="1400" w:type="dxa"/>
          </w:tcPr>
          <w:p>
            <w:pPr>
              <w:pStyle w:val="TableParagraph"/>
              <w:spacing w:before="129"/>
              <w:ind w:left="21"/>
              <w:jc w:val="center"/>
              <w:rPr>
                <w:b w:val="0"/>
                <w:sz w:val="18"/>
              </w:rPr>
            </w:pPr>
            <w:r>
              <w:rPr>
                <w:b w:val="0"/>
                <w:color w:val="3333BC"/>
                <w:spacing w:val="-2"/>
                <w:sz w:val="18"/>
              </w:rPr>
              <w:t>(26,223)</w:t>
            </w:r>
          </w:p>
        </w:tc>
        <w:tc>
          <w:tcPr>
            <w:tcW w:w="1371" w:type="dxa"/>
          </w:tcPr>
          <w:p>
            <w:pPr>
              <w:pStyle w:val="TableParagraph"/>
              <w:spacing w:before="129"/>
              <w:ind w:right="7"/>
              <w:jc w:val="center"/>
              <w:rPr>
                <w:b w:val="0"/>
                <w:sz w:val="18"/>
              </w:rPr>
            </w:pPr>
            <w:r>
              <w:rPr>
                <w:b w:val="0"/>
                <w:color w:val="3333BC"/>
                <w:spacing w:val="-2"/>
                <w:sz w:val="18"/>
              </w:rPr>
              <w:t>(28,922)</w:t>
            </w:r>
          </w:p>
        </w:tc>
        <w:tc>
          <w:tcPr>
            <w:tcW w:w="1122" w:type="dxa"/>
          </w:tcPr>
          <w:p>
            <w:pPr>
              <w:pStyle w:val="TableParagraph"/>
              <w:spacing w:before="129"/>
              <w:ind w:left="336"/>
              <w:rPr>
                <w:b w:val="0"/>
                <w:sz w:val="18"/>
              </w:rPr>
            </w:pPr>
            <w:r>
              <w:rPr>
                <w:b w:val="0"/>
                <w:color w:val="3333BC"/>
                <w:spacing w:val="-2"/>
                <w:sz w:val="18"/>
              </w:rPr>
              <w:t>(27,606)</w:t>
            </w:r>
          </w:p>
        </w:tc>
      </w:tr>
      <w:tr>
        <w:trPr>
          <w:trHeight w:val="750" w:hRule="atLeast"/>
        </w:trPr>
        <w:tc>
          <w:tcPr>
            <w:tcW w:w="4316" w:type="dxa"/>
          </w:tcPr>
          <w:p>
            <w:pPr>
              <w:pStyle w:val="TableParagraph"/>
              <w:spacing w:before="89"/>
              <w:rPr>
                <w:rFonts w:ascii="BancoDoBrasil Textos"/>
                <w:sz w:val="18"/>
              </w:rPr>
            </w:pPr>
          </w:p>
          <w:p>
            <w:pPr>
              <w:pStyle w:val="TableParagraph"/>
              <w:spacing w:before="1"/>
              <w:ind w:left="50"/>
              <w:rPr>
                <w:rFonts w:ascii="BancoDoBrasil Titulos ExtraBold"/>
                <w:b/>
                <w:sz w:val="18"/>
              </w:rPr>
            </w:pPr>
            <w:r>
              <w:rPr>
                <w:rFonts w:ascii="BancoDoBrasil Titulos ExtraBold"/>
                <w:b/>
                <w:color w:val="465EFF"/>
                <w:sz w:val="18"/>
              </w:rPr>
              <w:t>Equity</w:t>
            </w:r>
            <w:r>
              <w:rPr>
                <w:rFonts w:ascii="BancoDoBrasil Titulos ExtraBold"/>
                <w:b/>
                <w:color w:val="465EFF"/>
                <w:spacing w:val="-2"/>
                <w:sz w:val="18"/>
              </w:rPr>
              <w:t> </w:t>
            </w:r>
            <w:r>
              <w:rPr>
                <w:rFonts w:ascii="BancoDoBrasil Titulos ExtraBold"/>
                <w:b/>
                <w:color w:val="465EFF"/>
                <w:sz w:val="18"/>
              </w:rPr>
              <w:t>(R$</w:t>
            </w:r>
            <w:r>
              <w:rPr>
                <w:rFonts w:ascii="BancoDoBrasil Titulos ExtraBold"/>
                <w:b/>
                <w:color w:val="465EFF"/>
                <w:spacing w:val="-1"/>
                <w:sz w:val="18"/>
              </w:rPr>
              <w:t> </w:t>
            </w:r>
            <w:r>
              <w:rPr>
                <w:rFonts w:ascii="BancoDoBrasil Titulos ExtraBold"/>
                <w:b/>
                <w:color w:val="465EFF"/>
                <w:spacing w:val="-2"/>
                <w:sz w:val="18"/>
              </w:rPr>
              <w:t>million)</w:t>
            </w:r>
          </w:p>
        </w:tc>
        <w:tc>
          <w:tcPr>
            <w:tcW w:w="1729" w:type="dxa"/>
          </w:tcPr>
          <w:p>
            <w:pPr>
              <w:pStyle w:val="TableParagraph"/>
              <w:spacing w:before="209"/>
              <w:rPr>
                <w:rFonts w:ascii="BancoDoBrasil Textos"/>
                <w:sz w:val="18"/>
              </w:rPr>
            </w:pPr>
          </w:p>
          <w:p>
            <w:pPr>
              <w:pStyle w:val="TableParagraph"/>
              <w:spacing w:before="1"/>
              <w:ind w:right="382"/>
              <w:jc w:val="right"/>
              <w:rPr>
                <w:rFonts w:ascii="BancoDoBrasil Textos Medium"/>
                <w:b w:val="0"/>
                <w:sz w:val="18"/>
              </w:rPr>
            </w:pPr>
            <w:r>
              <w:rPr>
                <w:rFonts w:ascii="BancoDoBrasil Textos Medium"/>
                <w:b w:val="0"/>
                <w:color w:val="3333BC"/>
                <w:spacing w:val="-2"/>
                <w:sz w:val="18"/>
              </w:rPr>
              <w:t>Sep/24</w:t>
            </w:r>
          </w:p>
        </w:tc>
        <w:tc>
          <w:tcPr>
            <w:tcW w:w="1400" w:type="dxa"/>
          </w:tcPr>
          <w:p>
            <w:pPr>
              <w:pStyle w:val="TableParagraph"/>
              <w:spacing w:before="209"/>
              <w:rPr>
                <w:rFonts w:ascii="BancoDoBrasil Textos"/>
                <w:sz w:val="18"/>
              </w:rPr>
            </w:pPr>
          </w:p>
          <w:p>
            <w:pPr>
              <w:pStyle w:val="TableParagraph"/>
              <w:spacing w:before="1"/>
              <w:ind w:left="21" w:right="1"/>
              <w:jc w:val="center"/>
              <w:rPr>
                <w:b w:val="0"/>
                <w:sz w:val="18"/>
              </w:rPr>
            </w:pPr>
            <w:r>
              <w:rPr>
                <w:b w:val="0"/>
                <w:color w:val="3333BC"/>
                <w:spacing w:val="-2"/>
                <w:sz w:val="18"/>
              </w:rPr>
              <w:t>Dec/23</w:t>
            </w:r>
          </w:p>
        </w:tc>
        <w:tc>
          <w:tcPr>
            <w:tcW w:w="1371" w:type="dxa"/>
          </w:tcPr>
          <w:p>
            <w:pPr>
              <w:pStyle w:val="TableParagraph"/>
              <w:spacing w:before="209"/>
              <w:rPr>
                <w:rFonts w:ascii="BancoDoBrasil Textos"/>
                <w:sz w:val="18"/>
              </w:rPr>
            </w:pPr>
          </w:p>
          <w:p>
            <w:pPr>
              <w:pStyle w:val="TableParagraph"/>
              <w:spacing w:before="1"/>
              <w:ind w:right="7"/>
              <w:jc w:val="center"/>
              <w:rPr>
                <w:rFonts w:ascii="BancoDoBrasil Textos Medium"/>
                <w:b w:val="0"/>
                <w:sz w:val="18"/>
              </w:rPr>
            </w:pPr>
            <w:r>
              <w:rPr>
                <w:rFonts w:ascii="BancoDoBrasil Textos Medium"/>
                <w:b w:val="0"/>
                <w:color w:val="3333BC"/>
                <w:spacing w:val="-2"/>
                <w:sz w:val="18"/>
              </w:rPr>
              <w:t>Sep/24</w:t>
            </w:r>
          </w:p>
        </w:tc>
        <w:tc>
          <w:tcPr>
            <w:tcW w:w="1122" w:type="dxa"/>
          </w:tcPr>
          <w:p>
            <w:pPr>
              <w:pStyle w:val="TableParagraph"/>
              <w:spacing w:before="209"/>
              <w:rPr>
                <w:rFonts w:ascii="BancoDoBrasil Textos"/>
                <w:sz w:val="18"/>
              </w:rPr>
            </w:pPr>
          </w:p>
          <w:p>
            <w:pPr>
              <w:pStyle w:val="TableParagraph"/>
              <w:spacing w:before="1"/>
              <w:ind w:left="383"/>
              <w:rPr>
                <w:b w:val="0"/>
                <w:sz w:val="18"/>
              </w:rPr>
            </w:pPr>
            <w:r>
              <w:rPr>
                <w:b w:val="0"/>
                <w:color w:val="3333BC"/>
                <w:spacing w:val="-2"/>
                <w:sz w:val="18"/>
              </w:rPr>
              <w:t>Dec/23</w:t>
            </w:r>
          </w:p>
        </w:tc>
      </w:tr>
      <w:tr>
        <w:trPr>
          <w:trHeight w:val="500" w:hRule="atLeast"/>
        </w:trPr>
        <w:tc>
          <w:tcPr>
            <w:tcW w:w="4316" w:type="dxa"/>
          </w:tcPr>
          <w:p>
            <w:pPr>
              <w:pStyle w:val="TableParagraph"/>
              <w:spacing w:before="69"/>
              <w:ind w:left="50"/>
              <w:rPr>
                <w:b w:val="0"/>
                <w:sz w:val="18"/>
              </w:rPr>
            </w:pPr>
            <w:r>
              <w:rPr>
                <w:b w:val="0"/>
                <w:color w:val="3333BC"/>
                <w:spacing w:val="-2"/>
                <w:sz w:val="18"/>
              </w:rPr>
              <w:t>Assets</w:t>
            </w:r>
          </w:p>
        </w:tc>
        <w:tc>
          <w:tcPr>
            <w:tcW w:w="1729" w:type="dxa"/>
          </w:tcPr>
          <w:p>
            <w:pPr>
              <w:pStyle w:val="TableParagraph"/>
              <w:ind w:right="294"/>
              <w:jc w:val="right"/>
              <w:rPr>
                <w:b w:val="0"/>
                <w:sz w:val="18"/>
              </w:rPr>
            </w:pPr>
            <w:r>
              <w:rPr>
                <w:b w:val="0"/>
                <w:color w:val="3333BC"/>
                <w:spacing w:val="-2"/>
                <w:sz w:val="18"/>
              </w:rPr>
              <w:t>2,436,861</w:t>
            </w:r>
          </w:p>
        </w:tc>
        <w:tc>
          <w:tcPr>
            <w:tcW w:w="1400" w:type="dxa"/>
          </w:tcPr>
          <w:p>
            <w:pPr>
              <w:pStyle w:val="TableParagraph"/>
              <w:ind w:left="21" w:right="1"/>
              <w:jc w:val="center"/>
              <w:rPr>
                <w:b w:val="0"/>
                <w:sz w:val="18"/>
              </w:rPr>
            </w:pPr>
            <w:r>
              <w:rPr>
                <w:b w:val="0"/>
                <w:color w:val="3333BC"/>
                <w:spacing w:val="-2"/>
                <w:sz w:val="18"/>
              </w:rPr>
              <w:t>2,208,054</w:t>
            </w:r>
          </w:p>
        </w:tc>
        <w:tc>
          <w:tcPr>
            <w:tcW w:w="1371" w:type="dxa"/>
          </w:tcPr>
          <w:p>
            <w:pPr>
              <w:pStyle w:val="TableParagraph"/>
              <w:ind w:right="7"/>
              <w:jc w:val="center"/>
              <w:rPr>
                <w:b w:val="0"/>
                <w:sz w:val="18"/>
              </w:rPr>
            </w:pPr>
            <w:r>
              <w:rPr>
                <w:b w:val="0"/>
                <w:color w:val="3333BC"/>
                <w:spacing w:val="-2"/>
                <w:sz w:val="18"/>
              </w:rPr>
              <w:t>2,469,586</w:t>
            </w:r>
          </w:p>
        </w:tc>
        <w:tc>
          <w:tcPr>
            <w:tcW w:w="1122" w:type="dxa"/>
          </w:tcPr>
          <w:p>
            <w:pPr>
              <w:pStyle w:val="TableParagraph"/>
              <w:ind w:left="283"/>
              <w:rPr>
                <w:b w:val="0"/>
                <w:sz w:val="18"/>
              </w:rPr>
            </w:pPr>
            <w:r>
              <w:rPr>
                <w:b w:val="0"/>
                <w:color w:val="3333BC"/>
                <w:spacing w:val="-2"/>
                <w:sz w:val="18"/>
              </w:rPr>
              <w:t>2,172,480</w:t>
            </w:r>
          </w:p>
        </w:tc>
      </w:tr>
      <w:tr>
        <w:trPr>
          <w:trHeight w:val="500" w:hRule="atLeast"/>
        </w:trPr>
        <w:tc>
          <w:tcPr>
            <w:tcW w:w="4316" w:type="dxa"/>
          </w:tcPr>
          <w:p>
            <w:pPr>
              <w:pStyle w:val="TableParagraph"/>
              <w:spacing w:before="69"/>
              <w:ind w:left="50"/>
              <w:rPr>
                <w:b w:val="0"/>
                <w:sz w:val="18"/>
              </w:rPr>
            </w:pPr>
            <w:r>
              <w:rPr>
                <w:b w:val="0"/>
                <w:color w:val="3333BC"/>
                <w:sz w:val="18"/>
              </w:rPr>
              <w:t>Classified</w:t>
            </w:r>
            <w:r>
              <w:rPr>
                <w:b w:val="0"/>
                <w:color w:val="3333BC"/>
                <w:spacing w:val="-4"/>
                <w:sz w:val="18"/>
              </w:rPr>
              <w:t> </w:t>
            </w:r>
            <w:r>
              <w:rPr>
                <w:b w:val="0"/>
                <w:color w:val="3333BC"/>
                <w:sz w:val="18"/>
              </w:rPr>
              <w:t>Loan</w:t>
            </w:r>
            <w:r>
              <w:rPr>
                <w:b w:val="0"/>
                <w:color w:val="3333BC"/>
                <w:spacing w:val="-5"/>
                <w:sz w:val="18"/>
              </w:rPr>
              <w:t> </w:t>
            </w:r>
            <w:r>
              <w:rPr>
                <w:b w:val="0"/>
                <w:color w:val="3333BC"/>
                <w:spacing w:val="-2"/>
                <w:sz w:val="18"/>
              </w:rPr>
              <w:t>Portfolio</w:t>
            </w:r>
          </w:p>
        </w:tc>
        <w:tc>
          <w:tcPr>
            <w:tcW w:w="1729" w:type="dxa"/>
          </w:tcPr>
          <w:p>
            <w:pPr>
              <w:pStyle w:val="TableParagraph"/>
              <w:ind w:right="307"/>
              <w:jc w:val="right"/>
              <w:rPr>
                <w:b w:val="0"/>
                <w:sz w:val="18"/>
              </w:rPr>
            </w:pPr>
            <w:r>
              <w:rPr>
                <w:b w:val="0"/>
                <w:color w:val="3333BC"/>
                <w:spacing w:val="-2"/>
                <w:sz w:val="18"/>
              </w:rPr>
              <w:t>1,033,901</w:t>
            </w:r>
          </w:p>
        </w:tc>
        <w:tc>
          <w:tcPr>
            <w:tcW w:w="1400" w:type="dxa"/>
          </w:tcPr>
          <w:p>
            <w:pPr>
              <w:pStyle w:val="TableParagraph"/>
              <w:ind w:left="21" w:right="2"/>
              <w:jc w:val="center"/>
              <w:rPr>
                <w:b w:val="0"/>
                <w:sz w:val="18"/>
              </w:rPr>
            </w:pPr>
            <w:r>
              <w:rPr>
                <w:b w:val="0"/>
                <w:color w:val="3333BC"/>
                <w:spacing w:val="-2"/>
                <w:sz w:val="18"/>
              </w:rPr>
              <w:t>964,925</w:t>
            </w:r>
          </w:p>
        </w:tc>
        <w:tc>
          <w:tcPr>
            <w:tcW w:w="1371" w:type="dxa"/>
          </w:tcPr>
          <w:p>
            <w:pPr>
              <w:pStyle w:val="TableParagraph"/>
              <w:ind w:left="2" w:right="7"/>
              <w:jc w:val="center"/>
              <w:rPr>
                <w:b w:val="0"/>
                <w:sz w:val="18"/>
              </w:rPr>
            </w:pPr>
            <w:r>
              <w:rPr>
                <w:b w:val="0"/>
                <w:color w:val="3333BC"/>
                <w:spacing w:val="-2"/>
                <w:sz w:val="18"/>
              </w:rPr>
              <w:t>1,050,006</w:t>
            </w:r>
          </w:p>
        </w:tc>
        <w:tc>
          <w:tcPr>
            <w:tcW w:w="1122" w:type="dxa"/>
          </w:tcPr>
          <w:p>
            <w:pPr>
              <w:pStyle w:val="TableParagraph"/>
              <w:ind w:left="351"/>
              <w:rPr>
                <w:b w:val="0"/>
                <w:sz w:val="18"/>
              </w:rPr>
            </w:pPr>
            <w:r>
              <w:rPr>
                <w:b w:val="0"/>
                <w:color w:val="3333BC"/>
                <w:spacing w:val="-2"/>
                <w:sz w:val="18"/>
              </w:rPr>
              <w:t>975,349</w:t>
            </w:r>
          </w:p>
        </w:tc>
      </w:tr>
      <w:tr>
        <w:trPr>
          <w:trHeight w:val="500" w:hRule="atLeast"/>
        </w:trPr>
        <w:tc>
          <w:tcPr>
            <w:tcW w:w="4316" w:type="dxa"/>
          </w:tcPr>
          <w:p>
            <w:pPr>
              <w:pStyle w:val="TableParagraph"/>
              <w:spacing w:before="69"/>
              <w:ind w:left="50"/>
              <w:rPr>
                <w:b w:val="0"/>
                <w:sz w:val="18"/>
              </w:rPr>
            </w:pPr>
            <w:r>
              <w:rPr>
                <w:b w:val="0"/>
                <w:color w:val="3333BC"/>
                <w:spacing w:val="-2"/>
                <w:sz w:val="18"/>
              </w:rPr>
              <w:t>Resources from</w:t>
            </w:r>
            <w:r>
              <w:rPr>
                <w:b w:val="0"/>
                <w:color w:val="3333BC"/>
                <w:spacing w:val="-1"/>
                <w:sz w:val="18"/>
              </w:rPr>
              <w:t> </w:t>
            </w:r>
            <w:r>
              <w:rPr>
                <w:b w:val="0"/>
                <w:color w:val="3333BC"/>
                <w:spacing w:val="-2"/>
                <w:sz w:val="18"/>
              </w:rPr>
              <w:t>Customers</w:t>
            </w:r>
          </w:p>
        </w:tc>
        <w:tc>
          <w:tcPr>
            <w:tcW w:w="1729" w:type="dxa"/>
          </w:tcPr>
          <w:p>
            <w:pPr>
              <w:pStyle w:val="TableParagraph"/>
              <w:ind w:right="371"/>
              <w:jc w:val="right"/>
              <w:rPr>
                <w:b w:val="0"/>
                <w:sz w:val="18"/>
              </w:rPr>
            </w:pPr>
            <w:r>
              <w:rPr>
                <w:b w:val="0"/>
                <w:color w:val="3333BC"/>
                <w:spacing w:val="-2"/>
                <w:sz w:val="18"/>
              </w:rPr>
              <w:t>819,522</w:t>
            </w:r>
          </w:p>
        </w:tc>
        <w:tc>
          <w:tcPr>
            <w:tcW w:w="1400" w:type="dxa"/>
          </w:tcPr>
          <w:p>
            <w:pPr>
              <w:pStyle w:val="TableParagraph"/>
              <w:ind w:left="21" w:right="2"/>
              <w:jc w:val="center"/>
              <w:rPr>
                <w:b w:val="0"/>
                <w:sz w:val="18"/>
              </w:rPr>
            </w:pPr>
            <w:r>
              <w:rPr>
                <w:b w:val="0"/>
                <w:color w:val="3333BC"/>
                <w:spacing w:val="-2"/>
                <w:sz w:val="18"/>
              </w:rPr>
              <w:t>787,539</w:t>
            </w:r>
          </w:p>
        </w:tc>
        <w:tc>
          <w:tcPr>
            <w:tcW w:w="1371" w:type="dxa"/>
          </w:tcPr>
          <w:p>
            <w:pPr>
              <w:pStyle w:val="TableParagraph"/>
              <w:ind w:left="1" w:right="7"/>
              <w:jc w:val="center"/>
              <w:rPr>
                <w:b w:val="0"/>
                <w:sz w:val="18"/>
              </w:rPr>
            </w:pPr>
            <w:r>
              <w:rPr>
                <w:b w:val="0"/>
                <w:color w:val="3333BC"/>
                <w:spacing w:val="-2"/>
                <w:sz w:val="18"/>
              </w:rPr>
              <w:t>851,556</w:t>
            </w:r>
          </w:p>
        </w:tc>
        <w:tc>
          <w:tcPr>
            <w:tcW w:w="1122" w:type="dxa"/>
          </w:tcPr>
          <w:p>
            <w:pPr>
              <w:pStyle w:val="TableParagraph"/>
              <w:ind w:left="360"/>
              <w:rPr>
                <w:b w:val="0"/>
                <w:sz w:val="18"/>
              </w:rPr>
            </w:pPr>
            <w:r>
              <w:rPr>
                <w:b w:val="0"/>
                <w:color w:val="3333BC"/>
                <w:spacing w:val="-2"/>
                <w:sz w:val="18"/>
              </w:rPr>
              <w:t>811,944</w:t>
            </w:r>
          </w:p>
        </w:tc>
      </w:tr>
      <w:tr>
        <w:trPr>
          <w:trHeight w:val="411" w:hRule="atLeast"/>
        </w:trPr>
        <w:tc>
          <w:tcPr>
            <w:tcW w:w="4316" w:type="dxa"/>
          </w:tcPr>
          <w:p>
            <w:pPr>
              <w:pStyle w:val="TableParagraph"/>
              <w:spacing w:before="69"/>
              <w:ind w:left="50"/>
              <w:rPr>
                <w:b w:val="0"/>
                <w:sz w:val="18"/>
              </w:rPr>
            </w:pPr>
            <w:r>
              <w:rPr>
                <w:b w:val="0"/>
                <w:color w:val="3333BC"/>
                <w:spacing w:val="-2"/>
                <w:sz w:val="18"/>
              </w:rPr>
              <w:t>Shareholders</w:t>
            </w:r>
            <w:r>
              <w:rPr>
                <w:b w:val="0"/>
                <w:color w:val="3333BC"/>
                <w:spacing w:val="7"/>
                <w:sz w:val="18"/>
              </w:rPr>
              <w:t> </w:t>
            </w:r>
            <w:r>
              <w:rPr>
                <w:b w:val="0"/>
                <w:color w:val="3333BC"/>
                <w:spacing w:val="-2"/>
                <w:sz w:val="18"/>
              </w:rPr>
              <w:t>Equity</w:t>
            </w:r>
          </w:p>
        </w:tc>
        <w:tc>
          <w:tcPr>
            <w:tcW w:w="1729" w:type="dxa"/>
          </w:tcPr>
          <w:p>
            <w:pPr>
              <w:pStyle w:val="TableParagraph"/>
              <w:spacing w:line="202" w:lineRule="exact"/>
              <w:ind w:right="389"/>
              <w:jc w:val="right"/>
              <w:rPr>
                <w:b w:val="0"/>
                <w:sz w:val="18"/>
              </w:rPr>
            </w:pPr>
            <w:r>
              <w:rPr>
                <w:b w:val="0"/>
                <w:color w:val="3333BC"/>
                <w:spacing w:val="-2"/>
                <w:sz w:val="18"/>
              </w:rPr>
              <w:t>177,681</w:t>
            </w:r>
          </w:p>
        </w:tc>
        <w:tc>
          <w:tcPr>
            <w:tcW w:w="1400" w:type="dxa"/>
          </w:tcPr>
          <w:p>
            <w:pPr>
              <w:pStyle w:val="TableParagraph"/>
              <w:spacing w:line="202" w:lineRule="exact"/>
              <w:ind w:left="21" w:right="2"/>
              <w:jc w:val="center"/>
              <w:rPr>
                <w:b w:val="0"/>
                <w:sz w:val="18"/>
              </w:rPr>
            </w:pPr>
            <w:r>
              <w:rPr>
                <w:b w:val="0"/>
                <w:color w:val="3333BC"/>
                <w:spacing w:val="-2"/>
                <w:sz w:val="18"/>
              </w:rPr>
              <w:t>163,638</w:t>
            </w:r>
          </w:p>
        </w:tc>
        <w:tc>
          <w:tcPr>
            <w:tcW w:w="1371" w:type="dxa"/>
          </w:tcPr>
          <w:p>
            <w:pPr>
              <w:pStyle w:val="TableParagraph"/>
              <w:spacing w:line="202" w:lineRule="exact"/>
              <w:ind w:left="1" w:right="7"/>
              <w:jc w:val="center"/>
              <w:rPr>
                <w:b w:val="0"/>
                <w:sz w:val="18"/>
              </w:rPr>
            </w:pPr>
            <w:r>
              <w:rPr>
                <w:b w:val="0"/>
                <w:color w:val="3333BC"/>
                <w:spacing w:val="-2"/>
                <w:sz w:val="18"/>
              </w:rPr>
              <w:t>187,419</w:t>
            </w:r>
          </w:p>
        </w:tc>
        <w:tc>
          <w:tcPr>
            <w:tcW w:w="1122" w:type="dxa"/>
          </w:tcPr>
          <w:p>
            <w:pPr>
              <w:pStyle w:val="TableParagraph"/>
              <w:spacing w:line="202" w:lineRule="exact"/>
              <w:ind w:left="369"/>
              <w:rPr>
                <w:b w:val="0"/>
                <w:sz w:val="18"/>
              </w:rPr>
            </w:pPr>
            <w:r>
              <w:rPr>
                <w:b w:val="0"/>
                <w:color w:val="3333BC"/>
                <w:spacing w:val="-2"/>
                <w:sz w:val="18"/>
              </w:rPr>
              <w:t>173,076</w:t>
            </w:r>
          </w:p>
        </w:tc>
      </w:tr>
    </w:tbl>
    <w:p>
      <w:pPr>
        <w:spacing w:after="0" w:line="202" w:lineRule="exact"/>
        <w:rPr>
          <w:sz w:val="18"/>
        </w:rPr>
        <w:sectPr>
          <w:headerReference w:type="default" r:id="rId6"/>
          <w:footerReference w:type="default" r:id="rId7"/>
          <w:pgSz w:w="11910" w:h="16840"/>
          <w:pgMar w:header="152" w:footer="570" w:top="900" w:bottom="760" w:left="0" w:right="280"/>
          <w:pgNumType w:start="2"/>
        </w:sectPr>
      </w:pPr>
    </w:p>
    <w:p>
      <w:pPr>
        <w:pStyle w:val="BodyText"/>
        <w:spacing w:before="6"/>
        <w:ind w:left="0"/>
        <w:jc w:val="left"/>
        <w:rPr>
          <w:sz w:val="44"/>
        </w:rPr>
      </w:pPr>
    </w:p>
    <w:p>
      <w:pPr>
        <w:pStyle w:val="Heading1"/>
      </w:pPr>
      <w:r>
        <w:rPr>
          <w:color w:val="465EFF"/>
          <w:spacing w:val="30"/>
        </w:rPr>
        <w:t>Shareholders</w:t>
      </w:r>
    </w:p>
    <w:p>
      <w:pPr>
        <w:pStyle w:val="BodyText"/>
        <w:spacing w:line="321" w:lineRule="auto" w:before="162"/>
        <w:ind w:right="570"/>
      </w:pPr>
      <w:r>
        <w:rPr>
          <w:color w:val="1B1B22"/>
        </w:rPr>
        <w:t>We have a base of 1.4 million shareholders, 98.9% of which are individuals. At the end of September, our shareholding composition was distributed between 50% of shares held by the Federal Union, 49.6% in free float and 0.4% in treasury. Local investors held 76% of the shares, and foreigners 24%. Our shares (BBAS3) represented 3.5% of the Ibovespa in the last four months. In the last 12 months (September/23 to September/24), our shares appreciated by 26.2%.</w:t>
      </w:r>
    </w:p>
    <w:p>
      <w:pPr>
        <w:pStyle w:val="BodyText"/>
        <w:spacing w:line="321" w:lineRule="auto" w:before="118"/>
        <w:ind w:right="573"/>
      </w:pPr>
      <w:r>
        <w:rPr>
          <w:color w:val="1B1B22"/>
        </w:rPr>
        <w:t>The</w:t>
      </w:r>
      <w:r>
        <w:rPr>
          <w:color w:val="1B1B22"/>
          <w:spacing w:val="-8"/>
        </w:rPr>
        <w:t> </w:t>
      </w:r>
      <w:r>
        <w:rPr>
          <w:color w:val="1B1B22"/>
        </w:rPr>
        <w:t>Extraordinary</w:t>
      </w:r>
      <w:r>
        <w:rPr>
          <w:color w:val="1B1B22"/>
          <w:spacing w:val="-8"/>
        </w:rPr>
        <w:t> </w:t>
      </w:r>
      <w:r>
        <w:rPr>
          <w:color w:val="1B1B22"/>
        </w:rPr>
        <w:t>General</w:t>
      </w:r>
      <w:r>
        <w:rPr>
          <w:color w:val="1B1B22"/>
          <w:spacing w:val="-8"/>
        </w:rPr>
        <w:t> </w:t>
      </w:r>
      <w:r>
        <w:rPr>
          <w:color w:val="1B1B22"/>
        </w:rPr>
        <w:t>Meeting,</w:t>
      </w:r>
      <w:r>
        <w:rPr>
          <w:color w:val="1B1B22"/>
          <w:spacing w:val="-9"/>
        </w:rPr>
        <w:t> </w:t>
      </w:r>
      <w:r>
        <w:rPr>
          <w:color w:val="1B1B22"/>
        </w:rPr>
        <w:t>held</w:t>
      </w:r>
      <w:r>
        <w:rPr>
          <w:color w:val="1B1B22"/>
          <w:spacing w:val="-8"/>
        </w:rPr>
        <w:t> </w:t>
      </w:r>
      <w:r>
        <w:rPr>
          <w:color w:val="1B1B22"/>
        </w:rPr>
        <w:t>on</w:t>
      </w:r>
      <w:r>
        <w:rPr>
          <w:color w:val="1B1B22"/>
          <w:spacing w:val="-9"/>
        </w:rPr>
        <w:t> </w:t>
      </w:r>
      <w:r>
        <w:rPr>
          <w:color w:val="1B1B22"/>
        </w:rPr>
        <w:t>02/02/2024,</w:t>
      </w:r>
      <w:r>
        <w:rPr>
          <w:color w:val="1B1B22"/>
          <w:spacing w:val="-9"/>
        </w:rPr>
        <w:t> </w:t>
      </w:r>
      <w:r>
        <w:rPr>
          <w:color w:val="1B1B22"/>
        </w:rPr>
        <w:t>approved</w:t>
      </w:r>
      <w:r>
        <w:rPr>
          <w:color w:val="1B1B22"/>
          <w:spacing w:val="-8"/>
        </w:rPr>
        <w:t> </w:t>
      </w:r>
      <w:r>
        <w:rPr>
          <w:color w:val="1B1B22"/>
        </w:rPr>
        <w:t>the</w:t>
      </w:r>
      <w:r>
        <w:rPr>
          <w:color w:val="1B1B22"/>
          <w:spacing w:val="-9"/>
        </w:rPr>
        <w:t> </w:t>
      </w:r>
      <w:r>
        <w:rPr>
          <w:color w:val="1B1B22"/>
        </w:rPr>
        <w:t>split</w:t>
      </w:r>
      <w:r>
        <w:rPr>
          <w:color w:val="1B1B22"/>
          <w:spacing w:val="-9"/>
        </w:rPr>
        <w:t> </w:t>
      </w:r>
      <w:r>
        <w:rPr>
          <w:color w:val="1B1B22"/>
        </w:rPr>
        <w:t>of</w:t>
      </w:r>
      <w:r>
        <w:rPr>
          <w:color w:val="1B1B22"/>
          <w:spacing w:val="-9"/>
        </w:rPr>
        <w:t> </w:t>
      </w:r>
      <w:r>
        <w:rPr>
          <w:color w:val="1B1B22"/>
        </w:rPr>
        <w:t>100%</w:t>
      </w:r>
      <w:r>
        <w:rPr>
          <w:color w:val="1B1B22"/>
          <w:spacing w:val="-8"/>
        </w:rPr>
        <w:t> </w:t>
      </w:r>
      <w:r>
        <w:rPr>
          <w:color w:val="1B1B22"/>
        </w:rPr>
        <w:t>of</w:t>
      </w:r>
      <w:r>
        <w:rPr>
          <w:color w:val="1B1B22"/>
          <w:spacing w:val="-9"/>
        </w:rPr>
        <w:t> </w:t>
      </w:r>
      <w:r>
        <w:rPr>
          <w:color w:val="1B1B22"/>
        </w:rPr>
        <w:t>BB's</w:t>
      </w:r>
      <w:r>
        <w:rPr>
          <w:color w:val="1B1B22"/>
          <w:spacing w:val="-9"/>
        </w:rPr>
        <w:t> </w:t>
      </w:r>
      <w:r>
        <w:rPr>
          <w:color w:val="1B1B22"/>
        </w:rPr>
        <w:t>shares</w:t>
      </w:r>
      <w:r>
        <w:rPr>
          <w:color w:val="1B1B22"/>
          <w:spacing w:val="-9"/>
        </w:rPr>
        <w:t> </w:t>
      </w:r>
      <w:r>
        <w:rPr>
          <w:color w:val="1B1B22"/>
        </w:rPr>
        <w:t>(BBAS3), thus</w:t>
      </w:r>
      <w:r>
        <w:rPr>
          <w:color w:val="1B1B22"/>
          <w:spacing w:val="-11"/>
        </w:rPr>
        <w:t> </w:t>
      </w:r>
      <w:r>
        <w:rPr>
          <w:color w:val="1B1B22"/>
        </w:rPr>
        <w:t>attributing</w:t>
      </w:r>
      <w:r>
        <w:rPr>
          <w:color w:val="1B1B22"/>
          <w:spacing w:val="-8"/>
        </w:rPr>
        <w:t> </w:t>
      </w:r>
      <w:r>
        <w:rPr>
          <w:color w:val="1B1B22"/>
        </w:rPr>
        <w:t>01</w:t>
      </w:r>
      <w:r>
        <w:rPr>
          <w:color w:val="1B1B22"/>
          <w:spacing w:val="-8"/>
        </w:rPr>
        <w:t> </w:t>
      </w:r>
      <w:r>
        <w:rPr>
          <w:color w:val="1B1B22"/>
        </w:rPr>
        <w:t>(one)</w:t>
      </w:r>
      <w:r>
        <w:rPr>
          <w:color w:val="1B1B22"/>
          <w:spacing w:val="-8"/>
        </w:rPr>
        <w:t> </w:t>
      </w:r>
      <w:r>
        <w:rPr>
          <w:color w:val="1B1B22"/>
        </w:rPr>
        <w:t>new</w:t>
      </w:r>
      <w:r>
        <w:rPr>
          <w:color w:val="1B1B22"/>
          <w:spacing w:val="-7"/>
        </w:rPr>
        <w:t> </w:t>
      </w:r>
      <w:r>
        <w:rPr>
          <w:color w:val="1B1B22"/>
        </w:rPr>
        <w:t>share</w:t>
      </w:r>
      <w:r>
        <w:rPr>
          <w:color w:val="1B1B22"/>
          <w:spacing w:val="-8"/>
        </w:rPr>
        <w:t> </w:t>
      </w:r>
      <w:r>
        <w:rPr>
          <w:color w:val="1B1B22"/>
        </w:rPr>
        <w:t>for</w:t>
      </w:r>
      <w:r>
        <w:rPr>
          <w:color w:val="1B1B22"/>
          <w:spacing w:val="-7"/>
        </w:rPr>
        <w:t> </w:t>
      </w:r>
      <w:r>
        <w:rPr>
          <w:color w:val="1B1B22"/>
        </w:rPr>
        <w:t>each</w:t>
      </w:r>
      <w:r>
        <w:rPr>
          <w:color w:val="1B1B22"/>
          <w:spacing w:val="-8"/>
        </w:rPr>
        <w:t> </w:t>
      </w:r>
      <w:r>
        <w:rPr>
          <w:color w:val="1B1B22"/>
        </w:rPr>
        <w:t>share</w:t>
      </w:r>
      <w:r>
        <w:rPr>
          <w:color w:val="1B1B22"/>
          <w:spacing w:val="-8"/>
        </w:rPr>
        <w:t> </w:t>
      </w:r>
      <w:r>
        <w:rPr>
          <w:color w:val="1B1B22"/>
        </w:rPr>
        <w:t>issued.</w:t>
      </w:r>
      <w:r>
        <w:rPr>
          <w:color w:val="1B1B22"/>
          <w:spacing w:val="-13"/>
        </w:rPr>
        <w:t> </w:t>
      </w:r>
      <w:r>
        <w:rPr>
          <w:color w:val="1B1B22"/>
        </w:rPr>
        <w:t>The</w:t>
      </w:r>
      <w:r>
        <w:rPr>
          <w:color w:val="1B1B22"/>
          <w:spacing w:val="-6"/>
        </w:rPr>
        <w:t> </w:t>
      </w:r>
      <w:r>
        <w:rPr>
          <w:color w:val="1B1B22"/>
        </w:rPr>
        <w:t>base</w:t>
      </w:r>
      <w:r>
        <w:rPr>
          <w:color w:val="1B1B22"/>
          <w:spacing w:val="-8"/>
        </w:rPr>
        <w:t> </w:t>
      </w:r>
      <w:r>
        <w:rPr>
          <w:color w:val="1B1B22"/>
        </w:rPr>
        <w:t>date</w:t>
      </w:r>
      <w:r>
        <w:rPr>
          <w:color w:val="1B1B22"/>
          <w:spacing w:val="-8"/>
        </w:rPr>
        <w:t> </w:t>
      </w:r>
      <w:r>
        <w:rPr>
          <w:color w:val="1B1B22"/>
        </w:rPr>
        <w:t>for</w:t>
      </w:r>
      <w:r>
        <w:rPr>
          <w:color w:val="1B1B22"/>
          <w:spacing w:val="-8"/>
        </w:rPr>
        <w:t> </w:t>
      </w:r>
      <w:r>
        <w:rPr>
          <w:color w:val="1B1B22"/>
        </w:rPr>
        <w:t>the</w:t>
      </w:r>
      <w:r>
        <w:rPr>
          <w:color w:val="1B1B22"/>
          <w:spacing w:val="-7"/>
        </w:rPr>
        <w:t> </w:t>
      </w:r>
      <w:r>
        <w:rPr>
          <w:color w:val="1B1B22"/>
        </w:rPr>
        <w:t>split</w:t>
      </w:r>
      <w:r>
        <w:rPr>
          <w:color w:val="1B1B22"/>
          <w:spacing w:val="-7"/>
        </w:rPr>
        <w:t> </w:t>
      </w:r>
      <w:r>
        <w:rPr>
          <w:color w:val="1B1B22"/>
        </w:rPr>
        <w:t>to</w:t>
      </w:r>
      <w:r>
        <w:rPr>
          <w:color w:val="1B1B22"/>
          <w:spacing w:val="-7"/>
        </w:rPr>
        <w:t> </w:t>
      </w:r>
      <w:r>
        <w:rPr>
          <w:color w:val="1B1B22"/>
        </w:rPr>
        <w:t>be</w:t>
      </w:r>
      <w:r>
        <w:rPr>
          <w:color w:val="1B1B22"/>
          <w:spacing w:val="-8"/>
        </w:rPr>
        <w:t> </w:t>
      </w:r>
      <w:r>
        <w:rPr>
          <w:color w:val="1B1B22"/>
        </w:rPr>
        <w:t>effective</w:t>
      </w:r>
      <w:r>
        <w:rPr>
          <w:color w:val="1B1B22"/>
          <w:spacing w:val="-8"/>
        </w:rPr>
        <w:t> </w:t>
      </w:r>
      <w:r>
        <w:rPr>
          <w:color w:val="1B1B22"/>
        </w:rPr>
        <w:t>was</w:t>
      </w:r>
      <w:r>
        <w:rPr>
          <w:color w:val="1B1B22"/>
          <w:spacing w:val="-10"/>
        </w:rPr>
        <w:t> </w:t>
      </w:r>
      <w:r>
        <w:rPr>
          <w:color w:val="1B1B22"/>
        </w:rPr>
        <w:t>April 15, 2024.</w:t>
      </w:r>
    </w:p>
    <w:p>
      <w:pPr>
        <w:pStyle w:val="Heading2"/>
        <w:spacing w:before="109"/>
        <w:jc w:val="both"/>
        <w:rPr>
          <w:b w:val="0"/>
        </w:rPr>
      </w:pPr>
      <w:r>
        <w:rPr>
          <w:b w:val="0"/>
          <w:color w:val="465EFF"/>
          <w:spacing w:val="19"/>
        </w:rPr>
        <w:t>Shareholder</w:t>
      </w:r>
      <w:r>
        <w:rPr>
          <w:b w:val="0"/>
          <w:color w:val="465EFF"/>
          <w:spacing w:val="37"/>
        </w:rPr>
        <w:t> </w:t>
      </w:r>
      <w:r>
        <w:rPr>
          <w:b w:val="0"/>
          <w:color w:val="465EFF"/>
          <w:spacing w:val="18"/>
        </w:rPr>
        <w:t>Remuneration</w:t>
      </w:r>
    </w:p>
    <w:p>
      <w:pPr>
        <w:pStyle w:val="BodyText"/>
        <w:spacing w:line="321" w:lineRule="auto" w:before="170"/>
        <w:ind w:right="567"/>
      </w:pPr>
      <w:r>
        <w:rPr>
          <w:color w:val="1B1B22"/>
        </w:rPr>
        <w:t>For the 2024 financial year, Banco do Brasil's Board of Directors approved the proposal to increase the distribution</w:t>
      </w:r>
      <w:r>
        <w:rPr>
          <w:color w:val="1B1B22"/>
          <w:spacing w:val="-13"/>
        </w:rPr>
        <w:t> </w:t>
      </w:r>
      <w:r>
        <w:rPr>
          <w:color w:val="1B1B22"/>
        </w:rPr>
        <w:t>of</w:t>
      </w:r>
      <w:r>
        <w:rPr>
          <w:color w:val="1B1B22"/>
          <w:spacing w:val="-12"/>
        </w:rPr>
        <w:t> </w:t>
      </w:r>
      <w:r>
        <w:rPr>
          <w:color w:val="1B1B22"/>
        </w:rPr>
        <w:t>its</w:t>
      </w:r>
      <w:r>
        <w:rPr>
          <w:color w:val="1B1B22"/>
          <w:spacing w:val="-13"/>
        </w:rPr>
        <w:t> </w:t>
      </w:r>
      <w:r>
        <w:rPr>
          <w:color w:val="1B1B22"/>
        </w:rPr>
        <w:t>profit,</w:t>
      </w:r>
      <w:r>
        <w:rPr>
          <w:color w:val="1B1B22"/>
          <w:spacing w:val="-12"/>
        </w:rPr>
        <w:t> </w:t>
      </w:r>
      <w:r>
        <w:rPr>
          <w:color w:val="1B1B22"/>
        </w:rPr>
        <w:t>from</w:t>
      </w:r>
      <w:r>
        <w:rPr>
          <w:color w:val="1B1B22"/>
          <w:spacing w:val="-12"/>
        </w:rPr>
        <w:t> </w:t>
      </w:r>
      <w:r>
        <w:rPr>
          <w:color w:val="1B1B22"/>
        </w:rPr>
        <w:t>40%</w:t>
      </w:r>
      <w:r>
        <w:rPr>
          <w:color w:val="1B1B22"/>
          <w:spacing w:val="-13"/>
        </w:rPr>
        <w:t> </w:t>
      </w:r>
      <w:r>
        <w:rPr>
          <w:color w:val="1B1B22"/>
        </w:rPr>
        <w:t>to</w:t>
      </w:r>
      <w:r>
        <w:rPr>
          <w:color w:val="1B1B22"/>
          <w:spacing w:val="-12"/>
        </w:rPr>
        <w:t> </w:t>
      </w:r>
      <w:r>
        <w:rPr>
          <w:color w:val="1B1B22"/>
        </w:rPr>
        <w:t>45%,</w:t>
      </w:r>
      <w:r>
        <w:rPr>
          <w:color w:val="1B1B22"/>
          <w:spacing w:val="-12"/>
        </w:rPr>
        <w:t> </w:t>
      </w:r>
      <w:r>
        <w:rPr>
          <w:color w:val="1B1B22"/>
        </w:rPr>
        <w:t>in</w:t>
      </w:r>
      <w:r>
        <w:rPr>
          <w:color w:val="1B1B22"/>
          <w:spacing w:val="-13"/>
        </w:rPr>
        <w:t> </w:t>
      </w:r>
      <w:r>
        <w:rPr>
          <w:color w:val="1B1B22"/>
        </w:rPr>
        <w:t>the</w:t>
      </w:r>
      <w:r>
        <w:rPr>
          <w:color w:val="1B1B22"/>
          <w:spacing w:val="-12"/>
        </w:rPr>
        <w:t> </w:t>
      </w:r>
      <w:r>
        <w:rPr>
          <w:color w:val="1B1B22"/>
        </w:rPr>
        <w:t>form</w:t>
      </w:r>
      <w:r>
        <w:rPr>
          <w:color w:val="1B1B22"/>
          <w:spacing w:val="-12"/>
        </w:rPr>
        <w:t> </w:t>
      </w:r>
      <w:r>
        <w:rPr>
          <w:color w:val="1B1B22"/>
        </w:rPr>
        <w:t>of</w:t>
      </w:r>
      <w:r>
        <w:rPr>
          <w:color w:val="1B1B22"/>
          <w:spacing w:val="-13"/>
        </w:rPr>
        <w:t> </w:t>
      </w:r>
      <w:r>
        <w:rPr>
          <w:color w:val="1B1B22"/>
        </w:rPr>
        <w:t>dividends</w:t>
      </w:r>
      <w:r>
        <w:rPr>
          <w:color w:val="1B1B22"/>
          <w:spacing w:val="-12"/>
        </w:rPr>
        <w:t> </w:t>
      </w:r>
      <w:r>
        <w:rPr>
          <w:color w:val="1B1B22"/>
        </w:rPr>
        <w:t>and/or</w:t>
      </w:r>
      <w:r>
        <w:rPr>
          <w:color w:val="1B1B22"/>
          <w:spacing w:val="-12"/>
        </w:rPr>
        <w:t> </w:t>
      </w:r>
      <w:r>
        <w:rPr>
          <w:color w:val="1B1B22"/>
        </w:rPr>
        <w:t>Interest</w:t>
      </w:r>
      <w:r>
        <w:rPr>
          <w:color w:val="1B1B22"/>
          <w:spacing w:val="-13"/>
        </w:rPr>
        <w:t> </w:t>
      </w:r>
      <w:r>
        <w:rPr>
          <w:color w:val="1B1B22"/>
        </w:rPr>
        <w:t>on</w:t>
      </w:r>
      <w:r>
        <w:rPr>
          <w:color w:val="1B1B22"/>
          <w:spacing w:val="-12"/>
        </w:rPr>
        <w:t> </w:t>
      </w:r>
      <w:r>
        <w:rPr>
          <w:color w:val="1B1B22"/>
        </w:rPr>
        <w:t>Own</w:t>
      </w:r>
      <w:r>
        <w:rPr>
          <w:color w:val="1B1B22"/>
          <w:spacing w:val="-12"/>
        </w:rPr>
        <w:t> </w:t>
      </w:r>
      <w:r>
        <w:rPr>
          <w:color w:val="1B1B22"/>
        </w:rPr>
        <w:t>Capital</w:t>
      </w:r>
      <w:r>
        <w:rPr>
          <w:color w:val="1B1B22"/>
          <w:spacing w:val="-13"/>
        </w:rPr>
        <w:t> </w:t>
      </w:r>
      <w:r>
        <w:rPr>
          <w:color w:val="1B1B22"/>
        </w:rPr>
        <w:t>(IOC).</w:t>
      </w:r>
      <w:r>
        <w:rPr>
          <w:color w:val="1B1B22"/>
          <w:spacing w:val="-12"/>
        </w:rPr>
        <w:t> </w:t>
      </w:r>
      <w:r>
        <w:rPr>
          <w:color w:val="1B1B22"/>
        </w:rPr>
        <w:t>The decision was taken based on the guidelines contained in the Specific Shareholder Remuneration Policy, in particular, the Bank's future results, its financial condition and cash needs, the Risk Apetite Statement, its capital goals and projections, perspectives of current and potential markets, existing investment </w:t>
      </w:r>
      <w:r>
        <w:rPr>
          <w:color w:val="1B1B22"/>
          <w:spacing w:val="-2"/>
        </w:rPr>
        <w:t>opportunities</w:t>
      </w:r>
      <w:r>
        <w:rPr>
          <w:color w:val="1B1B22"/>
          <w:spacing w:val="-8"/>
        </w:rPr>
        <w:t> </w:t>
      </w:r>
      <w:r>
        <w:rPr>
          <w:color w:val="1B1B22"/>
          <w:spacing w:val="-2"/>
        </w:rPr>
        <w:t>and</w:t>
      </w:r>
      <w:r>
        <w:rPr>
          <w:color w:val="1B1B22"/>
          <w:spacing w:val="-3"/>
        </w:rPr>
        <w:t> </w:t>
      </w:r>
      <w:r>
        <w:rPr>
          <w:color w:val="1B1B22"/>
          <w:spacing w:val="-2"/>
        </w:rPr>
        <w:t>operational</w:t>
      </w:r>
      <w:r>
        <w:rPr>
          <w:color w:val="1B1B22"/>
          <w:spacing w:val="-3"/>
        </w:rPr>
        <w:t> </w:t>
      </w:r>
      <w:r>
        <w:rPr>
          <w:color w:val="1B1B22"/>
          <w:spacing w:val="-2"/>
        </w:rPr>
        <w:t>capacity.</w:t>
      </w:r>
      <w:r>
        <w:rPr>
          <w:color w:val="1B1B22"/>
          <w:spacing w:val="-11"/>
        </w:rPr>
        <w:t> </w:t>
      </w:r>
      <w:r>
        <w:rPr>
          <w:color w:val="1B1B22"/>
          <w:spacing w:val="-2"/>
        </w:rPr>
        <w:t>The total</w:t>
      </w:r>
      <w:r>
        <w:rPr>
          <w:color w:val="1B1B22"/>
          <w:spacing w:val="-3"/>
        </w:rPr>
        <w:t> </w:t>
      </w:r>
      <w:r>
        <w:rPr>
          <w:color w:val="1B1B22"/>
          <w:spacing w:val="-2"/>
        </w:rPr>
        <w:t>allocated</w:t>
      </w:r>
      <w:r>
        <w:rPr>
          <w:color w:val="1B1B22"/>
          <w:spacing w:val="-3"/>
        </w:rPr>
        <w:t> </w:t>
      </w:r>
      <w:r>
        <w:rPr>
          <w:color w:val="1B1B22"/>
          <w:spacing w:val="-2"/>
        </w:rPr>
        <w:t>to</w:t>
      </w:r>
      <w:r>
        <w:rPr>
          <w:color w:val="1B1B22"/>
          <w:spacing w:val="-3"/>
        </w:rPr>
        <w:t> </w:t>
      </w:r>
      <w:r>
        <w:rPr>
          <w:color w:val="1B1B22"/>
          <w:spacing w:val="-2"/>
        </w:rPr>
        <w:t>shareholders</w:t>
      </w:r>
      <w:r>
        <w:rPr>
          <w:color w:val="1B1B22"/>
          <w:spacing w:val="-4"/>
        </w:rPr>
        <w:t> </w:t>
      </w:r>
      <w:r>
        <w:rPr>
          <w:color w:val="1B1B22"/>
          <w:spacing w:val="-2"/>
        </w:rPr>
        <w:t>in 9M24</w:t>
      </w:r>
      <w:r>
        <w:rPr>
          <w:color w:val="1B1B22"/>
          <w:spacing w:val="-4"/>
        </w:rPr>
        <w:t> </w:t>
      </w:r>
      <w:r>
        <w:rPr>
          <w:color w:val="1B1B22"/>
          <w:spacing w:val="-2"/>
        </w:rPr>
        <w:t>was</w:t>
      </w:r>
      <w:r>
        <w:rPr>
          <w:color w:val="1B1B22"/>
          <w:spacing w:val="-4"/>
        </w:rPr>
        <w:t> </w:t>
      </w:r>
      <w:r>
        <w:rPr>
          <w:color w:val="1B1B22"/>
          <w:spacing w:val="-2"/>
        </w:rPr>
        <w:t>R$11.4</w:t>
      </w:r>
      <w:r>
        <w:rPr>
          <w:color w:val="1B1B22"/>
          <w:spacing w:val="-4"/>
        </w:rPr>
        <w:t> </w:t>
      </w:r>
      <w:r>
        <w:rPr>
          <w:color w:val="1B1B22"/>
          <w:spacing w:val="-2"/>
        </w:rPr>
        <w:t>billion</w:t>
      </w:r>
      <w:r>
        <w:rPr>
          <w:color w:val="1B1B22"/>
          <w:spacing w:val="-3"/>
        </w:rPr>
        <w:t> </w:t>
      </w:r>
      <w:r>
        <w:rPr>
          <w:color w:val="1B1B22"/>
          <w:spacing w:val="-2"/>
        </w:rPr>
        <w:t>and</w:t>
      </w:r>
      <w:r>
        <w:rPr>
          <w:color w:val="1B1B22"/>
          <w:spacing w:val="-4"/>
        </w:rPr>
        <w:t> </w:t>
      </w:r>
      <w:r>
        <w:rPr>
          <w:color w:val="1B1B22"/>
          <w:spacing w:val="-2"/>
        </w:rPr>
        <w:t>the </w:t>
      </w:r>
      <w:r>
        <w:rPr>
          <w:color w:val="1B1B22"/>
        </w:rPr>
        <w:t>value per share was R$2.208.</w:t>
      </w:r>
    </w:p>
    <w:p>
      <w:pPr>
        <w:pStyle w:val="Heading1"/>
        <w:spacing w:before="92"/>
      </w:pPr>
      <w:r>
        <w:rPr/>
        <mc:AlternateContent>
          <mc:Choice Requires="wps">
            <w:drawing>
              <wp:anchor distT="0" distB="0" distL="0" distR="0" allowOverlap="1" layoutInCell="1" locked="0" behindDoc="0" simplePos="0" relativeHeight="15731712">
                <wp:simplePos x="0" y="0"/>
                <wp:positionH relativeFrom="page">
                  <wp:posOffset>0</wp:posOffset>
                </wp:positionH>
                <wp:positionV relativeFrom="paragraph">
                  <wp:posOffset>395414</wp:posOffset>
                </wp:positionV>
                <wp:extent cx="3854450" cy="4121150"/>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3854450" cy="4121150"/>
                        </a:xfrm>
                        <a:prstGeom prst="rect">
                          <a:avLst/>
                        </a:prstGeom>
                        <a:solidFill>
                          <a:srgbClr val="FFB7AB"/>
                        </a:solidFill>
                      </wps:spPr>
                      <wps:txbx>
                        <w:txbxContent>
                          <w:p>
                            <w:pPr>
                              <w:pStyle w:val="BodyText"/>
                              <w:spacing w:before="107"/>
                              <w:ind w:left="0"/>
                              <w:jc w:val="left"/>
                              <w:rPr>
                                <w:color w:val="000000"/>
                              </w:rPr>
                            </w:pPr>
                          </w:p>
                          <w:p>
                            <w:pPr>
                              <w:pStyle w:val="BodyText"/>
                              <w:spacing w:line="321" w:lineRule="auto"/>
                              <w:ind w:right="468"/>
                              <w:rPr>
                                <w:color w:val="000000"/>
                              </w:rPr>
                            </w:pPr>
                            <w:r>
                              <w:rPr>
                                <w:color w:val="1B1B22"/>
                                <w:spacing w:val="-2"/>
                              </w:rPr>
                              <w:t>Our</w:t>
                            </w:r>
                            <w:r>
                              <w:rPr>
                                <w:color w:val="1B1B22"/>
                                <w:spacing w:val="-10"/>
                              </w:rPr>
                              <w:t> </w:t>
                            </w:r>
                            <w:r>
                              <w:rPr>
                                <w:color w:val="1B1B22"/>
                                <w:spacing w:val="-2"/>
                              </w:rPr>
                              <w:t>Corporate</w:t>
                            </w:r>
                            <w:r>
                              <w:rPr>
                                <w:color w:val="1B1B22"/>
                                <w:spacing w:val="-10"/>
                              </w:rPr>
                              <w:t> </w:t>
                            </w:r>
                            <w:r>
                              <w:rPr>
                                <w:color w:val="1B1B22"/>
                                <w:spacing w:val="-2"/>
                              </w:rPr>
                              <w:t>Strategy</w:t>
                            </w:r>
                            <w:r>
                              <w:rPr>
                                <w:color w:val="1B1B22"/>
                                <w:spacing w:val="-10"/>
                              </w:rPr>
                              <w:t> </w:t>
                            </w:r>
                            <w:r>
                              <w:rPr>
                                <w:color w:val="1B1B22"/>
                                <w:spacing w:val="-2"/>
                              </w:rPr>
                              <w:t>(ECBB)</w:t>
                            </w:r>
                            <w:r>
                              <w:rPr>
                                <w:color w:val="1B1B22"/>
                                <w:spacing w:val="-10"/>
                              </w:rPr>
                              <w:t> </w:t>
                            </w:r>
                            <w:r>
                              <w:rPr>
                                <w:color w:val="1B1B22"/>
                                <w:spacing w:val="-2"/>
                              </w:rPr>
                              <w:t>has</w:t>
                            </w:r>
                            <w:r>
                              <w:rPr>
                                <w:color w:val="1B1B22"/>
                                <w:spacing w:val="-10"/>
                              </w:rPr>
                              <w:t> </w:t>
                            </w:r>
                            <w:r>
                              <w:rPr>
                                <w:color w:val="1B1B22"/>
                                <w:spacing w:val="-2"/>
                              </w:rPr>
                              <w:t>a</w:t>
                            </w:r>
                            <w:r>
                              <w:rPr>
                                <w:color w:val="1B1B22"/>
                                <w:spacing w:val="-11"/>
                              </w:rPr>
                              <w:t> </w:t>
                            </w:r>
                            <w:r>
                              <w:rPr>
                                <w:color w:val="1B1B22"/>
                                <w:spacing w:val="-2"/>
                              </w:rPr>
                              <w:t>five-year</w:t>
                            </w:r>
                            <w:r>
                              <w:rPr>
                                <w:color w:val="1B1B22"/>
                                <w:spacing w:val="-8"/>
                              </w:rPr>
                              <w:t> </w:t>
                            </w:r>
                            <w:r>
                              <w:rPr>
                                <w:color w:val="1B1B22"/>
                                <w:spacing w:val="-2"/>
                              </w:rPr>
                              <w:t>time </w:t>
                            </w:r>
                            <w:r>
                              <w:rPr>
                                <w:color w:val="1B1B22"/>
                              </w:rPr>
                              <w:t>horizon and is reviewed every year.</w:t>
                            </w:r>
                          </w:p>
                          <w:p>
                            <w:pPr>
                              <w:pStyle w:val="BodyText"/>
                              <w:spacing w:line="321" w:lineRule="auto" w:before="120"/>
                              <w:ind w:right="468"/>
                              <w:rPr>
                                <w:color w:val="000000"/>
                              </w:rPr>
                            </w:pPr>
                            <w:r>
                              <w:rPr>
                                <w:color w:val="1B1B22"/>
                              </w:rPr>
                              <w:t>ECBB 2024-2028 has the following strategic objectives: (a) provide the best experience to customers at all times; (b) create value and </w:t>
                            </w:r>
                            <w:r>
                              <w:rPr>
                                <w:color w:val="1B1B22"/>
                                <w:spacing w:val="-2"/>
                              </w:rPr>
                              <w:t>generate</w:t>
                            </w:r>
                            <w:r>
                              <w:rPr>
                                <w:color w:val="1B1B22"/>
                                <w:spacing w:val="-8"/>
                              </w:rPr>
                              <w:t> </w:t>
                            </w:r>
                            <w:r>
                              <w:rPr>
                                <w:color w:val="1B1B22"/>
                                <w:spacing w:val="-2"/>
                              </w:rPr>
                              <w:t>sustainable</w:t>
                            </w:r>
                            <w:r>
                              <w:rPr>
                                <w:color w:val="1B1B22"/>
                                <w:spacing w:val="-8"/>
                              </w:rPr>
                              <w:t> </w:t>
                            </w:r>
                            <w:r>
                              <w:rPr>
                                <w:color w:val="1B1B22"/>
                                <w:spacing w:val="-2"/>
                              </w:rPr>
                              <w:t>results;</w:t>
                            </w:r>
                            <w:r>
                              <w:rPr>
                                <w:color w:val="1B1B22"/>
                                <w:spacing w:val="-9"/>
                              </w:rPr>
                              <w:t> </w:t>
                            </w:r>
                            <w:r>
                              <w:rPr>
                                <w:color w:val="1B1B22"/>
                                <w:spacing w:val="-2"/>
                              </w:rPr>
                              <w:t>(c)</w:t>
                            </w:r>
                            <w:r>
                              <w:rPr>
                                <w:color w:val="1B1B22"/>
                                <w:spacing w:val="-9"/>
                              </w:rPr>
                              <w:t> </w:t>
                            </w:r>
                            <w:r>
                              <w:rPr>
                                <w:color w:val="1B1B22"/>
                                <w:spacing w:val="-2"/>
                              </w:rPr>
                              <w:t>be</w:t>
                            </w:r>
                            <w:r>
                              <w:rPr>
                                <w:color w:val="1B1B22"/>
                                <w:spacing w:val="-9"/>
                              </w:rPr>
                              <w:t> </w:t>
                            </w:r>
                            <w:r>
                              <w:rPr>
                                <w:color w:val="1B1B22"/>
                                <w:spacing w:val="-2"/>
                              </w:rPr>
                              <w:t>a</w:t>
                            </w:r>
                            <w:r>
                              <w:rPr>
                                <w:color w:val="1B1B22"/>
                                <w:spacing w:val="-8"/>
                              </w:rPr>
                              <w:t> </w:t>
                            </w:r>
                            <w:r>
                              <w:rPr>
                                <w:color w:val="1B1B22"/>
                                <w:spacing w:val="-2"/>
                              </w:rPr>
                              <w:t>protagonist</w:t>
                            </w:r>
                            <w:r>
                              <w:rPr>
                                <w:color w:val="1B1B22"/>
                                <w:spacing w:val="-8"/>
                              </w:rPr>
                              <w:t> </w:t>
                            </w:r>
                            <w:r>
                              <w:rPr>
                                <w:color w:val="1B1B22"/>
                                <w:spacing w:val="-2"/>
                              </w:rPr>
                              <w:t>in </w:t>
                            </w:r>
                            <w:r>
                              <w:rPr>
                                <w:color w:val="1B1B22"/>
                              </w:rPr>
                              <w:t>sustainability</w:t>
                            </w:r>
                            <w:r>
                              <w:rPr>
                                <w:color w:val="1B1B22"/>
                                <w:spacing w:val="-13"/>
                              </w:rPr>
                              <w:t> </w:t>
                            </w:r>
                            <w:r>
                              <w:rPr>
                                <w:color w:val="1B1B22"/>
                              </w:rPr>
                              <w:t>and</w:t>
                            </w:r>
                            <w:r>
                              <w:rPr>
                                <w:color w:val="1B1B22"/>
                                <w:spacing w:val="-12"/>
                              </w:rPr>
                              <w:t> </w:t>
                            </w:r>
                            <w:r>
                              <w:rPr>
                                <w:color w:val="1B1B22"/>
                              </w:rPr>
                              <w:t>in</w:t>
                            </w:r>
                            <w:r>
                              <w:rPr>
                                <w:color w:val="1B1B22"/>
                                <w:spacing w:val="-13"/>
                              </w:rPr>
                              <w:t> </w:t>
                            </w:r>
                            <w:r>
                              <w:rPr>
                                <w:color w:val="1B1B22"/>
                              </w:rPr>
                              <w:t>the</w:t>
                            </w:r>
                            <w:r>
                              <w:rPr>
                                <w:color w:val="1B1B22"/>
                                <w:spacing w:val="-12"/>
                              </w:rPr>
                              <w:t> </w:t>
                            </w:r>
                            <w:r>
                              <w:rPr>
                                <w:color w:val="1B1B22"/>
                              </w:rPr>
                              <w:t>promotion</w:t>
                            </w:r>
                            <w:r>
                              <w:rPr>
                                <w:color w:val="1B1B22"/>
                                <w:spacing w:val="-12"/>
                              </w:rPr>
                              <w:t> </w:t>
                            </w:r>
                            <w:r>
                              <w:rPr>
                                <w:color w:val="1B1B22"/>
                              </w:rPr>
                              <w:t>of</w:t>
                            </w:r>
                            <w:r>
                              <w:rPr>
                                <w:color w:val="1B1B22"/>
                                <w:spacing w:val="-13"/>
                              </w:rPr>
                              <w:t> </w:t>
                            </w:r>
                            <w:r>
                              <w:rPr>
                                <w:color w:val="1B1B22"/>
                              </w:rPr>
                              <w:t>business</w:t>
                            </w:r>
                            <w:r>
                              <w:rPr>
                                <w:color w:val="1B1B22"/>
                                <w:spacing w:val="-12"/>
                              </w:rPr>
                              <w:t> </w:t>
                            </w:r>
                            <w:r>
                              <w:rPr>
                                <w:color w:val="1B1B22"/>
                              </w:rPr>
                              <w:t>and ESG practices; (d) evolve our way of working to accelerate digital transformation and innovation; and (e) have people engaged with BB's values and promoting collaboration, respect and inclusion.</w:t>
                            </w:r>
                          </w:p>
                          <w:p>
                            <w:pPr>
                              <w:pStyle w:val="BodyText"/>
                              <w:spacing w:line="319" w:lineRule="auto" w:before="114"/>
                              <w:ind w:right="469"/>
                              <w:rPr>
                                <w:color w:val="000000"/>
                              </w:rPr>
                            </w:pPr>
                            <w:r>
                              <w:rPr>
                                <w:color w:val="1B1B22"/>
                                <w:spacing w:val="-2"/>
                              </w:rPr>
                              <w:t>Our</w:t>
                            </w:r>
                            <w:r>
                              <w:rPr>
                                <w:color w:val="1B1B22"/>
                                <w:spacing w:val="-11"/>
                              </w:rPr>
                              <w:t> </w:t>
                            </w:r>
                            <w:r>
                              <w:rPr>
                                <w:color w:val="1B1B22"/>
                                <w:spacing w:val="-2"/>
                              </w:rPr>
                              <w:t>purpose</w:t>
                            </w:r>
                            <w:r>
                              <w:rPr>
                                <w:color w:val="1B1B22"/>
                                <w:spacing w:val="-10"/>
                              </w:rPr>
                              <w:t> </w:t>
                            </w:r>
                            <w:r>
                              <w:rPr>
                                <w:color w:val="1B1B22"/>
                                <w:spacing w:val="-2"/>
                              </w:rPr>
                              <w:t>is</w:t>
                            </w:r>
                            <w:r>
                              <w:rPr>
                                <w:color w:val="1B1B22"/>
                                <w:spacing w:val="-10"/>
                              </w:rPr>
                              <w:t> </w:t>
                            </w:r>
                            <w:r>
                              <w:rPr>
                                <w:color w:val="1B1B22"/>
                                <w:spacing w:val="-2"/>
                              </w:rPr>
                              <w:t>“To</w:t>
                            </w:r>
                            <w:r>
                              <w:rPr>
                                <w:color w:val="1B1B22"/>
                                <w:spacing w:val="-9"/>
                              </w:rPr>
                              <w:t> </w:t>
                            </w:r>
                            <w:r>
                              <w:rPr>
                                <w:color w:val="1B1B22"/>
                                <w:spacing w:val="-2"/>
                              </w:rPr>
                              <w:t>be</w:t>
                            </w:r>
                            <w:r>
                              <w:rPr>
                                <w:color w:val="1B1B22"/>
                                <w:spacing w:val="-10"/>
                              </w:rPr>
                              <w:t> </w:t>
                            </w:r>
                            <w:r>
                              <w:rPr>
                                <w:color w:val="1B1B22"/>
                                <w:spacing w:val="-2"/>
                              </w:rPr>
                              <w:t>close</w:t>
                            </w:r>
                            <w:r>
                              <w:rPr>
                                <w:color w:val="1B1B22"/>
                                <w:spacing w:val="-10"/>
                              </w:rPr>
                              <w:t> </w:t>
                            </w:r>
                            <w:r>
                              <w:rPr>
                                <w:color w:val="1B1B22"/>
                                <w:spacing w:val="-2"/>
                              </w:rPr>
                              <w:t>and</w:t>
                            </w:r>
                            <w:r>
                              <w:rPr>
                                <w:color w:val="1B1B22"/>
                                <w:spacing w:val="-9"/>
                              </w:rPr>
                              <w:t> </w:t>
                            </w:r>
                            <w:r>
                              <w:rPr>
                                <w:color w:val="1B1B22"/>
                                <w:spacing w:val="-2"/>
                              </w:rPr>
                              <w:t>relevant</w:t>
                            </w:r>
                            <w:r>
                              <w:rPr>
                                <w:color w:val="1B1B22"/>
                                <w:spacing w:val="-9"/>
                              </w:rPr>
                              <w:t> </w:t>
                            </w:r>
                            <w:r>
                              <w:rPr>
                                <w:color w:val="1B1B22"/>
                                <w:spacing w:val="-2"/>
                              </w:rPr>
                              <w:t>in</w:t>
                            </w:r>
                            <w:r>
                              <w:rPr>
                                <w:color w:val="1B1B22"/>
                                <w:spacing w:val="-11"/>
                              </w:rPr>
                              <w:t> </w:t>
                            </w:r>
                            <w:r>
                              <w:rPr>
                                <w:color w:val="1B1B22"/>
                                <w:spacing w:val="-2"/>
                              </w:rPr>
                              <w:t>people’s </w:t>
                            </w:r>
                            <w:r>
                              <w:rPr>
                                <w:color w:val="1B1B22"/>
                              </w:rPr>
                              <w:t>lives at all times”.</w:t>
                            </w:r>
                          </w:p>
                          <w:p>
                            <w:pPr>
                              <w:pStyle w:val="BodyText"/>
                              <w:spacing w:line="321" w:lineRule="auto" w:before="123"/>
                              <w:ind w:right="469"/>
                              <w:rPr>
                                <w:color w:val="000000"/>
                              </w:rPr>
                            </w:pPr>
                            <w:r>
                              <w:rPr>
                                <w:color w:val="1B1B22"/>
                              </w:rPr>
                              <w:t>Aligned with our purpose and reinforcing the Company's organizational identity, we improved our</w:t>
                            </w:r>
                            <w:r>
                              <w:rPr>
                                <w:color w:val="1B1B22"/>
                                <w:spacing w:val="23"/>
                              </w:rPr>
                              <w:t> </w:t>
                            </w:r>
                            <w:r>
                              <w:rPr>
                                <w:color w:val="1B1B22"/>
                              </w:rPr>
                              <w:t>values</w:t>
                            </w:r>
                            <w:r>
                              <w:rPr>
                                <w:color w:val="1B1B22"/>
                                <w:spacing w:val="26"/>
                              </w:rPr>
                              <w:t> </w:t>
                            </w:r>
                            <w:r>
                              <w:rPr>
                                <w:color w:val="1B1B22"/>
                              </w:rPr>
                              <w:t>to</w:t>
                            </w:r>
                            <w:r>
                              <w:rPr>
                                <w:color w:val="1B1B22"/>
                                <w:spacing w:val="26"/>
                              </w:rPr>
                              <w:t> </w:t>
                            </w:r>
                            <w:r>
                              <w:rPr>
                                <w:color w:val="1B1B22"/>
                              </w:rPr>
                              <w:t>make</w:t>
                            </w:r>
                            <w:r>
                              <w:rPr>
                                <w:color w:val="1B1B22"/>
                                <w:spacing w:val="24"/>
                              </w:rPr>
                              <w:t> </w:t>
                            </w:r>
                            <w:r>
                              <w:rPr>
                                <w:color w:val="1B1B22"/>
                              </w:rPr>
                              <w:t>the</w:t>
                            </w:r>
                            <w:r>
                              <w:rPr>
                                <w:color w:val="1B1B22"/>
                                <w:spacing w:val="24"/>
                              </w:rPr>
                              <w:t> </w:t>
                            </w:r>
                            <w:r>
                              <w:rPr>
                                <w:color w:val="1B1B22"/>
                              </w:rPr>
                              <w:t>principles</w:t>
                            </w:r>
                            <w:r>
                              <w:rPr>
                                <w:color w:val="1B1B22"/>
                                <w:spacing w:val="26"/>
                              </w:rPr>
                              <w:t> </w:t>
                            </w:r>
                            <w:r>
                              <w:rPr>
                                <w:color w:val="1B1B22"/>
                              </w:rPr>
                              <w:t>that</w:t>
                            </w:r>
                            <w:r>
                              <w:rPr>
                                <w:color w:val="1B1B22"/>
                                <w:spacing w:val="26"/>
                              </w:rPr>
                              <w:t> </w:t>
                            </w:r>
                            <w:r>
                              <w:rPr>
                                <w:color w:val="1B1B22"/>
                              </w:rPr>
                              <w:t>guide</w:t>
                            </w:r>
                            <w:r>
                              <w:rPr>
                                <w:color w:val="1B1B22"/>
                                <w:spacing w:val="26"/>
                              </w:rPr>
                              <w:t> </w:t>
                            </w:r>
                            <w:r>
                              <w:rPr>
                                <w:color w:val="1B1B22"/>
                                <w:spacing w:val="-5"/>
                              </w:rPr>
                              <w:t>our</w:t>
                            </w:r>
                          </w:p>
                        </w:txbxContent>
                      </wps:txbx>
                      <wps:bodyPr wrap="square" lIns="0" tIns="0" rIns="0" bIns="0" rtlCol="0">
                        <a:noAutofit/>
                      </wps:bodyPr>
                    </wps:wsp>
                  </a:graphicData>
                </a:graphic>
              </wp:anchor>
            </w:drawing>
          </mc:Choice>
          <mc:Fallback>
            <w:pict>
              <v:shape style="position:absolute;margin-left:0pt;margin-top:31.135pt;width:303.5pt;height:324.5pt;mso-position-horizontal-relative:page;mso-position-vertical-relative:paragraph;z-index:15731712" type="#_x0000_t202" id="docshape20" filled="true" fillcolor="#ffb7ab" stroked="false">
                <v:textbox inset="0,0,0,0">
                  <w:txbxContent>
                    <w:p>
                      <w:pPr>
                        <w:pStyle w:val="BodyText"/>
                        <w:spacing w:before="107"/>
                        <w:ind w:left="0"/>
                        <w:jc w:val="left"/>
                        <w:rPr>
                          <w:color w:val="000000"/>
                        </w:rPr>
                      </w:pPr>
                    </w:p>
                    <w:p>
                      <w:pPr>
                        <w:pStyle w:val="BodyText"/>
                        <w:spacing w:line="321" w:lineRule="auto"/>
                        <w:ind w:right="468"/>
                        <w:rPr>
                          <w:color w:val="000000"/>
                        </w:rPr>
                      </w:pPr>
                      <w:r>
                        <w:rPr>
                          <w:color w:val="1B1B22"/>
                          <w:spacing w:val="-2"/>
                        </w:rPr>
                        <w:t>Our</w:t>
                      </w:r>
                      <w:r>
                        <w:rPr>
                          <w:color w:val="1B1B22"/>
                          <w:spacing w:val="-10"/>
                        </w:rPr>
                        <w:t> </w:t>
                      </w:r>
                      <w:r>
                        <w:rPr>
                          <w:color w:val="1B1B22"/>
                          <w:spacing w:val="-2"/>
                        </w:rPr>
                        <w:t>Corporate</w:t>
                      </w:r>
                      <w:r>
                        <w:rPr>
                          <w:color w:val="1B1B22"/>
                          <w:spacing w:val="-10"/>
                        </w:rPr>
                        <w:t> </w:t>
                      </w:r>
                      <w:r>
                        <w:rPr>
                          <w:color w:val="1B1B22"/>
                          <w:spacing w:val="-2"/>
                        </w:rPr>
                        <w:t>Strategy</w:t>
                      </w:r>
                      <w:r>
                        <w:rPr>
                          <w:color w:val="1B1B22"/>
                          <w:spacing w:val="-10"/>
                        </w:rPr>
                        <w:t> </w:t>
                      </w:r>
                      <w:r>
                        <w:rPr>
                          <w:color w:val="1B1B22"/>
                          <w:spacing w:val="-2"/>
                        </w:rPr>
                        <w:t>(ECBB)</w:t>
                      </w:r>
                      <w:r>
                        <w:rPr>
                          <w:color w:val="1B1B22"/>
                          <w:spacing w:val="-10"/>
                        </w:rPr>
                        <w:t> </w:t>
                      </w:r>
                      <w:r>
                        <w:rPr>
                          <w:color w:val="1B1B22"/>
                          <w:spacing w:val="-2"/>
                        </w:rPr>
                        <w:t>has</w:t>
                      </w:r>
                      <w:r>
                        <w:rPr>
                          <w:color w:val="1B1B22"/>
                          <w:spacing w:val="-10"/>
                        </w:rPr>
                        <w:t> </w:t>
                      </w:r>
                      <w:r>
                        <w:rPr>
                          <w:color w:val="1B1B22"/>
                          <w:spacing w:val="-2"/>
                        </w:rPr>
                        <w:t>a</w:t>
                      </w:r>
                      <w:r>
                        <w:rPr>
                          <w:color w:val="1B1B22"/>
                          <w:spacing w:val="-11"/>
                        </w:rPr>
                        <w:t> </w:t>
                      </w:r>
                      <w:r>
                        <w:rPr>
                          <w:color w:val="1B1B22"/>
                          <w:spacing w:val="-2"/>
                        </w:rPr>
                        <w:t>five-year</w:t>
                      </w:r>
                      <w:r>
                        <w:rPr>
                          <w:color w:val="1B1B22"/>
                          <w:spacing w:val="-8"/>
                        </w:rPr>
                        <w:t> </w:t>
                      </w:r>
                      <w:r>
                        <w:rPr>
                          <w:color w:val="1B1B22"/>
                          <w:spacing w:val="-2"/>
                        </w:rPr>
                        <w:t>time </w:t>
                      </w:r>
                      <w:r>
                        <w:rPr>
                          <w:color w:val="1B1B22"/>
                        </w:rPr>
                        <w:t>horizon and is reviewed every year.</w:t>
                      </w:r>
                    </w:p>
                    <w:p>
                      <w:pPr>
                        <w:pStyle w:val="BodyText"/>
                        <w:spacing w:line="321" w:lineRule="auto" w:before="120"/>
                        <w:ind w:right="468"/>
                        <w:rPr>
                          <w:color w:val="000000"/>
                        </w:rPr>
                      </w:pPr>
                      <w:r>
                        <w:rPr>
                          <w:color w:val="1B1B22"/>
                        </w:rPr>
                        <w:t>ECBB 2024-2028 has the following strategic objectives: (a) provide the best experience to customers at all times; (b) create value and </w:t>
                      </w:r>
                      <w:r>
                        <w:rPr>
                          <w:color w:val="1B1B22"/>
                          <w:spacing w:val="-2"/>
                        </w:rPr>
                        <w:t>generate</w:t>
                      </w:r>
                      <w:r>
                        <w:rPr>
                          <w:color w:val="1B1B22"/>
                          <w:spacing w:val="-8"/>
                        </w:rPr>
                        <w:t> </w:t>
                      </w:r>
                      <w:r>
                        <w:rPr>
                          <w:color w:val="1B1B22"/>
                          <w:spacing w:val="-2"/>
                        </w:rPr>
                        <w:t>sustainable</w:t>
                      </w:r>
                      <w:r>
                        <w:rPr>
                          <w:color w:val="1B1B22"/>
                          <w:spacing w:val="-8"/>
                        </w:rPr>
                        <w:t> </w:t>
                      </w:r>
                      <w:r>
                        <w:rPr>
                          <w:color w:val="1B1B22"/>
                          <w:spacing w:val="-2"/>
                        </w:rPr>
                        <w:t>results;</w:t>
                      </w:r>
                      <w:r>
                        <w:rPr>
                          <w:color w:val="1B1B22"/>
                          <w:spacing w:val="-9"/>
                        </w:rPr>
                        <w:t> </w:t>
                      </w:r>
                      <w:r>
                        <w:rPr>
                          <w:color w:val="1B1B22"/>
                          <w:spacing w:val="-2"/>
                        </w:rPr>
                        <w:t>(c)</w:t>
                      </w:r>
                      <w:r>
                        <w:rPr>
                          <w:color w:val="1B1B22"/>
                          <w:spacing w:val="-9"/>
                        </w:rPr>
                        <w:t> </w:t>
                      </w:r>
                      <w:r>
                        <w:rPr>
                          <w:color w:val="1B1B22"/>
                          <w:spacing w:val="-2"/>
                        </w:rPr>
                        <w:t>be</w:t>
                      </w:r>
                      <w:r>
                        <w:rPr>
                          <w:color w:val="1B1B22"/>
                          <w:spacing w:val="-9"/>
                        </w:rPr>
                        <w:t> </w:t>
                      </w:r>
                      <w:r>
                        <w:rPr>
                          <w:color w:val="1B1B22"/>
                          <w:spacing w:val="-2"/>
                        </w:rPr>
                        <w:t>a</w:t>
                      </w:r>
                      <w:r>
                        <w:rPr>
                          <w:color w:val="1B1B22"/>
                          <w:spacing w:val="-8"/>
                        </w:rPr>
                        <w:t> </w:t>
                      </w:r>
                      <w:r>
                        <w:rPr>
                          <w:color w:val="1B1B22"/>
                          <w:spacing w:val="-2"/>
                        </w:rPr>
                        <w:t>protagonist</w:t>
                      </w:r>
                      <w:r>
                        <w:rPr>
                          <w:color w:val="1B1B22"/>
                          <w:spacing w:val="-8"/>
                        </w:rPr>
                        <w:t> </w:t>
                      </w:r>
                      <w:r>
                        <w:rPr>
                          <w:color w:val="1B1B22"/>
                          <w:spacing w:val="-2"/>
                        </w:rPr>
                        <w:t>in </w:t>
                      </w:r>
                      <w:r>
                        <w:rPr>
                          <w:color w:val="1B1B22"/>
                        </w:rPr>
                        <w:t>sustainability</w:t>
                      </w:r>
                      <w:r>
                        <w:rPr>
                          <w:color w:val="1B1B22"/>
                          <w:spacing w:val="-13"/>
                        </w:rPr>
                        <w:t> </w:t>
                      </w:r>
                      <w:r>
                        <w:rPr>
                          <w:color w:val="1B1B22"/>
                        </w:rPr>
                        <w:t>and</w:t>
                      </w:r>
                      <w:r>
                        <w:rPr>
                          <w:color w:val="1B1B22"/>
                          <w:spacing w:val="-12"/>
                        </w:rPr>
                        <w:t> </w:t>
                      </w:r>
                      <w:r>
                        <w:rPr>
                          <w:color w:val="1B1B22"/>
                        </w:rPr>
                        <w:t>in</w:t>
                      </w:r>
                      <w:r>
                        <w:rPr>
                          <w:color w:val="1B1B22"/>
                          <w:spacing w:val="-13"/>
                        </w:rPr>
                        <w:t> </w:t>
                      </w:r>
                      <w:r>
                        <w:rPr>
                          <w:color w:val="1B1B22"/>
                        </w:rPr>
                        <w:t>the</w:t>
                      </w:r>
                      <w:r>
                        <w:rPr>
                          <w:color w:val="1B1B22"/>
                          <w:spacing w:val="-12"/>
                        </w:rPr>
                        <w:t> </w:t>
                      </w:r>
                      <w:r>
                        <w:rPr>
                          <w:color w:val="1B1B22"/>
                        </w:rPr>
                        <w:t>promotion</w:t>
                      </w:r>
                      <w:r>
                        <w:rPr>
                          <w:color w:val="1B1B22"/>
                          <w:spacing w:val="-12"/>
                        </w:rPr>
                        <w:t> </w:t>
                      </w:r>
                      <w:r>
                        <w:rPr>
                          <w:color w:val="1B1B22"/>
                        </w:rPr>
                        <w:t>of</w:t>
                      </w:r>
                      <w:r>
                        <w:rPr>
                          <w:color w:val="1B1B22"/>
                          <w:spacing w:val="-13"/>
                        </w:rPr>
                        <w:t> </w:t>
                      </w:r>
                      <w:r>
                        <w:rPr>
                          <w:color w:val="1B1B22"/>
                        </w:rPr>
                        <w:t>business</w:t>
                      </w:r>
                      <w:r>
                        <w:rPr>
                          <w:color w:val="1B1B22"/>
                          <w:spacing w:val="-12"/>
                        </w:rPr>
                        <w:t> </w:t>
                      </w:r>
                      <w:r>
                        <w:rPr>
                          <w:color w:val="1B1B22"/>
                        </w:rPr>
                        <w:t>and ESG practices; (d) evolve our way of working to accelerate digital transformation and innovation; and (e) have people engaged with BB's values and promoting collaboration, respect and inclusion.</w:t>
                      </w:r>
                    </w:p>
                    <w:p>
                      <w:pPr>
                        <w:pStyle w:val="BodyText"/>
                        <w:spacing w:line="319" w:lineRule="auto" w:before="114"/>
                        <w:ind w:right="469"/>
                        <w:rPr>
                          <w:color w:val="000000"/>
                        </w:rPr>
                      </w:pPr>
                      <w:r>
                        <w:rPr>
                          <w:color w:val="1B1B22"/>
                          <w:spacing w:val="-2"/>
                        </w:rPr>
                        <w:t>Our</w:t>
                      </w:r>
                      <w:r>
                        <w:rPr>
                          <w:color w:val="1B1B22"/>
                          <w:spacing w:val="-11"/>
                        </w:rPr>
                        <w:t> </w:t>
                      </w:r>
                      <w:r>
                        <w:rPr>
                          <w:color w:val="1B1B22"/>
                          <w:spacing w:val="-2"/>
                        </w:rPr>
                        <w:t>purpose</w:t>
                      </w:r>
                      <w:r>
                        <w:rPr>
                          <w:color w:val="1B1B22"/>
                          <w:spacing w:val="-10"/>
                        </w:rPr>
                        <w:t> </w:t>
                      </w:r>
                      <w:r>
                        <w:rPr>
                          <w:color w:val="1B1B22"/>
                          <w:spacing w:val="-2"/>
                        </w:rPr>
                        <w:t>is</w:t>
                      </w:r>
                      <w:r>
                        <w:rPr>
                          <w:color w:val="1B1B22"/>
                          <w:spacing w:val="-10"/>
                        </w:rPr>
                        <w:t> </w:t>
                      </w:r>
                      <w:r>
                        <w:rPr>
                          <w:color w:val="1B1B22"/>
                          <w:spacing w:val="-2"/>
                        </w:rPr>
                        <w:t>“To</w:t>
                      </w:r>
                      <w:r>
                        <w:rPr>
                          <w:color w:val="1B1B22"/>
                          <w:spacing w:val="-9"/>
                        </w:rPr>
                        <w:t> </w:t>
                      </w:r>
                      <w:r>
                        <w:rPr>
                          <w:color w:val="1B1B22"/>
                          <w:spacing w:val="-2"/>
                        </w:rPr>
                        <w:t>be</w:t>
                      </w:r>
                      <w:r>
                        <w:rPr>
                          <w:color w:val="1B1B22"/>
                          <w:spacing w:val="-10"/>
                        </w:rPr>
                        <w:t> </w:t>
                      </w:r>
                      <w:r>
                        <w:rPr>
                          <w:color w:val="1B1B22"/>
                          <w:spacing w:val="-2"/>
                        </w:rPr>
                        <w:t>close</w:t>
                      </w:r>
                      <w:r>
                        <w:rPr>
                          <w:color w:val="1B1B22"/>
                          <w:spacing w:val="-10"/>
                        </w:rPr>
                        <w:t> </w:t>
                      </w:r>
                      <w:r>
                        <w:rPr>
                          <w:color w:val="1B1B22"/>
                          <w:spacing w:val="-2"/>
                        </w:rPr>
                        <w:t>and</w:t>
                      </w:r>
                      <w:r>
                        <w:rPr>
                          <w:color w:val="1B1B22"/>
                          <w:spacing w:val="-9"/>
                        </w:rPr>
                        <w:t> </w:t>
                      </w:r>
                      <w:r>
                        <w:rPr>
                          <w:color w:val="1B1B22"/>
                          <w:spacing w:val="-2"/>
                        </w:rPr>
                        <w:t>relevant</w:t>
                      </w:r>
                      <w:r>
                        <w:rPr>
                          <w:color w:val="1B1B22"/>
                          <w:spacing w:val="-9"/>
                        </w:rPr>
                        <w:t> </w:t>
                      </w:r>
                      <w:r>
                        <w:rPr>
                          <w:color w:val="1B1B22"/>
                          <w:spacing w:val="-2"/>
                        </w:rPr>
                        <w:t>in</w:t>
                      </w:r>
                      <w:r>
                        <w:rPr>
                          <w:color w:val="1B1B22"/>
                          <w:spacing w:val="-11"/>
                        </w:rPr>
                        <w:t> </w:t>
                      </w:r>
                      <w:r>
                        <w:rPr>
                          <w:color w:val="1B1B22"/>
                          <w:spacing w:val="-2"/>
                        </w:rPr>
                        <w:t>people’s </w:t>
                      </w:r>
                      <w:r>
                        <w:rPr>
                          <w:color w:val="1B1B22"/>
                        </w:rPr>
                        <w:t>lives at all times”.</w:t>
                      </w:r>
                    </w:p>
                    <w:p>
                      <w:pPr>
                        <w:pStyle w:val="BodyText"/>
                        <w:spacing w:line="321" w:lineRule="auto" w:before="123"/>
                        <w:ind w:right="469"/>
                        <w:rPr>
                          <w:color w:val="000000"/>
                        </w:rPr>
                      </w:pPr>
                      <w:r>
                        <w:rPr>
                          <w:color w:val="1B1B22"/>
                        </w:rPr>
                        <w:t>Aligned with our purpose and reinforcing the Company's organizational identity, we improved our</w:t>
                      </w:r>
                      <w:r>
                        <w:rPr>
                          <w:color w:val="1B1B22"/>
                          <w:spacing w:val="23"/>
                        </w:rPr>
                        <w:t> </w:t>
                      </w:r>
                      <w:r>
                        <w:rPr>
                          <w:color w:val="1B1B22"/>
                        </w:rPr>
                        <w:t>values</w:t>
                      </w:r>
                      <w:r>
                        <w:rPr>
                          <w:color w:val="1B1B22"/>
                          <w:spacing w:val="26"/>
                        </w:rPr>
                        <w:t> </w:t>
                      </w:r>
                      <w:r>
                        <w:rPr>
                          <w:color w:val="1B1B22"/>
                        </w:rPr>
                        <w:t>to</w:t>
                      </w:r>
                      <w:r>
                        <w:rPr>
                          <w:color w:val="1B1B22"/>
                          <w:spacing w:val="26"/>
                        </w:rPr>
                        <w:t> </w:t>
                      </w:r>
                      <w:r>
                        <w:rPr>
                          <w:color w:val="1B1B22"/>
                        </w:rPr>
                        <w:t>make</w:t>
                      </w:r>
                      <w:r>
                        <w:rPr>
                          <w:color w:val="1B1B22"/>
                          <w:spacing w:val="24"/>
                        </w:rPr>
                        <w:t> </w:t>
                      </w:r>
                      <w:r>
                        <w:rPr>
                          <w:color w:val="1B1B22"/>
                        </w:rPr>
                        <w:t>the</w:t>
                      </w:r>
                      <w:r>
                        <w:rPr>
                          <w:color w:val="1B1B22"/>
                          <w:spacing w:val="24"/>
                        </w:rPr>
                        <w:t> </w:t>
                      </w:r>
                      <w:r>
                        <w:rPr>
                          <w:color w:val="1B1B22"/>
                        </w:rPr>
                        <w:t>principles</w:t>
                      </w:r>
                      <w:r>
                        <w:rPr>
                          <w:color w:val="1B1B22"/>
                          <w:spacing w:val="26"/>
                        </w:rPr>
                        <w:t> </w:t>
                      </w:r>
                      <w:r>
                        <w:rPr>
                          <w:color w:val="1B1B22"/>
                        </w:rPr>
                        <w:t>that</w:t>
                      </w:r>
                      <w:r>
                        <w:rPr>
                          <w:color w:val="1B1B22"/>
                          <w:spacing w:val="26"/>
                        </w:rPr>
                        <w:t> </w:t>
                      </w:r>
                      <w:r>
                        <w:rPr>
                          <w:color w:val="1B1B22"/>
                        </w:rPr>
                        <w:t>guide</w:t>
                      </w:r>
                      <w:r>
                        <w:rPr>
                          <w:color w:val="1B1B22"/>
                          <w:spacing w:val="26"/>
                        </w:rPr>
                        <w:t> </w:t>
                      </w:r>
                      <w:r>
                        <w:rPr>
                          <w:color w:val="1B1B22"/>
                          <w:spacing w:val="-5"/>
                        </w:rPr>
                        <w:t>our</w:t>
                      </w:r>
                    </w:p>
                  </w:txbxContent>
                </v:textbox>
                <v:fill type="solid"/>
                <w10:wrap type="none"/>
              </v:shape>
            </w:pict>
          </mc:Fallback>
        </mc:AlternateContent>
      </w:r>
      <w:r>
        <w:rPr>
          <w:color w:val="465EFF"/>
          <w:spacing w:val="30"/>
        </w:rPr>
        <w:t>Corporate</w:t>
      </w:r>
      <w:r>
        <w:rPr>
          <w:color w:val="465EFF"/>
          <w:spacing w:val="79"/>
        </w:rPr>
        <w:t> </w:t>
      </w:r>
      <w:r>
        <w:rPr>
          <w:color w:val="465EFF"/>
          <w:spacing w:val="28"/>
        </w:rPr>
        <w:t>Strategy</w:t>
      </w:r>
    </w:p>
    <w:p>
      <w:pPr>
        <w:pStyle w:val="BodyText"/>
        <w:spacing w:before="78"/>
        <w:ind w:left="0"/>
        <w:jc w:val="left"/>
        <w:rPr>
          <w:rFonts w:ascii="BancoDoBrasil Titulos"/>
        </w:rPr>
      </w:pPr>
    </w:p>
    <w:p>
      <w:pPr>
        <w:pStyle w:val="BodyText"/>
        <w:spacing w:line="321" w:lineRule="auto"/>
        <w:ind w:left="6307" w:right="569"/>
      </w:pPr>
      <w:r>
        <w:rPr>
          <w:color w:val="1B1B22"/>
        </w:rPr>
        <w:t>actions and inspire our team's deliveries even clearer, with an emphasis on diversity. Thus, our values are: Proximity, Innovation, Integrity, Efficiency, Commitment to Society and Diversity.</w:t>
      </w:r>
    </w:p>
    <w:p>
      <w:pPr>
        <w:pStyle w:val="BodyText"/>
        <w:spacing w:line="321" w:lineRule="auto" w:before="117"/>
        <w:ind w:left="6307" w:right="570"/>
      </w:pPr>
      <w:r>
        <w:rPr>
          <w:color w:val="1B1B22"/>
        </w:rPr>
        <w:t>As a result of ECBB, in February 2024, initiatives distributed across nine major fronts, called Strategic Movements, were prioritized, which, in addition to accelerating the achievement of objectives, differentiate BB in relation to the market to achieve long-term success.</w:t>
      </w:r>
    </w:p>
    <w:p>
      <w:pPr>
        <w:pStyle w:val="BodyText"/>
        <w:spacing w:line="321" w:lineRule="auto" w:before="117"/>
        <w:ind w:left="6307" w:right="569"/>
      </w:pPr>
      <w:r>
        <w:rPr>
          <w:color w:val="1B1B22"/>
        </w:rPr>
        <w:t>These movements address major challenges that surround the National Financial System related to topics such as digital assets, bank as a service, operations in value chains, hyperpersonalization, payment</w:t>
      </w:r>
      <w:r>
        <w:rPr>
          <w:color w:val="1B1B22"/>
          <w:spacing w:val="-2"/>
        </w:rPr>
        <w:t> </w:t>
      </w:r>
      <w:r>
        <w:rPr>
          <w:color w:val="1B1B22"/>
        </w:rPr>
        <w:t>methods,</w:t>
      </w:r>
      <w:r>
        <w:rPr>
          <w:color w:val="1B1B22"/>
          <w:spacing w:val="-3"/>
        </w:rPr>
        <w:t> </w:t>
      </w:r>
      <w:r>
        <w:rPr>
          <w:color w:val="1B1B22"/>
        </w:rPr>
        <w:t>ESG</w:t>
      </w:r>
      <w:r>
        <w:rPr>
          <w:color w:val="1B1B22"/>
          <w:spacing w:val="-2"/>
        </w:rPr>
        <w:t> </w:t>
      </w:r>
      <w:r>
        <w:rPr>
          <w:color w:val="1B1B22"/>
        </w:rPr>
        <w:t>businesses,</w:t>
      </w:r>
      <w:r>
        <w:rPr>
          <w:color w:val="1B1B22"/>
          <w:spacing w:val="-3"/>
        </w:rPr>
        <w:t> </w:t>
      </w:r>
      <w:r>
        <w:rPr>
          <w:color w:val="1B1B22"/>
        </w:rPr>
        <w:t>among</w:t>
      </w:r>
      <w:r>
        <w:rPr>
          <w:color w:val="1B1B22"/>
          <w:spacing w:val="-2"/>
        </w:rPr>
        <w:t> </w:t>
      </w:r>
      <w:r>
        <w:rPr>
          <w:color w:val="1B1B22"/>
        </w:rPr>
        <w:t>others.</w:t>
      </w:r>
    </w:p>
    <w:p>
      <w:pPr>
        <w:spacing w:after="0" w:line="321" w:lineRule="auto"/>
        <w:sectPr>
          <w:pgSz w:w="11910" w:h="16840"/>
          <w:pgMar w:header="152" w:footer="570" w:top="900" w:bottom="760" w:left="0" w:right="280"/>
        </w:sectPr>
      </w:pPr>
    </w:p>
    <w:p>
      <w:pPr>
        <w:pStyle w:val="BodyText"/>
        <w:spacing w:before="337"/>
        <w:ind w:left="0"/>
        <w:jc w:val="left"/>
        <w:rPr>
          <w:sz w:val="44"/>
        </w:rPr>
      </w:pPr>
    </w:p>
    <w:p>
      <w:pPr>
        <w:pStyle w:val="Heading1"/>
        <w:spacing w:before="1"/>
      </w:pPr>
      <w:r>
        <w:rPr>
          <w:color w:val="465EFF"/>
          <w:spacing w:val="30"/>
        </w:rPr>
        <w:t>Clients</w:t>
      </w:r>
    </w:p>
    <w:p>
      <w:pPr>
        <w:pStyle w:val="BodyText"/>
        <w:spacing w:before="11"/>
        <w:ind w:left="0"/>
        <w:jc w:val="left"/>
        <w:rPr>
          <w:rFonts w:ascii="BancoDoBrasil Titulos"/>
          <w:sz w:val="12"/>
        </w:rPr>
      </w:pPr>
    </w:p>
    <w:p>
      <w:pPr>
        <w:spacing w:after="0"/>
        <w:jc w:val="left"/>
        <w:rPr>
          <w:rFonts w:ascii="BancoDoBrasil Titulos"/>
          <w:sz w:val="12"/>
        </w:rPr>
        <w:sectPr>
          <w:headerReference w:type="default" r:id="rId8"/>
          <w:footerReference w:type="default" r:id="rId9"/>
          <w:pgSz w:w="11910" w:h="16840"/>
          <w:pgMar w:header="152" w:footer="591" w:top="900" w:bottom="780" w:left="0" w:right="280"/>
        </w:sectPr>
      </w:pPr>
    </w:p>
    <w:p>
      <w:pPr>
        <w:pStyle w:val="BodyText"/>
        <w:spacing w:line="321" w:lineRule="auto" w:before="78"/>
      </w:pPr>
      <w:r>
        <w:rPr>
          <w:color w:val="1B1B22"/>
        </w:rPr>
        <w:t>The customer is at the center of our strategy and </w:t>
      </w:r>
      <w:r>
        <w:rPr>
          <w:color w:val="1B1B22"/>
          <w:spacing w:val="-2"/>
        </w:rPr>
        <w:t>we</w:t>
      </w:r>
      <w:r>
        <w:rPr>
          <w:color w:val="1B1B22"/>
          <w:spacing w:val="-11"/>
        </w:rPr>
        <w:t> </w:t>
      </w:r>
      <w:r>
        <w:rPr>
          <w:color w:val="1B1B22"/>
          <w:spacing w:val="-2"/>
        </w:rPr>
        <w:t>are</w:t>
      </w:r>
      <w:r>
        <w:rPr>
          <w:color w:val="1B1B22"/>
          <w:spacing w:val="-10"/>
        </w:rPr>
        <w:t> </w:t>
      </w:r>
      <w:r>
        <w:rPr>
          <w:color w:val="1B1B22"/>
          <w:spacing w:val="-2"/>
        </w:rPr>
        <w:t>focused</w:t>
      </w:r>
      <w:r>
        <w:rPr>
          <w:color w:val="1B1B22"/>
          <w:spacing w:val="-11"/>
        </w:rPr>
        <w:t> </w:t>
      </w:r>
      <w:r>
        <w:rPr>
          <w:color w:val="1B1B22"/>
          <w:spacing w:val="-2"/>
        </w:rPr>
        <w:t>on</w:t>
      </w:r>
      <w:r>
        <w:rPr>
          <w:color w:val="1B1B22"/>
          <w:spacing w:val="-10"/>
        </w:rPr>
        <w:t> </w:t>
      </w:r>
      <w:r>
        <w:rPr>
          <w:color w:val="1B1B22"/>
          <w:spacing w:val="-2"/>
        </w:rPr>
        <w:t>the</w:t>
      </w:r>
      <w:r>
        <w:rPr>
          <w:color w:val="1B1B22"/>
          <w:spacing w:val="-10"/>
        </w:rPr>
        <w:t> </w:t>
      </w:r>
      <w:r>
        <w:rPr>
          <w:color w:val="1B1B22"/>
          <w:spacing w:val="-2"/>
        </w:rPr>
        <w:t>hyper-personalization</w:t>
      </w:r>
      <w:r>
        <w:rPr>
          <w:color w:val="1B1B22"/>
          <w:spacing w:val="-11"/>
        </w:rPr>
        <w:t> </w:t>
      </w:r>
      <w:r>
        <w:rPr>
          <w:color w:val="1B1B22"/>
          <w:spacing w:val="-2"/>
        </w:rPr>
        <w:t>of</w:t>
      </w:r>
      <w:r>
        <w:rPr>
          <w:color w:val="1B1B22"/>
          <w:spacing w:val="-10"/>
        </w:rPr>
        <w:t> </w:t>
      </w:r>
      <w:r>
        <w:rPr>
          <w:color w:val="1B1B22"/>
          <w:spacing w:val="-2"/>
        </w:rPr>
        <w:t>our </w:t>
      </w:r>
      <w:r>
        <w:rPr>
          <w:color w:val="1B1B22"/>
        </w:rPr>
        <w:t>relationships with the aim of delivering a bank for each customer and considering the 360° vision of each one of them.</w:t>
      </w:r>
    </w:p>
    <w:p>
      <w:pPr>
        <w:pStyle w:val="BodyText"/>
        <w:spacing w:line="321" w:lineRule="auto" w:before="117"/>
        <w:ind w:right="1"/>
      </w:pPr>
      <w:r>
        <w:rPr/>
        <w:t>We have been working with agile marketing and CRM has been a great ally. In 9M24, 2,800 personalized strategies were carried out, which generated approximately 475 million customer contacts. More than 8,800 clusters of individuals and legal entities were identified, based </w:t>
      </w:r>
      <w:r>
        <w:rPr/>
        <w:t>on analytical</w:t>
      </w:r>
      <w:r>
        <w:rPr>
          <w:spacing w:val="-13"/>
        </w:rPr>
        <w:t> </w:t>
      </w:r>
      <w:r>
        <w:rPr/>
        <w:t>intelligence,</w:t>
      </w:r>
      <w:r>
        <w:rPr>
          <w:spacing w:val="-12"/>
        </w:rPr>
        <w:t> </w:t>
      </w:r>
      <w:r>
        <w:rPr/>
        <w:t>using</w:t>
      </w:r>
      <w:r>
        <w:rPr>
          <w:spacing w:val="-13"/>
        </w:rPr>
        <w:t> </w:t>
      </w:r>
      <w:r>
        <w:rPr/>
        <w:t>predictive,</w:t>
      </w:r>
      <w:r>
        <w:rPr>
          <w:spacing w:val="-12"/>
        </w:rPr>
        <w:t> </w:t>
      </w:r>
      <w:r>
        <w:rPr/>
        <w:t>behavioral and business propensity models.</w:t>
      </w:r>
    </w:p>
    <w:p>
      <w:pPr>
        <w:pStyle w:val="BodyText"/>
        <w:spacing w:line="321" w:lineRule="auto" w:before="115"/>
        <w:ind w:right="1"/>
      </w:pPr>
      <w:r>
        <w:rPr/>
        <w:t>Furthermore,</w:t>
      </w:r>
      <w:r>
        <w:rPr>
          <w:spacing w:val="-10"/>
        </w:rPr>
        <w:t> </w:t>
      </w:r>
      <w:r>
        <w:rPr/>
        <w:t>during</w:t>
      </w:r>
      <w:r>
        <w:rPr>
          <w:spacing w:val="-10"/>
        </w:rPr>
        <w:t> </w:t>
      </w:r>
      <w:r>
        <w:rPr/>
        <w:t>the</w:t>
      </w:r>
      <w:r>
        <w:rPr>
          <w:spacing w:val="-10"/>
        </w:rPr>
        <w:t> </w:t>
      </w:r>
      <w:r>
        <w:rPr/>
        <w:t>9M24,</w:t>
      </w:r>
      <w:r>
        <w:rPr>
          <w:spacing w:val="-10"/>
        </w:rPr>
        <w:t> </w:t>
      </w:r>
      <w:r>
        <w:rPr/>
        <w:t>69.8%</w:t>
      </w:r>
      <w:r>
        <w:rPr>
          <w:spacing w:val="-9"/>
        </w:rPr>
        <w:t> </w:t>
      </w:r>
      <w:r>
        <w:rPr/>
        <w:t>of</w:t>
      </w:r>
      <w:r>
        <w:rPr>
          <w:spacing w:val="-10"/>
        </w:rPr>
        <w:t> </w:t>
      </w:r>
      <w:r>
        <w:rPr/>
        <w:t>the</w:t>
      </w:r>
      <w:r>
        <w:rPr>
          <w:spacing w:val="-10"/>
        </w:rPr>
        <w:t> </w:t>
      </w:r>
      <w:r>
        <w:rPr/>
        <w:t>total volume</w:t>
      </w:r>
      <w:r>
        <w:rPr>
          <w:spacing w:val="-12"/>
        </w:rPr>
        <w:t> </w:t>
      </w:r>
      <w:r>
        <w:rPr/>
        <w:t>disbursed</w:t>
      </w:r>
      <w:r>
        <w:rPr>
          <w:spacing w:val="-12"/>
        </w:rPr>
        <w:t> </w:t>
      </w:r>
      <w:r>
        <w:rPr/>
        <w:t>in</w:t>
      </w:r>
      <w:r>
        <w:rPr>
          <w:spacing w:val="-12"/>
        </w:rPr>
        <w:t> </w:t>
      </w:r>
      <w:r>
        <w:rPr/>
        <w:t>credit</w:t>
      </w:r>
      <w:r>
        <w:rPr>
          <w:spacing w:val="-12"/>
        </w:rPr>
        <w:t> </w:t>
      </w:r>
      <w:r>
        <w:rPr/>
        <w:t>to</w:t>
      </w:r>
      <w:r>
        <w:rPr>
          <w:spacing w:val="-12"/>
        </w:rPr>
        <w:t> </w:t>
      </w:r>
      <w:r>
        <w:rPr/>
        <w:t>individuals</w:t>
      </w:r>
      <w:r>
        <w:rPr>
          <w:spacing w:val="-12"/>
        </w:rPr>
        <w:t> </w:t>
      </w:r>
      <w:r>
        <w:rPr/>
        <w:t>was</w:t>
      </w:r>
      <w:r>
        <w:rPr>
          <w:spacing w:val="-12"/>
        </w:rPr>
        <w:t> </w:t>
      </w:r>
      <w:r>
        <w:rPr/>
        <w:t>made by</w:t>
      </w:r>
      <w:r>
        <w:rPr>
          <w:spacing w:val="-13"/>
        </w:rPr>
        <w:t> </w:t>
      </w:r>
      <w:r>
        <w:rPr/>
        <w:t>customers</w:t>
      </w:r>
      <w:r>
        <w:rPr>
          <w:spacing w:val="-12"/>
        </w:rPr>
        <w:t> </w:t>
      </w:r>
      <w:r>
        <w:rPr/>
        <w:t>approached</w:t>
      </w:r>
      <w:r>
        <w:rPr>
          <w:spacing w:val="-13"/>
        </w:rPr>
        <w:t> </w:t>
      </w:r>
      <w:r>
        <w:rPr/>
        <w:t>in</w:t>
      </w:r>
      <w:r>
        <w:rPr>
          <w:spacing w:val="-12"/>
        </w:rPr>
        <w:t> </w:t>
      </w:r>
      <w:r>
        <w:rPr/>
        <w:t>commercial</w:t>
      </w:r>
      <w:r>
        <w:rPr>
          <w:spacing w:val="-12"/>
        </w:rPr>
        <w:t> </w:t>
      </w:r>
      <w:r>
        <w:rPr/>
        <w:t>strategies in targeted channels. In total, there were 63.5 million interactions in the period to offer credit, and 10.3 million deals were completed, </w:t>
      </w:r>
      <w:r>
        <w:rPr/>
        <w:t>including digital and physical channels.</w:t>
      </w:r>
    </w:p>
    <w:p>
      <w:pPr>
        <w:pStyle w:val="BodyText"/>
        <w:spacing w:line="321" w:lineRule="auto" w:before="116"/>
      </w:pPr>
      <w:r>
        <w:rPr/>
        <w:t>For</w:t>
      </w:r>
      <w:r>
        <w:rPr>
          <w:spacing w:val="-8"/>
        </w:rPr>
        <w:t> </w:t>
      </w:r>
      <w:r>
        <w:rPr/>
        <w:t>micro</w:t>
      </w:r>
      <w:r>
        <w:rPr>
          <w:spacing w:val="-8"/>
        </w:rPr>
        <w:t> </w:t>
      </w:r>
      <w:r>
        <w:rPr/>
        <w:t>and</w:t>
      </w:r>
      <w:r>
        <w:rPr>
          <w:spacing w:val="-8"/>
        </w:rPr>
        <w:t> </w:t>
      </w:r>
      <w:r>
        <w:rPr/>
        <w:t>small</w:t>
      </w:r>
      <w:r>
        <w:rPr>
          <w:spacing w:val="-8"/>
        </w:rPr>
        <w:t> </w:t>
      </w:r>
      <w:r>
        <w:rPr/>
        <w:t>companies,</w:t>
      </w:r>
      <w:r>
        <w:rPr>
          <w:spacing w:val="-8"/>
        </w:rPr>
        <w:t> </w:t>
      </w:r>
      <w:r>
        <w:rPr/>
        <w:t>we</w:t>
      </w:r>
      <w:r>
        <w:rPr>
          <w:spacing w:val="-8"/>
        </w:rPr>
        <w:t> </w:t>
      </w:r>
      <w:r>
        <w:rPr/>
        <w:t>have</w:t>
      </w:r>
      <w:r>
        <w:rPr>
          <w:spacing w:val="-8"/>
        </w:rPr>
        <w:t> </w:t>
      </w:r>
      <w:r>
        <w:rPr/>
        <w:t>expanded the services of our conciliation tool within the PJ Panel.</w:t>
      </w:r>
      <w:r>
        <w:rPr>
          <w:spacing w:val="-5"/>
        </w:rPr>
        <w:t> </w:t>
      </w:r>
      <w:r>
        <w:rPr/>
        <w:t>Currently,</w:t>
      </w:r>
      <w:r>
        <w:rPr>
          <w:spacing w:val="-5"/>
        </w:rPr>
        <w:t> </w:t>
      </w:r>
      <w:r>
        <w:rPr/>
        <w:t>we</w:t>
      </w:r>
      <w:r>
        <w:rPr>
          <w:spacing w:val="-5"/>
        </w:rPr>
        <w:t> </w:t>
      </w:r>
      <w:r>
        <w:rPr/>
        <w:t>offer</w:t>
      </w:r>
      <w:r>
        <w:rPr>
          <w:spacing w:val="-4"/>
        </w:rPr>
        <w:t> </w:t>
      </w:r>
      <w:r>
        <w:rPr/>
        <w:t>all</w:t>
      </w:r>
      <w:r>
        <w:rPr>
          <w:spacing w:val="-5"/>
        </w:rPr>
        <w:t> </w:t>
      </w:r>
      <w:r>
        <w:rPr/>
        <w:t>payment</w:t>
      </w:r>
      <w:r>
        <w:rPr>
          <w:spacing w:val="-5"/>
        </w:rPr>
        <w:t> </w:t>
      </w:r>
      <w:r>
        <w:rPr/>
        <w:t>and</w:t>
      </w:r>
      <w:r>
        <w:rPr>
          <w:spacing w:val="-5"/>
        </w:rPr>
        <w:t> </w:t>
      </w:r>
      <w:r>
        <w:rPr/>
        <w:t>receipt information in one place, both from BB and other institutions,</w:t>
      </w:r>
      <w:r>
        <w:rPr>
          <w:spacing w:val="-13"/>
        </w:rPr>
        <w:t> </w:t>
      </w:r>
      <w:r>
        <w:rPr/>
        <w:t>including</w:t>
      </w:r>
      <w:r>
        <w:rPr>
          <w:spacing w:val="-12"/>
        </w:rPr>
        <w:t> </w:t>
      </w:r>
      <w:r>
        <w:rPr/>
        <w:t>sales</w:t>
      </w:r>
      <w:r>
        <w:rPr>
          <w:spacing w:val="-13"/>
        </w:rPr>
        <w:t> </w:t>
      </w:r>
      <w:r>
        <w:rPr/>
        <w:t>via</w:t>
      </w:r>
      <w:r>
        <w:rPr>
          <w:spacing w:val="-12"/>
        </w:rPr>
        <w:t> </w:t>
      </w:r>
      <w:r>
        <w:rPr/>
        <w:t>Cards</w:t>
      </w:r>
      <w:r>
        <w:rPr>
          <w:spacing w:val="-12"/>
        </w:rPr>
        <w:t> </w:t>
      </w:r>
      <w:r>
        <w:rPr/>
        <w:t>and</w:t>
      </w:r>
      <w:r>
        <w:rPr>
          <w:spacing w:val="-13"/>
        </w:rPr>
        <w:t> </w:t>
      </w:r>
      <w:r>
        <w:rPr/>
        <w:t>Pix,</w:t>
      </w:r>
      <w:r>
        <w:rPr>
          <w:spacing w:val="-12"/>
        </w:rPr>
        <w:t> </w:t>
      </w:r>
      <w:r>
        <w:rPr/>
        <w:t>which allows transactions to be reconciled using any machine</w:t>
      </w:r>
      <w:r>
        <w:rPr>
          <w:spacing w:val="-8"/>
        </w:rPr>
        <w:t> </w:t>
      </w:r>
      <w:r>
        <w:rPr/>
        <w:t>on</w:t>
      </w:r>
      <w:r>
        <w:rPr>
          <w:spacing w:val="-8"/>
        </w:rPr>
        <w:t> </w:t>
      </w:r>
      <w:r>
        <w:rPr/>
        <w:t>the</w:t>
      </w:r>
      <w:r>
        <w:rPr>
          <w:spacing w:val="-7"/>
        </w:rPr>
        <w:t> </w:t>
      </w:r>
      <w:r>
        <w:rPr/>
        <w:t>market.</w:t>
      </w:r>
      <w:r>
        <w:rPr>
          <w:spacing w:val="-11"/>
        </w:rPr>
        <w:t> </w:t>
      </w:r>
      <w:r>
        <w:rPr/>
        <w:t>All</w:t>
      </w:r>
      <w:r>
        <w:rPr>
          <w:spacing w:val="-7"/>
        </w:rPr>
        <w:t> </w:t>
      </w:r>
      <w:r>
        <w:rPr/>
        <w:t>this</w:t>
      </w:r>
      <w:r>
        <w:rPr>
          <w:spacing w:val="-8"/>
        </w:rPr>
        <w:t> </w:t>
      </w:r>
      <w:r>
        <w:rPr/>
        <w:t>with</w:t>
      </w:r>
      <w:r>
        <w:rPr>
          <w:spacing w:val="-7"/>
        </w:rPr>
        <w:t> </w:t>
      </w:r>
      <w:r>
        <w:rPr/>
        <w:t>the</w:t>
      </w:r>
      <w:r>
        <w:rPr>
          <w:spacing w:val="-8"/>
        </w:rPr>
        <w:t> </w:t>
      </w:r>
      <w:r>
        <w:rPr/>
        <w:t>assistance of</w:t>
      </w:r>
      <w:r>
        <w:rPr>
          <w:spacing w:val="-3"/>
        </w:rPr>
        <w:t> </w:t>
      </w:r>
      <w:r>
        <w:rPr/>
        <w:t>ARI (Intelligent Recommendations</w:t>
      </w:r>
      <w:r>
        <w:rPr>
          <w:spacing w:val="-4"/>
        </w:rPr>
        <w:t> </w:t>
      </w:r>
      <w:r>
        <w:rPr/>
        <w:t>Area), which brings insights that support the day-to-</w:t>
      </w:r>
      <w:r>
        <w:rPr/>
        <w:t>day management of MSEs and reached 47 thousand unique users with 300 thousand messages and 38 types of recommendations.</w:t>
      </w:r>
    </w:p>
    <w:p>
      <w:pPr>
        <w:pStyle w:val="BodyText"/>
        <w:spacing w:line="321" w:lineRule="auto" w:before="112"/>
      </w:pPr>
      <w:r>
        <w:rPr>
          <w:color w:val="1B1B22"/>
        </w:rPr>
        <w:t>It is worth highlighting our work with female </w:t>
      </w:r>
      <w:r>
        <w:rPr>
          <w:color w:val="1B1B22"/>
          <w:spacing w:val="-2"/>
        </w:rPr>
        <w:t>entrepreneurship.</w:t>
      </w:r>
      <w:r>
        <w:rPr>
          <w:color w:val="1B1B22"/>
          <w:spacing w:val="-11"/>
        </w:rPr>
        <w:t> </w:t>
      </w:r>
      <w:r>
        <w:rPr>
          <w:color w:val="1B1B22"/>
          <w:spacing w:val="-2"/>
        </w:rPr>
        <w:t>We</w:t>
      </w:r>
      <w:r>
        <w:rPr>
          <w:color w:val="1B1B22"/>
          <w:spacing w:val="-10"/>
        </w:rPr>
        <w:t> </w:t>
      </w:r>
      <w:r>
        <w:rPr>
          <w:color w:val="1B1B22"/>
          <w:spacing w:val="-2"/>
        </w:rPr>
        <w:t>have</w:t>
      </w:r>
      <w:r>
        <w:rPr>
          <w:color w:val="1B1B22"/>
          <w:spacing w:val="-11"/>
        </w:rPr>
        <w:t> </w:t>
      </w:r>
      <w:r>
        <w:rPr>
          <w:color w:val="1B1B22"/>
          <w:spacing w:val="-2"/>
        </w:rPr>
        <w:t>specific</w:t>
      </w:r>
      <w:r>
        <w:rPr>
          <w:color w:val="1B1B22"/>
          <w:spacing w:val="-10"/>
        </w:rPr>
        <w:t> </w:t>
      </w:r>
      <w:r>
        <w:rPr>
          <w:color w:val="1B1B22"/>
          <w:spacing w:val="-2"/>
        </w:rPr>
        <w:t>credit</w:t>
      </w:r>
      <w:r>
        <w:rPr>
          <w:color w:val="1B1B22"/>
          <w:spacing w:val="-10"/>
        </w:rPr>
        <w:t> </w:t>
      </w:r>
      <w:r>
        <w:rPr>
          <w:color w:val="1B1B22"/>
          <w:spacing w:val="-2"/>
        </w:rPr>
        <w:t>lines</w:t>
      </w:r>
      <w:r>
        <w:rPr>
          <w:color w:val="1B1B22"/>
          <w:spacing w:val="-11"/>
        </w:rPr>
        <w:t> </w:t>
      </w:r>
      <w:r>
        <w:rPr>
          <w:color w:val="1B1B22"/>
          <w:spacing w:val="-2"/>
        </w:rPr>
        <w:t>such </w:t>
      </w:r>
      <w:r>
        <w:rPr>
          <w:color w:val="1B1B22"/>
        </w:rPr>
        <w:t>as</w:t>
      </w:r>
      <w:r>
        <w:rPr>
          <w:color w:val="1B1B22"/>
          <w:spacing w:val="56"/>
        </w:rPr>
        <w:t> </w:t>
      </w:r>
      <w:r>
        <w:rPr>
          <w:color w:val="1B1B22"/>
        </w:rPr>
        <w:t>FCO</w:t>
      </w:r>
      <w:r>
        <w:rPr>
          <w:color w:val="1B1B22"/>
          <w:spacing w:val="56"/>
        </w:rPr>
        <w:t> </w:t>
      </w:r>
      <w:r>
        <w:rPr>
          <w:color w:val="1B1B22"/>
        </w:rPr>
        <w:t>Mulheres</w:t>
      </w:r>
      <w:r>
        <w:rPr>
          <w:color w:val="1B1B22"/>
          <w:spacing w:val="56"/>
        </w:rPr>
        <w:t> </w:t>
      </w:r>
      <w:r>
        <w:rPr>
          <w:color w:val="1B1B22"/>
        </w:rPr>
        <w:t>Empreendedoras,</w:t>
      </w:r>
      <w:r>
        <w:rPr>
          <w:color w:val="1B1B22"/>
          <w:spacing w:val="55"/>
        </w:rPr>
        <w:t> </w:t>
      </w:r>
      <w:r>
        <w:rPr>
          <w:color w:val="1B1B22"/>
        </w:rPr>
        <w:t>Giro</w:t>
      </w:r>
      <w:r>
        <w:rPr>
          <w:color w:val="1B1B22"/>
          <w:spacing w:val="58"/>
        </w:rPr>
        <w:t> </w:t>
      </w:r>
      <w:r>
        <w:rPr>
          <w:color w:val="1B1B22"/>
          <w:spacing w:val="-2"/>
        </w:rPr>
        <w:t>Mulher</w:t>
      </w:r>
    </w:p>
    <w:p>
      <w:pPr>
        <w:pStyle w:val="BodyText"/>
        <w:spacing w:line="321" w:lineRule="auto" w:before="78"/>
        <w:ind w:left="667" w:right="567"/>
      </w:pPr>
      <w:r>
        <w:rPr/>
        <w:br w:type="column"/>
      </w:r>
      <w:r>
        <w:rPr>
          <w:color w:val="1B1B22"/>
        </w:rPr>
        <w:t>Empreendedora and Working Capital Extension – Mãe Empreendedora. There are 1.3 million companies run by women, representing 42% of </w:t>
      </w:r>
      <w:r>
        <w:rPr>
          <w:color w:val="1B1B22"/>
          <w:spacing w:val="-2"/>
        </w:rPr>
        <w:t>total</w:t>
      </w:r>
      <w:r>
        <w:rPr>
          <w:color w:val="1B1B22"/>
          <w:spacing w:val="-8"/>
        </w:rPr>
        <w:t> </w:t>
      </w:r>
      <w:r>
        <w:rPr>
          <w:color w:val="1B1B22"/>
          <w:spacing w:val="-2"/>
        </w:rPr>
        <w:t>customers</w:t>
      </w:r>
      <w:r>
        <w:rPr>
          <w:color w:val="1B1B22"/>
          <w:spacing w:val="-9"/>
        </w:rPr>
        <w:t> </w:t>
      </w:r>
      <w:r>
        <w:rPr>
          <w:color w:val="1B1B22"/>
          <w:spacing w:val="-2"/>
        </w:rPr>
        <w:t>and</w:t>
      </w:r>
      <w:r>
        <w:rPr>
          <w:color w:val="1B1B22"/>
          <w:spacing w:val="-8"/>
        </w:rPr>
        <w:t> </w:t>
      </w:r>
      <w:r>
        <w:rPr>
          <w:color w:val="1B1B22"/>
          <w:spacing w:val="-2"/>
        </w:rPr>
        <w:t>37%</w:t>
      </w:r>
      <w:r>
        <w:rPr>
          <w:color w:val="1B1B22"/>
          <w:spacing w:val="-8"/>
        </w:rPr>
        <w:t> </w:t>
      </w:r>
      <w:r>
        <w:rPr>
          <w:color w:val="1B1B22"/>
          <w:spacing w:val="-2"/>
        </w:rPr>
        <w:t>of</w:t>
      </w:r>
      <w:r>
        <w:rPr>
          <w:color w:val="1B1B22"/>
          <w:spacing w:val="-8"/>
        </w:rPr>
        <w:t> </w:t>
      </w:r>
      <w:r>
        <w:rPr>
          <w:color w:val="1B1B22"/>
          <w:spacing w:val="-2"/>
        </w:rPr>
        <w:t>the</w:t>
      </w:r>
      <w:r>
        <w:rPr>
          <w:color w:val="1B1B22"/>
          <w:spacing w:val="-8"/>
        </w:rPr>
        <w:t> </w:t>
      </w:r>
      <w:r>
        <w:rPr>
          <w:color w:val="1B1B22"/>
          <w:spacing w:val="-2"/>
        </w:rPr>
        <w:t>balance</w:t>
      </w:r>
      <w:r>
        <w:rPr>
          <w:color w:val="1B1B22"/>
          <w:spacing w:val="-8"/>
        </w:rPr>
        <w:t> </w:t>
      </w:r>
      <w:r>
        <w:rPr>
          <w:color w:val="1B1B22"/>
          <w:spacing w:val="-2"/>
        </w:rPr>
        <w:t>of</w:t>
      </w:r>
      <w:r>
        <w:rPr>
          <w:color w:val="1B1B22"/>
          <w:spacing w:val="-8"/>
        </w:rPr>
        <w:t> </w:t>
      </w:r>
      <w:r>
        <w:rPr>
          <w:color w:val="1B1B22"/>
          <w:spacing w:val="-2"/>
        </w:rPr>
        <w:t>the</w:t>
      </w:r>
      <w:r>
        <w:rPr>
          <w:color w:val="1B1B22"/>
          <w:spacing w:val="-8"/>
        </w:rPr>
        <w:t> </w:t>
      </w:r>
      <w:r>
        <w:rPr>
          <w:color w:val="1B1B22"/>
          <w:spacing w:val="-2"/>
        </w:rPr>
        <w:t>MSE </w:t>
      </w:r>
      <w:r>
        <w:rPr>
          <w:color w:val="1B1B22"/>
        </w:rPr>
        <w:t>credit portfolio.</w:t>
      </w:r>
    </w:p>
    <w:p>
      <w:pPr>
        <w:pStyle w:val="BodyText"/>
        <w:spacing w:line="321" w:lineRule="auto" w:before="117"/>
        <w:ind w:left="667" w:right="569"/>
      </w:pPr>
      <w:r>
        <w:rPr>
          <w:color w:val="1B1B22"/>
          <w:spacing w:val="-2"/>
        </w:rPr>
        <w:t>The</w:t>
      </w:r>
      <w:r>
        <w:rPr>
          <w:color w:val="1B1B22"/>
          <w:spacing w:val="-7"/>
        </w:rPr>
        <w:t> </w:t>
      </w:r>
      <w:r>
        <w:rPr>
          <w:color w:val="1B1B22"/>
          <w:spacing w:val="-2"/>
        </w:rPr>
        <w:t>business</w:t>
      </w:r>
      <w:r>
        <w:rPr>
          <w:color w:val="1B1B22"/>
          <w:spacing w:val="-8"/>
        </w:rPr>
        <w:t> </w:t>
      </w:r>
      <w:r>
        <w:rPr>
          <w:color w:val="1B1B22"/>
          <w:spacing w:val="-2"/>
        </w:rPr>
        <w:t>relationship</w:t>
      </w:r>
      <w:r>
        <w:rPr>
          <w:color w:val="1B1B22"/>
          <w:spacing w:val="-7"/>
        </w:rPr>
        <w:t> </w:t>
      </w:r>
      <w:r>
        <w:rPr>
          <w:color w:val="1B1B22"/>
          <w:spacing w:val="-2"/>
        </w:rPr>
        <w:t>with</w:t>
      </w:r>
      <w:r>
        <w:rPr>
          <w:color w:val="1B1B22"/>
          <w:spacing w:val="-7"/>
        </w:rPr>
        <w:t> </w:t>
      </w:r>
      <w:r>
        <w:rPr>
          <w:color w:val="1B1B22"/>
          <w:spacing w:val="-2"/>
        </w:rPr>
        <w:t>Corporate</w:t>
      </w:r>
      <w:r>
        <w:rPr>
          <w:color w:val="1B1B22"/>
          <w:spacing w:val="-7"/>
        </w:rPr>
        <w:t> </w:t>
      </w:r>
      <w:r>
        <w:rPr>
          <w:color w:val="1B1B22"/>
          <w:spacing w:val="-2"/>
        </w:rPr>
        <w:t>and</w:t>
      </w:r>
      <w:r>
        <w:rPr>
          <w:color w:val="1B1B22"/>
          <w:spacing w:val="-7"/>
        </w:rPr>
        <w:t> </w:t>
      </w:r>
      <w:r>
        <w:rPr>
          <w:color w:val="1B1B22"/>
          <w:spacing w:val="-2"/>
        </w:rPr>
        <w:t>Large </w:t>
      </w:r>
      <w:r>
        <w:rPr>
          <w:color w:val="1B1B22"/>
        </w:rPr>
        <w:t>Corporate</w:t>
      </w:r>
      <w:r>
        <w:rPr>
          <w:color w:val="1B1B22"/>
          <w:spacing w:val="-3"/>
        </w:rPr>
        <w:t> </w:t>
      </w:r>
      <w:r>
        <w:rPr>
          <w:color w:val="1B1B22"/>
        </w:rPr>
        <w:t>companies</w:t>
      </w:r>
      <w:r>
        <w:rPr>
          <w:color w:val="1B1B22"/>
          <w:spacing w:val="-4"/>
        </w:rPr>
        <w:t> </w:t>
      </w:r>
      <w:r>
        <w:rPr>
          <w:color w:val="1B1B22"/>
        </w:rPr>
        <w:t>is</w:t>
      </w:r>
      <w:r>
        <w:rPr>
          <w:color w:val="1B1B22"/>
          <w:spacing w:val="-4"/>
        </w:rPr>
        <w:t> </w:t>
      </w:r>
      <w:r>
        <w:rPr>
          <w:color w:val="1B1B22"/>
        </w:rPr>
        <w:t>carried</w:t>
      </w:r>
      <w:r>
        <w:rPr>
          <w:color w:val="1B1B22"/>
          <w:spacing w:val="-4"/>
        </w:rPr>
        <w:t> </w:t>
      </w:r>
      <w:r>
        <w:rPr>
          <w:color w:val="1B1B22"/>
        </w:rPr>
        <w:t>out</w:t>
      </w:r>
      <w:r>
        <w:rPr>
          <w:color w:val="1B1B22"/>
          <w:spacing w:val="-2"/>
        </w:rPr>
        <w:t> </w:t>
      </w:r>
      <w:r>
        <w:rPr>
          <w:color w:val="1B1B22"/>
        </w:rPr>
        <w:t>in</w:t>
      </w:r>
      <w:r>
        <w:rPr>
          <w:color w:val="1B1B22"/>
          <w:spacing w:val="-4"/>
        </w:rPr>
        <w:t> </w:t>
      </w:r>
      <w:r>
        <w:rPr>
          <w:color w:val="1B1B22"/>
        </w:rPr>
        <w:t>a</w:t>
      </w:r>
      <w:r>
        <w:rPr>
          <w:color w:val="1B1B22"/>
          <w:spacing w:val="-2"/>
        </w:rPr>
        <w:t> </w:t>
      </w:r>
      <w:r>
        <w:rPr>
          <w:color w:val="1B1B22"/>
        </w:rPr>
        <w:t>specialized manner. Currently, there are more than 1,400 business groups supported by highly qualified teams,</w:t>
      </w:r>
      <w:r>
        <w:rPr>
          <w:color w:val="1B1B22"/>
          <w:spacing w:val="-12"/>
        </w:rPr>
        <w:t> </w:t>
      </w:r>
      <w:r>
        <w:rPr>
          <w:color w:val="1B1B22"/>
        </w:rPr>
        <w:t>with</w:t>
      </w:r>
      <w:r>
        <w:rPr>
          <w:color w:val="1B1B22"/>
          <w:spacing w:val="-12"/>
        </w:rPr>
        <w:t> </w:t>
      </w:r>
      <w:r>
        <w:rPr>
          <w:color w:val="1B1B22"/>
        </w:rPr>
        <w:t>national</w:t>
      </w:r>
      <w:r>
        <w:rPr>
          <w:color w:val="1B1B22"/>
          <w:spacing w:val="-12"/>
        </w:rPr>
        <w:t> </w:t>
      </w:r>
      <w:r>
        <w:rPr>
          <w:color w:val="1B1B22"/>
        </w:rPr>
        <w:t>and</w:t>
      </w:r>
      <w:r>
        <w:rPr>
          <w:color w:val="1B1B22"/>
          <w:spacing w:val="-12"/>
        </w:rPr>
        <w:t> </w:t>
      </w:r>
      <w:r>
        <w:rPr>
          <w:color w:val="1B1B22"/>
        </w:rPr>
        <w:t>international</w:t>
      </w:r>
      <w:r>
        <w:rPr>
          <w:color w:val="1B1B22"/>
          <w:spacing w:val="-13"/>
        </w:rPr>
        <w:t> </w:t>
      </w:r>
      <w:r>
        <w:rPr>
          <w:color w:val="1B1B22"/>
        </w:rPr>
        <w:t>coverage,</w:t>
      </w:r>
      <w:r>
        <w:rPr>
          <w:color w:val="1B1B22"/>
          <w:spacing w:val="-11"/>
        </w:rPr>
        <w:t> </w:t>
      </w:r>
      <w:r>
        <w:rPr>
          <w:color w:val="1B1B22"/>
        </w:rPr>
        <w:t>in corporate banking offices, platforms and middle office structures.</w:t>
      </w:r>
    </w:p>
    <w:p>
      <w:pPr>
        <w:pStyle w:val="BodyText"/>
        <w:spacing w:line="321" w:lineRule="auto" w:before="116"/>
        <w:ind w:left="667" w:right="569"/>
      </w:pPr>
      <w:r>
        <w:rPr/>
        <mc:AlternateContent>
          <mc:Choice Requires="wps">
            <w:drawing>
              <wp:anchor distT="0" distB="0" distL="0" distR="0" allowOverlap="1" layoutInCell="1" locked="0" behindDoc="1" simplePos="0" relativeHeight="487272448">
                <wp:simplePos x="0" y="0"/>
                <wp:positionH relativeFrom="page">
                  <wp:posOffset>3848100</wp:posOffset>
                </wp:positionH>
                <wp:positionV relativeFrom="paragraph">
                  <wp:posOffset>1771416</wp:posOffset>
                </wp:positionV>
                <wp:extent cx="3460115" cy="2978150"/>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3460115" cy="2978150"/>
                        </a:xfrm>
                        <a:prstGeom prst="rect">
                          <a:avLst/>
                        </a:prstGeom>
                        <a:solidFill>
                          <a:srgbClr val="FFEB8D"/>
                        </a:solidFill>
                      </wps:spPr>
                      <wps:txbx>
                        <w:txbxContent>
                          <w:p>
                            <w:pPr>
                              <w:pStyle w:val="BodyText"/>
                              <w:spacing w:line="321" w:lineRule="auto" w:before="170"/>
                              <w:ind w:left="247" w:right="450"/>
                              <w:rPr>
                                <w:color w:val="000000"/>
                              </w:rPr>
                            </w:pPr>
                            <w:r>
                              <w:rPr>
                                <w:color w:val="1B1B22"/>
                              </w:rPr>
                              <w:t>To strengthen the financial education of children and adolescents, in August 2024, we launched “Meu Cash”, a solution developed for the BB Cash account that allows customers to know their </w:t>
                            </w:r>
                            <w:r>
                              <w:rPr>
                                <w:color w:val="1B1B22"/>
                                <w:spacing w:val="-2"/>
                              </w:rPr>
                              <w:t>expenses</w:t>
                            </w:r>
                            <w:r>
                              <w:rPr>
                                <w:color w:val="1B1B22"/>
                                <w:spacing w:val="-5"/>
                              </w:rPr>
                              <w:t> </w:t>
                            </w:r>
                            <w:r>
                              <w:rPr>
                                <w:color w:val="1B1B22"/>
                                <w:spacing w:val="-2"/>
                              </w:rPr>
                              <w:t>in</w:t>
                            </w:r>
                            <w:r>
                              <w:rPr>
                                <w:color w:val="1B1B22"/>
                                <w:spacing w:val="-3"/>
                              </w:rPr>
                              <w:t> </w:t>
                            </w:r>
                            <w:r>
                              <w:rPr>
                                <w:color w:val="1B1B22"/>
                                <w:spacing w:val="-2"/>
                              </w:rPr>
                              <w:t>different</w:t>
                            </w:r>
                            <w:r>
                              <w:rPr>
                                <w:color w:val="1B1B22"/>
                                <w:spacing w:val="-4"/>
                              </w:rPr>
                              <w:t> </w:t>
                            </w:r>
                            <w:r>
                              <w:rPr>
                                <w:color w:val="1B1B22"/>
                                <w:spacing w:val="-2"/>
                              </w:rPr>
                              <w:t>categories</w:t>
                            </w:r>
                            <w:r>
                              <w:rPr>
                                <w:color w:val="1B1B22"/>
                                <w:spacing w:val="-5"/>
                              </w:rPr>
                              <w:t> </w:t>
                            </w:r>
                            <w:r>
                              <w:rPr>
                                <w:color w:val="1B1B22"/>
                                <w:spacing w:val="-2"/>
                              </w:rPr>
                              <w:t>to</w:t>
                            </w:r>
                            <w:r>
                              <w:rPr>
                                <w:color w:val="1B1B22"/>
                                <w:spacing w:val="-4"/>
                              </w:rPr>
                              <w:t> </w:t>
                            </w:r>
                            <w:r>
                              <w:rPr>
                                <w:color w:val="1B1B22"/>
                                <w:spacing w:val="-2"/>
                              </w:rPr>
                              <w:t>plan</w:t>
                            </w:r>
                            <w:r>
                              <w:rPr>
                                <w:color w:val="1B1B22"/>
                                <w:spacing w:val="-4"/>
                              </w:rPr>
                              <w:t> </w:t>
                            </w:r>
                            <w:r>
                              <w:rPr>
                                <w:color w:val="1B1B22"/>
                                <w:spacing w:val="-2"/>
                              </w:rPr>
                              <w:t>financially. </w:t>
                            </w:r>
                            <w:r>
                              <w:rPr>
                                <w:color w:val="1B1B22"/>
                              </w:rPr>
                              <w:t>There</w:t>
                            </w:r>
                            <w:r>
                              <w:rPr>
                                <w:color w:val="1B1B22"/>
                                <w:spacing w:val="-4"/>
                              </w:rPr>
                              <w:t> </w:t>
                            </w:r>
                            <w:r>
                              <w:rPr>
                                <w:color w:val="1B1B22"/>
                              </w:rPr>
                              <w:t>are</w:t>
                            </w:r>
                            <w:r>
                              <w:rPr>
                                <w:color w:val="1B1B22"/>
                                <w:spacing w:val="-5"/>
                              </w:rPr>
                              <w:t> </w:t>
                            </w:r>
                            <w:r>
                              <w:rPr>
                                <w:color w:val="1B1B22"/>
                              </w:rPr>
                              <w:t>already</w:t>
                            </w:r>
                            <w:r>
                              <w:rPr>
                                <w:color w:val="1B1B22"/>
                                <w:spacing w:val="-5"/>
                              </w:rPr>
                              <w:t> </w:t>
                            </w:r>
                            <w:r>
                              <w:rPr>
                                <w:color w:val="1B1B22"/>
                              </w:rPr>
                              <w:t>1.1</w:t>
                            </w:r>
                            <w:r>
                              <w:rPr>
                                <w:color w:val="1B1B22"/>
                                <w:spacing w:val="-4"/>
                              </w:rPr>
                              <w:t> </w:t>
                            </w:r>
                            <w:r>
                              <w:rPr>
                                <w:color w:val="1B1B22"/>
                              </w:rPr>
                              <w:t>million</w:t>
                            </w:r>
                            <w:r>
                              <w:rPr>
                                <w:color w:val="1B1B22"/>
                                <w:spacing w:val="-5"/>
                              </w:rPr>
                              <w:t> </w:t>
                            </w:r>
                            <w:r>
                              <w:rPr>
                                <w:color w:val="1B1B22"/>
                              </w:rPr>
                              <w:t>customers</w:t>
                            </w:r>
                            <w:r>
                              <w:rPr>
                                <w:color w:val="1B1B22"/>
                                <w:spacing w:val="-5"/>
                              </w:rPr>
                              <w:t> </w:t>
                            </w:r>
                            <w:r>
                              <w:rPr>
                                <w:color w:val="1B1B22"/>
                              </w:rPr>
                              <w:t>between</w:t>
                            </w:r>
                            <w:r>
                              <w:rPr>
                                <w:color w:val="1B1B22"/>
                                <w:spacing w:val="-4"/>
                              </w:rPr>
                              <w:t> </w:t>
                            </w:r>
                            <w:r>
                              <w:rPr>
                                <w:color w:val="1B1B22"/>
                              </w:rPr>
                              <w:t>0 and 17 years old, with around 30% of all children and teenagers using BB Cash. These </w:t>
                            </w:r>
                            <w:r>
                              <w:rPr>
                                <w:color w:val="1B1B22"/>
                              </w:rPr>
                              <w:t>customers show engagement above 95%, with card usage above 70% and transactions via Pix above 67%. Furthermore, 30% of these customers have some </w:t>
                            </w:r>
                            <w:r>
                              <w:rPr>
                                <w:color w:val="1B1B22"/>
                                <w:spacing w:val="-2"/>
                              </w:rPr>
                              <w:t>type</w:t>
                            </w:r>
                            <w:r>
                              <w:rPr>
                                <w:color w:val="1B1B22"/>
                                <w:spacing w:val="-7"/>
                              </w:rPr>
                              <w:t> </w:t>
                            </w:r>
                            <w:r>
                              <w:rPr>
                                <w:color w:val="1B1B22"/>
                                <w:spacing w:val="-2"/>
                              </w:rPr>
                              <w:t>of</w:t>
                            </w:r>
                            <w:r>
                              <w:rPr>
                                <w:color w:val="1B1B22"/>
                                <w:spacing w:val="-8"/>
                              </w:rPr>
                              <w:t> </w:t>
                            </w:r>
                            <w:r>
                              <w:rPr>
                                <w:color w:val="1B1B22"/>
                                <w:spacing w:val="-2"/>
                              </w:rPr>
                              <w:t>financial</w:t>
                            </w:r>
                            <w:r>
                              <w:rPr>
                                <w:color w:val="1B1B22"/>
                                <w:spacing w:val="-6"/>
                              </w:rPr>
                              <w:t> </w:t>
                            </w:r>
                            <w:r>
                              <w:rPr>
                                <w:color w:val="1B1B22"/>
                                <w:spacing w:val="-2"/>
                              </w:rPr>
                              <w:t>investment,</w:t>
                            </w:r>
                            <w:r>
                              <w:rPr>
                                <w:color w:val="1B1B22"/>
                                <w:spacing w:val="-7"/>
                              </w:rPr>
                              <w:t> </w:t>
                            </w:r>
                            <w:r>
                              <w:rPr>
                                <w:color w:val="1B1B22"/>
                                <w:spacing w:val="-2"/>
                              </w:rPr>
                              <w:t>with</w:t>
                            </w:r>
                            <w:r>
                              <w:rPr>
                                <w:color w:val="1B1B22"/>
                                <w:spacing w:val="-8"/>
                              </w:rPr>
                              <w:t> </w:t>
                            </w:r>
                            <w:r>
                              <w:rPr>
                                <w:color w:val="1B1B22"/>
                                <w:spacing w:val="-2"/>
                              </w:rPr>
                              <w:t>an</w:t>
                            </w:r>
                            <w:r>
                              <w:rPr>
                                <w:color w:val="1B1B22"/>
                                <w:spacing w:val="-6"/>
                              </w:rPr>
                              <w:t> </w:t>
                            </w:r>
                            <w:r>
                              <w:rPr>
                                <w:color w:val="1B1B22"/>
                                <w:spacing w:val="-2"/>
                              </w:rPr>
                              <w:t>average</w:t>
                            </w:r>
                            <w:r>
                              <w:rPr>
                                <w:color w:val="1B1B22"/>
                                <w:spacing w:val="-6"/>
                              </w:rPr>
                              <w:t> </w:t>
                            </w:r>
                            <w:r>
                              <w:rPr>
                                <w:color w:val="1B1B22"/>
                                <w:spacing w:val="-2"/>
                              </w:rPr>
                              <w:t>ticket </w:t>
                            </w:r>
                            <w:r>
                              <w:rPr>
                                <w:color w:val="1B1B22"/>
                              </w:rPr>
                              <w:t>of R$4,400.</w:t>
                            </w:r>
                          </w:p>
                        </w:txbxContent>
                      </wps:txbx>
                      <wps:bodyPr wrap="square" lIns="0" tIns="0" rIns="0" bIns="0" rtlCol="0">
                        <a:noAutofit/>
                      </wps:bodyPr>
                    </wps:wsp>
                  </a:graphicData>
                </a:graphic>
              </wp:anchor>
            </w:drawing>
          </mc:Choice>
          <mc:Fallback>
            <w:pict>
              <v:shape style="position:absolute;margin-left:303pt;margin-top:139.481598pt;width:272.45pt;height:234.5pt;mso-position-horizontal-relative:page;mso-position-vertical-relative:paragraph;z-index:-16044032" type="#_x0000_t202" id="docshape27" filled="true" fillcolor="#ffeb8d" stroked="false">
                <v:textbox inset="0,0,0,0">
                  <w:txbxContent>
                    <w:p>
                      <w:pPr>
                        <w:pStyle w:val="BodyText"/>
                        <w:spacing w:line="321" w:lineRule="auto" w:before="170"/>
                        <w:ind w:left="247" w:right="450"/>
                        <w:rPr>
                          <w:color w:val="000000"/>
                        </w:rPr>
                      </w:pPr>
                      <w:r>
                        <w:rPr>
                          <w:color w:val="1B1B22"/>
                        </w:rPr>
                        <w:t>To strengthen the financial education of children and adolescents, in August 2024, we launched “Meu Cash”, a solution developed for the BB Cash account that allows customers to know their </w:t>
                      </w:r>
                      <w:r>
                        <w:rPr>
                          <w:color w:val="1B1B22"/>
                          <w:spacing w:val="-2"/>
                        </w:rPr>
                        <w:t>expenses</w:t>
                      </w:r>
                      <w:r>
                        <w:rPr>
                          <w:color w:val="1B1B22"/>
                          <w:spacing w:val="-5"/>
                        </w:rPr>
                        <w:t> </w:t>
                      </w:r>
                      <w:r>
                        <w:rPr>
                          <w:color w:val="1B1B22"/>
                          <w:spacing w:val="-2"/>
                        </w:rPr>
                        <w:t>in</w:t>
                      </w:r>
                      <w:r>
                        <w:rPr>
                          <w:color w:val="1B1B22"/>
                          <w:spacing w:val="-3"/>
                        </w:rPr>
                        <w:t> </w:t>
                      </w:r>
                      <w:r>
                        <w:rPr>
                          <w:color w:val="1B1B22"/>
                          <w:spacing w:val="-2"/>
                        </w:rPr>
                        <w:t>different</w:t>
                      </w:r>
                      <w:r>
                        <w:rPr>
                          <w:color w:val="1B1B22"/>
                          <w:spacing w:val="-4"/>
                        </w:rPr>
                        <w:t> </w:t>
                      </w:r>
                      <w:r>
                        <w:rPr>
                          <w:color w:val="1B1B22"/>
                          <w:spacing w:val="-2"/>
                        </w:rPr>
                        <w:t>categories</w:t>
                      </w:r>
                      <w:r>
                        <w:rPr>
                          <w:color w:val="1B1B22"/>
                          <w:spacing w:val="-5"/>
                        </w:rPr>
                        <w:t> </w:t>
                      </w:r>
                      <w:r>
                        <w:rPr>
                          <w:color w:val="1B1B22"/>
                          <w:spacing w:val="-2"/>
                        </w:rPr>
                        <w:t>to</w:t>
                      </w:r>
                      <w:r>
                        <w:rPr>
                          <w:color w:val="1B1B22"/>
                          <w:spacing w:val="-4"/>
                        </w:rPr>
                        <w:t> </w:t>
                      </w:r>
                      <w:r>
                        <w:rPr>
                          <w:color w:val="1B1B22"/>
                          <w:spacing w:val="-2"/>
                        </w:rPr>
                        <w:t>plan</w:t>
                      </w:r>
                      <w:r>
                        <w:rPr>
                          <w:color w:val="1B1B22"/>
                          <w:spacing w:val="-4"/>
                        </w:rPr>
                        <w:t> </w:t>
                      </w:r>
                      <w:r>
                        <w:rPr>
                          <w:color w:val="1B1B22"/>
                          <w:spacing w:val="-2"/>
                        </w:rPr>
                        <w:t>financially. </w:t>
                      </w:r>
                      <w:r>
                        <w:rPr>
                          <w:color w:val="1B1B22"/>
                        </w:rPr>
                        <w:t>There</w:t>
                      </w:r>
                      <w:r>
                        <w:rPr>
                          <w:color w:val="1B1B22"/>
                          <w:spacing w:val="-4"/>
                        </w:rPr>
                        <w:t> </w:t>
                      </w:r>
                      <w:r>
                        <w:rPr>
                          <w:color w:val="1B1B22"/>
                        </w:rPr>
                        <w:t>are</w:t>
                      </w:r>
                      <w:r>
                        <w:rPr>
                          <w:color w:val="1B1B22"/>
                          <w:spacing w:val="-5"/>
                        </w:rPr>
                        <w:t> </w:t>
                      </w:r>
                      <w:r>
                        <w:rPr>
                          <w:color w:val="1B1B22"/>
                        </w:rPr>
                        <w:t>already</w:t>
                      </w:r>
                      <w:r>
                        <w:rPr>
                          <w:color w:val="1B1B22"/>
                          <w:spacing w:val="-5"/>
                        </w:rPr>
                        <w:t> </w:t>
                      </w:r>
                      <w:r>
                        <w:rPr>
                          <w:color w:val="1B1B22"/>
                        </w:rPr>
                        <w:t>1.1</w:t>
                      </w:r>
                      <w:r>
                        <w:rPr>
                          <w:color w:val="1B1B22"/>
                          <w:spacing w:val="-4"/>
                        </w:rPr>
                        <w:t> </w:t>
                      </w:r>
                      <w:r>
                        <w:rPr>
                          <w:color w:val="1B1B22"/>
                        </w:rPr>
                        <w:t>million</w:t>
                      </w:r>
                      <w:r>
                        <w:rPr>
                          <w:color w:val="1B1B22"/>
                          <w:spacing w:val="-5"/>
                        </w:rPr>
                        <w:t> </w:t>
                      </w:r>
                      <w:r>
                        <w:rPr>
                          <w:color w:val="1B1B22"/>
                        </w:rPr>
                        <w:t>customers</w:t>
                      </w:r>
                      <w:r>
                        <w:rPr>
                          <w:color w:val="1B1B22"/>
                          <w:spacing w:val="-5"/>
                        </w:rPr>
                        <w:t> </w:t>
                      </w:r>
                      <w:r>
                        <w:rPr>
                          <w:color w:val="1B1B22"/>
                        </w:rPr>
                        <w:t>between</w:t>
                      </w:r>
                      <w:r>
                        <w:rPr>
                          <w:color w:val="1B1B22"/>
                          <w:spacing w:val="-4"/>
                        </w:rPr>
                        <w:t> </w:t>
                      </w:r>
                      <w:r>
                        <w:rPr>
                          <w:color w:val="1B1B22"/>
                        </w:rPr>
                        <w:t>0 and 17 years old, with around 30% of all children and teenagers using BB Cash. These </w:t>
                      </w:r>
                      <w:r>
                        <w:rPr>
                          <w:color w:val="1B1B22"/>
                        </w:rPr>
                        <w:t>customers show engagement above 95%, with card usage above 70% and transactions via Pix above 67%. Furthermore, 30% of these customers have some </w:t>
                      </w:r>
                      <w:r>
                        <w:rPr>
                          <w:color w:val="1B1B22"/>
                          <w:spacing w:val="-2"/>
                        </w:rPr>
                        <w:t>type</w:t>
                      </w:r>
                      <w:r>
                        <w:rPr>
                          <w:color w:val="1B1B22"/>
                          <w:spacing w:val="-7"/>
                        </w:rPr>
                        <w:t> </w:t>
                      </w:r>
                      <w:r>
                        <w:rPr>
                          <w:color w:val="1B1B22"/>
                          <w:spacing w:val="-2"/>
                        </w:rPr>
                        <w:t>of</w:t>
                      </w:r>
                      <w:r>
                        <w:rPr>
                          <w:color w:val="1B1B22"/>
                          <w:spacing w:val="-8"/>
                        </w:rPr>
                        <w:t> </w:t>
                      </w:r>
                      <w:r>
                        <w:rPr>
                          <w:color w:val="1B1B22"/>
                          <w:spacing w:val="-2"/>
                        </w:rPr>
                        <w:t>financial</w:t>
                      </w:r>
                      <w:r>
                        <w:rPr>
                          <w:color w:val="1B1B22"/>
                          <w:spacing w:val="-6"/>
                        </w:rPr>
                        <w:t> </w:t>
                      </w:r>
                      <w:r>
                        <w:rPr>
                          <w:color w:val="1B1B22"/>
                          <w:spacing w:val="-2"/>
                        </w:rPr>
                        <w:t>investment,</w:t>
                      </w:r>
                      <w:r>
                        <w:rPr>
                          <w:color w:val="1B1B22"/>
                          <w:spacing w:val="-7"/>
                        </w:rPr>
                        <w:t> </w:t>
                      </w:r>
                      <w:r>
                        <w:rPr>
                          <w:color w:val="1B1B22"/>
                          <w:spacing w:val="-2"/>
                        </w:rPr>
                        <w:t>with</w:t>
                      </w:r>
                      <w:r>
                        <w:rPr>
                          <w:color w:val="1B1B22"/>
                          <w:spacing w:val="-8"/>
                        </w:rPr>
                        <w:t> </w:t>
                      </w:r>
                      <w:r>
                        <w:rPr>
                          <w:color w:val="1B1B22"/>
                          <w:spacing w:val="-2"/>
                        </w:rPr>
                        <w:t>an</w:t>
                      </w:r>
                      <w:r>
                        <w:rPr>
                          <w:color w:val="1B1B22"/>
                          <w:spacing w:val="-6"/>
                        </w:rPr>
                        <w:t> </w:t>
                      </w:r>
                      <w:r>
                        <w:rPr>
                          <w:color w:val="1B1B22"/>
                          <w:spacing w:val="-2"/>
                        </w:rPr>
                        <w:t>average</w:t>
                      </w:r>
                      <w:r>
                        <w:rPr>
                          <w:color w:val="1B1B22"/>
                          <w:spacing w:val="-6"/>
                        </w:rPr>
                        <w:t> </w:t>
                      </w:r>
                      <w:r>
                        <w:rPr>
                          <w:color w:val="1B1B22"/>
                          <w:spacing w:val="-2"/>
                        </w:rPr>
                        <w:t>ticket </w:t>
                      </w:r>
                      <w:r>
                        <w:rPr>
                          <w:color w:val="1B1B22"/>
                        </w:rPr>
                        <w:t>of R$4,400.</w:t>
                      </w:r>
                    </w:p>
                  </w:txbxContent>
                </v:textbox>
                <v:fill type="solid"/>
                <w10:wrap type="none"/>
              </v:shape>
            </w:pict>
          </mc:Fallback>
        </mc:AlternateContent>
      </w:r>
      <w:r>
        <w:rPr>
          <w:color w:val="1B1B22"/>
        </w:rPr>
        <w:t>Furthermore,</w:t>
      </w:r>
      <w:r>
        <w:rPr>
          <w:color w:val="1B1B22"/>
          <w:spacing w:val="-11"/>
        </w:rPr>
        <w:t> </w:t>
      </w:r>
      <w:r>
        <w:rPr>
          <w:color w:val="1B1B22"/>
        </w:rPr>
        <w:t>we</w:t>
      </w:r>
      <w:r>
        <w:rPr>
          <w:color w:val="1B1B22"/>
          <w:spacing w:val="-11"/>
        </w:rPr>
        <w:t> </w:t>
      </w:r>
      <w:r>
        <w:rPr>
          <w:color w:val="1B1B22"/>
        </w:rPr>
        <w:t>continue</w:t>
      </w:r>
      <w:r>
        <w:rPr>
          <w:color w:val="1B1B22"/>
          <w:spacing w:val="-11"/>
        </w:rPr>
        <w:t> </w:t>
      </w:r>
      <w:r>
        <w:rPr>
          <w:color w:val="1B1B22"/>
        </w:rPr>
        <w:t>to</w:t>
      </w:r>
      <w:r>
        <w:rPr>
          <w:color w:val="1B1B22"/>
          <w:spacing w:val="-10"/>
        </w:rPr>
        <w:t> </w:t>
      </w:r>
      <w:r>
        <w:rPr>
          <w:color w:val="1B1B22"/>
        </w:rPr>
        <w:t>evolve</w:t>
      </w:r>
      <w:r>
        <w:rPr>
          <w:color w:val="1B1B22"/>
          <w:spacing w:val="-11"/>
        </w:rPr>
        <w:t> </w:t>
      </w:r>
      <w:r>
        <w:rPr>
          <w:color w:val="1B1B22"/>
        </w:rPr>
        <w:t>on</w:t>
      </w:r>
      <w:r>
        <w:rPr>
          <w:color w:val="1B1B22"/>
          <w:spacing w:val="-11"/>
        </w:rPr>
        <w:t> </w:t>
      </w:r>
      <w:r>
        <w:rPr>
          <w:color w:val="1B1B22"/>
        </w:rPr>
        <w:t>the</w:t>
      </w:r>
      <w:r>
        <w:rPr>
          <w:color w:val="1B1B22"/>
          <w:spacing w:val="-10"/>
        </w:rPr>
        <w:t> </w:t>
      </w:r>
      <w:r>
        <w:rPr>
          <w:color w:val="1B1B22"/>
        </w:rPr>
        <w:t>Liga</w:t>
      </w:r>
      <w:r>
        <w:rPr>
          <w:color w:val="1B1B22"/>
          <w:spacing w:val="-10"/>
        </w:rPr>
        <w:t> </w:t>
      </w:r>
      <w:r>
        <w:rPr>
          <w:color w:val="1B1B22"/>
        </w:rPr>
        <w:t>PJ platform (ligapj.com.br), a place where any entrepreneur,</w:t>
      </w:r>
      <w:r>
        <w:rPr>
          <w:color w:val="1B1B22"/>
          <w:spacing w:val="-10"/>
        </w:rPr>
        <w:t> </w:t>
      </w:r>
      <w:r>
        <w:rPr>
          <w:color w:val="1B1B22"/>
        </w:rPr>
        <w:t>whether</w:t>
      </w:r>
      <w:r>
        <w:rPr>
          <w:color w:val="1B1B22"/>
          <w:spacing w:val="-9"/>
        </w:rPr>
        <w:t> </w:t>
      </w:r>
      <w:r>
        <w:rPr>
          <w:color w:val="1B1B22"/>
        </w:rPr>
        <w:t>a</w:t>
      </w:r>
      <w:r>
        <w:rPr>
          <w:color w:val="1B1B22"/>
          <w:spacing w:val="-10"/>
        </w:rPr>
        <w:t> </w:t>
      </w:r>
      <w:r>
        <w:rPr>
          <w:color w:val="1B1B22"/>
        </w:rPr>
        <w:t>BB</w:t>
      </w:r>
      <w:r>
        <w:rPr>
          <w:color w:val="1B1B22"/>
          <w:spacing w:val="-9"/>
        </w:rPr>
        <w:t> </w:t>
      </w:r>
      <w:r>
        <w:rPr>
          <w:color w:val="1B1B22"/>
        </w:rPr>
        <w:t>account</w:t>
      </w:r>
      <w:r>
        <w:rPr>
          <w:color w:val="1B1B22"/>
          <w:spacing w:val="-10"/>
        </w:rPr>
        <w:t> </w:t>
      </w:r>
      <w:r>
        <w:rPr>
          <w:color w:val="1B1B22"/>
        </w:rPr>
        <w:t>holder</w:t>
      </w:r>
      <w:r>
        <w:rPr>
          <w:color w:val="1B1B22"/>
          <w:spacing w:val="-9"/>
        </w:rPr>
        <w:t> </w:t>
      </w:r>
      <w:r>
        <w:rPr>
          <w:color w:val="1B1B22"/>
        </w:rPr>
        <w:t>or</w:t>
      </w:r>
      <w:r>
        <w:rPr>
          <w:color w:val="1B1B22"/>
          <w:spacing w:val="-10"/>
        </w:rPr>
        <w:t> </w:t>
      </w:r>
      <w:r>
        <w:rPr>
          <w:color w:val="1B1B22"/>
        </w:rPr>
        <w:t>not, can access content ranging from information to start a business</w:t>
      </w:r>
      <w:r>
        <w:rPr>
          <w:color w:val="1B1B22"/>
          <w:spacing w:val="-1"/>
        </w:rPr>
        <w:t> </w:t>
      </w:r>
      <w:r>
        <w:rPr>
          <w:color w:val="1B1B22"/>
        </w:rPr>
        <w:t>to a more mature moment for the company, expanding its sales. We reached 27 thousand unique customers with more than two million visits.</w:t>
      </w:r>
    </w:p>
    <w:p>
      <w:pPr>
        <w:spacing w:after="0" w:line="321" w:lineRule="auto"/>
        <w:sectPr>
          <w:type w:val="continuous"/>
          <w:pgSz w:w="11910" w:h="16840"/>
          <w:pgMar w:header="152" w:footer="591" w:top="1920" w:bottom="280" w:left="0" w:right="280"/>
          <w:cols w:num="2" w:equalWidth="0">
            <w:col w:w="5601" w:space="40"/>
            <w:col w:w="5989"/>
          </w:cols>
        </w:sectPr>
      </w:pPr>
    </w:p>
    <w:p>
      <w:pPr>
        <w:pStyle w:val="Heading1"/>
        <w:spacing w:before="337"/>
      </w:pPr>
      <w:r>
        <w:rPr>
          <w:color w:val="465EFF"/>
          <w:spacing w:val="29"/>
        </w:rPr>
        <w:t>Technology</w:t>
      </w:r>
      <w:r>
        <w:rPr>
          <w:color w:val="465EFF"/>
          <w:spacing w:val="78"/>
        </w:rPr>
        <w:t> </w:t>
      </w:r>
      <w:r>
        <w:rPr>
          <w:color w:val="465EFF"/>
          <w:spacing w:val="26"/>
        </w:rPr>
        <w:t>and</w:t>
      </w:r>
      <w:r>
        <w:rPr>
          <w:color w:val="465EFF"/>
          <w:spacing w:val="31"/>
          <w:w w:val="150"/>
        </w:rPr>
        <w:t> </w:t>
      </w:r>
      <w:r>
        <w:rPr>
          <w:color w:val="465EFF"/>
          <w:spacing w:val="29"/>
        </w:rPr>
        <w:t>Inovation</w:t>
      </w:r>
    </w:p>
    <w:p>
      <w:pPr>
        <w:pStyle w:val="BodyText"/>
        <w:spacing w:before="12"/>
        <w:ind w:left="0"/>
        <w:jc w:val="left"/>
        <w:rPr>
          <w:rFonts w:ascii="BancoDoBrasil Titulos"/>
          <w:sz w:val="12"/>
        </w:rPr>
      </w:pPr>
    </w:p>
    <w:p>
      <w:pPr>
        <w:spacing w:after="0"/>
        <w:jc w:val="left"/>
        <w:rPr>
          <w:rFonts w:ascii="BancoDoBrasil Titulos"/>
          <w:sz w:val="12"/>
        </w:rPr>
        <w:sectPr>
          <w:headerReference w:type="default" r:id="rId10"/>
          <w:footerReference w:type="default" r:id="rId11"/>
          <w:pgSz w:w="11910" w:h="16840"/>
          <w:pgMar w:header="152" w:footer="591" w:top="900" w:bottom="780" w:left="0" w:right="280"/>
        </w:sectPr>
      </w:pPr>
    </w:p>
    <w:p>
      <w:pPr>
        <w:pStyle w:val="BodyText"/>
        <w:spacing w:line="321" w:lineRule="auto" w:before="79"/>
        <w:ind w:right="96"/>
      </w:pPr>
      <w:r>
        <w:rPr>
          <w:color w:val="1B1B22"/>
        </w:rPr>
        <w:t>Our</w:t>
      </w:r>
      <w:r>
        <w:rPr>
          <w:color w:val="1B1B22"/>
          <w:spacing w:val="-4"/>
        </w:rPr>
        <w:t> </w:t>
      </w:r>
      <w:r>
        <w:rPr>
          <w:color w:val="1B1B22"/>
        </w:rPr>
        <w:t>ability</w:t>
      </w:r>
      <w:r>
        <w:rPr>
          <w:color w:val="1B1B22"/>
          <w:spacing w:val="-4"/>
        </w:rPr>
        <w:t> </w:t>
      </w:r>
      <w:r>
        <w:rPr>
          <w:color w:val="1B1B22"/>
        </w:rPr>
        <w:t>to</w:t>
      </w:r>
      <w:r>
        <w:rPr>
          <w:color w:val="1B1B22"/>
          <w:spacing w:val="-4"/>
        </w:rPr>
        <w:t> </w:t>
      </w:r>
      <w:r>
        <w:rPr>
          <w:color w:val="1B1B22"/>
        </w:rPr>
        <w:t>innovate</w:t>
      </w:r>
      <w:r>
        <w:rPr>
          <w:color w:val="1B1B22"/>
          <w:spacing w:val="-4"/>
        </w:rPr>
        <w:t> </w:t>
      </w:r>
      <w:r>
        <w:rPr>
          <w:color w:val="1B1B22"/>
        </w:rPr>
        <w:t>over</w:t>
      </w:r>
      <w:r>
        <w:rPr>
          <w:color w:val="1B1B22"/>
          <w:spacing w:val="-5"/>
        </w:rPr>
        <w:t> </w:t>
      </w:r>
      <w:r>
        <w:rPr>
          <w:color w:val="1B1B22"/>
        </w:rPr>
        <w:t>the</w:t>
      </w:r>
      <w:r>
        <w:rPr>
          <w:color w:val="1B1B22"/>
          <w:spacing w:val="-5"/>
        </w:rPr>
        <w:t> </w:t>
      </w:r>
      <w:r>
        <w:rPr>
          <w:color w:val="1B1B22"/>
        </w:rPr>
        <w:t>years</w:t>
      </w:r>
      <w:r>
        <w:rPr>
          <w:color w:val="1B1B22"/>
          <w:spacing w:val="-5"/>
        </w:rPr>
        <w:t> </w:t>
      </w:r>
      <w:r>
        <w:rPr>
          <w:color w:val="1B1B22"/>
        </w:rPr>
        <w:t>is</w:t>
      </w:r>
      <w:r>
        <w:rPr>
          <w:color w:val="1B1B22"/>
          <w:spacing w:val="-5"/>
        </w:rPr>
        <w:t> </w:t>
      </w:r>
      <w:r>
        <w:rPr>
          <w:color w:val="1B1B22"/>
        </w:rPr>
        <w:t>one</w:t>
      </w:r>
      <w:r>
        <w:rPr>
          <w:color w:val="1B1B22"/>
          <w:spacing w:val="-4"/>
        </w:rPr>
        <w:t> </w:t>
      </w:r>
      <w:r>
        <w:rPr>
          <w:color w:val="1B1B22"/>
        </w:rPr>
        <w:t>of</w:t>
      </w:r>
      <w:r>
        <w:rPr>
          <w:color w:val="1B1B22"/>
          <w:spacing w:val="-4"/>
        </w:rPr>
        <w:t> </w:t>
      </w:r>
      <w:r>
        <w:rPr>
          <w:color w:val="1B1B22"/>
        </w:rPr>
        <w:t>the factors</w:t>
      </w:r>
      <w:r>
        <w:rPr>
          <w:color w:val="1B1B22"/>
          <w:spacing w:val="-12"/>
        </w:rPr>
        <w:t> </w:t>
      </w:r>
      <w:r>
        <w:rPr>
          <w:color w:val="1B1B22"/>
        </w:rPr>
        <w:t>that</w:t>
      </w:r>
      <w:r>
        <w:rPr>
          <w:color w:val="1B1B22"/>
          <w:spacing w:val="-12"/>
        </w:rPr>
        <w:t> </w:t>
      </w:r>
      <w:r>
        <w:rPr>
          <w:color w:val="1B1B22"/>
        </w:rPr>
        <w:t>has</w:t>
      </w:r>
      <w:r>
        <w:rPr>
          <w:color w:val="1B1B22"/>
          <w:spacing w:val="-12"/>
        </w:rPr>
        <w:t> </w:t>
      </w:r>
      <w:r>
        <w:rPr>
          <w:color w:val="1B1B22"/>
        </w:rPr>
        <w:t>contributed</w:t>
      </w:r>
      <w:r>
        <w:rPr>
          <w:color w:val="1B1B22"/>
          <w:spacing w:val="-11"/>
        </w:rPr>
        <w:t> </w:t>
      </w:r>
      <w:r>
        <w:rPr>
          <w:color w:val="1B1B22"/>
        </w:rPr>
        <w:t>to</w:t>
      </w:r>
      <w:r>
        <w:rPr>
          <w:color w:val="1B1B22"/>
          <w:spacing w:val="-12"/>
        </w:rPr>
        <w:t> </w:t>
      </w:r>
      <w:r>
        <w:rPr>
          <w:color w:val="1B1B22"/>
        </w:rPr>
        <w:t>the</w:t>
      </w:r>
      <w:r>
        <w:rPr>
          <w:color w:val="1B1B22"/>
          <w:spacing w:val="-12"/>
        </w:rPr>
        <w:t> </w:t>
      </w:r>
      <w:r>
        <w:rPr>
          <w:color w:val="1B1B22"/>
        </w:rPr>
        <w:t>construction</w:t>
      </w:r>
      <w:r>
        <w:rPr>
          <w:color w:val="1B1B22"/>
          <w:spacing w:val="-11"/>
        </w:rPr>
        <w:t> </w:t>
      </w:r>
      <w:r>
        <w:rPr>
          <w:color w:val="1B1B22"/>
        </w:rPr>
        <w:t>of our history and the sustainable results we have </w:t>
      </w:r>
      <w:r>
        <w:rPr>
          <w:color w:val="1B1B22"/>
          <w:spacing w:val="-2"/>
        </w:rPr>
        <w:t>achieved.</w:t>
      </w:r>
    </w:p>
    <w:p>
      <w:pPr>
        <w:pStyle w:val="BodyText"/>
        <w:spacing w:line="321" w:lineRule="auto" w:before="118"/>
        <w:ind w:right="98"/>
      </w:pPr>
      <w:r>
        <w:rPr>
          <w:color w:val="1B1B22"/>
        </w:rPr>
        <w:t>Our technology is structured on enabling platforms, including Analytics, Mobile, Artificial Intelligence, LowCode and Cloud, through which we build Banco do Brasil's products and services. This management model allows us to accelerate and scale new technologies, standardize and provide greater quality to deliveries, positively impacting our ability to respond more quickly to market changes and the needs of our customers.</w:t>
      </w:r>
    </w:p>
    <w:p>
      <w:pPr>
        <w:pStyle w:val="BodyText"/>
        <w:spacing w:before="43"/>
        <w:ind w:left="0"/>
        <w:jc w:val="left"/>
      </w:pPr>
    </w:p>
    <w:p>
      <w:pPr>
        <w:pStyle w:val="BodyText"/>
        <w:ind w:left="681" w:right="-87"/>
        <w:jc w:val="left"/>
      </w:pPr>
      <w:r>
        <w:rPr/>
        <w:drawing>
          <wp:inline distT="0" distB="0" distL="0" distR="0">
            <wp:extent cx="3210810" cy="1806321"/>
            <wp:effectExtent l="0" t="0" r="0" b="0"/>
            <wp:docPr id="34" name="Image 34" descr="Homem com os braços abertos  Descrição gerada automaticamente com confiança baixa"/>
            <wp:cNvGraphicFramePr>
              <a:graphicFrameLocks/>
            </wp:cNvGraphicFramePr>
            <a:graphic>
              <a:graphicData uri="http://schemas.openxmlformats.org/drawingml/2006/picture">
                <pic:pic>
                  <pic:nvPicPr>
                    <pic:cNvPr id="34" name="Image 34" descr="Homem com os braços abertos  Descrição gerada automaticamente com confiança baixa"/>
                    <pic:cNvPicPr/>
                  </pic:nvPicPr>
                  <pic:blipFill>
                    <a:blip r:embed="rId12" cstate="print"/>
                    <a:stretch>
                      <a:fillRect/>
                    </a:stretch>
                  </pic:blipFill>
                  <pic:spPr>
                    <a:xfrm>
                      <a:off x="0" y="0"/>
                      <a:ext cx="3210810" cy="1806321"/>
                    </a:xfrm>
                    <a:prstGeom prst="rect">
                      <a:avLst/>
                    </a:prstGeom>
                  </pic:spPr>
                </pic:pic>
              </a:graphicData>
            </a:graphic>
          </wp:inline>
        </w:drawing>
      </w:r>
      <w:r>
        <w:rPr/>
      </w:r>
    </w:p>
    <w:p>
      <w:pPr>
        <w:pStyle w:val="BodyText"/>
        <w:spacing w:line="321" w:lineRule="auto" w:before="149"/>
        <w:ind w:right="97"/>
      </w:pPr>
      <w:r>
        <w:rPr>
          <w:color w:val="1B1B22"/>
        </w:rPr>
        <w:t>This strategy is complementary to the continuous escalation of a more integrated work model between all areas of BB, which continues to expand,</w:t>
      </w:r>
      <w:r>
        <w:rPr>
          <w:color w:val="1B1B22"/>
          <w:spacing w:val="-13"/>
        </w:rPr>
        <w:t> </w:t>
      </w:r>
      <w:r>
        <w:rPr>
          <w:color w:val="1B1B22"/>
        </w:rPr>
        <w:t>supported</w:t>
      </w:r>
      <w:r>
        <w:rPr>
          <w:color w:val="1B1B22"/>
          <w:spacing w:val="-12"/>
        </w:rPr>
        <w:t> </w:t>
      </w:r>
      <w:r>
        <w:rPr>
          <w:color w:val="1B1B22"/>
        </w:rPr>
        <w:t>by</w:t>
      </w:r>
      <w:r>
        <w:rPr>
          <w:color w:val="1B1B22"/>
          <w:spacing w:val="-13"/>
        </w:rPr>
        <w:t> </w:t>
      </w:r>
      <w:r>
        <w:rPr>
          <w:color w:val="1B1B22"/>
        </w:rPr>
        <w:t>our</w:t>
      </w:r>
      <w:r>
        <w:rPr>
          <w:color w:val="1B1B22"/>
          <w:spacing w:val="-12"/>
        </w:rPr>
        <w:t> </w:t>
      </w:r>
      <w:r>
        <w:rPr>
          <w:color w:val="1B1B22"/>
        </w:rPr>
        <w:t>cultural</w:t>
      </w:r>
      <w:r>
        <w:rPr>
          <w:color w:val="1B1B22"/>
          <w:spacing w:val="-12"/>
        </w:rPr>
        <w:t> </w:t>
      </w:r>
      <w:r>
        <w:rPr>
          <w:color w:val="1B1B22"/>
        </w:rPr>
        <w:t>transformation. We have solutions that impact the customer experience and enable business and results. We carried out more than 3 trillion IT transactions in 2024.</w:t>
      </w:r>
      <w:r>
        <w:rPr>
          <w:color w:val="1B1B22"/>
          <w:spacing w:val="-8"/>
        </w:rPr>
        <w:t> </w:t>
      </w:r>
      <w:r>
        <w:rPr>
          <w:color w:val="1B1B22"/>
        </w:rPr>
        <w:t>Over</w:t>
      </w:r>
      <w:r>
        <w:rPr>
          <w:color w:val="1B1B22"/>
          <w:spacing w:val="-8"/>
        </w:rPr>
        <w:t> </w:t>
      </w:r>
      <w:r>
        <w:rPr>
          <w:color w:val="1B1B22"/>
        </w:rPr>
        <w:t>300</w:t>
      </w:r>
      <w:r>
        <w:rPr>
          <w:color w:val="1B1B22"/>
          <w:spacing w:val="-8"/>
        </w:rPr>
        <w:t> </w:t>
      </w:r>
      <w:r>
        <w:rPr>
          <w:color w:val="1B1B22"/>
        </w:rPr>
        <w:t>deployments</w:t>
      </w:r>
      <w:r>
        <w:rPr>
          <w:color w:val="1B1B22"/>
          <w:spacing w:val="-8"/>
        </w:rPr>
        <w:t> </w:t>
      </w:r>
      <w:r>
        <w:rPr>
          <w:color w:val="1B1B22"/>
        </w:rPr>
        <w:t>per</w:t>
      </w:r>
      <w:r>
        <w:rPr>
          <w:color w:val="1B1B22"/>
          <w:spacing w:val="-8"/>
        </w:rPr>
        <w:t> </w:t>
      </w:r>
      <w:r>
        <w:rPr>
          <w:color w:val="1B1B22"/>
        </w:rPr>
        <w:t>day</w:t>
      </w:r>
      <w:r>
        <w:rPr>
          <w:color w:val="1B1B22"/>
          <w:spacing w:val="-8"/>
        </w:rPr>
        <w:t> </w:t>
      </w:r>
      <w:r>
        <w:rPr>
          <w:color w:val="1B1B22"/>
        </w:rPr>
        <w:t>and</w:t>
      </w:r>
      <w:r>
        <w:rPr>
          <w:color w:val="1B1B22"/>
          <w:spacing w:val="-8"/>
        </w:rPr>
        <w:t> </w:t>
      </w:r>
      <w:r>
        <w:rPr>
          <w:color w:val="1B1B22"/>
        </w:rPr>
        <w:t>in</w:t>
      </w:r>
      <w:r>
        <w:rPr>
          <w:color w:val="1B1B22"/>
          <w:spacing w:val="-8"/>
        </w:rPr>
        <w:t> </w:t>
      </w:r>
      <w:r>
        <w:rPr>
          <w:color w:val="1B1B22"/>
        </w:rPr>
        <w:t>terms of automated tests, there were more than 520 thousand, with the purpose of guaranteeing the quality of the technological solutions provided, customer satisfaction and recognition.</w:t>
      </w:r>
    </w:p>
    <w:p>
      <w:pPr>
        <w:pStyle w:val="BodyText"/>
        <w:spacing w:before="112"/>
        <w:rPr>
          <w:rFonts w:ascii="BancoDoBrasil Textos Medium"/>
          <w:b w:val="0"/>
        </w:rPr>
      </w:pPr>
      <w:r>
        <w:rPr>
          <w:rFonts w:ascii="BancoDoBrasil Textos Medium"/>
          <w:b w:val="0"/>
          <w:color w:val="465EFF"/>
        </w:rPr>
        <w:t>Artificial</w:t>
      </w:r>
      <w:r>
        <w:rPr>
          <w:rFonts w:ascii="BancoDoBrasil Textos Medium"/>
          <w:b w:val="0"/>
          <w:color w:val="465EFF"/>
          <w:spacing w:val="-10"/>
        </w:rPr>
        <w:t> </w:t>
      </w:r>
      <w:r>
        <w:rPr>
          <w:rFonts w:ascii="BancoDoBrasil Textos Medium"/>
          <w:b w:val="0"/>
          <w:color w:val="465EFF"/>
        </w:rPr>
        <w:t>Intelligence</w:t>
      </w:r>
      <w:r>
        <w:rPr>
          <w:rFonts w:ascii="BancoDoBrasil Textos Medium"/>
          <w:b w:val="0"/>
          <w:color w:val="465EFF"/>
          <w:spacing w:val="-8"/>
        </w:rPr>
        <w:t> </w:t>
      </w:r>
      <w:r>
        <w:rPr>
          <w:rFonts w:ascii="BancoDoBrasil Textos Medium"/>
          <w:b w:val="0"/>
          <w:color w:val="465EFF"/>
        </w:rPr>
        <w:t>and</w:t>
      </w:r>
      <w:r>
        <w:rPr>
          <w:rFonts w:ascii="BancoDoBrasil Textos Medium"/>
          <w:b w:val="0"/>
          <w:color w:val="465EFF"/>
          <w:spacing w:val="-11"/>
        </w:rPr>
        <w:t> </w:t>
      </w:r>
      <w:r>
        <w:rPr>
          <w:rFonts w:ascii="BancoDoBrasil Textos Medium"/>
          <w:b w:val="0"/>
          <w:color w:val="465EFF"/>
          <w:spacing w:val="-2"/>
        </w:rPr>
        <w:t>Analytics</w:t>
      </w:r>
    </w:p>
    <w:p>
      <w:pPr>
        <w:pStyle w:val="BodyText"/>
        <w:spacing w:line="321" w:lineRule="auto" w:before="207"/>
        <w:ind w:right="96"/>
      </w:pPr>
      <w:r>
        <w:rPr>
          <w:color w:val="1B1B22"/>
          <w:spacing w:val="-2"/>
        </w:rPr>
        <w:t>We</w:t>
      </w:r>
      <w:r>
        <w:rPr>
          <w:color w:val="1B1B22"/>
          <w:spacing w:val="-11"/>
        </w:rPr>
        <w:t> </w:t>
      </w:r>
      <w:r>
        <w:rPr>
          <w:color w:val="1B1B22"/>
          <w:spacing w:val="-2"/>
        </w:rPr>
        <w:t>enable</w:t>
      </w:r>
      <w:r>
        <w:rPr>
          <w:color w:val="1B1B22"/>
          <w:spacing w:val="-10"/>
        </w:rPr>
        <w:t> </w:t>
      </w:r>
      <w:r>
        <w:rPr>
          <w:color w:val="1B1B22"/>
          <w:spacing w:val="-2"/>
        </w:rPr>
        <w:t>new</w:t>
      </w:r>
      <w:r>
        <w:rPr>
          <w:color w:val="1B1B22"/>
          <w:spacing w:val="-10"/>
        </w:rPr>
        <w:t> </w:t>
      </w:r>
      <w:r>
        <w:rPr>
          <w:color w:val="1B1B22"/>
          <w:spacing w:val="-2"/>
        </w:rPr>
        <w:t>businesses</w:t>
      </w:r>
      <w:r>
        <w:rPr>
          <w:color w:val="1B1B22"/>
          <w:spacing w:val="-11"/>
        </w:rPr>
        <w:t> </w:t>
      </w:r>
      <w:r>
        <w:rPr>
          <w:color w:val="1B1B22"/>
          <w:spacing w:val="-2"/>
        </w:rPr>
        <w:t>and</w:t>
      </w:r>
      <w:r>
        <w:rPr>
          <w:color w:val="1B1B22"/>
          <w:spacing w:val="-10"/>
        </w:rPr>
        <w:t> </w:t>
      </w:r>
      <w:r>
        <w:rPr>
          <w:color w:val="1B1B22"/>
          <w:spacing w:val="-2"/>
        </w:rPr>
        <w:t>innovations</w:t>
      </w:r>
      <w:r>
        <w:rPr>
          <w:color w:val="1B1B22"/>
          <w:spacing w:val="-10"/>
        </w:rPr>
        <w:t> </w:t>
      </w:r>
      <w:r>
        <w:rPr>
          <w:color w:val="1B1B22"/>
          <w:spacing w:val="-2"/>
        </w:rPr>
        <w:t>through </w:t>
      </w:r>
      <w:r>
        <w:rPr>
          <w:color w:val="1B1B22"/>
        </w:rPr>
        <w:t>the Companies Value Chain solution, we bring together</w:t>
      </w:r>
      <w:r>
        <w:rPr>
          <w:color w:val="1B1B22"/>
          <w:spacing w:val="44"/>
        </w:rPr>
        <w:t> </w:t>
      </w:r>
      <w:r>
        <w:rPr>
          <w:color w:val="1B1B22"/>
        </w:rPr>
        <w:t>suppliers</w:t>
      </w:r>
      <w:r>
        <w:rPr>
          <w:color w:val="1B1B22"/>
          <w:spacing w:val="44"/>
        </w:rPr>
        <w:t> </w:t>
      </w:r>
      <w:r>
        <w:rPr>
          <w:color w:val="1B1B22"/>
        </w:rPr>
        <w:t>and</w:t>
      </w:r>
      <w:r>
        <w:rPr>
          <w:color w:val="1B1B22"/>
          <w:spacing w:val="44"/>
        </w:rPr>
        <w:t> </w:t>
      </w:r>
      <w:r>
        <w:rPr>
          <w:color w:val="1B1B22"/>
        </w:rPr>
        <w:t>buyers</w:t>
      </w:r>
      <w:r>
        <w:rPr>
          <w:color w:val="1B1B22"/>
          <w:spacing w:val="44"/>
        </w:rPr>
        <w:t> </w:t>
      </w:r>
      <w:r>
        <w:rPr>
          <w:color w:val="1B1B22"/>
        </w:rPr>
        <w:t>to</w:t>
      </w:r>
      <w:r>
        <w:rPr>
          <w:color w:val="1B1B22"/>
          <w:spacing w:val="44"/>
        </w:rPr>
        <w:t> </w:t>
      </w:r>
      <w:r>
        <w:rPr>
          <w:color w:val="1B1B22"/>
        </w:rPr>
        <w:t>conduct</w:t>
      </w:r>
      <w:r>
        <w:rPr>
          <w:color w:val="1B1B22"/>
          <w:spacing w:val="45"/>
        </w:rPr>
        <w:t> </w:t>
      </w:r>
      <w:r>
        <w:rPr>
          <w:color w:val="1B1B22"/>
          <w:spacing w:val="-4"/>
        </w:rPr>
        <w:t>good</w:t>
      </w:r>
    </w:p>
    <w:p>
      <w:pPr>
        <w:pStyle w:val="BodyText"/>
        <w:spacing w:line="321" w:lineRule="auto" w:before="79"/>
        <w:ind w:left="568" w:right="567"/>
      </w:pPr>
      <w:r>
        <w:rPr/>
        <w:br w:type="column"/>
      </w:r>
      <w:r>
        <w:rPr>
          <w:color w:val="1B1B22"/>
        </w:rPr>
        <w:t>and profitable business for all parties. The tool provides relevant elements to support business, such</w:t>
      </w:r>
      <w:r>
        <w:rPr>
          <w:color w:val="1B1B22"/>
          <w:spacing w:val="-13"/>
        </w:rPr>
        <w:t> </w:t>
      </w:r>
      <w:r>
        <w:rPr>
          <w:color w:val="1B1B22"/>
        </w:rPr>
        <w:t>as:</w:t>
      </w:r>
      <w:r>
        <w:rPr>
          <w:color w:val="1B1B22"/>
          <w:spacing w:val="-12"/>
        </w:rPr>
        <w:t> </w:t>
      </w:r>
      <w:r>
        <w:rPr>
          <w:color w:val="1B1B22"/>
        </w:rPr>
        <w:t>links</w:t>
      </w:r>
      <w:r>
        <w:rPr>
          <w:color w:val="1B1B22"/>
          <w:spacing w:val="-13"/>
        </w:rPr>
        <w:t> </w:t>
      </w:r>
      <w:r>
        <w:rPr>
          <w:color w:val="1B1B22"/>
        </w:rPr>
        <w:t>between</w:t>
      </w:r>
      <w:r>
        <w:rPr>
          <w:color w:val="1B1B22"/>
          <w:spacing w:val="-12"/>
        </w:rPr>
        <w:t> </w:t>
      </w:r>
      <w:r>
        <w:rPr>
          <w:color w:val="1B1B22"/>
        </w:rPr>
        <w:t>companies;</w:t>
      </w:r>
      <w:r>
        <w:rPr>
          <w:color w:val="1B1B22"/>
          <w:spacing w:val="-12"/>
        </w:rPr>
        <w:t> </w:t>
      </w:r>
      <w:r>
        <w:rPr>
          <w:color w:val="1B1B22"/>
        </w:rPr>
        <w:t>unique</w:t>
      </w:r>
      <w:r>
        <w:rPr>
          <w:color w:val="1B1B22"/>
          <w:spacing w:val="-13"/>
        </w:rPr>
        <w:t> </w:t>
      </w:r>
      <w:r>
        <w:rPr>
          <w:color w:val="1B1B22"/>
        </w:rPr>
        <w:t>suppliers and buyers; amounts moved by companies; resulting in a database with 3.6 billion records. Since the implementation of the solution, in July/2024, BB has directly benefited more than seven thousand anchor companies, including suppliers and buyers.</w:t>
      </w:r>
    </w:p>
    <w:p>
      <w:pPr>
        <w:pStyle w:val="BodyText"/>
        <w:spacing w:before="115"/>
        <w:ind w:left="568"/>
        <w:jc w:val="left"/>
        <w:rPr>
          <w:rFonts w:ascii="BancoDoBrasil Textos Medium"/>
          <w:b w:val="0"/>
        </w:rPr>
      </w:pPr>
      <w:r>
        <w:rPr>
          <w:rFonts w:ascii="BancoDoBrasil Textos Medium"/>
          <w:b w:val="0"/>
          <w:color w:val="465EFF"/>
          <w:spacing w:val="-5"/>
        </w:rPr>
        <w:t>PIX</w:t>
      </w:r>
    </w:p>
    <w:p>
      <w:pPr>
        <w:pStyle w:val="BodyText"/>
        <w:spacing w:line="321" w:lineRule="auto" w:before="205"/>
        <w:ind w:left="568" w:right="568"/>
      </w:pPr>
      <w:r>
        <w:rPr>
          <w:color w:val="1B1B22"/>
        </w:rPr>
        <w:t>We integrate new business opportunities </w:t>
      </w:r>
      <w:r>
        <w:rPr>
          <w:color w:val="1B1B22"/>
        </w:rPr>
        <w:t>with cutting-edge</w:t>
      </w:r>
      <w:r>
        <w:rPr>
          <w:color w:val="1B1B22"/>
          <w:spacing w:val="-13"/>
        </w:rPr>
        <w:t> </w:t>
      </w:r>
      <w:r>
        <w:rPr>
          <w:color w:val="1B1B22"/>
        </w:rPr>
        <w:t>technology</w:t>
      </w:r>
      <w:r>
        <w:rPr>
          <w:color w:val="1B1B22"/>
          <w:spacing w:val="-12"/>
        </w:rPr>
        <w:t> </w:t>
      </w:r>
      <w:r>
        <w:rPr>
          <w:color w:val="1B1B22"/>
        </w:rPr>
        <w:t>to</w:t>
      </w:r>
      <w:r>
        <w:rPr>
          <w:color w:val="1B1B22"/>
          <w:spacing w:val="-13"/>
        </w:rPr>
        <w:t> </w:t>
      </w:r>
      <w:r>
        <w:rPr>
          <w:color w:val="1B1B22"/>
        </w:rPr>
        <w:t>improve</w:t>
      </w:r>
      <w:r>
        <w:rPr>
          <w:color w:val="1B1B22"/>
          <w:spacing w:val="-12"/>
        </w:rPr>
        <w:t> </w:t>
      </w:r>
      <w:r>
        <w:rPr>
          <w:color w:val="1B1B22"/>
        </w:rPr>
        <w:t>the</w:t>
      </w:r>
      <w:r>
        <w:rPr>
          <w:color w:val="1B1B22"/>
          <w:spacing w:val="-12"/>
        </w:rPr>
        <w:t> </w:t>
      </w:r>
      <w:r>
        <w:rPr>
          <w:color w:val="1B1B22"/>
        </w:rPr>
        <w:t>customer experience. In this third quarter, for example, we carried out a pilot of solutions that expand your business opportunities through BaaS and Pix with </w:t>
      </w:r>
      <w:r>
        <w:rPr>
          <w:color w:val="1B1B22"/>
          <w:spacing w:val="-2"/>
        </w:rPr>
        <w:t>innovative</w:t>
      </w:r>
      <w:r>
        <w:rPr>
          <w:color w:val="1B1B22"/>
          <w:spacing w:val="-7"/>
        </w:rPr>
        <w:t> </w:t>
      </w:r>
      <w:r>
        <w:rPr>
          <w:color w:val="1B1B22"/>
          <w:spacing w:val="-2"/>
        </w:rPr>
        <w:t>solutions,</w:t>
      </w:r>
      <w:r>
        <w:rPr>
          <w:color w:val="1B1B22"/>
          <w:spacing w:val="-6"/>
        </w:rPr>
        <w:t> </w:t>
      </w:r>
      <w:r>
        <w:rPr>
          <w:color w:val="1B1B22"/>
          <w:spacing w:val="-2"/>
        </w:rPr>
        <w:t>such</w:t>
      </w:r>
      <w:r>
        <w:rPr>
          <w:color w:val="1B1B22"/>
          <w:spacing w:val="-6"/>
        </w:rPr>
        <w:t> </w:t>
      </w:r>
      <w:r>
        <w:rPr>
          <w:color w:val="1B1B22"/>
          <w:spacing w:val="-2"/>
        </w:rPr>
        <w:t>as:</w:t>
      </w:r>
      <w:r>
        <w:rPr>
          <w:color w:val="1B1B22"/>
          <w:spacing w:val="-6"/>
        </w:rPr>
        <w:t> </w:t>
      </w:r>
      <w:r>
        <w:rPr>
          <w:color w:val="1B1B22"/>
          <w:spacing w:val="-2"/>
        </w:rPr>
        <w:t>Pix</w:t>
      </w:r>
      <w:r>
        <w:rPr>
          <w:color w:val="1B1B22"/>
          <w:spacing w:val="-6"/>
        </w:rPr>
        <w:t> </w:t>
      </w:r>
      <w:r>
        <w:rPr>
          <w:color w:val="1B1B22"/>
          <w:spacing w:val="-2"/>
        </w:rPr>
        <w:t>by</w:t>
      </w:r>
      <w:r>
        <w:rPr>
          <w:color w:val="1B1B22"/>
          <w:spacing w:val="-6"/>
        </w:rPr>
        <w:t> </w:t>
      </w:r>
      <w:r>
        <w:rPr>
          <w:color w:val="1B1B22"/>
          <w:spacing w:val="-2"/>
        </w:rPr>
        <w:t>approximation, </w:t>
      </w:r>
      <w:r>
        <w:rPr>
          <w:color w:val="1B1B22"/>
        </w:rPr>
        <w:t>Pix on credit cards, Pix on BB Pay.</w:t>
      </w:r>
    </w:p>
    <w:p>
      <w:pPr>
        <w:pStyle w:val="BodyText"/>
        <w:spacing w:before="116"/>
        <w:ind w:left="568"/>
        <w:jc w:val="left"/>
        <w:rPr>
          <w:rFonts w:ascii="BancoDoBrasil Textos Medium"/>
          <w:b w:val="0"/>
        </w:rPr>
      </w:pPr>
      <w:r>
        <w:rPr>
          <w:rFonts w:ascii="BancoDoBrasil Textos Medium"/>
          <w:b w:val="0"/>
          <w:color w:val="465EFF"/>
        </w:rPr>
        <w:t>Digital</w:t>
      </w:r>
      <w:r>
        <w:rPr>
          <w:rFonts w:ascii="BancoDoBrasil Textos Medium"/>
          <w:b w:val="0"/>
          <w:color w:val="465EFF"/>
          <w:spacing w:val="-4"/>
        </w:rPr>
        <w:t> </w:t>
      </w:r>
      <w:r>
        <w:rPr>
          <w:rFonts w:ascii="BancoDoBrasil Textos Medium"/>
          <w:b w:val="0"/>
          <w:color w:val="465EFF"/>
          <w:spacing w:val="-2"/>
        </w:rPr>
        <w:t>Channels</w:t>
      </w:r>
    </w:p>
    <w:p>
      <w:pPr>
        <w:pStyle w:val="BodyText"/>
        <w:spacing w:line="321" w:lineRule="auto" w:before="205"/>
        <w:ind w:left="568" w:right="571"/>
      </w:pPr>
      <w:r>
        <w:rPr>
          <w:color w:val="1B1B22"/>
        </w:rPr>
        <w:t>The</w:t>
      </w:r>
      <w:r>
        <w:rPr>
          <w:color w:val="1B1B22"/>
          <w:spacing w:val="-8"/>
        </w:rPr>
        <w:t> </w:t>
      </w:r>
      <w:r>
        <w:rPr>
          <w:color w:val="1B1B22"/>
        </w:rPr>
        <w:t>use</w:t>
      </w:r>
      <w:r>
        <w:rPr>
          <w:color w:val="1B1B22"/>
          <w:spacing w:val="-8"/>
        </w:rPr>
        <w:t> </w:t>
      </w:r>
      <w:r>
        <w:rPr>
          <w:color w:val="1B1B22"/>
        </w:rPr>
        <w:t>of</w:t>
      </w:r>
      <w:r>
        <w:rPr>
          <w:color w:val="1B1B22"/>
          <w:spacing w:val="-8"/>
        </w:rPr>
        <w:t> </w:t>
      </w:r>
      <w:r>
        <w:rPr>
          <w:color w:val="1B1B22"/>
        </w:rPr>
        <w:t>our</w:t>
      </w:r>
      <w:r>
        <w:rPr>
          <w:color w:val="1B1B22"/>
          <w:spacing w:val="-8"/>
        </w:rPr>
        <w:t> </w:t>
      </w:r>
      <w:r>
        <w:rPr>
          <w:color w:val="1B1B22"/>
        </w:rPr>
        <w:t>digital</w:t>
      </w:r>
      <w:r>
        <w:rPr>
          <w:color w:val="1B1B22"/>
          <w:spacing w:val="-8"/>
        </w:rPr>
        <w:t> </w:t>
      </w:r>
      <w:r>
        <w:rPr>
          <w:color w:val="1B1B22"/>
        </w:rPr>
        <w:t>channels</w:t>
      </w:r>
      <w:r>
        <w:rPr>
          <w:color w:val="1B1B22"/>
          <w:spacing w:val="-8"/>
        </w:rPr>
        <w:t> </w:t>
      </w:r>
      <w:r>
        <w:rPr>
          <w:color w:val="1B1B22"/>
        </w:rPr>
        <w:t>accounts</w:t>
      </w:r>
      <w:r>
        <w:rPr>
          <w:color w:val="1B1B22"/>
          <w:spacing w:val="-8"/>
        </w:rPr>
        <w:t> </w:t>
      </w:r>
      <w:r>
        <w:rPr>
          <w:color w:val="1B1B22"/>
        </w:rPr>
        <w:t>for</w:t>
      </w:r>
      <w:r>
        <w:rPr>
          <w:color w:val="1B1B22"/>
          <w:spacing w:val="-8"/>
        </w:rPr>
        <w:t> </w:t>
      </w:r>
      <w:r>
        <w:rPr>
          <w:color w:val="1B1B22"/>
        </w:rPr>
        <w:t>93.7% of customer transactions, reflecting the global trend towards banking digitization.</w:t>
      </w:r>
    </w:p>
    <w:p>
      <w:pPr>
        <w:pStyle w:val="BodyText"/>
        <w:spacing w:line="321" w:lineRule="auto" w:before="119"/>
        <w:ind w:left="568" w:right="569"/>
      </w:pPr>
      <w:r>
        <w:rPr>
          <w:color w:val="1B1B22"/>
        </w:rPr>
        <w:t>We reached a record 24.2 million users on the BB App in the individual segment. Digital platforms account for 38.6% of personal credit and 27% of service operations, such as investments, account openings and insurance.</w:t>
      </w:r>
    </w:p>
    <w:p>
      <w:pPr>
        <w:pStyle w:val="BodyText"/>
        <w:spacing w:line="321" w:lineRule="auto" w:before="116"/>
        <w:ind w:left="568" w:right="569"/>
      </w:pPr>
      <w:r>
        <w:rPr>
          <w:color w:val="1B1B22"/>
        </w:rPr>
        <w:t>The BB Super App is one of the best rated on the market, positioned among the 10 most popular apps</w:t>
      </w:r>
      <w:r>
        <w:rPr>
          <w:color w:val="1B1B22"/>
          <w:spacing w:val="-9"/>
        </w:rPr>
        <w:t> </w:t>
      </w:r>
      <w:r>
        <w:rPr>
          <w:color w:val="1B1B22"/>
        </w:rPr>
        <w:t>on</w:t>
      </w:r>
      <w:r>
        <w:rPr>
          <w:color w:val="1B1B22"/>
          <w:spacing w:val="-8"/>
        </w:rPr>
        <w:t> </w:t>
      </w:r>
      <w:r>
        <w:rPr>
          <w:color w:val="1B1B22"/>
        </w:rPr>
        <w:t>the</w:t>
      </w:r>
      <w:r>
        <w:rPr>
          <w:color w:val="1B1B22"/>
          <w:spacing w:val="-9"/>
        </w:rPr>
        <w:t> </w:t>
      </w:r>
      <w:r>
        <w:rPr>
          <w:color w:val="1B1B22"/>
        </w:rPr>
        <w:t>home</w:t>
      </w:r>
      <w:r>
        <w:rPr>
          <w:color w:val="1B1B22"/>
          <w:spacing w:val="-8"/>
        </w:rPr>
        <w:t> </w:t>
      </w:r>
      <w:r>
        <w:rPr>
          <w:color w:val="1B1B22"/>
        </w:rPr>
        <w:t>screen</w:t>
      </w:r>
      <w:r>
        <w:rPr>
          <w:color w:val="1B1B22"/>
          <w:spacing w:val="-9"/>
        </w:rPr>
        <w:t> </w:t>
      </w:r>
      <w:r>
        <w:rPr>
          <w:color w:val="1B1B22"/>
        </w:rPr>
        <w:t>of</w:t>
      </w:r>
      <w:r>
        <w:rPr>
          <w:color w:val="1B1B22"/>
          <w:spacing w:val="-8"/>
        </w:rPr>
        <w:t> </w:t>
      </w:r>
      <w:r>
        <w:rPr>
          <w:color w:val="1B1B22"/>
        </w:rPr>
        <w:t>Brazilians'</w:t>
      </w:r>
      <w:r>
        <w:rPr>
          <w:color w:val="1B1B22"/>
          <w:spacing w:val="-8"/>
        </w:rPr>
        <w:t> </w:t>
      </w:r>
      <w:r>
        <w:rPr>
          <w:color w:val="1B1B22"/>
        </w:rPr>
        <w:t>cell</w:t>
      </w:r>
      <w:r>
        <w:rPr>
          <w:color w:val="1B1B22"/>
          <w:spacing w:val="-8"/>
        </w:rPr>
        <w:t> </w:t>
      </w:r>
      <w:r>
        <w:rPr>
          <w:color w:val="1B1B22"/>
        </w:rPr>
        <w:t>phones. In a process of continuous improvement, this quarter, BB implemented an exclusive journey for young people on the BB App, with a modern interface integrated with WhatsApp that, in the pilot phase alone, had more than two million accesses specifically from this audience.</w:t>
      </w:r>
    </w:p>
    <w:p>
      <w:pPr>
        <w:pStyle w:val="BodyText"/>
        <w:spacing w:line="321" w:lineRule="auto" w:before="115"/>
        <w:ind w:left="568" w:right="570"/>
      </w:pPr>
      <w:r>
        <w:rPr>
          <w:color w:val="1B1B22"/>
        </w:rPr>
        <w:t>BB</w:t>
      </w:r>
      <w:r>
        <w:rPr>
          <w:color w:val="1B1B22"/>
          <w:spacing w:val="-1"/>
        </w:rPr>
        <w:t> </w:t>
      </w:r>
      <w:r>
        <w:rPr>
          <w:color w:val="1B1B22"/>
        </w:rPr>
        <w:t>WhatsApp reached 18 million total users, with 98.4% resolution of service requests via bot, without overflow to human service.</w:t>
      </w:r>
    </w:p>
    <w:p>
      <w:pPr>
        <w:spacing w:after="0" w:line="321" w:lineRule="auto"/>
        <w:sectPr>
          <w:type w:val="continuous"/>
          <w:pgSz w:w="11910" w:h="16840"/>
          <w:pgMar w:header="152" w:footer="591" w:top="1920" w:bottom="280" w:left="0" w:right="280"/>
          <w:cols w:num="2" w:equalWidth="0">
            <w:col w:w="5699" w:space="40"/>
            <w:col w:w="5891"/>
          </w:cols>
        </w:sectPr>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spacing w:before="121"/>
        <w:ind w:left="0"/>
        <w:jc w:val="left"/>
      </w:pPr>
    </w:p>
    <w:p>
      <w:pPr>
        <w:spacing w:after="0"/>
        <w:jc w:val="left"/>
        <w:sectPr>
          <w:pgSz w:w="11910" w:h="16840"/>
          <w:pgMar w:header="152" w:footer="591" w:top="900" w:bottom="780" w:left="0" w:right="280"/>
        </w:sectPr>
      </w:pPr>
    </w:p>
    <w:p>
      <w:pPr>
        <w:pStyle w:val="BodyText"/>
        <w:spacing w:line="321" w:lineRule="auto" w:before="79"/>
      </w:pPr>
      <w:r>
        <w:rPr>
          <w:color w:val="1B1B22"/>
        </w:rPr>
        <w:t>BB Pay integrates payment methods </w:t>
      </w:r>
      <w:r>
        <w:rPr>
          <w:color w:val="1B1B22"/>
        </w:rPr>
        <w:t>and functionalities in a single solution, </w:t>
      </w:r>
      <w:r>
        <w:rPr>
          <w:color w:val="1B1B22"/>
        </w:rPr>
        <w:t>contributing convenience and business opportunities for legal entities. In 3Q24, the solution transacted over R$2.3 billion, completing more than 3 </w:t>
      </w:r>
      <w:r>
        <w:rPr>
          <w:color w:val="1B1B22"/>
        </w:rPr>
        <w:t>millio</w:t>
      </w:r>
      <w:r>
        <w:rPr>
          <w:color w:val="1B1B22"/>
        </w:rPr>
        <w:t>n payment</w:t>
      </w:r>
      <w:r>
        <w:rPr>
          <w:color w:val="1B1B22"/>
          <w:spacing w:val="-13"/>
        </w:rPr>
        <w:t> </w:t>
      </w:r>
      <w:r>
        <w:rPr>
          <w:color w:val="1B1B22"/>
        </w:rPr>
        <w:t>transactions,</w:t>
      </w:r>
      <w:r>
        <w:rPr>
          <w:color w:val="1B1B22"/>
          <w:spacing w:val="-12"/>
        </w:rPr>
        <w:t> </w:t>
      </w:r>
      <w:r>
        <w:rPr>
          <w:color w:val="1B1B22"/>
        </w:rPr>
        <w:t>a</w:t>
      </w:r>
      <w:r>
        <w:rPr>
          <w:color w:val="1B1B22"/>
          <w:spacing w:val="-12"/>
        </w:rPr>
        <w:t> </w:t>
      </w:r>
      <w:r>
        <w:rPr>
          <w:color w:val="1B1B22"/>
        </w:rPr>
        <w:t>15%</w:t>
      </w:r>
      <w:r>
        <w:rPr>
          <w:color w:val="1B1B22"/>
          <w:spacing w:val="-12"/>
        </w:rPr>
        <w:t> </w:t>
      </w:r>
      <w:r>
        <w:rPr>
          <w:color w:val="1B1B22"/>
        </w:rPr>
        <w:t>increase</w:t>
      </w:r>
      <w:r>
        <w:rPr>
          <w:color w:val="1B1B22"/>
          <w:spacing w:val="-12"/>
        </w:rPr>
        <w:t> </w:t>
      </w:r>
      <w:r>
        <w:rPr>
          <w:color w:val="1B1B22"/>
        </w:rPr>
        <w:t>compared</w:t>
      </w:r>
      <w:r>
        <w:rPr>
          <w:color w:val="1B1B22"/>
          <w:spacing w:val="-13"/>
        </w:rPr>
        <w:t> </w:t>
      </w:r>
      <w:r>
        <w:rPr>
          <w:color w:val="1B1B22"/>
        </w:rPr>
        <w:t>to 2Q24. The accumulated volume for the </w:t>
      </w:r>
      <w:r>
        <w:rPr>
          <w:color w:val="1B1B22"/>
        </w:rPr>
        <w:t>year already exceeds R$5.8 billion.</w:t>
      </w:r>
    </w:p>
    <w:p>
      <w:pPr>
        <w:pStyle w:val="BodyText"/>
        <w:spacing w:before="114"/>
        <w:rPr>
          <w:rFonts w:ascii="BancoDoBrasil Textos Medium"/>
          <w:b w:val="0"/>
        </w:rPr>
      </w:pPr>
      <w:r>
        <w:rPr>
          <w:rFonts w:ascii="BancoDoBrasil Textos Medium"/>
          <w:b w:val="0"/>
          <w:color w:val="465EFF"/>
        </w:rPr>
        <w:t>Open</w:t>
      </w:r>
      <w:r>
        <w:rPr>
          <w:rFonts w:ascii="BancoDoBrasil Textos Medium"/>
          <w:b w:val="0"/>
          <w:color w:val="465EFF"/>
          <w:spacing w:val="-1"/>
        </w:rPr>
        <w:t> </w:t>
      </w:r>
      <w:r>
        <w:rPr>
          <w:rFonts w:ascii="BancoDoBrasil Textos Medium"/>
          <w:b w:val="0"/>
          <w:color w:val="465EFF"/>
          <w:spacing w:val="-2"/>
        </w:rPr>
        <w:t>Finance</w:t>
      </w:r>
    </w:p>
    <w:p>
      <w:pPr>
        <w:pStyle w:val="BodyText"/>
        <w:spacing w:line="321" w:lineRule="auto" w:before="207"/>
        <w:ind w:right="1"/>
      </w:pPr>
      <w:r>
        <w:rPr>
          <w:color w:val="1B1B22"/>
        </w:rPr>
        <w:t>We</w:t>
      </w:r>
      <w:r>
        <w:rPr>
          <w:color w:val="1B1B22"/>
          <w:spacing w:val="-10"/>
        </w:rPr>
        <w:t> </w:t>
      </w:r>
      <w:r>
        <w:rPr>
          <w:color w:val="1B1B22"/>
        </w:rPr>
        <w:t>increased</w:t>
      </w:r>
      <w:r>
        <w:rPr>
          <w:color w:val="1B1B22"/>
          <w:spacing w:val="-10"/>
        </w:rPr>
        <w:t> </w:t>
      </w:r>
      <w:r>
        <w:rPr>
          <w:color w:val="1B1B22"/>
        </w:rPr>
        <w:t>the</w:t>
      </w:r>
      <w:r>
        <w:rPr>
          <w:color w:val="1B1B22"/>
          <w:spacing w:val="-10"/>
        </w:rPr>
        <w:t> </w:t>
      </w:r>
      <w:r>
        <w:rPr>
          <w:color w:val="1B1B22"/>
        </w:rPr>
        <w:t>number</w:t>
      </w:r>
      <w:r>
        <w:rPr>
          <w:color w:val="1B1B22"/>
          <w:spacing w:val="-10"/>
        </w:rPr>
        <w:t> </w:t>
      </w:r>
      <w:r>
        <w:rPr>
          <w:color w:val="1B1B22"/>
        </w:rPr>
        <w:t>of</w:t>
      </w:r>
      <w:r>
        <w:rPr>
          <w:color w:val="1B1B22"/>
          <w:spacing w:val="-10"/>
        </w:rPr>
        <w:t> </w:t>
      </w:r>
      <w:r>
        <w:rPr>
          <w:color w:val="1B1B22"/>
        </w:rPr>
        <w:t>customers</w:t>
      </w:r>
      <w:r>
        <w:rPr>
          <w:color w:val="1B1B22"/>
          <w:spacing w:val="-10"/>
        </w:rPr>
        <w:t> </w:t>
      </w:r>
      <w:r>
        <w:rPr>
          <w:color w:val="1B1B22"/>
        </w:rPr>
        <w:t>with</w:t>
      </w:r>
      <w:r>
        <w:rPr>
          <w:color w:val="1B1B22"/>
          <w:spacing w:val="-10"/>
        </w:rPr>
        <w:t> </w:t>
      </w:r>
      <w:r>
        <w:rPr>
          <w:color w:val="1B1B22"/>
        </w:rPr>
        <w:t>active consent in Open Finance, reaching 2.1 million, of which 1.3 million are already consents without expiration date, which contributes to the sustainability of the benefits obtained from the use</w:t>
      </w:r>
      <w:r>
        <w:rPr>
          <w:color w:val="1B1B22"/>
          <w:spacing w:val="-7"/>
        </w:rPr>
        <w:t> </w:t>
      </w:r>
      <w:r>
        <w:rPr>
          <w:color w:val="1B1B22"/>
        </w:rPr>
        <w:t>of</w:t>
      </w:r>
      <w:r>
        <w:rPr>
          <w:color w:val="1B1B22"/>
          <w:spacing w:val="-8"/>
        </w:rPr>
        <w:t> </w:t>
      </w:r>
      <w:r>
        <w:rPr>
          <w:color w:val="1B1B22"/>
        </w:rPr>
        <w:t>data</w:t>
      </w:r>
      <w:r>
        <w:rPr>
          <w:color w:val="1B1B22"/>
          <w:spacing w:val="-8"/>
        </w:rPr>
        <w:t> </w:t>
      </w:r>
      <w:r>
        <w:rPr>
          <w:color w:val="1B1B22"/>
        </w:rPr>
        <w:t>and</w:t>
      </w:r>
      <w:r>
        <w:rPr>
          <w:color w:val="1B1B22"/>
          <w:spacing w:val="-7"/>
        </w:rPr>
        <w:t> </w:t>
      </w:r>
      <w:r>
        <w:rPr>
          <w:color w:val="1B1B22"/>
        </w:rPr>
        <w:t>improves</w:t>
      </w:r>
      <w:r>
        <w:rPr>
          <w:color w:val="1B1B22"/>
          <w:spacing w:val="-9"/>
        </w:rPr>
        <w:t> </w:t>
      </w:r>
      <w:r>
        <w:rPr>
          <w:color w:val="1B1B22"/>
        </w:rPr>
        <w:t>the</w:t>
      </w:r>
      <w:r>
        <w:rPr>
          <w:color w:val="1B1B22"/>
          <w:spacing w:val="-8"/>
        </w:rPr>
        <w:t> </w:t>
      </w:r>
      <w:r>
        <w:rPr>
          <w:color w:val="1B1B22"/>
        </w:rPr>
        <w:t>customer</w:t>
      </w:r>
      <w:r>
        <w:rPr>
          <w:color w:val="1B1B22"/>
          <w:spacing w:val="-7"/>
        </w:rPr>
        <w:t> </w:t>
      </w:r>
      <w:r>
        <w:rPr>
          <w:color w:val="1B1B22"/>
        </w:rPr>
        <w:t>experience with Open Finance.</w:t>
      </w:r>
    </w:p>
    <w:p>
      <w:pPr>
        <w:pStyle w:val="BodyText"/>
        <w:spacing w:line="321" w:lineRule="auto" w:before="115"/>
      </w:pPr>
      <w:r>
        <w:rPr>
          <w:color w:val="1B1B22"/>
        </w:rPr>
        <w:t>Our main use cases have evolved in scope </w:t>
      </w:r>
      <w:r>
        <w:rPr>
          <w:color w:val="1B1B22"/>
        </w:rPr>
        <w:t>and results. Credit portability using shared data reached the mark of R$1.7 billion in contracted volume</w:t>
      </w:r>
      <w:r>
        <w:rPr>
          <w:color w:val="1B1B22"/>
          <w:spacing w:val="-6"/>
        </w:rPr>
        <w:t> </w:t>
      </w:r>
      <w:r>
        <w:rPr>
          <w:color w:val="1B1B22"/>
        </w:rPr>
        <w:t>for</w:t>
      </w:r>
      <w:r>
        <w:rPr>
          <w:color w:val="1B1B22"/>
          <w:spacing w:val="-6"/>
        </w:rPr>
        <w:t> </w:t>
      </w:r>
      <w:r>
        <w:rPr>
          <w:color w:val="1B1B22"/>
        </w:rPr>
        <w:t>more</w:t>
      </w:r>
      <w:r>
        <w:rPr>
          <w:color w:val="1B1B22"/>
          <w:spacing w:val="-6"/>
        </w:rPr>
        <w:t> </w:t>
      </w:r>
      <w:r>
        <w:rPr>
          <w:color w:val="1B1B22"/>
        </w:rPr>
        <w:t>than</w:t>
      </w:r>
      <w:r>
        <w:rPr>
          <w:color w:val="1B1B22"/>
          <w:spacing w:val="-6"/>
        </w:rPr>
        <w:t> </w:t>
      </w:r>
      <w:r>
        <w:rPr>
          <w:color w:val="1B1B22"/>
        </w:rPr>
        <w:t>49</w:t>
      </w:r>
      <w:r>
        <w:rPr>
          <w:color w:val="1B1B22"/>
          <w:spacing w:val="-5"/>
        </w:rPr>
        <w:t> </w:t>
      </w:r>
      <w:r>
        <w:rPr>
          <w:color w:val="1B1B22"/>
        </w:rPr>
        <w:t>thousand</w:t>
      </w:r>
      <w:r>
        <w:rPr>
          <w:color w:val="1B1B22"/>
          <w:spacing w:val="-6"/>
        </w:rPr>
        <w:t> </w:t>
      </w:r>
      <w:r>
        <w:rPr>
          <w:color w:val="1B1B22"/>
        </w:rPr>
        <w:t>customers</w:t>
      </w:r>
      <w:r>
        <w:rPr>
          <w:color w:val="1B1B22"/>
          <w:spacing w:val="-6"/>
        </w:rPr>
        <w:t> </w:t>
      </w:r>
      <w:r>
        <w:rPr>
          <w:color w:val="1B1B22"/>
        </w:rPr>
        <w:t>this </w:t>
      </w:r>
      <w:r>
        <w:rPr>
          <w:color w:val="1B1B22"/>
          <w:spacing w:val="-2"/>
        </w:rPr>
        <w:t>quarter,</w:t>
      </w:r>
      <w:r>
        <w:rPr>
          <w:color w:val="1B1B22"/>
          <w:spacing w:val="-11"/>
        </w:rPr>
        <w:t> </w:t>
      </w:r>
      <w:r>
        <w:rPr>
          <w:color w:val="1B1B22"/>
          <w:spacing w:val="-2"/>
        </w:rPr>
        <w:t>with</w:t>
      </w:r>
      <w:r>
        <w:rPr>
          <w:color w:val="1B1B22"/>
          <w:spacing w:val="-10"/>
        </w:rPr>
        <w:t> </w:t>
      </w:r>
      <w:r>
        <w:rPr>
          <w:color w:val="1B1B22"/>
          <w:spacing w:val="-2"/>
        </w:rPr>
        <w:t>a</w:t>
      </w:r>
      <w:r>
        <w:rPr>
          <w:color w:val="1B1B22"/>
          <w:spacing w:val="-11"/>
        </w:rPr>
        <w:t> </w:t>
      </w:r>
      <w:r>
        <w:rPr>
          <w:color w:val="1B1B22"/>
          <w:spacing w:val="-2"/>
        </w:rPr>
        <w:t>historical</w:t>
      </w:r>
      <w:r>
        <w:rPr>
          <w:color w:val="1B1B22"/>
          <w:spacing w:val="-10"/>
        </w:rPr>
        <w:t> </w:t>
      </w:r>
      <w:r>
        <w:rPr>
          <w:color w:val="1B1B22"/>
          <w:spacing w:val="-2"/>
        </w:rPr>
        <w:t>record</w:t>
      </w:r>
      <w:r>
        <w:rPr>
          <w:color w:val="1B1B22"/>
          <w:spacing w:val="-10"/>
        </w:rPr>
        <w:t> </w:t>
      </w:r>
      <w:r>
        <w:rPr>
          <w:color w:val="1B1B22"/>
          <w:spacing w:val="-2"/>
        </w:rPr>
        <w:t>of</w:t>
      </w:r>
      <w:r>
        <w:rPr>
          <w:color w:val="1B1B22"/>
          <w:spacing w:val="-11"/>
        </w:rPr>
        <w:t> </w:t>
      </w:r>
      <w:r>
        <w:rPr>
          <w:color w:val="1B1B22"/>
          <w:spacing w:val="-2"/>
        </w:rPr>
        <w:t>disbursements</w:t>
      </w:r>
      <w:r>
        <w:rPr>
          <w:color w:val="1B1B22"/>
          <w:spacing w:val="-10"/>
        </w:rPr>
        <w:t> </w:t>
      </w:r>
      <w:r>
        <w:rPr>
          <w:color w:val="1B1B22"/>
          <w:spacing w:val="-2"/>
        </w:rPr>
        <w:t>in </w:t>
      </w:r>
      <w:r>
        <w:rPr>
          <w:color w:val="1B1B22"/>
        </w:rPr>
        <w:t>this modality in August.</w:t>
      </w:r>
    </w:p>
    <w:p>
      <w:pPr>
        <w:pStyle w:val="BodyText"/>
        <w:spacing w:before="79"/>
        <w:ind w:left="667"/>
        <w:jc w:val="left"/>
        <w:rPr>
          <w:rFonts w:ascii="BancoDoBrasil Textos Medium"/>
          <w:b w:val="0"/>
        </w:rPr>
      </w:pPr>
      <w:r>
        <w:rPr/>
        <w:br w:type="column"/>
      </w:r>
      <w:r>
        <w:rPr>
          <w:rFonts w:ascii="BancoDoBrasil Textos Medium"/>
          <w:b w:val="0"/>
          <w:color w:val="465EFF"/>
          <w:spacing w:val="-4"/>
        </w:rPr>
        <w:t>DREX</w:t>
      </w:r>
    </w:p>
    <w:p>
      <w:pPr>
        <w:pStyle w:val="BodyText"/>
        <w:spacing w:line="321" w:lineRule="auto" w:before="206"/>
        <w:ind w:left="667" w:right="569"/>
      </w:pPr>
      <w:r>
        <w:rPr>
          <w:color w:val="1B1B22"/>
        </w:rPr>
        <w:t>In line with Banco do Brasil's pioneering role in financial market innovations, in 3Q24 BB, in a </w:t>
      </w:r>
      <w:r>
        <w:rPr>
          <w:color w:val="1B1B22"/>
          <w:spacing w:val="-2"/>
        </w:rPr>
        <w:t>consortium</w:t>
      </w:r>
      <w:r>
        <w:rPr>
          <w:color w:val="1B1B22"/>
          <w:spacing w:val="-8"/>
        </w:rPr>
        <w:t> </w:t>
      </w:r>
      <w:r>
        <w:rPr>
          <w:color w:val="1B1B22"/>
          <w:spacing w:val="-2"/>
        </w:rPr>
        <w:t>with</w:t>
      </w:r>
      <w:r>
        <w:rPr>
          <w:color w:val="1B1B22"/>
          <w:spacing w:val="-5"/>
        </w:rPr>
        <w:t> </w:t>
      </w:r>
      <w:r>
        <w:rPr>
          <w:color w:val="1B1B22"/>
          <w:spacing w:val="-2"/>
        </w:rPr>
        <w:t>other</w:t>
      </w:r>
      <w:r>
        <w:rPr>
          <w:color w:val="1B1B22"/>
          <w:spacing w:val="-5"/>
        </w:rPr>
        <w:t> </w:t>
      </w:r>
      <w:r>
        <w:rPr>
          <w:color w:val="1B1B22"/>
          <w:spacing w:val="-2"/>
        </w:rPr>
        <w:t>institutions,</w:t>
      </w:r>
      <w:r>
        <w:rPr>
          <w:color w:val="1B1B22"/>
          <w:spacing w:val="-5"/>
        </w:rPr>
        <w:t> </w:t>
      </w:r>
      <w:r>
        <w:rPr>
          <w:color w:val="1B1B22"/>
          <w:spacing w:val="-2"/>
        </w:rPr>
        <w:t>was</w:t>
      </w:r>
      <w:r>
        <w:rPr>
          <w:color w:val="1B1B22"/>
          <w:spacing w:val="-5"/>
        </w:rPr>
        <w:t> </w:t>
      </w:r>
      <w:r>
        <w:rPr>
          <w:color w:val="1B1B22"/>
          <w:spacing w:val="-2"/>
        </w:rPr>
        <w:t>selected</w:t>
      </w:r>
      <w:r>
        <w:rPr>
          <w:color w:val="1B1B22"/>
          <w:spacing w:val="-5"/>
        </w:rPr>
        <w:t> </w:t>
      </w:r>
      <w:r>
        <w:rPr>
          <w:color w:val="1B1B22"/>
          <w:spacing w:val="-2"/>
        </w:rPr>
        <w:t>by </w:t>
      </w:r>
      <w:r>
        <w:rPr>
          <w:color w:val="1B1B22"/>
        </w:rPr>
        <w:t>the Central</w:t>
      </w:r>
      <w:r>
        <w:rPr>
          <w:color w:val="1B1B22"/>
          <w:spacing w:val="-1"/>
        </w:rPr>
        <w:t> </w:t>
      </w:r>
      <w:r>
        <w:rPr>
          <w:color w:val="1B1B22"/>
        </w:rPr>
        <w:t>Bank</w:t>
      </w:r>
      <w:r>
        <w:rPr>
          <w:color w:val="1B1B22"/>
          <w:spacing w:val="-2"/>
        </w:rPr>
        <w:t> </w:t>
      </w:r>
      <w:r>
        <w:rPr>
          <w:color w:val="1B1B22"/>
        </w:rPr>
        <w:t>to</w:t>
      </w:r>
      <w:r>
        <w:rPr>
          <w:color w:val="1B1B22"/>
          <w:spacing w:val="-1"/>
        </w:rPr>
        <w:t> </w:t>
      </w:r>
      <w:r>
        <w:rPr>
          <w:color w:val="1B1B22"/>
        </w:rPr>
        <w:t>participate in</w:t>
      </w:r>
      <w:r>
        <w:rPr>
          <w:color w:val="1B1B22"/>
          <w:spacing w:val="-2"/>
        </w:rPr>
        <w:t> </w:t>
      </w:r>
      <w:r>
        <w:rPr>
          <w:color w:val="1B1B22"/>
        </w:rPr>
        <w:t>two</w:t>
      </w:r>
      <w:r>
        <w:rPr>
          <w:color w:val="1B1B22"/>
          <w:spacing w:val="-1"/>
        </w:rPr>
        <w:t> </w:t>
      </w:r>
      <w:r>
        <w:rPr>
          <w:color w:val="1B1B22"/>
        </w:rPr>
        <w:t>initiatives</w:t>
      </w:r>
      <w:r>
        <w:rPr>
          <w:color w:val="1B1B22"/>
          <w:spacing w:val="-1"/>
        </w:rPr>
        <w:t> </w:t>
      </w:r>
      <w:r>
        <w:rPr>
          <w:color w:val="1B1B22"/>
        </w:rPr>
        <w:t>in the second phase of the DREX Pilot: i) tokenized CDB</w:t>
      </w:r>
      <w:r>
        <w:rPr>
          <w:color w:val="1B1B22"/>
          <w:spacing w:val="-10"/>
        </w:rPr>
        <w:t> </w:t>
      </w:r>
      <w:r>
        <w:rPr>
          <w:color w:val="1B1B22"/>
        </w:rPr>
        <w:t>given</w:t>
      </w:r>
      <w:r>
        <w:rPr>
          <w:color w:val="1B1B22"/>
          <w:spacing w:val="-11"/>
        </w:rPr>
        <w:t> </w:t>
      </w:r>
      <w:r>
        <w:rPr>
          <w:color w:val="1B1B22"/>
        </w:rPr>
        <w:t>as</w:t>
      </w:r>
      <w:r>
        <w:rPr>
          <w:color w:val="1B1B22"/>
          <w:spacing w:val="-11"/>
        </w:rPr>
        <w:t> </w:t>
      </w:r>
      <w:r>
        <w:rPr>
          <w:color w:val="1B1B22"/>
        </w:rPr>
        <w:t>collateral</w:t>
      </w:r>
      <w:r>
        <w:rPr>
          <w:color w:val="1B1B22"/>
          <w:spacing w:val="-10"/>
        </w:rPr>
        <w:t> </w:t>
      </w:r>
      <w:r>
        <w:rPr>
          <w:color w:val="1B1B22"/>
        </w:rPr>
        <w:t>for</w:t>
      </w:r>
      <w:r>
        <w:rPr>
          <w:color w:val="1B1B22"/>
          <w:spacing w:val="-10"/>
        </w:rPr>
        <w:t> </w:t>
      </w:r>
      <w:r>
        <w:rPr>
          <w:color w:val="1B1B22"/>
        </w:rPr>
        <w:t>credit</w:t>
      </w:r>
      <w:r>
        <w:rPr>
          <w:color w:val="1B1B22"/>
          <w:spacing w:val="-11"/>
        </w:rPr>
        <w:t> </w:t>
      </w:r>
      <w:r>
        <w:rPr>
          <w:color w:val="1B1B22"/>
        </w:rPr>
        <w:t>operations</w:t>
      </w:r>
      <w:r>
        <w:rPr>
          <w:color w:val="1B1B22"/>
          <w:spacing w:val="-11"/>
        </w:rPr>
        <w:t> </w:t>
      </w:r>
      <w:r>
        <w:rPr>
          <w:color w:val="1B1B22"/>
        </w:rPr>
        <w:t>and</w:t>
      </w:r>
      <w:r>
        <w:rPr>
          <w:color w:val="1B1B22"/>
          <w:spacing w:val="-10"/>
        </w:rPr>
        <w:t> </w:t>
      </w:r>
      <w:r>
        <w:rPr>
          <w:color w:val="1B1B22"/>
        </w:rPr>
        <w:t>ii) Real estate transactions. The pilot foresees the delivery of a functional prototype with an embedded privacy solution and</w:t>
      </w:r>
      <w:r>
        <w:rPr>
          <w:color w:val="1B1B22"/>
          <w:spacing w:val="-1"/>
        </w:rPr>
        <w:t> </w:t>
      </w:r>
      <w:r>
        <w:rPr>
          <w:color w:val="1B1B22"/>
        </w:rPr>
        <w:t>publication of</w:t>
      </w:r>
      <w:r>
        <w:rPr>
          <w:color w:val="1B1B22"/>
          <w:spacing w:val="-1"/>
        </w:rPr>
        <w:t> </w:t>
      </w:r>
      <w:r>
        <w:rPr>
          <w:color w:val="1B1B22"/>
        </w:rPr>
        <w:t>the developed code by June/25.</w:t>
      </w:r>
    </w:p>
    <w:p>
      <w:pPr>
        <w:pStyle w:val="BodyText"/>
        <w:spacing w:before="114"/>
        <w:ind w:left="667"/>
        <w:jc w:val="left"/>
        <w:rPr>
          <w:rFonts w:ascii="BancoDoBrasil Textos Medium"/>
          <w:b w:val="0"/>
        </w:rPr>
      </w:pPr>
      <w:r>
        <w:rPr>
          <w:rFonts w:ascii="BancoDoBrasil Textos Medium"/>
          <w:b w:val="0"/>
          <w:color w:val="465EFF"/>
        </w:rPr>
        <w:t>Digital</w:t>
      </w:r>
      <w:r>
        <w:rPr>
          <w:rFonts w:ascii="BancoDoBrasil Textos Medium"/>
          <w:b w:val="0"/>
          <w:color w:val="465EFF"/>
          <w:spacing w:val="-2"/>
        </w:rPr>
        <w:t> Security</w:t>
      </w:r>
    </w:p>
    <w:p>
      <w:pPr>
        <w:pStyle w:val="BodyText"/>
        <w:spacing w:line="321" w:lineRule="auto" w:before="205"/>
        <w:ind w:left="667" w:right="570"/>
      </w:pPr>
      <w:r>
        <w:rPr>
          <w:color w:val="1B1B22"/>
        </w:rPr>
        <w:t>We invest in qualified professionals, automated solutions</w:t>
      </w:r>
      <w:r>
        <w:rPr>
          <w:color w:val="1B1B22"/>
          <w:spacing w:val="-13"/>
        </w:rPr>
        <w:t> </w:t>
      </w:r>
      <w:r>
        <w:rPr>
          <w:color w:val="1B1B22"/>
        </w:rPr>
        <w:t>and</w:t>
      </w:r>
      <w:r>
        <w:rPr>
          <w:color w:val="1B1B22"/>
          <w:spacing w:val="-12"/>
        </w:rPr>
        <w:t> </w:t>
      </w:r>
      <w:r>
        <w:rPr>
          <w:color w:val="1B1B22"/>
        </w:rPr>
        <w:t>artificial</w:t>
      </w:r>
      <w:r>
        <w:rPr>
          <w:color w:val="1B1B22"/>
          <w:spacing w:val="-13"/>
        </w:rPr>
        <w:t> </w:t>
      </w:r>
      <w:r>
        <w:rPr>
          <w:color w:val="1B1B22"/>
        </w:rPr>
        <w:t>intelligence</w:t>
      </w:r>
      <w:r>
        <w:rPr>
          <w:color w:val="1B1B22"/>
          <w:spacing w:val="-12"/>
        </w:rPr>
        <w:t> </w:t>
      </w:r>
      <w:r>
        <w:rPr>
          <w:color w:val="1B1B22"/>
        </w:rPr>
        <w:t>to</w:t>
      </w:r>
      <w:r>
        <w:rPr>
          <w:color w:val="1B1B22"/>
          <w:spacing w:val="-12"/>
        </w:rPr>
        <w:t> </w:t>
      </w:r>
      <w:r>
        <w:rPr>
          <w:color w:val="1B1B22"/>
        </w:rPr>
        <w:t>protect</w:t>
      </w:r>
      <w:r>
        <w:rPr>
          <w:color w:val="1B1B22"/>
          <w:spacing w:val="-13"/>
        </w:rPr>
        <w:t> </w:t>
      </w:r>
      <w:r>
        <w:rPr>
          <w:color w:val="1B1B22"/>
        </w:rPr>
        <w:t>data, processes and intellectual property, offering a secure digital environment.</w:t>
      </w:r>
    </w:p>
    <w:p>
      <w:pPr>
        <w:pStyle w:val="BodyText"/>
        <w:spacing w:line="321" w:lineRule="auto" w:before="118"/>
        <w:ind w:left="667" w:right="569"/>
      </w:pPr>
      <w:r>
        <w:rPr>
          <w:color w:val="1B1B22"/>
        </w:rPr>
        <w:t>In 3Q24, respecting the right to easy access to information about the processing of customers' </w:t>
      </w:r>
      <w:r>
        <w:rPr>
          <w:color w:val="1B1B22"/>
          <w:spacing w:val="-2"/>
        </w:rPr>
        <w:t>personal</w:t>
      </w:r>
      <w:r>
        <w:rPr>
          <w:color w:val="1B1B22"/>
          <w:spacing w:val="-6"/>
        </w:rPr>
        <w:t> </w:t>
      </w:r>
      <w:r>
        <w:rPr>
          <w:color w:val="1B1B22"/>
          <w:spacing w:val="-2"/>
        </w:rPr>
        <w:t>data,</w:t>
      </w:r>
      <w:r>
        <w:rPr>
          <w:color w:val="1B1B22"/>
          <w:spacing w:val="-7"/>
        </w:rPr>
        <w:t> </w:t>
      </w:r>
      <w:r>
        <w:rPr>
          <w:color w:val="1B1B22"/>
          <w:spacing w:val="-2"/>
        </w:rPr>
        <w:t>BB</w:t>
      </w:r>
      <w:r>
        <w:rPr>
          <w:color w:val="1B1B22"/>
          <w:spacing w:val="-7"/>
        </w:rPr>
        <w:t> </w:t>
      </w:r>
      <w:r>
        <w:rPr>
          <w:color w:val="1B1B22"/>
          <w:spacing w:val="-2"/>
        </w:rPr>
        <w:t>responded</w:t>
      </w:r>
      <w:r>
        <w:rPr>
          <w:color w:val="1B1B22"/>
          <w:spacing w:val="-6"/>
        </w:rPr>
        <w:t> </w:t>
      </w:r>
      <w:r>
        <w:rPr>
          <w:color w:val="1B1B22"/>
          <w:spacing w:val="-2"/>
        </w:rPr>
        <w:t>to</w:t>
      </w:r>
      <w:r>
        <w:rPr>
          <w:color w:val="1B1B22"/>
          <w:spacing w:val="-7"/>
        </w:rPr>
        <w:t> </w:t>
      </w:r>
      <w:r>
        <w:rPr>
          <w:color w:val="1B1B22"/>
          <w:spacing w:val="-2"/>
        </w:rPr>
        <w:t>more</w:t>
      </w:r>
      <w:r>
        <w:rPr>
          <w:color w:val="1B1B22"/>
          <w:spacing w:val="-7"/>
        </w:rPr>
        <w:t> </w:t>
      </w:r>
      <w:r>
        <w:rPr>
          <w:color w:val="1B1B22"/>
          <w:spacing w:val="-2"/>
        </w:rPr>
        <w:t>than</w:t>
      </w:r>
      <w:r>
        <w:rPr>
          <w:color w:val="1B1B22"/>
          <w:spacing w:val="-7"/>
        </w:rPr>
        <w:t> </w:t>
      </w:r>
      <w:r>
        <w:rPr>
          <w:color w:val="1B1B22"/>
          <w:spacing w:val="-2"/>
        </w:rPr>
        <w:t>1</w:t>
      </w:r>
      <w:r>
        <w:rPr>
          <w:color w:val="1B1B22"/>
          <w:spacing w:val="-7"/>
        </w:rPr>
        <w:t> </w:t>
      </w:r>
      <w:r>
        <w:rPr>
          <w:color w:val="1B1B22"/>
          <w:spacing w:val="-2"/>
        </w:rPr>
        <w:t>million </w:t>
      </w:r>
      <w:r>
        <w:rPr>
          <w:color w:val="1B1B22"/>
        </w:rPr>
        <w:t>requests from data subjects, an increase of approximately 3% compared to the services provided in the previous quarter. Of this total, more than 99% were registered through the BB </w:t>
      </w:r>
      <w:r>
        <w:rPr>
          <w:color w:val="1B1B22"/>
          <w:spacing w:val="-4"/>
        </w:rPr>
        <w:t>App.</w:t>
      </w:r>
    </w:p>
    <w:p>
      <w:pPr>
        <w:spacing w:after="0" w:line="321" w:lineRule="auto"/>
        <w:sectPr>
          <w:type w:val="continuous"/>
          <w:pgSz w:w="11910" w:h="16840"/>
          <w:pgMar w:header="152" w:footer="591" w:top="1920" w:bottom="280" w:left="0" w:right="280"/>
          <w:cols w:num="2" w:equalWidth="0">
            <w:col w:w="5600" w:space="40"/>
            <w:col w:w="5990"/>
          </w:cols>
        </w:sectPr>
      </w:pPr>
    </w:p>
    <w:p>
      <w:pPr>
        <w:pStyle w:val="BodyText"/>
        <w:ind w:left="0"/>
        <w:jc w:val="left"/>
        <w:rPr>
          <w:sz w:val="44"/>
        </w:rPr>
      </w:pPr>
    </w:p>
    <w:p>
      <w:pPr>
        <w:pStyle w:val="BodyText"/>
        <w:ind w:left="0"/>
        <w:jc w:val="left"/>
        <w:rPr>
          <w:sz w:val="44"/>
        </w:rPr>
      </w:pPr>
    </w:p>
    <w:p>
      <w:pPr>
        <w:pStyle w:val="BodyText"/>
        <w:ind w:left="0"/>
        <w:jc w:val="left"/>
        <w:rPr>
          <w:sz w:val="44"/>
        </w:rPr>
      </w:pPr>
    </w:p>
    <w:p>
      <w:pPr>
        <w:pStyle w:val="BodyText"/>
        <w:spacing w:before="458"/>
        <w:ind w:left="0"/>
        <w:jc w:val="left"/>
        <w:rPr>
          <w:sz w:val="44"/>
        </w:rPr>
      </w:pPr>
    </w:p>
    <w:p>
      <w:pPr>
        <w:pStyle w:val="Heading1"/>
        <w:tabs>
          <w:tab w:pos="2777" w:val="left" w:leader="none"/>
          <w:tab w:pos="7697" w:val="left" w:leader="none"/>
          <w:tab w:pos="10156" w:val="left" w:leader="none"/>
        </w:tabs>
        <w:spacing w:line="321" w:lineRule="auto"/>
        <w:ind w:right="621"/>
      </w:pPr>
      <w:r>
        <w:rPr>
          <w:color w:val="465EFF"/>
          <w:spacing w:val="19"/>
        </w:rPr>
        <w:t>ESG</w:t>
      </w:r>
      <w:r>
        <w:rPr>
          <w:color w:val="465EFF"/>
        </w:rPr>
        <w:tab/>
        <w:t>(</w:t>
      </w:r>
      <w:r>
        <w:rPr>
          <w:color w:val="465EFF"/>
          <w:spacing w:val="-69"/>
        </w:rPr>
        <w:t> </w:t>
      </w:r>
      <w:r>
        <w:rPr>
          <w:color w:val="465EFF"/>
          <w:spacing w:val="34"/>
        </w:rPr>
        <w:t>Environmental,</w:t>
      </w:r>
      <w:r>
        <w:rPr>
          <w:color w:val="465EFF"/>
        </w:rPr>
        <w:tab/>
      </w:r>
      <w:r>
        <w:rPr>
          <w:color w:val="465EFF"/>
          <w:spacing w:val="30"/>
        </w:rPr>
        <w:t>Social</w:t>
      </w:r>
      <w:r>
        <w:rPr>
          <w:color w:val="465EFF"/>
        </w:rPr>
        <w:tab/>
      </w:r>
      <w:r>
        <w:rPr>
          <w:color w:val="465EFF"/>
          <w:spacing w:val="16"/>
        </w:rPr>
        <w:t>and </w:t>
      </w:r>
      <w:r>
        <w:rPr>
          <w:color w:val="465EFF"/>
          <w:spacing w:val="30"/>
        </w:rPr>
        <w:t>Governance)</w:t>
      </w:r>
      <w:r>
        <w:rPr>
          <w:color w:val="465EFF"/>
          <w:spacing w:val="30"/>
        </w:rPr>
        <w:t> </w:t>
      </w:r>
      <w:r>
        <w:rPr>
          <w:color w:val="465EFF"/>
          <w:spacing w:val="29"/>
        </w:rPr>
        <w:t>Agenda</w:t>
      </w:r>
    </w:p>
    <w:p>
      <w:pPr>
        <w:spacing w:after="0" w:line="321" w:lineRule="auto"/>
        <w:sectPr>
          <w:pgSz w:w="11910" w:h="16840"/>
          <w:pgMar w:header="152" w:footer="591" w:top="900" w:bottom="780" w:left="0" w:right="280"/>
        </w:sectPr>
      </w:pPr>
    </w:p>
    <w:p>
      <w:pPr>
        <w:pStyle w:val="BodyText"/>
        <w:spacing w:line="321" w:lineRule="auto" w:before="141"/>
      </w:pPr>
      <w:r>
        <w:rPr/>
        <w:t>We are a reference in adopting the </w:t>
      </w:r>
      <w:r>
        <w:rPr/>
        <w:t>best Environmental, Social and Governance practices, establishing actions to identify and manage risks and opportunities. Our ESG commitments are carried out in the Sustainability Plan - Agenda 30 BB,</w:t>
      </w:r>
      <w:r>
        <w:rPr>
          <w:spacing w:val="-13"/>
        </w:rPr>
        <w:t> </w:t>
      </w:r>
      <w:r>
        <w:rPr/>
        <w:t>which</w:t>
      </w:r>
      <w:r>
        <w:rPr>
          <w:spacing w:val="-12"/>
        </w:rPr>
        <w:t> </w:t>
      </w:r>
      <w:r>
        <w:rPr/>
        <w:t>since</w:t>
      </w:r>
      <w:r>
        <w:rPr>
          <w:spacing w:val="-13"/>
        </w:rPr>
        <w:t> </w:t>
      </w:r>
      <w:r>
        <w:rPr/>
        <w:t>2005</w:t>
      </w:r>
      <w:r>
        <w:rPr>
          <w:spacing w:val="-12"/>
        </w:rPr>
        <w:t> </w:t>
      </w:r>
      <w:r>
        <w:rPr/>
        <w:t>has</w:t>
      </w:r>
      <w:r>
        <w:rPr>
          <w:spacing w:val="-12"/>
        </w:rPr>
        <w:t> </w:t>
      </w:r>
      <w:r>
        <w:rPr/>
        <w:t>been</w:t>
      </w:r>
      <w:r>
        <w:rPr>
          <w:spacing w:val="-13"/>
        </w:rPr>
        <w:t> </w:t>
      </w:r>
      <w:r>
        <w:rPr/>
        <w:t>our</w:t>
      </w:r>
      <w:r>
        <w:rPr>
          <w:spacing w:val="-11"/>
        </w:rPr>
        <w:t> </w:t>
      </w:r>
      <w:r>
        <w:rPr/>
        <w:t>main</w:t>
      </w:r>
      <w:r>
        <w:rPr>
          <w:spacing w:val="-12"/>
        </w:rPr>
        <w:t> </w:t>
      </w:r>
      <w:r>
        <w:rPr/>
        <w:t>instrument for promoting social, environmental and climate practices, aligned with the Sustainable Development Goals (SDGs) of the United Nations </w:t>
      </w:r>
      <w:r>
        <w:rPr>
          <w:spacing w:val="-2"/>
        </w:rPr>
        <w:t>(UN)</w:t>
      </w:r>
      <w:r>
        <w:rPr>
          <w:spacing w:val="-11"/>
        </w:rPr>
        <w:t> </w:t>
      </w:r>
      <w:r>
        <w:rPr>
          <w:spacing w:val="-2"/>
        </w:rPr>
        <w:t>and</w:t>
      </w:r>
      <w:r>
        <w:rPr>
          <w:spacing w:val="-10"/>
        </w:rPr>
        <w:t> </w:t>
      </w:r>
      <w:r>
        <w:rPr>
          <w:spacing w:val="-2"/>
        </w:rPr>
        <w:t>the</w:t>
      </w:r>
      <w:r>
        <w:rPr>
          <w:spacing w:val="-11"/>
        </w:rPr>
        <w:t> </w:t>
      </w:r>
      <w:r>
        <w:rPr>
          <w:spacing w:val="-2"/>
        </w:rPr>
        <w:t>Paris</w:t>
      </w:r>
      <w:r>
        <w:rPr>
          <w:spacing w:val="-10"/>
        </w:rPr>
        <w:t> </w:t>
      </w:r>
      <w:r>
        <w:rPr>
          <w:spacing w:val="-2"/>
        </w:rPr>
        <w:t>Agreement.</w:t>
      </w:r>
      <w:r>
        <w:rPr>
          <w:spacing w:val="-10"/>
        </w:rPr>
        <w:t> </w:t>
      </w:r>
      <w:r>
        <w:rPr>
          <w:spacing w:val="-2"/>
        </w:rPr>
        <w:t>The</w:t>
      </w:r>
      <w:r>
        <w:rPr>
          <w:spacing w:val="-11"/>
        </w:rPr>
        <w:t> </w:t>
      </w:r>
      <w:r>
        <w:rPr>
          <w:spacing w:val="-2"/>
        </w:rPr>
        <w:t>Plan</w:t>
      </w:r>
      <w:r>
        <w:rPr>
          <w:spacing w:val="-10"/>
        </w:rPr>
        <w:t> </w:t>
      </w:r>
      <w:r>
        <w:rPr>
          <w:spacing w:val="-2"/>
        </w:rPr>
        <w:t>was</w:t>
      </w:r>
      <w:r>
        <w:rPr>
          <w:spacing w:val="-10"/>
        </w:rPr>
        <w:t> </w:t>
      </w:r>
      <w:r>
        <w:rPr>
          <w:spacing w:val="-2"/>
        </w:rPr>
        <w:t>revised </w:t>
      </w:r>
      <w:r>
        <w:rPr/>
        <w:t>in August 2023 and includes 47 actions and 100 indicators for the period 2023-2025.</w:t>
      </w:r>
    </w:p>
    <w:p>
      <w:pPr>
        <w:pStyle w:val="BodyText"/>
        <w:spacing w:line="321" w:lineRule="auto" w:before="112"/>
      </w:pPr>
      <w:r>
        <w:rPr/>
        <w:t>The</w:t>
      </w:r>
      <w:r>
        <w:rPr>
          <w:spacing w:val="-13"/>
        </w:rPr>
        <w:t> </w:t>
      </w:r>
      <w:r>
        <w:rPr/>
        <w:t>development</w:t>
      </w:r>
      <w:r>
        <w:rPr>
          <w:spacing w:val="-12"/>
        </w:rPr>
        <w:t> </w:t>
      </w:r>
      <w:r>
        <w:rPr/>
        <w:t>of</w:t>
      </w:r>
      <w:r>
        <w:rPr>
          <w:spacing w:val="-13"/>
        </w:rPr>
        <w:t> </w:t>
      </w:r>
      <w:r>
        <w:rPr/>
        <w:t>business</w:t>
      </w:r>
      <w:r>
        <w:rPr>
          <w:spacing w:val="-12"/>
        </w:rPr>
        <w:t> </w:t>
      </w:r>
      <w:r>
        <w:rPr/>
        <w:t>solutions</w:t>
      </w:r>
      <w:r>
        <w:rPr>
          <w:spacing w:val="-12"/>
        </w:rPr>
        <w:t> </w:t>
      </w:r>
      <w:r>
        <w:rPr/>
        <w:t>with</w:t>
      </w:r>
      <w:r>
        <w:rPr>
          <w:spacing w:val="-13"/>
        </w:rPr>
        <w:t> </w:t>
      </w:r>
      <w:r>
        <w:rPr/>
        <w:t>social, environmental and climate aspects is guided and declared in our Social, Environmental and Climate Responsibility Policy (PRSAC). It is also </w:t>
      </w:r>
      <w:r>
        <w:rPr/>
        <w:t>supported by BB's Sustainability Guidelines for Credit, updated in June of this year, expanding the restrictive list and exclusion of activities in which we do not assume credit risk.</w:t>
      </w:r>
    </w:p>
    <w:p>
      <w:pPr>
        <w:pStyle w:val="BodyText"/>
        <w:spacing w:line="321" w:lineRule="auto" w:before="115"/>
        <w:ind w:right="1"/>
      </w:pPr>
      <w:r>
        <w:rPr/>
        <w:t>With a national focus on developing </w:t>
      </w:r>
      <w:r>
        <w:rPr/>
        <w:t>financial solutions and business models that promote the transition</w:t>
      </w:r>
      <w:r>
        <w:rPr>
          <w:spacing w:val="14"/>
        </w:rPr>
        <w:t> </w:t>
      </w:r>
      <w:r>
        <w:rPr/>
        <w:t>to</w:t>
      </w:r>
      <w:r>
        <w:rPr>
          <w:spacing w:val="13"/>
        </w:rPr>
        <w:t> </w:t>
      </w:r>
      <w:r>
        <w:rPr/>
        <w:t>a</w:t>
      </w:r>
      <w:r>
        <w:rPr>
          <w:spacing w:val="15"/>
        </w:rPr>
        <w:t> </w:t>
      </w:r>
      <w:r>
        <w:rPr/>
        <w:t>sustainable</w:t>
      </w:r>
      <w:r>
        <w:rPr>
          <w:spacing w:val="14"/>
        </w:rPr>
        <w:t> </w:t>
      </w:r>
      <w:r>
        <w:rPr/>
        <w:t>and</w:t>
      </w:r>
      <w:r>
        <w:rPr>
          <w:spacing w:val="14"/>
        </w:rPr>
        <w:t> </w:t>
      </w:r>
      <w:r>
        <w:rPr/>
        <w:t>inclusive</w:t>
      </w:r>
      <w:r>
        <w:rPr>
          <w:spacing w:val="15"/>
        </w:rPr>
        <w:t> </w:t>
      </w:r>
      <w:r>
        <w:rPr>
          <w:spacing w:val="-4"/>
        </w:rPr>
        <w:t>economy,</w:t>
      </w:r>
    </w:p>
    <w:p>
      <w:pPr>
        <w:pStyle w:val="BodyText"/>
        <w:spacing w:line="321" w:lineRule="auto" w:before="141"/>
        <w:ind w:left="667" w:right="569"/>
      </w:pPr>
      <w:r>
        <w:rPr/>
        <w:br w:type="column"/>
      </w:r>
      <w:r>
        <w:rPr/>
        <w:t>BB considers climate change in its planning and invests in business opportunities for a low-carbon </w:t>
      </w:r>
      <w:r>
        <w:rPr>
          <w:spacing w:val="-2"/>
        </w:rPr>
        <w:t>economy.</w:t>
      </w:r>
      <w:r>
        <w:rPr>
          <w:spacing w:val="-5"/>
        </w:rPr>
        <w:t> </w:t>
      </w:r>
      <w:r>
        <w:rPr>
          <w:spacing w:val="-2"/>
        </w:rPr>
        <w:t>Compliance</w:t>
      </w:r>
      <w:r>
        <w:rPr>
          <w:spacing w:val="-4"/>
        </w:rPr>
        <w:t> </w:t>
      </w:r>
      <w:r>
        <w:rPr>
          <w:spacing w:val="-2"/>
        </w:rPr>
        <w:t>with</w:t>
      </w:r>
      <w:r>
        <w:rPr>
          <w:spacing w:val="-4"/>
        </w:rPr>
        <w:t> </w:t>
      </w:r>
      <w:r>
        <w:rPr>
          <w:spacing w:val="-2"/>
        </w:rPr>
        <w:t>sustainability</w:t>
      </w:r>
      <w:r>
        <w:rPr>
          <w:spacing w:val="-4"/>
        </w:rPr>
        <w:t> </w:t>
      </w:r>
      <w:r>
        <w:rPr>
          <w:spacing w:val="-2"/>
        </w:rPr>
        <w:t>indicators </w:t>
      </w:r>
      <w:r>
        <w:rPr/>
        <w:t>and goals is reflected in the remuneration of the entire staff, including senior management, which ensures alignment between business, people and social, environmental and climate issues.</w:t>
      </w:r>
    </w:p>
    <w:p>
      <w:pPr>
        <w:pStyle w:val="BodyText"/>
        <w:spacing w:before="8"/>
        <w:ind w:left="0"/>
        <w:jc w:val="left"/>
        <w:rPr>
          <w:sz w:val="8"/>
        </w:rPr>
      </w:pPr>
      <w:r>
        <w:rPr/>
        <w:drawing>
          <wp:anchor distT="0" distB="0" distL="0" distR="0" allowOverlap="1" layoutInCell="1" locked="0" behindDoc="1" simplePos="0" relativeHeight="487591936">
            <wp:simplePos x="0" y="0"/>
            <wp:positionH relativeFrom="page">
              <wp:posOffset>4004945</wp:posOffset>
            </wp:positionH>
            <wp:positionV relativeFrom="paragraph">
              <wp:posOffset>85122</wp:posOffset>
            </wp:positionV>
            <wp:extent cx="3037851" cy="2024252"/>
            <wp:effectExtent l="0" t="0" r="0" b="0"/>
            <wp:wrapTopAndBottom/>
            <wp:docPr id="35" name="Image 35" descr="Pessoa em pé em gramado  Descrição gerada automaticamente"/>
            <wp:cNvGraphicFramePr>
              <a:graphicFrameLocks/>
            </wp:cNvGraphicFramePr>
            <a:graphic>
              <a:graphicData uri="http://schemas.openxmlformats.org/drawingml/2006/picture">
                <pic:pic>
                  <pic:nvPicPr>
                    <pic:cNvPr id="35" name="Image 35" descr="Pessoa em pé em gramado  Descrição gerada automaticamente"/>
                    <pic:cNvPicPr/>
                  </pic:nvPicPr>
                  <pic:blipFill>
                    <a:blip r:embed="rId13" cstate="print"/>
                    <a:stretch>
                      <a:fillRect/>
                    </a:stretch>
                  </pic:blipFill>
                  <pic:spPr>
                    <a:xfrm>
                      <a:off x="0" y="0"/>
                      <a:ext cx="3037851" cy="2024252"/>
                    </a:xfrm>
                    <a:prstGeom prst="rect">
                      <a:avLst/>
                    </a:prstGeom>
                  </pic:spPr>
                </pic:pic>
              </a:graphicData>
            </a:graphic>
          </wp:anchor>
        </w:drawing>
      </w:r>
    </w:p>
    <w:p>
      <w:pPr>
        <w:pStyle w:val="BodyText"/>
        <w:spacing w:line="321" w:lineRule="auto" w:before="191"/>
        <w:ind w:left="667" w:right="570"/>
      </w:pPr>
      <w:r>
        <w:rPr/>
        <w:t>The BB 2030 Commitments for a + Sustainable World bring objectives on four fronts, </w:t>
      </w:r>
      <w:r>
        <w:rPr/>
        <w:t>including sustainable</w:t>
      </w:r>
      <w:r>
        <w:rPr>
          <w:spacing w:val="-3"/>
        </w:rPr>
        <w:t> </w:t>
      </w:r>
      <w:r>
        <w:rPr/>
        <w:t>credit</w:t>
      </w:r>
      <w:r>
        <w:rPr>
          <w:spacing w:val="-4"/>
        </w:rPr>
        <w:t> </w:t>
      </w:r>
      <w:r>
        <w:rPr/>
        <w:t>and</w:t>
      </w:r>
      <w:r>
        <w:rPr>
          <w:spacing w:val="-4"/>
        </w:rPr>
        <w:t> </w:t>
      </w:r>
      <w:r>
        <w:rPr/>
        <w:t>responsible</w:t>
      </w:r>
      <w:r>
        <w:rPr>
          <w:spacing w:val="-3"/>
        </w:rPr>
        <w:t> </w:t>
      </w:r>
      <w:r>
        <w:rPr/>
        <w:t>investment</w:t>
      </w:r>
      <w:r>
        <w:rPr>
          <w:spacing w:val="-3"/>
        </w:rPr>
        <w:t> </w:t>
      </w:r>
      <w:r>
        <w:rPr/>
        <w:t>and covering our activities in ESG and climate management and seeking to generate positive impacts in the value chain.</w:t>
      </w:r>
    </w:p>
    <w:p>
      <w:pPr>
        <w:spacing w:after="0" w:line="321" w:lineRule="auto"/>
        <w:sectPr>
          <w:type w:val="continuous"/>
          <w:pgSz w:w="11910" w:h="16840"/>
          <w:pgMar w:header="152" w:footer="591" w:top="1920" w:bottom="280" w:left="0" w:right="280"/>
          <w:cols w:num="2" w:equalWidth="0">
            <w:col w:w="5600" w:space="40"/>
            <w:col w:w="5990"/>
          </w:cols>
        </w:sectPr>
      </w:pPr>
    </w:p>
    <w:p>
      <w:pPr>
        <w:pStyle w:val="BodyText"/>
        <w:spacing w:before="276"/>
        <w:ind w:left="0"/>
        <w:jc w:val="left"/>
        <w:rPr>
          <w:sz w:val="24"/>
        </w:rPr>
      </w:pPr>
    </w:p>
    <w:p>
      <w:pPr>
        <w:spacing w:before="1"/>
        <w:ind w:left="850" w:right="0" w:firstLine="0"/>
        <w:jc w:val="left"/>
        <w:rPr>
          <w:rFonts w:ascii="BancoDoBrasil Titulos Medium" w:hAnsi="BancoDoBrasil Titulos Medium"/>
          <w:b w:val="0"/>
          <w:sz w:val="24"/>
        </w:rPr>
      </w:pPr>
      <w:r>
        <w:rPr>
          <w:rFonts w:ascii="BancoDoBrasil Titulos Medium" w:hAnsi="BancoDoBrasil Titulos Medium"/>
          <w:b w:val="0"/>
          <w:color w:val="735CC5"/>
          <w:sz w:val="24"/>
        </w:rPr>
        <w:t>BB´s</w:t>
      </w:r>
      <w:r>
        <w:rPr>
          <w:rFonts w:ascii="BancoDoBrasil Titulos Medium" w:hAnsi="BancoDoBrasil Titulos Medium"/>
          <w:b w:val="0"/>
          <w:color w:val="735CC5"/>
          <w:spacing w:val="-16"/>
          <w:sz w:val="24"/>
        </w:rPr>
        <w:t> </w:t>
      </w:r>
      <w:r>
        <w:rPr>
          <w:rFonts w:ascii="BancoDoBrasil Titulos Medium" w:hAnsi="BancoDoBrasil Titulos Medium"/>
          <w:b w:val="0"/>
          <w:color w:val="735CC5"/>
          <w:sz w:val="24"/>
        </w:rPr>
        <w:t>2030</w:t>
      </w:r>
      <w:r>
        <w:rPr>
          <w:rFonts w:ascii="BancoDoBrasil Titulos Medium" w:hAnsi="BancoDoBrasil Titulos Medium"/>
          <w:b w:val="0"/>
          <w:color w:val="735CC5"/>
          <w:spacing w:val="-9"/>
          <w:sz w:val="24"/>
        </w:rPr>
        <w:t> </w:t>
      </w:r>
      <w:r>
        <w:rPr>
          <w:rFonts w:ascii="BancoDoBrasil Titulos Medium" w:hAnsi="BancoDoBrasil Titulos Medium"/>
          <w:b w:val="0"/>
          <w:color w:val="735CC5"/>
          <w:sz w:val="24"/>
        </w:rPr>
        <w:t>Commitments</w:t>
      </w:r>
      <w:r>
        <w:rPr>
          <w:rFonts w:ascii="BancoDoBrasil Titulos Medium" w:hAnsi="BancoDoBrasil Titulos Medium"/>
          <w:b w:val="0"/>
          <w:color w:val="735CC5"/>
          <w:spacing w:val="-9"/>
          <w:sz w:val="24"/>
        </w:rPr>
        <w:t> </w:t>
      </w:r>
      <w:r>
        <w:rPr>
          <w:rFonts w:ascii="BancoDoBrasil Titulos Medium" w:hAnsi="BancoDoBrasil Titulos Medium"/>
          <w:b w:val="0"/>
          <w:color w:val="735CC5"/>
          <w:sz w:val="24"/>
        </w:rPr>
        <w:t>for</w:t>
      </w:r>
      <w:r>
        <w:rPr>
          <w:rFonts w:ascii="BancoDoBrasil Titulos Medium" w:hAnsi="BancoDoBrasil Titulos Medium"/>
          <w:b w:val="0"/>
          <w:color w:val="735CC5"/>
          <w:spacing w:val="-9"/>
          <w:sz w:val="24"/>
        </w:rPr>
        <w:t> </w:t>
      </w:r>
      <w:r>
        <w:rPr>
          <w:rFonts w:ascii="BancoDoBrasil Titulos Medium" w:hAnsi="BancoDoBrasil Titulos Medium"/>
          <w:b w:val="0"/>
          <w:color w:val="735CC5"/>
          <w:sz w:val="24"/>
        </w:rPr>
        <w:t>a</w:t>
      </w:r>
      <w:r>
        <w:rPr>
          <w:rFonts w:ascii="BancoDoBrasil Titulos Medium" w:hAnsi="BancoDoBrasil Titulos Medium"/>
          <w:b w:val="0"/>
          <w:color w:val="735CC5"/>
          <w:spacing w:val="-10"/>
          <w:sz w:val="24"/>
        </w:rPr>
        <w:t> </w:t>
      </w:r>
      <w:r>
        <w:rPr>
          <w:rFonts w:ascii="BancoDoBrasil Titulos Medium" w:hAnsi="BancoDoBrasil Titulos Medium"/>
          <w:b w:val="0"/>
          <w:color w:val="735CC5"/>
          <w:sz w:val="24"/>
        </w:rPr>
        <w:t>more</w:t>
      </w:r>
      <w:r>
        <w:rPr>
          <w:rFonts w:ascii="BancoDoBrasil Titulos Medium" w:hAnsi="BancoDoBrasil Titulos Medium"/>
          <w:b w:val="0"/>
          <w:color w:val="735CC5"/>
          <w:spacing w:val="-9"/>
          <w:sz w:val="24"/>
        </w:rPr>
        <w:t> </w:t>
      </w:r>
      <w:r>
        <w:rPr>
          <w:rFonts w:ascii="BancoDoBrasil Titulos Medium" w:hAnsi="BancoDoBrasil Titulos Medium"/>
          <w:b w:val="0"/>
          <w:color w:val="735CC5"/>
          <w:sz w:val="24"/>
        </w:rPr>
        <w:t>Sustainable</w:t>
      </w:r>
      <w:r>
        <w:rPr>
          <w:rFonts w:ascii="BancoDoBrasil Titulos Medium" w:hAnsi="BancoDoBrasil Titulos Medium"/>
          <w:b w:val="0"/>
          <w:color w:val="735CC5"/>
          <w:spacing w:val="-14"/>
          <w:sz w:val="24"/>
        </w:rPr>
        <w:t> </w:t>
      </w:r>
      <w:r>
        <w:rPr>
          <w:rFonts w:ascii="BancoDoBrasil Titulos Medium" w:hAnsi="BancoDoBrasil Titulos Medium"/>
          <w:b w:val="0"/>
          <w:color w:val="735CC5"/>
          <w:spacing w:val="-2"/>
          <w:sz w:val="24"/>
        </w:rPr>
        <w:t>World</w:t>
      </w:r>
    </w:p>
    <w:p>
      <w:pPr>
        <w:pStyle w:val="BodyText"/>
        <w:spacing w:before="6"/>
        <w:ind w:left="0"/>
        <w:jc w:val="left"/>
        <w:rPr>
          <w:rFonts w:ascii="BancoDoBrasil Titulos Medium"/>
          <w:b w:val="0"/>
          <w:sz w:val="17"/>
        </w:rPr>
      </w:pPr>
      <w:r>
        <w:rPr/>
        <mc:AlternateContent>
          <mc:Choice Requires="wps">
            <w:drawing>
              <wp:anchor distT="0" distB="0" distL="0" distR="0" allowOverlap="1" layoutInCell="1" locked="0" behindDoc="1" simplePos="0" relativeHeight="487592448">
                <wp:simplePos x="0" y="0"/>
                <wp:positionH relativeFrom="page">
                  <wp:posOffset>521208</wp:posOffset>
                </wp:positionH>
                <wp:positionV relativeFrom="paragraph">
                  <wp:posOffset>156946</wp:posOffset>
                </wp:positionV>
                <wp:extent cx="6518909" cy="57150"/>
                <wp:effectExtent l="0" t="0" r="0" b="0"/>
                <wp:wrapTopAndBottom/>
                <wp:docPr id="36" name="Graphic 36"/>
                <wp:cNvGraphicFramePr>
                  <a:graphicFrameLocks/>
                </wp:cNvGraphicFramePr>
                <a:graphic>
                  <a:graphicData uri="http://schemas.microsoft.com/office/word/2010/wordprocessingShape">
                    <wps:wsp>
                      <wps:cNvPr id="36" name="Graphic 36"/>
                      <wps:cNvSpPr/>
                      <wps:spPr>
                        <a:xfrm>
                          <a:off x="0" y="0"/>
                          <a:ext cx="6518909" cy="57150"/>
                        </a:xfrm>
                        <a:custGeom>
                          <a:avLst/>
                          <a:gdLst/>
                          <a:ahLst/>
                          <a:cxnLst/>
                          <a:rect l="l" t="t" r="r" b="b"/>
                          <a:pathLst>
                            <a:path w="6518909" h="57150">
                              <a:moveTo>
                                <a:pt x="6518656" y="0"/>
                              </a:moveTo>
                              <a:lnTo>
                                <a:pt x="0" y="0"/>
                              </a:lnTo>
                              <a:lnTo>
                                <a:pt x="0" y="57150"/>
                              </a:lnTo>
                              <a:lnTo>
                                <a:pt x="6518656" y="57150"/>
                              </a:lnTo>
                              <a:lnTo>
                                <a:pt x="6518656" y="0"/>
                              </a:lnTo>
                              <a:close/>
                            </a:path>
                          </a:pathLst>
                        </a:custGeom>
                        <a:solidFill>
                          <a:srgbClr val="DADEFF"/>
                        </a:solidFill>
                      </wps:spPr>
                      <wps:bodyPr wrap="square" lIns="0" tIns="0" rIns="0" bIns="0" rtlCol="0">
                        <a:prstTxWarp prst="textNoShape">
                          <a:avLst/>
                        </a:prstTxWarp>
                        <a:noAutofit/>
                      </wps:bodyPr>
                    </wps:wsp>
                  </a:graphicData>
                </a:graphic>
              </wp:anchor>
            </w:drawing>
          </mc:Choice>
          <mc:Fallback>
            <w:pict>
              <v:rect style="position:absolute;margin-left:41.040001pt;margin-top:12.358pt;width:513.28pt;height:4.5pt;mso-position-horizontal-relative:page;mso-position-vertical-relative:paragraph;z-index:-15724032;mso-wrap-distance-left:0;mso-wrap-distance-right:0" id="docshape34" filled="true" fillcolor="#dadeff" stroked="false">
                <v:fill type="solid"/>
                <w10:wrap type="topAndBottom"/>
              </v:rect>
            </w:pict>
          </mc:Fallback>
        </mc:AlternateContent>
      </w:r>
      <w:r>
        <w:rPr/>
        <w:drawing>
          <wp:anchor distT="0" distB="0" distL="0" distR="0" allowOverlap="1" layoutInCell="1" locked="0" behindDoc="1" simplePos="0" relativeHeight="487592960">
            <wp:simplePos x="0" y="0"/>
            <wp:positionH relativeFrom="page">
              <wp:posOffset>618160</wp:posOffset>
            </wp:positionH>
            <wp:positionV relativeFrom="paragraph">
              <wp:posOffset>305016</wp:posOffset>
            </wp:positionV>
            <wp:extent cx="6329890" cy="3482816"/>
            <wp:effectExtent l="0" t="0" r="0" b="0"/>
            <wp:wrapTopAndBottom/>
            <wp:docPr id="37" name="Image 37" descr="Interface gráfica do usuário, Texto, Site  Descrição gerada automaticamente"/>
            <wp:cNvGraphicFramePr>
              <a:graphicFrameLocks/>
            </wp:cNvGraphicFramePr>
            <a:graphic>
              <a:graphicData uri="http://schemas.openxmlformats.org/drawingml/2006/picture">
                <pic:pic>
                  <pic:nvPicPr>
                    <pic:cNvPr id="37" name="Image 37" descr="Interface gráfica do usuário, Texto, Site  Descrição gerada automaticamente"/>
                    <pic:cNvPicPr/>
                  </pic:nvPicPr>
                  <pic:blipFill>
                    <a:blip r:embed="rId14" cstate="print"/>
                    <a:stretch>
                      <a:fillRect/>
                    </a:stretch>
                  </pic:blipFill>
                  <pic:spPr>
                    <a:xfrm>
                      <a:off x="0" y="0"/>
                      <a:ext cx="6329890" cy="3482816"/>
                    </a:xfrm>
                    <a:prstGeom prst="rect">
                      <a:avLst/>
                    </a:prstGeom>
                  </pic:spPr>
                </pic:pic>
              </a:graphicData>
            </a:graphic>
          </wp:anchor>
        </w:drawing>
      </w:r>
      <w:r>
        <w:rPr/>
        <mc:AlternateContent>
          <mc:Choice Requires="wps">
            <w:drawing>
              <wp:anchor distT="0" distB="0" distL="0" distR="0" allowOverlap="1" layoutInCell="1" locked="0" behindDoc="1" simplePos="0" relativeHeight="487593472">
                <wp:simplePos x="0" y="0"/>
                <wp:positionH relativeFrom="page">
                  <wp:posOffset>521208</wp:posOffset>
                </wp:positionH>
                <wp:positionV relativeFrom="paragraph">
                  <wp:posOffset>3877538</wp:posOffset>
                </wp:positionV>
                <wp:extent cx="6518909" cy="57150"/>
                <wp:effectExtent l="0" t="0" r="0" b="0"/>
                <wp:wrapTopAndBottom/>
                <wp:docPr id="38" name="Graphic 38"/>
                <wp:cNvGraphicFramePr>
                  <a:graphicFrameLocks/>
                </wp:cNvGraphicFramePr>
                <a:graphic>
                  <a:graphicData uri="http://schemas.microsoft.com/office/word/2010/wordprocessingShape">
                    <wps:wsp>
                      <wps:cNvPr id="38" name="Graphic 38"/>
                      <wps:cNvSpPr/>
                      <wps:spPr>
                        <a:xfrm>
                          <a:off x="0" y="0"/>
                          <a:ext cx="6518909" cy="57150"/>
                        </a:xfrm>
                        <a:custGeom>
                          <a:avLst/>
                          <a:gdLst/>
                          <a:ahLst/>
                          <a:cxnLst/>
                          <a:rect l="l" t="t" r="r" b="b"/>
                          <a:pathLst>
                            <a:path w="6518909" h="57150">
                              <a:moveTo>
                                <a:pt x="6518656" y="0"/>
                              </a:moveTo>
                              <a:lnTo>
                                <a:pt x="0" y="0"/>
                              </a:lnTo>
                              <a:lnTo>
                                <a:pt x="0" y="57150"/>
                              </a:lnTo>
                              <a:lnTo>
                                <a:pt x="6518656" y="57150"/>
                              </a:lnTo>
                              <a:lnTo>
                                <a:pt x="6518656" y="0"/>
                              </a:lnTo>
                              <a:close/>
                            </a:path>
                          </a:pathLst>
                        </a:custGeom>
                        <a:solidFill>
                          <a:srgbClr val="DADEFF"/>
                        </a:solidFill>
                      </wps:spPr>
                      <wps:bodyPr wrap="square" lIns="0" tIns="0" rIns="0" bIns="0" rtlCol="0">
                        <a:prstTxWarp prst="textNoShape">
                          <a:avLst/>
                        </a:prstTxWarp>
                        <a:noAutofit/>
                      </wps:bodyPr>
                    </wps:wsp>
                  </a:graphicData>
                </a:graphic>
              </wp:anchor>
            </w:drawing>
          </mc:Choice>
          <mc:Fallback>
            <w:pict>
              <v:rect style="position:absolute;margin-left:41.040001pt;margin-top:305.317993pt;width:513.28pt;height:4.5pt;mso-position-horizontal-relative:page;mso-position-vertical-relative:paragraph;z-index:-15723008;mso-wrap-distance-left:0;mso-wrap-distance-right:0" id="docshape35" filled="true" fillcolor="#dadeff" stroked="false">
                <v:fill type="solid"/>
                <w10:wrap type="topAndBottom"/>
              </v:rect>
            </w:pict>
          </mc:Fallback>
        </mc:AlternateContent>
      </w:r>
    </w:p>
    <w:p>
      <w:pPr>
        <w:pStyle w:val="BodyText"/>
        <w:spacing w:before="4"/>
        <w:ind w:left="0"/>
        <w:jc w:val="left"/>
        <w:rPr>
          <w:rFonts w:ascii="BancoDoBrasil Titulos Medium"/>
          <w:b w:val="0"/>
          <w:sz w:val="9"/>
        </w:rPr>
      </w:pPr>
    </w:p>
    <w:p>
      <w:pPr>
        <w:pStyle w:val="BodyText"/>
        <w:spacing w:before="2"/>
        <w:ind w:left="0"/>
        <w:jc w:val="left"/>
        <w:rPr>
          <w:rFonts w:ascii="BancoDoBrasil Titulos Medium"/>
          <w:b w:val="0"/>
          <w:sz w:val="9"/>
        </w:rPr>
      </w:pPr>
    </w:p>
    <w:p>
      <w:pPr>
        <w:pStyle w:val="BodyText"/>
        <w:spacing w:before="6"/>
        <w:ind w:left="0"/>
        <w:jc w:val="left"/>
        <w:rPr>
          <w:rFonts w:ascii="BancoDoBrasil Titulos Medium"/>
          <w:b w:val="0"/>
          <w:sz w:val="5"/>
        </w:rPr>
      </w:pPr>
    </w:p>
    <w:p>
      <w:pPr>
        <w:spacing w:after="0"/>
        <w:jc w:val="left"/>
        <w:rPr>
          <w:rFonts w:ascii="BancoDoBrasil Titulos Medium"/>
          <w:sz w:val="5"/>
        </w:rPr>
        <w:sectPr>
          <w:pgSz w:w="11910" w:h="16840"/>
          <w:pgMar w:header="152" w:footer="591" w:top="900" w:bottom="780" w:left="0" w:right="280"/>
        </w:sectPr>
      </w:pPr>
    </w:p>
    <w:p>
      <w:pPr>
        <w:pStyle w:val="Heading2"/>
        <w:spacing w:before="23"/>
        <w:jc w:val="both"/>
        <w:rPr>
          <w:b w:val="0"/>
        </w:rPr>
      </w:pPr>
      <w:r>
        <w:rPr>
          <w:b w:val="0"/>
          <w:color w:val="465EFF"/>
          <w:spacing w:val="20"/>
        </w:rPr>
        <w:t>Sustainable</w:t>
      </w:r>
      <w:r>
        <w:rPr>
          <w:b w:val="0"/>
          <w:color w:val="465EFF"/>
          <w:spacing w:val="31"/>
        </w:rPr>
        <w:t> </w:t>
      </w:r>
      <w:r>
        <w:rPr>
          <w:b w:val="0"/>
          <w:color w:val="465EFF"/>
          <w:spacing w:val="18"/>
        </w:rPr>
        <w:t>Business</w:t>
      </w:r>
    </w:p>
    <w:p>
      <w:pPr>
        <w:pStyle w:val="BodyText"/>
        <w:spacing w:line="321" w:lineRule="auto" w:before="170"/>
      </w:pPr>
      <w:r>
        <w:rPr>
          <w:color w:val="1B1B22"/>
        </w:rPr>
        <w:t>In line with our long-term commitments </w:t>
      </w:r>
      <w:r>
        <w:rPr>
          <w:color w:val="1B1B22"/>
        </w:rPr>
        <w:t>and aiming to help customers transition to a more sustainable</w:t>
      </w:r>
      <w:r>
        <w:rPr>
          <w:color w:val="1B1B22"/>
          <w:spacing w:val="-5"/>
        </w:rPr>
        <w:t> </w:t>
      </w:r>
      <w:r>
        <w:rPr>
          <w:color w:val="1B1B22"/>
        </w:rPr>
        <w:t>economy,</w:t>
      </w:r>
      <w:r>
        <w:rPr>
          <w:color w:val="1B1B22"/>
          <w:spacing w:val="-6"/>
        </w:rPr>
        <w:t> </w:t>
      </w:r>
      <w:r>
        <w:rPr>
          <w:color w:val="1B1B22"/>
        </w:rPr>
        <w:t>at</w:t>
      </w:r>
      <w:r>
        <w:rPr>
          <w:color w:val="1B1B22"/>
          <w:spacing w:val="-5"/>
        </w:rPr>
        <w:t> </w:t>
      </w:r>
      <w:r>
        <w:rPr>
          <w:color w:val="1B1B22"/>
        </w:rPr>
        <w:t>the</w:t>
      </w:r>
      <w:r>
        <w:rPr>
          <w:color w:val="1B1B22"/>
          <w:spacing w:val="-5"/>
        </w:rPr>
        <w:t> </w:t>
      </w:r>
      <w:r>
        <w:rPr>
          <w:color w:val="1B1B22"/>
        </w:rPr>
        <w:t>end</w:t>
      </w:r>
      <w:r>
        <w:rPr>
          <w:color w:val="1B1B22"/>
          <w:spacing w:val="-5"/>
        </w:rPr>
        <w:t> </w:t>
      </w:r>
      <w:r>
        <w:rPr>
          <w:color w:val="1B1B22"/>
        </w:rPr>
        <w:t>of</w:t>
      </w:r>
      <w:r>
        <w:rPr>
          <w:color w:val="1B1B22"/>
          <w:spacing w:val="-6"/>
        </w:rPr>
        <w:t> </w:t>
      </w:r>
      <w:r>
        <w:rPr>
          <w:color w:val="1B1B22"/>
        </w:rPr>
        <w:t>June</w:t>
      </w:r>
      <w:r>
        <w:rPr>
          <w:color w:val="1B1B22"/>
          <w:spacing w:val="-5"/>
        </w:rPr>
        <w:t> </w:t>
      </w:r>
      <w:r>
        <w:rPr>
          <w:color w:val="1B1B22"/>
        </w:rPr>
        <w:t>2024,</w:t>
      </w:r>
      <w:r>
        <w:rPr>
          <w:color w:val="1B1B22"/>
          <w:spacing w:val="-6"/>
        </w:rPr>
        <w:t> </w:t>
      </w:r>
      <w:r>
        <w:rPr>
          <w:color w:val="1B1B22"/>
        </w:rPr>
        <w:t>we reached R$369.6 billion in sustainable credit operations,</w:t>
      </w:r>
      <w:r>
        <w:rPr>
          <w:color w:val="1B1B22"/>
          <w:spacing w:val="25"/>
        </w:rPr>
        <w:t> </w:t>
      </w:r>
      <w:r>
        <w:rPr>
          <w:color w:val="1B1B22"/>
        </w:rPr>
        <w:t>a</w:t>
      </w:r>
      <w:r>
        <w:rPr>
          <w:color w:val="1B1B22"/>
          <w:spacing w:val="26"/>
        </w:rPr>
        <w:t> </w:t>
      </w:r>
      <w:r>
        <w:rPr>
          <w:color w:val="1B1B22"/>
        </w:rPr>
        <w:t>growth</w:t>
      </w:r>
      <w:r>
        <w:rPr>
          <w:color w:val="1B1B22"/>
          <w:spacing w:val="25"/>
        </w:rPr>
        <w:t> </w:t>
      </w:r>
      <w:r>
        <w:rPr>
          <w:color w:val="1B1B22"/>
        </w:rPr>
        <w:t>of</w:t>
      </w:r>
      <w:r>
        <w:rPr>
          <w:color w:val="1B1B22"/>
          <w:spacing w:val="26"/>
        </w:rPr>
        <w:t> </w:t>
      </w:r>
      <w:r>
        <w:rPr>
          <w:color w:val="1B1B22"/>
        </w:rPr>
        <w:t>9.1%</w:t>
      </w:r>
      <w:r>
        <w:rPr>
          <w:color w:val="1B1B22"/>
          <w:spacing w:val="26"/>
        </w:rPr>
        <w:t> </w:t>
      </w:r>
      <w:r>
        <w:rPr>
          <w:color w:val="1B1B22"/>
        </w:rPr>
        <w:t>in</w:t>
      </w:r>
      <w:r>
        <w:rPr>
          <w:color w:val="1B1B22"/>
          <w:spacing w:val="25"/>
        </w:rPr>
        <w:t> </w:t>
      </w:r>
      <w:r>
        <w:rPr>
          <w:color w:val="1B1B22"/>
        </w:rPr>
        <w:t>12</w:t>
      </w:r>
      <w:r>
        <w:rPr>
          <w:color w:val="1B1B22"/>
          <w:spacing w:val="25"/>
        </w:rPr>
        <w:t> </w:t>
      </w:r>
      <w:r>
        <w:rPr>
          <w:color w:val="1B1B22"/>
        </w:rPr>
        <w:t>months,</w:t>
      </w:r>
      <w:r>
        <w:rPr>
          <w:color w:val="1B1B22"/>
          <w:spacing w:val="26"/>
        </w:rPr>
        <w:t> </w:t>
      </w:r>
      <w:r>
        <w:rPr>
          <w:color w:val="1B1B22"/>
          <w:spacing w:val="-4"/>
        </w:rPr>
        <w:t>with</w:t>
      </w:r>
    </w:p>
    <w:p>
      <w:pPr>
        <w:pStyle w:val="BodyText"/>
        <w:spacing w:line="252" w:lineRule="exact"/>
      </w:pPr>
      <w:r>
        <w:rPr>
          <w:color w:val="1B1B22"/>
          <w:spacing w:val="-2"/>
        </w:rPr>
        <w:t>155.0</w:t>
      </w:r>
      <w:r>
        <w:rPr>
          <w:color w:val="1B1B22"/>
          <w:spacing w:val="-4"/>
        </w:rPr>
        <w:t> </w:t>
      </w:r>
      <w:r>
        <w:rPr>
          <w:color w:val="1B1B22"/>
          <w:spacing w:val="-2"/>
        </w:rPr>
        <w:t>billion allocated to</w:t>
      </w:r>
      <w:r>
        <w:rPr>
          <w:color w:val="1B1B22"/>
          <w:spacing w:val="-3"/>
        </w:rPr>
        <w:t> </w:t>
      </w:r>
      <w:r>
        <w:rPr>
          <w:color w:val="1B1B22"/>
          <w:spacing w:val="-2"/>
        </w:rPr>
        <w:t>agriculture.</w:t>
      </w:r>
    </w:p>
    <w:p>
      <w:pPr>
        <w:pStyle w:val="BodyText"/>
        <w:spacing w:line="321" w:lineRule="auto" w:before="206"/>
      </w:pPr>
      <w:r>
        <w:rPr>
          <w:color w:val="1B1B22"/>
        </w:rPr>
        <w:t>This amount was contracted in credit lines with a strong environmental and/or social focus or </w:t>
      </w:r>
      <w:r>
        <w:rPr>
          <w:color w:val="1B1B22"/>
        </w:rPr>
        <w:t>to finance activities and/or segments that bring positive socio-environmental impacts to the sectors of renewable energy, energy efficiency, construction, sustainable transport and tourism, water,</w:t>
      </w:r>
      <w:r>
        <w:rPr>
          <w:color w:val="1B1B22"/>
          <w:spacing w:val="65"/>
        </w:rPr>
        <w:t> </w:t>
      </w:r>
      <w:r>
        <w:rPr>
          <w:color w:val="1B1B22"/>
        </w:rPr>
        <w:t>fishing,</w:t>
      </w:r>
      <w:r>
        <w:rPr>
          <w:color w:val="1B1B22"/>
          <w:spacing w:val="67"/>
        </w:rPr>
        <w:t> </w:t>
      </w:r>
      <w:r>
        <w:rPr>
          <w:color w:val="1B1B22"/>
        </w:rPr>
        <w:t>forestry,</w:t>
      </w:r>
      <w:r>
        <w:rPr>
          <w:color w:val="1B1B22"/>
          <w:spacing w:val="67"/>
        </w:rPr>
        <w:t> </w:t>
      </w:r>
      <w:r>
        <w:rPr>
          <w:color w:val="1B1B22"/>
        </w:rPr>
        <w:t>sustainable</w:t>
      </w:r>
      <w:r>
        <w:rPr>
          <w:color w:val="1B1B22"/>
          <w:spacing w:val="66"/>
        </w:rPr>
        <w:t> </w:t>
      </w:r>
      <w:r>
        <w:rPr>
          <w:color w:val="1B1B22"/>
          <w:spacing w:val="-2"/>
        </w:rPr>
        <w:t>agriculture,</w:t>
      </w:r>
    </w:p>
    <w:p>
      <w:pPr>
        <w:spacing w:line="240" w:lineRule="auto" w:before="0"/>
        <w:rPr>
          <w:sz w:val="20"/>
        </w:rPr>
      </w:pPr>
      <w:r>
        <w:rPr/>
        <w:br w:type="column"/>
      </w:r>
      <w:r>
        <w:rPr>
          <w:sz w:val="20"/>
        </w:rPr>
      </w:r>
    </w:p>
    <w:p>
      <w:pPr>
        <w:pStyle w:val="BodyText"/>
        <w:spacing w:before="40"/>
        <w:ind w:left="0"/>
        <w:jc w:val="left"/>
      </w:pPr>
    </w:p>
    <w:p>
      <w:pPr>
        <w:pStyle w:val="BodyText"/>
        <w:spacing w:line="321" w:lineRule="auto"/>
        <w:ind w:left="667" w:right="569"/>
      </w:pPr>
      <w:r>
        <w:rPr>
          <w:color w:val="1B1B22"/>
        </w:rPr>
        <w:t>waste management, education, health and </w:t>
      </w:r>
      <w:r>
        <w:rPr>
          <w:color w:val="1B1B22"/>
        </w:rPr>
        <w:t>local </w:t>
      </w:r>
      <w:r>
        <w:rPr>
          <w:color w:val="1B1B22"/>
          <w:spacing w:val="-2"/>
        </w:rPr>
        <w:t>and</w:t>
      </w:r>
      <w:r>
        <w:rPr>
          <w:color w:val="1B1B22"/>
          <w:spacing w:val="-11"/>
        </w:rPr>
        <w:t> </w:t>
      </w:r>
      <w:r>
        <w:rPr>
          <w:color w:val="1B1B22"/>
          <w:spacing w:val="-2"/>
        </w:rPr>
        <w:t>regional</w:t>
      </w:r>
      <w:r>
        <w:rPr>
          <w:color w:val="1B1B22"/>
          <w:spacing w:val="-10"/>
        </w:rPr>
        <w:t> </w:t>
      </w:r>
      <w:r>
        <w:rPr>
          <w:color w:val="1B1B22"/>
          <w:spacing w:val="-2"/>
        </w:rPr>
        <w:t>development,</w:t>
      </w:r>
      <w:r>
        <w:rPr>
          <w:color w:val="1B1B22"/>
          <w:spacing w:val="-11"/>
        </w:rPr>
        <w:t> </w:t>
      </w:r>
      <w:r>
        <w:rPr>
          <w:color w:val="1B1B22"/>
          <w:spacing w:val="-2"/>
        </w:rPr>
        <w:t>in</w:t>
      </w:r>
      <w:r>
        <w:rPr>
          <w:color w:val="1B1B22"/>
          <w:spacing w:val="-10"/>
        </w:rPr>
        <w:t> </w:t>
      </w:r>
      <w:r>
        <w:rPr>
          <w:color w:val="1B1B22"/>
          <w:spacing w:val="-2"/>
        </w:rPr>
        <w:t>order</w:t>
      </w:r>
      <w:r>
        <w:rPr>
          <w:color w:val="1B1B22"/>
          <w:spacing w:val="-10"/>
        </w:rPr>
        <w:t> </w:t>
      </w:r>
      <w:r>
        <w:rPr>
          <w:color w:val="1B1B22"/>
          <w:spacing w:val="-2"/>
        </w:rPr>
        <w:t>to</w:t>
      </w:r>
      <w:r>
        <w:rPr>
          <w:color w:val="1B1B22"/>
          <w:spacing w:val="-11"/>
        </w:rPr>
        <w:t> </w:t>
      </w:r>
      <w:r>
        <w:rPr>
          <w:color w:val="1B1B22"/>
          <w:spacing w:val="-2"/>
        </w:rPr>
        <w:t>reinforce</w:t>
      </w:r>
      <w:r>
        <w:rPr>
          <w:color w:val="1B1B22"/>
          <w:spacing w:val="-10"/>
        </w:rPr>
        <w:t> </w:t>
      </w:r>
      <w:r>
        <w:rPr>
          <w:color w:val="1B1B22"/>
          <w:spacing w:val="-2"/>
        </w:rPr>
        <w:t>the </w:t>
      </w:r>
      <w:r>
        <w:rPr>
          <w:color w:val="1B1B22"/>
        </w:rPr>
        <w:t>transformative role in the country's development and in building an increasingly sustainable future for society.</w:t>
      </w:r>
    </w:p>
    <w:p>
      <w:pPr>
        <w:pStyle w:val="BodyText"/>
        <w:spacing w:line="321" w:lineRule="auto" w:before="117"/>
        <w:ind w:left="667" w:right="568"/>
      </w:pPr>
      <w:r>
        <w:rPr>
          <w:color w:val="1B1B22"/>
        </w:rPr>
        <w:t>The</w:t>
      </w:r>
      <w:r>
        <w:rPr>
          <w:color w:val="1B1B22"/>
          <w:spacing w:val="-1"/>
        </w:rPr>
        <w:t> </w:t>
      </w:r>
      <w:r>
        <w:rPr>
          <w:color w:val="1B1B22"/>
        </w:rPr>
        <w:t>Sustainable</w:t>
      </w:r>
      <w:r>
        <w:rPr>
          <w:color w:val="1B1B22"/>
          <w:spacing w:val="-1"/>
        </w:rPr>
        <w:t> </w:t>
      </w:r>
      <w:r>
        <w:rPr>
          <w:color w:val="1B1B22"/>
        </w:rPr>
        <w:t>Credit</w:t>
      </w:r>
      <w:r>
        <w:rPr>
          <w:color w:val="1B1B22"/>
          <w:spacing w:val="-1"/>
        </w:rPr>
        <w:t> </w:t>
      </w:r>
      <w:r>
        <w:rPr>
          <w:color w:val="1B1B22"/>
        </w:rPr>
        <w:t>Portfolio</w:t>
      </w:r>
      <w:r>
        <w:rPr>
          <w:color w:val="1B1B22"/>
          <w:spacing w:val="-1"/>
        </w:rPr>
        <w:t> </w:t>
      </w:r>
      <w:r>
        <w:rPr>
          <w:color w:val="1B1B22"/>
        </w:rPr>
        <w:t>is</w:t>
      </w:r>
      <w:r>
        <w:rPr>
          <w:color w:val="1B1B22"/>
          <w:spacing w:val="-2"/>
        </w:rPr>
        <w:t> </w:t>
      </w:r>
      <w:r>
        <w:rPr>
          <w:color w:val="1B1B22"/>
        </w:rPr>
        <w:t>subjected</w:t>
      </w:r>
      <w:r>
        <w:rPr>
          <w:color w:val="1B1B22"/>
          <w:spacing w:val="-1"/>
        </w:rPr>
        <w:t> </w:t>
      </w:r>
      <w:r>
        <w:rPr>
          <w:color w:val="1B1B22"/>
        </w:rPr>
        <w:t>to</w:t>
      </w:r>
      <w:r>
        <w:rPr>
          <w:color w:val="1B1B22"/>
          <w:spacing w:val="-1"/>
        </w:rPr>
        <w:t> </w:t>
      </w:r>
      <w:r>
        <w:rPr>
          <w:color w:val="1B1B22"/>
        </w:rPr>
        <w:t>an independent</w:t>
      </w:r>
      <w:r>
        <w:rPr>
          <w:color w:val="1B1B22"/>
          <w:spacing w:val="-13"/>
        </w:rPr>
        <w:t> </w:t>
      </w:r>
      <w:r>
        <w:rPr>
          <w:color w:val="1B1B22"/>
        </w:rPr>
        <w:t>assessment,</w:t>
      </w:r>
      <w:r>
        <w:rPr>
          <w:color w:val="1B1B22"/>
          <w:spacing w:val="-12"/>
        </w:rPr>
        <w:t> </w:t>
      </w:r>
      <w:r>
        <w:rPr>
          <w:color w:val="1B1B22"/>
        </w:rPr>
        <w:t>which</w:t>
      </w:r>
      <w:r>
        <w:rPr>
          <w:color w:val="1B1B22"/>
          <w:spacing w:val="-13"/>
        </w:rPr>
        <w:t> </w:t>
      </w:r>
      <w:r>
        <w:rPr>
          <w:color w:val="1B1B22"/>
        </w:rPr>
        <w:t>considers</w:t>
      </w:r>
      <w:r>
        <w:rPr>
          <w:color w:val="1B1B22"/>
          <w:spacing w:val="-12"/>
        </w:rPr>
        <w:t> </w:t>
      </w:r>
      <w:r>
        <w:rPr>
          <w:color w:val="1B1B22"/>
        </w:rPr>
        <w:t>the</w:t>
      </w:r>
      <w:r>
        <w:rPr>
          <w:color w:val="1B1B22"/>
          <w:spacing w:val="-12"/>
        </w:rPr>
        <w:t> </w:t>
      </w:r>
      <w:r>
        <w:rPr>
          <w:color w:val="1B1B22"/>
        </w:rPr>
        <w:t>main national and international ESG taxonomies in classifying</w:t>
      </w:r>
      <w:r>
        <w:rPr>
          <w:color w:val="1B1B22"/>
          <w:spacing w:val="-13"/>
        </w:rPr>
        <w:t> </w:t>
      </w:r>
      <w:r>
        <w:rPr>
          <w:color w:val="1B1B22"/>
        </w:rPr>
        <w:t>customers</w:t>
      </w:r>
      <w:r>
        <w:rPr>
          <w:color w:val="1B1B22"/>
          <w:spacing w:val="-12"/>
        </w:rPr>
        <w:t> </w:t>
      </w:r>
      <w:r>
        <w:rPr>
          <w:color w:val="1B1B22"/>
        </w:rPr>
        <w:t>and</w:t>
      </w:r>
      <w:r>
        <w:rPr>
          <w:color w:val="1B1B22"/>
          <w:spacing w:val="-13"/>
        </w:rPr>
        <w:t> </w:t>
      </w:r>
      <w:r>
        <w:rPr>
          <w:color w:val="1B1B22"/>
        </w:rPr>
        <w:t>credit</w:t>
      </w:r>
      <w:r>
        <w:rPr>
          <w:color w:val="1B1B22"/>
          <w:spacing w:val="-12"/>
        </w:rPr>
        <w:t> </w:t>
      </w:r>
      <w:r>
        <w:rPr>
          <w:color w:val="1B1B22"/>
        </w:rPr>
        <w:t>lines</w:t>
      </w:r>
      <w:r>
        <w:rPr>
          <w:color w:val="1B1B22"/>
          <w:spacing w:val="-12"/>
        </w:rPr>
        <w:t> </w:t>
      </w:r>
      <w:r>
        <w:rPr>
          <w:color w:val="1B1B22"/>
        </w:rPr>
        <w:t>that</w:t>
      </w:r>
      <w:r>
        <w:rPr>
          <w:color w:val="1B1B22"/>
          <w:spacing w:val="-13"/>
        </w:rPr>
        <w:t> </w:t>
      </w:r>
      <w:r>
        <w:rPr>
          <w:color w:val="1B1B22"/>
        </w:rPr>
        <w:t>make</w:t>
      </w:r>
      <w:r>
        <w:rPr>
          <w:color w:val="1B1B22"/>
          <w:spacing w:val="-12"/>
        </w:rPr>
        <w:t> </w:t>
      </w:r>
      <w:r>
        <w:rPr>
          <w:color w:val="1B1B22"/>
        </w:rPr>
        <w:t>up the portfolio. The methodology is continually reviewed to incorporate best practices and pioneering references from recent years and add new products with ESG attribute</w:t>
      </w:r>
    </w:p>
    <w:p>
      <w:pPr>
        <w:spacing w:after="0" w:line="321" w:lineRule="auto"/>
        <w:sectPr>
          <w:type w:val="continuous"/>
          <w:pgSz w:w="11910" w:h="16840"/>
          <w:pgMar w:header="152" w:footer="591" w:top="1920" w:bottom="280" w:left="0" w:right="280"/>
          <w:cols w:num="2" w:equalWidth="0">
            <w:col w:w="5600" w:space="40"/>
            <w:col w:w="5990"/>
          </w:cols>
        </w:sectPr>
      </w:pPr>
    </w:p>
    <w:p>
      <w:pPr>
        <w:pStyle w:val="BodyText"/>
        <w:spacing w:before="267"/>
        <w:ind w:left="0"/>
        <w:jc w:val="left"/>
        <w:rPr>
          <w:sz w:val="28"/>
        </w:rPr>
      </w:pPr>
    </w:p>
    <w:p>
      <w:pPr>
        <w:pStyle w:val="Heading2"/>
        <w:jc w:val="both"/>
        <w:rPr>
          <w:b w:val="0"/>
        </w:rPr>
      </w:pPr>
      <w:r>
        <w:rPr>
          <w:b w:val="0"/>
          <w:color w:val="465EFF"/>
          <w:spacing w:val="20"/>
        </w:rPr>
        <w:t>Sustainable</w:t>
      </w:r>
      <w:r>
        <w:rPr>
          <w:b w:val="0"/>
          <w:color w:val="465EFF"/>
          <w:spacing w:val="31"/>
        </w:rPr>
        <w:t> </w:t>
      </w:r>
      <w:r>
        <w:rPr>
          <w:b w:val="0"/>
          <w:color w:val="465EFF"/>
          <w:spacing w:val="18"/>
        </w:rPr>
        <w:t>Fundraising</w:t>
      </w:r>
    </w:p>
    <w:p>
      <w:pPr>
        <w:pStyle w:val="BodyText"/>
        <w:spacing w:line="321" w:lineRule="auto" w:before="171"/>
        <w:ind w:right="569"/>
      </w:pPr>
      <w:r>
        <w:rPr>
          <w:color w:val="1B1B22"/>
        </w:rPr>
        <w:t>We</w:t>
      </w:r>
      <w:r>
        <w:rPr>
          <w:color w:val="1B1B22"/>
          <w:spacing w:val="-13"/>
        </w:rPr>
        <w:t> </w:t>
      </w:r>
      <w:r>
        <w:rPr>
          <w:color w:val="1B1B22"/>
        </w:rPr>
        <w:t>have</w:t>
      </w:r>
      <w:r>
        <w:rPr>
          <w:color w:val="1B1B22"/>
          <w:spacing w:val="-12"/>
        </w:rPr>
        <w:t> </w:t>
      </w:r>
      <w:r>
        <w:rPr>
          <w:color w:val="1B1B22"/>
        </w:rPr>
        <w:t>intensified</w:t>
      </w:r>
      <w:r>
        <w:rPr>
          <w:color w:val="1B1B22"/>
          <w:spacing w:val="-13"/>
        </w:rPr>
        <w:t> </w:t>
      </w:r>
      <w:r>
        <w:rPr>
          <w:color w:val="1B1B22"/>
        </w:rPr>
        <w:t>our</w:t>
      </w:r>
      <w:r>
        <w:rPr>
          <w:color w:val="1B1B22"/>
          <w:spacing w:val="-12"/>
        </w:rPr>
        <w:t> </w:t>
      </w:r>
      <w:r>
        <w:rPr>
          <w:color w:val="1B1B22"/>
        </w:rPr>
        <w:t>agendas</w:t>
      </w:r>
      <w:r>
        <w:rPr>
          <w:color w:val="1B1B22"/>
          <w:spacing w:val="-12"/>
        </w:rPr>
        <w:t> </w:t>
      </w:r>
      <w:r>
        <w:rPr>
          <w:color w:val="1B1B22"/>
        </w:rPr>
        <w:t>in</w:t>
      </w:r>
      <w:r>
        <w:rPr>
          <w:color w:val="1B1B22"/>
          <w:spacing w:val="-12"/>
        </w:rPr>
        <w:t> </w:t>
      </w:r>
      <w:r>
        <w:rPr>
          <w:color w:val="1B1B22"/>
        </w:rPr>
        <w:t>the</w:t>
      </w:r>
      <w:r>
        <w:rPr>
          <w:color w:val="1B1B22"/>
          <w:spacing w:val="-12"/>
        </w:rPr>
        <w:t> </w:t>
      </w:r>
      <w:r>
        <w:rPr>
          <w:color w:val="1B1B22"/>
        </w:rPr>
        <w:t>interbank</w:t>
      </w:r>
      <w:r>
        <w:rPr>
          <w:color w:val="1B1B22"/>
          <w:spacing w:val="-12"/>
        </w:rPr>
        <w:t> </w:t>
      </w:r>
      <w:r>
        <w:rPr>
          <w:color w:val="1B1B22"/>
        </w:rPr>
        <w:t>market,</w:t>
      </w:r>
      <w:r>
        <w:rPr>
          <w:color w:val="1B1B22"/>
          <w:spacing w:val="-13"/>
        </w:rPr>
        <w:t> </w:t>
      </w:r>
      <w:r>
        <w:rPr>
          <w:color w:val="1B1B22"/>
        </w:rPr>
        <w:t>with</w:t>
      </w:r>
      <w:r>
        <w:rPr>
          <w:color w:val="1B1B22"/>
          <w:spacing w:val="-12"/>
        </w:rPr>
        <w:t> </w:t>
      </w:r>
      <w:r>
        <w:rPr>
          <w:color w:val="1B1B22"/>
        </w:rPr>
        <w:t>multilateral</w:t>
      </w:r>
      <w:r>
        <w:rPr>
          <w:color w:val="1B1B22"/>
          <w:spacing w:val="-12"/>
        </w:rPr>
        <w:t> </w:t>
      </w:r>
      <w:r>
        <w:rPr>
          <w:color w:val="1B1B22"/>
        </w:rPr>
        <w:t>institutions</w:t>
      </w:r>
      <w:r>
        <w:rPr>
          <w:color w:val="1B1B22"/>
          <w:spacing w:val="-13"/>
        </w:rPr>
        <w:t> </w:t>
      </w:r>
      <w:r>
        <w:rPr>
          <w:color w:val="1B1B22"/>
        </w:rPr>
        <w:t>and</w:t>
      </w:r>
      <w:r>
        <w:rPr>
          <w:color w:val="1B1B22"/>
          <w:spacing w:val="-12"/>
        </w:rPr>
        <w:t> </w:t>
      </w:r>
      <w:r>
        <w:rPr>
          <w:color w:val="1B1B22"/>
        </w:rPr>
        <w:t>commercial</w:t>
      </w:r>
      <w:r>
        <w:rPr>
          <w:color w:val="1B1B22"/>
          <w:spacing w:val="-11"/>
        </w:rPr>
        <w:t> </w:t>
      </w:r>
      <w:r>
        <w:rPr>
          <w:color w:val="1B1B22"/>
        </w:rPr>
        <w:t>banks, in addition to our agenda with investors in the international capital market.</w:t>
      </w:r>
      <w:r>
        <w:rPr>
          <w:color w:val="1B1B22"/>
          <w:spacing w:val="-4"/>
        </w:rPr>
        <w:t> </w:t>
      </w:r>
      <w:r>
        <w:rPr>
          <w:color w:val="1B1B22"/>
        </w:rPr>
        <w:t>The result is that in the last 36 months alone, more than R$36 billion in ESG funding has been contracted or negotiated.</w:t>
      </w:r>
    </w:p>
    <w:p>
      <w:pPr>
        <w:spacing w:after="0" w:line="321" w:lineRule="auto"/>
        <w:sectPr>
          <w:type w:val="continuous"/>
          <w:pgSz w:w="11910" w:h="16840"/>
          <w:pgMar w:header="152" w:footer="591" w:top="1920" w:bottom="280" w:left="0" w:right="280"/>
        </w:sectPr>
      </w:pPr>
    </w:p>
    <w:p>
      <w:pPr>
        <w:pStyle w:val="BodyText"/>
        <w:spacing w:before="67"/>
        <w:ind w:left="0"/>
        <w:jc w:val="left"/>
      </w:pPr>
    </w:p>
    <w:p>
      <w:pPr>
        <w:pStyle w:val="BodyText"/>
        <w:spacing w:line="321" w:lineRule="auto"/>
        <w:ind w:right="571"/>
      </w:pPr>
      <w:r>
        <w:rPr>
          <w:color w:val="1B1B22"/>
        </w:rPr>
        <w:t>The growth in total disbursements in operations with resources raised from multilateral institutions, for example, was 61%. These businesses contribute to diversifying the Bank's funding mix and, consequently, generating credit for Brazilians in all regions of the country, with an emphasis on ESG operations. Between 2023</w:t>
      </w:r>
      <w:r>
        <w:rPr>
          <w:color w:val="1B1B22"/>
          <w:spacing w:val="-11"/>
        </w:rPr>
        <w:t> </w:t>
      </w:r>
      <w:r>
        <w:rPr>
          <w:color w:val="1B1B22"/>
        </w:rPr>
        <w:t>and</w:t>
      </w:r>
      <w:r>
        <w:rPr>
          <w:color w:val="1B1B22"/>
          <w:spacing w:val="-10"/>
        </w:rPr>
        <w:t> </w:t>
      </w:r>
      <w:r>
        <w:rPr>
          <w:color w:val="1B1B22"/>
        </w:rPr>
        <w:t>2024,</w:t>
      </w:r>
      <w:r>
        <w:rPr>
          <w:color w:val="1B1B22"/>
          <w:spacing w:val="-10"/>
        </w:rPr>
        <w:t> </w:t>
      </w:r>
      <w:r>
        <w:rPr>
          <w:color w:val="1B1B22"/>
        </w:rPr>
        <w:t>we</w:t>
      </w:r>
      <w:r>
        <w:rPr>
          <w:color w:val="1B1B22"/>
          <w:spacing w:val="-10"/>
        </w:rPr>
        <w:t> </w:t>
      </w:r>
      <w:r>
        <w:rPr>
          <w:color w:val="1B1B22"/>
        </w:rPr>
        <w:t>disbursed</w:t>
      </w:r>
      <w:r>
        <w:rPr>
          <w:color w:val="1B1B22"/>
          <w:spacing w:val="-10"/>
        </w:rPr>
        <w:t> </w:t>
      </w:r>
      <w:r>
        <w:rPr>
          <w:color w:val="1B1B22"/>
        </w:rPr>
        <w:t>approximately</w:t>
      </w:r>
      <w:r>
        <w:rPr>
          <w:color w:val="1B1B22"/>
          <w:spacing w:val="-10"/>
        </w:rPr>
        <w:t> </w:t>
      </w:r>
      <w:r>
        <w:rPr>
          <w:color w:val="1B1B22"/>
        </w:rPr>
        <w:t>R$10.6</w:t>
      </w:r>
      <w:r>
        <w:rPr>
          <w:color w:val="1B1B22"/>
          <w:spacing w:val="-10"/>
        </w:rPr>
        <w:t> </w:t>
      </w:r>
      <w:r>
        <w:rPr>
          <w:color w:val="1B1B22"/>
        </w:rPr>
        <w:t>billion</w:t>
      </w:r>
      <w:r>
        <w:rPr>
          <w:color w:val="1B1B22"/>
          <w:spacing w:val="-11"/>
        </w:rPr>
        <w:t> </w:t>
      </w:r>
      <w:r>
        <w:rPr>
          <w:color w:val="1B1B22"/>
        </w:rPr>
        <w:t>with</w:t>
      </w:r>
      <w:r>
        <w:rPr>
          <w:color w:val="1B1B22"/>
          <w:spacing w:val="-10"/>
        </w:rPr>
        <w:t> </w:t>
      </w:r>
      <w:r>
        <w:rPr>
          <w:color w:val="1B1B22"/>
        </w:rPr>
        <w:t>multilateral</w:t>
      </w:r>
      <w:r>
        <w:rPr>
          <w:color w:val="1B1B22"/>
          <w:spacing w:val="-10"/>
        </w:rPr>
        <w:t> </w:t>
      </w:r>
      <w:r>
        <w:rPr>
          <w:color w:val="1B1B22"/>
        </w:rPr>
        <w:t>institutions</w:t>
      </w:r>
      <w:r>
        <w:rPr>
          <w:color w:val="1B1B22"/>
          <w:spacing w:val="-11"/>
        </w:rPr>
        <w:t> </w:t>
      </w:r>
      <w:r>
        <w:rPr>
          <w:color w:val="1B1B22"/>
        </w:rPr>
        <w:t>and</w:t>
      </w:r>
      <w:r>
        <w:rPr>
          <w:color w:val="1B1B22"/>
          <w:spacing w:val="-10"/>
        </w:rPr>
        <w:t> </w:t>
      </w:r>
      <w:r>
        <w:rPr>
          <w:color w:val="1B1B22"/>
        </w:rPr>
        <w:t>have</w:t>
      </w:r>
      <w:r>
        <w:rPr>
          <w:color w:val="1B1B22"/>
          <w:spacing w:val="-10"/>
        </w:rPr>
        <w:t> </w:t>
      </w:r>
      <w:r>
        <w:rPr>
          <w:color w:val="1B1B22"/>
        </w:rPr>
        <w:t>negotiated another approximately R$12 billion for disbursement by 2025.</w:t>
      </w:r>
    </w:p>
    <w:p>
      <w:pPr>
        <w:pStyle w:val="Heading2"/>
        <w:spacing w:before="108"/>
        <w:jc w:val="both"/>
        <w:rPr>
          <w:b w:val="0"/>
        </w:rPr>
      </w:pPr>
      <w:r>
        <w:rPr>
          <w:b w:val="0"/>
          <w:color w:val="465EFF"/>
          <w:spacing w:val="19"/>
        </w:rPr>
        <w:t>Carbon</w:t>
      </w:r>
      <w:r>
        <w:rPr>
          <w:b w:val="0"/>
          <w:color w:val="465EFF"/>
          <w:spacing w:val="40"/>
        </w:rPr>
        <w:t> </w:t>
      </w:r>
      <w:r>
        <w:rPr>
          <w:b w:val="0"/>
          <w:color w:val="465EFF"/>
          <w:spacing w:val="15"/>
        </w:rPr>
        <w:t>Market</w:t>
      </w:r>
    </w:p>
    <w:p>
      <w:pPr>
        <w:spacing w:after="0"/>
        <w:jc w:val="both"/>
        <w:sectPr>
          <w:pgSz w:w="11910" w:h="16840"/>
          <w:pgMar w:header="152" w:footer="591" w:top="900" w:bottom="780" w:left="0" w:right="280"/>
        </w:sectPr>
      </w:pPr>
    </w:p>
    <w:p>
      <w:pPr>
        <w:pStyle w:val="BodyText"/>
        <w:spacing w:line="321" w:lineRule="auto" w:before="170"/>
      </w:pPr>
      <w:r>
        <w:rPr>
          <w:color w:val="1B1B22"/>
        </w:rPr>
        <w:t>We reinforce our performance in the voluntary carbon market by supporting clients in the development of projects that generate </w:t>
      </w:r>
      <w:r>
        <w:rPr>
          <w:color w:val="1B1B22"/>
        </w:rPr>
        <w:t>carbon credits with relevant environmental additionally, offering advice on carrying out GHG emissions </w:t>
      </w:r>
      <w:r>
        <w:rPr>
          <w:color w:val="1B1B22"/>
          <w:spacing w:val="-2"/>
        </w:rPr>
        <w:t>inventories and decarbonization plans and offering </w:t>
      </w:r>
      <w:r>
        <w:rPr>
          <w:color w:val="1B1B22"/>
        </w:rPr>
        <w:t>carbon credits from high-integrity projects to compensate for unmitigated emissions.</w:t>
      </w:r>
    </w:p>
    <w:p>
      <w:pPr>
        <w:pStyle w:val="BodyText"/>
        <w:spacing w:line="321" w:lineRule="auto" w:before="115"/>
      </w:pPr>
      <w:r>
        <w:rPr>
          <w:color w:val="1B1B22"/>
        </w:rPr>
        <w:t>In addition to selling carbon credits to be used to </w:t>
      </w:r>
      <w:r>
        <w:rPr>
          <w:color w:val="1B1B22"/>
          <w:spacing w:val="-2"/>
        </w:rPr>
        <w:t>offset</w:t>
      </w:r>
      <w:r>
        <w:rPr>
          <w:color w:val="1B1B22"/>
          <w:spacing w:val="-8"/>
        </w:rPr>
        <w:t> </w:t>
      </w:r>
      <w:r>
        <w:rPr>
          <w:color w:val="1B1B22"/>
          <w:spacing w:val="-2"/>
        </w:rPr>
        <w:t>customer</w:t>
      </w:r>
      <w:r>
        <w:rPr>
          <w:color w:val="1B1B22"/>
          <w:spacing w:val="-8"/>
        </w:rPr>
        <w:t> </w:t>
      </w:r>
      <w:r>
        <w:rPr>
          <w:color w:val="1B1B22"/>
          <w:spacing w:val="-2"/>
        </w:rPr>
        <w:t>emissions,</w:t>
      </w:r>
      <w:r>
        <w:rPr>
          <w:color w:val="1B1B22"/>
          <w:spacing w:val="-8"/>
        </w:rPr>
        <w:t> </w:t>
      </w:r>
      <w:r>
        <w:rPr>
          <w:color w:val="1B1B22"/>
          <w:spacing w:val="-2"/>
        </w:rPr>
        <w:t>we</w:t>
      </w:r>
      <w:r>
        <w:rPr>
          <w:color w:val="1B1B22"/>
          <w:spacing w:val="-8"/>
        </w:rPr>
        <w:t> </w:t>
      </w:r>
      <w:r>
        <w:rPr>
          <w:color w:val="1B1B22"/>
          <w:spacing w:val="-2"/>
        </w:rPr>
        <w:t>offer</w:t>
      </w:r>
      <w:r>
        <w:rPr>
          <w:color w:val="1B1B22"/>
          <w:spacing w:val="-8"/>
        </w:rPr>
        <w:t> </w:t>
      </w:r>
      <w:r>
        <w:rPr>
          <w:color w:val="1B1B22"/>
          <w:spacing w:val="-2"/>
        </w:rPr>
        <w:t>intermediation </w:t>
      </w:r>
      <w:r>
        <w:rPr>
          <w:color w:val="1B1B22"/>
        </w:rPr>
        <w:t>opportunities between those who need and </w:t>
      </w:r>
      <w:r>
        <w:rPr>
          <w:color w:val="1B1B22"/>
        </w:rPr>
        <w:t>those who have carbon credits. Furthermore, we have specific lines to promote projects that contribute to</w:t>
      </w:r>
      <w:r>
        <w:rPr>
          <w:color w:val="1B1B22"/>
          <w:spacing w:val="-1"/>
        </w:rPr>
        <w:t> </w:t>
      </w:r>
      <w:r>
        <w:rPr>
          <w:color w:val="1B1B22"/>
        </w:rPr>
        <w:t>decarbonization,</w:t>
      </w:r>
      <w:r>
        <w:rPr>
          <w:color w:val="1B1B22"/>
          <w:spacing w:val="-1"/>
        </w:rPr>
        <w:t> </w:t>
      </w:r>
      <w:r>
        <w:rPr>
          <w:color w:val="1B1B22"/>
        </w:rPr>
        <w:t>such as</w:t>
      </w:r>
      <w:r>
        <w:rPr>
          <w:color w:val="1B1B22"/>
          <w:spacing w:val="-1"/>
        </w:rPr>
        <w:t> </w:t>
      </w:r>
      <w:r>
        <w:rPr>
          <w:color w:val="1B1B22"/>
        </w:rPr>
        <w:t>renewable</w:t>
      </w:r>
      <w:r>
        <w:rPr>
          <w:color w:val="1B1B22"/>
          <w:spacing w:val="-1"/>
        </w:rPr>
        <w:t> </w:t>
      </w:r>
      <w:r>
        <w:rPr>
          <w:color w:val="1B1B22"/>
        </w:rPr>
        <w:t>energy and energy efficiency.</w:t>
      </w:r>
    </w:p>
    <w:p>
      <w:pPr>
        <w:pStyle w:val="BodyText"/>
        <w:spacing w:line="321" w:lineRule="auto" w:before="116"/>
      </w:pPr>
      <w:r>
        <w:rPr>
          <w:color w:val="1B1B22"/>
        </w:rPr>
        <w:t>In</w:t>
      </w:r>
      <w:r>
        <w:rPr>
          <w:color w:val="1B1B22"/>
          <w:spacing w:val="-2"/>
        </w:rPr>
        <w:t> </w:t>
      </w:r>
      <w:r>
        <w:rPr>
          <w:color w:val="1B1B22"/>
        </w:rPr>
        <w:t>9M24,</w:t>
      </w:r>
      <w:r>
        <w:rPr>
          <w:color w:val="1B1B22"/>
          <w:spacing w:val="-2"/>
        </w:rPr>
        <w:t> </w:t>
      </w:r>
      <w:r>
        <w:rPr>
          <w:color w:val="1B1B22"/>
        </w:rPr>
        <w:t>we</w:t>
      </w:r>
      <w:r>
        <w:rPr>
          <w:color w:val="1B1B22"/>
          <w:spacing w:val="-2"/>
        </w:rPr>
        <w:t> </w:t>
      </w:r>
      <w:r>
        <w:rPr>
          <w:color w:val="1B1B22"/>
        </w:rPr>
        <w:t>achieved</w:t>
      </w:r>
      <w:r>
        <w:rPr>
          <w:color w:val="1B1B22"/>
          <w:spacing w:val="-2"/>
        </w:rPr>
        <w:t> </w:t>
      </w:r>
      <w:r>
        <w:rPr>
          <w:color w:val="1B1B22"/>
        </w:rPr>
        <w:t>over</w:t>
      </w:r>
      <w:r>
        <w:rPr>
          <w:color w:val="1B1B22"/>
          <w:spacing w:val="-2"/>
        </w:rPr>
        <w:t> </w:t>
      </w:r>
      <w:r>
        <w:rPr>
          <w:color w:val="1B1B22"/>
        </w:rPr>
        <w:t>684</w:t>
      </w:r>
      <w:r>
        <w:rPr>
          <w:color w:val="1B1B22"/>
          <w:spacing w:val="-2"/>
        </w:rPr>
        <w:t> </w:t>
      </w:r>
      <w:r>
        <w:rPr>
          <w:color w:val="1B1B22"/>
        </w:rPr>
        <w:t>thousand</w:t>
      </w:r>
      <w:r>
        <w:rPr>
          <w:color w:val="1B1B22"/>
          <w:spacing w:val="-2"/>
        </w:rPr>
        <w:t> </w:t>
      </w:r>
      <w:r>
        <w:rPr>
          <w:color w:val="1B1B22"/>
        </w:rPr>
        <w:t>hectares preserved in carbon projects, using the </w:t>
      </w:r>
      <w:r>
        <w:rPr>
          <w:color w:val="1B1B22"/>
        </w:rPr>
        <w:t>avoided deforestation</w:t>
      </w:r>
      <w:r>
        <w:rPr>
          <w:color w:val="1B1B22"/>
          <w:spacing w:val="49"/>
        </w:rPr>
        <w:t> </w:t>
      </w:r>
      <w:r>
        <w:rPr>
          <w:color w:val="1B1B22"/>
        </w:rPr>
        <w:t>methodology</w:t>
      </w:r>
      <w:r>
        <w:rPr>
          <w:color w:val="1B1B22"/>
          <w:spacing w:val="51"/>
        </w:rPr>
        <w:t> </w:t>
      </w:r>
      <w:r>
        <w:rPr>
          <w:color w:val="1B1B22"/>
        </w:rPr>
        <w:t>-</w:t>
      </w:r>
      <w:r>
        <w:rPr>
          <w:color w:val="1B1B22"/>
          <w:spacing w:val="50"/>
        </w:rPr>
        <w:t> </w:t>
      </w:r>
      <w:r>
        <w:rPr>
          <w:color w:val="1B1B22"/>
        </w:rPr>
        <w:t>REDD+.</w:t>
      </w:r>
      <w:r>
        <w:rPr>
          <w:color w:val="1B1B22"/>
          <w:spacing w:val="34"/>
        </w:rPr>
        <w:t> </w:t>
      </w:r>
      <w:r>
        <w:rPr>
          <w:color w:val="1B1B22"/>
        </w:rPr>
        <w:t>These</w:t>
      </w:r>
      <w:r>
        <w:rPr>
          <w:color w:val="1B1B22"/>
          <w:spacing w:val="49"/>
        </w:rPr>
        <w:t> </w:t>
      </w:r>
      <w:r>
        <w:rPr>
          <w:color w:val="1B1B22"/>
          <w:spacing w:val="-5"/>
        </w:rPr>
        <w:t>are</w:t>
      </w:r>
    </w:p>
    <w:p>
      <w:pPr>
        <w:pStyle w:val="Heading2"/>
        <w:spacing w:line="347" w:lineRule="exact"/>
        <w:jc w:val="both"/>
        <w:rPr>
          <w:b w:val="0"/>
        </w:rPr>
      </w:pPr>
      <w:r>
        <w:rPr>
          <w:b w:val="0"/>
          <w:color w:val="465EFF"/>
          <w:spacing w:val="19"/>
        </w:rPr>
        <w:t>Bioeconomy</w:t>
      </w:r>
      <w:r>
        <w:rPr>
          <w:b w:val="0"/>
          <w:color w:val="465EFF"/>
          <w:spacing w:val="45"/>
        </w:rPr>
        <w:t> </w:t>
      </w:r>
      <w:r>
        <w:rPr>
          <w:b w:val="0"/>
          <w:color w:val="465EFF"/>
          <w:spacing w:val="16"/>
        </w:rPr>
        <w:t>and</w:t>
      </w:r>
      <w:r>
        <w:rPr>
          <w:b w:val="0"/>
          <w:color w:val="465EFF"/>
          <w:spacing w:val="30"/>
        </w:rPr>
        <w:t> </w:t>
      </w:r>
      <w:r>
        <w:rPr>
          <w:b w:val="0"/>
          <w:color w:val="465EFF"/>
          <w:spacing w:val="12"/>
        </w:rPr>
        <w:t>Value</w:t>
      </w:r>
      <w:r>
        <w:rPr>
          <w:b w:val="0"/>
          <w:color w:val="465EFF"/>
          <w:spacing w:val="41"/>
        </w:rPr>
        <w:t> </w:t>
      </w:r>
      <w:r>
        <w:rPr>
          <w:b w:val="0"/>
          <w:color w:val="465EFF"/>
          <w:spacing w:val="16"/>
        </w:rPr>
        <w:t>Chain</w:t>
      </w:r>
    </w:p>
    <w:p>
      <w:pPr>
        <w:pStyle w:val="BodyText"/>
        <w:spacing w:line="321" w:lineRule="auto" w:before="248"/>
      </w:pPr>
      <w:r>
        <w:rPr>
          <w:color w:val="1B1B22"/>
        </w:rPr>
        <w:t>We</w:t>
      </w:r>
      <w:r>
        <w:rPr>
          <w:color w:val="1B1B22"/>
          <w:spacing w:val="-13"/>
        </w:rPr>
        <w:t> </w:t>
      </w:r>
      <w:r>
        <w:rPr>
          <w:color w:val="1B1B22"/>
        </w:rPr>
        <w:t>have</w:t>
      </w:r>
      <w:r>
        <w:rPr>
          <w:color w:val="1B1B22"/>
          <w:spacing w:val="-12"/>
        </w:rPr>
        <w:t> </w:t>
      </w:r>
      <w:r>
        <w:rPr>
          <w:color w:val="1B1B22"/>
        </w:rPr>
        <w:t>been</w:t>
      </w:r>
      <w:r>
        <w:rPr>
          <w:color w:val="1B1B22"/>
          <w:spacing w:val="-13"/>
        </w:rPr>
        <w:t> </w:t>
      </w:r>
      <w:r>
        <w:rPr>
          <w:color w:val="1B1B22"/>
        </w:rPr>
        <w:t>promoting</w:t>
      </w:r>
      <w:r>
        <w:rPr>
          <w:color w:val="1B1B22"/>
          <w:spacing w:val="-12"/>
        </w:rPr>
        <w:t> </w:t>
      </w:r>
      <w:r>
        <w:rPr>
          <w:color w:val="1B1B22"/>
        </w:rPr>
        <w:t>the</w:t>
      </w:r>
      <w:r>
        <w:rPr>
          <w:color w:val="1B1B22"/>
          <w:spacing w:val="-12"/>
        </w:rPr>
        <w:t> </w:t>
      </w:r>
      <w:r>
        <w:rPr>
          <w:color w:val="1B1B22"/>
        </w:rPr>
        <w:t>Bioeconomy,</w:t>
      </w:r>
      <w:r>
        <w:rPr>
          <w:color w:val="1B1B22"/>
          <w:spacing w:val="-13"/>
        </w:rPr>
        <w:t> </w:t>
      </w:r>
      <w:r>
        <w:rPr>
          <w:color w:val="1B1B22"/>
        </w:rPr>
        <w:t>thus</w:t>
      </w:r>
      <w:r>
        <w:rPr>
          <w:color w:val="1B1B22"/>
          <w:spacing w:val="-12"/>
        </w:rPr>
        <w:t> </w:t>
      </w:r>
      <w:r>
        <w:rPr>
          <w:color w:val="1B1B22"/>
        </w:rPr>
        <w:t>we ensure a healthier and more balanced future for future generations. Our work has focused on promoting the Bioeconomy of the Legal Amazon, since the conservation of biodiversity and carbon stocks in the Brazilian Amazon is essential for global climate regulation, in addition to </w:t>
      </w:r>
      <w:r>
        <w:rPr>
          <w:color w:val="1B1B22"/>
        </w:rPr>
        <w:t>being </w:t>
      </w:r>
      <w:r>
        <w:rPr>
          <w:color w:val="1B1B22"/>
          <w:spacing w:val="-2"/>
        </w:rPr>
        <w:t>essential</w:t>
      </w:r>
      <w:r>
        <w:rPr>
          <w:color w:val="1B1B22"/>
          <w:spacing w:val="-8"/>
        </w:rPr>
        <w:t> </w:t>
      </w:r>
      <w:r>
        <w:rPr>
          <w:color w:val="1B1B22"/>
          <w:spacing w:val="-2"/>
        </w:rPr>
        <w:t>for</w:t>
      </w:r>
      <w:r>
        <w:rPr>
          <w:color w:val="1B1B22"/>
          <w:spacing w:val="-9"/>
        </w:rPr>
        <w:t> </w:t>
      </w:r>
      <w:r>
        <w:rPr>
          <w:color w:val="1B1B22"/>
          <w:spacing w:val="-2"/>
        </w:rPr>
        <w:t>the</w:t>
      </w:r>
      <w:r>
        <w:rPr>
          <w:color w:val="1B1B22"/>
          <w:spacing w:val="-9"/>
        </w:rPr>
        <w:t> </w:t>
      </w:r>
      <w:r>
        <w:rPr>
          <w:color w:val="1B1B22"/>
          <w:spacing w:val="-2"/>
        </w:rPr>
        <w:t>local</w:t>
      </w:r>
      <w:r>
        <w:rPr>
          <w:color w:val="1B1B22"/>
          <w:spacing w:val="-8"/>
        </w:rPr>
        <w:t> </w:t>
      </w:r>
      <w:r>
        <w:rPr>
          <w:color w:val="1B1B22"/>
          <w:spacing w:val="-2"/>
        </w:rPr>
        <w:t>economy,</w:t>
      </w:r>
      <w:r>
        <w:rPr>
          <w:color w:val="1B1B22"/>
          <w:spacing w:val="-8"/>
        </w:rPr>
        <w:t> </w:t>
      </w:r>
      <w:r>
        <w:rPr>
          <w:color w:val="1B1B22"/>
          <w:spacing w:val="-2"/>
        </w:rPr>
        <w:t>ensuring</w:t>
      </w:r>
      <w:r>
        <w:rPr>
          <w:color w:val="1B1B22"/>
          <w:spacing w:val="-8"/>
        </w:rPr>
        <w:t> </w:t>
      </w:r>
      <w:r>
        <w:rPr>
          <w:color w:val="1B1B22"/>
          <w:spacing w:val="-2"/>
        </w:rPr>
        <w:t>social</w:t>
      </w:r>
      <w:r>
        <w:rPr>
          <w:color w:val="1B1B22"/>
          <w:spacing w:val="-9"/>
        </w:rPr>
        <w:t> </w:t>
      </w:r>
      <w:r>
        <w:rPr>
          <w:color w:val="1B1B22"/>
          <w:spacing w:val="-2"/>
        </w:rPr>
        <w:t>and </w:t>
      </w:r>
      <w:r>
        <w:rPr>
          <w:color w:val="1B1B22"/>
        </w:rPr>
        <w:t>economic benefits for the region.</w:t>
      </w:r>
    </w:p>
    <w:p>
      <w:pPr>
        <w:pStyle w:val="BodyText"/>
        <w:spacing w:line="321" w:lineRule="auto" w:before="114"/>
        <w:ind w:right="1"/>
      </w:pPr>
      <w:r>
        <w:rPr>
          <w:color w:val="1B1B22"/>
        </w:rPr>
        <w:t>We</w:t>
      </w:r>
      <w:r>
        <w:rPr>
          <w:color w:val="1B1B22"/>
          <w:spacing w:val="-5"/>
        </w:rPr>
        <w:t> </w:t>
      </w:r>
      <w:r>
        <w:rPr>
          <w:color w:val="1B1B22"/>
        </w:rPr>
        <w:t>contribute</w:t>
      </w:r>
      <w:r>
        <w:rPr>
          <w:color w:val="1B1B22"/>
          <w:spacing w:val="-5"/>
        </w:rPr>
        <w:t> </w:t>
      </w:r>
      <w:r>
        <w:rPr>
          <w:color w:val="1B1B22"/>
        </w:rPr>
        <w:t>to</w:t>
      </w:r>
      <w:r>
        <w:rPr>
          <w:color w:val="1B1B22"/>
          <w:spacing w:val="-4"/>
        </w:rPr>
        <w:t> </w:t>
      </w:r>
      <w:r>
        <w:rPr>
          <w:color w:val="1B1B22"/>
        </w:rPr>
        <w:t>the</w:t>
      </w:r>
      <w:r>
        <w:rPr>
          <w:color w:val="1B1B22"/>
          <w:spacing w:val="-6"/>
        </w:rPr>
        <w:t> </w:t>
      </w:r>
      <w:r>
        <w:rPr>
          <w:color w:val="1B1B22"/>
        </w:rPr>
        <w:t>development</w:t>
      </w:r>
      <w:r>
        <w:rPr>
          <w:color w:val="1B1B22"/>
          <w:spacing w:val="-6"/>
        </w:rPr>
        <w:t> </w:t>
      </w:r>
      <w:r>
        <w:rPr>
          <w:color w:val="1B1B22"/>
        </w:rPr>
        <w:t>of</w:t>
      </w:r>
      <w:r>
        <w:rPr>
          <w:color w:val="1B1B22"/>
          <w:spacing w:val="-5"/>
        </w:rPr>
        <w:t> </w:t>
      </w:r>
      <w:r>
        <w:rPr>
          <w:color w:val="1B1B22"/>
        </w:rPr>
        <w:t>biodiversity in the country, providing financial resources, specialized services, credit lines with attractive conditions and financial consulting services to </w:t>
      </w:r>
      <w:r>
        <w:rPr>
          <w:color w:val="1B1B22"/>
          <w:spacing w:val="-2"/>
        </w:rPr>
        <w:t>assist</w:t>
      </w:r>
      <w:r>
        <w:rPr>
          <w:color w:val="1B1B22"/>
          <w:spacing w:val="-8"/>
        </w:rPr>
        <w:t> </w:t>
      </w:r>
      <w:r>
        <w:rPr>
          <w:color w:val="1B1B22"/>
          <w:spacing w:val="-2"/>
        </w:rPr>
        <w:t>family</w:t>
      </w:r>
      <w:r>
        <w:rPr>
          <w:color w:val="1B1B22"/>
          <w:spacing w:val="-9"/>
        </w:rPr>
        <w:t> </w:t>
      </w:r>
      <w:r>
        <w:rPr>
          <w:color w:val="1B1B22"/>
          <w:spacing w:val="-2"/>
        </w:rPr>
        <w:t>farmers,</w:t>
      </w:r>
      <w:r>
        <w:rPr>
          <w:color w:val="1B1B22"/>
          <w:spacing w:val="-8"/>
        </w:rPr>
        <w:t> </w:t>
      </w:r>
      <w:r>
        <w:rPr>
          <w:color w:val="1B1B22"/>
          <w:spacing w:val="-2"/>
        </w:rPr>
        <w:t>associations</w:t>
      </w:r>
      <w:r>
        <w:rPr>
          <w:color w:val="1B1B22"/>
          <w:spacing w:val="-8"/>
        </w:rPr>
        <w:t> </w:t>
      </w:r>
      <w:r>
        <w:rPr>
          <w:color w:val="1B1B22"/>
          <w:spacing w:val="-2"/>
        </w:rPr>
        <w:t>and</w:t>
      </w:r>
      <w:r>
        <w:rPr>
          <w:color w:val="1B1B22"/>
          <w:spacing w:val="-9"/>
        </w:rPr>
        <w:t> </w:t>
      </w:r>
      <w:r>
        <w:rPr>
          <w:color w:val="1B1B22"/>
          <w:spacing w:val="-2"/>
        </w:rPr>
        <w:t>cooperatives </w:t>
      </w:r>
      <w:r>
        <w:rPr>
          <w:color w:val="1B1B22"/>
        </w:rPr>
        <w:t>that</w:t>
      </w:r>
      <w:r>
        <w:rPr>
          <w:color w:val="1B1B22"/>
          <w:spacing w:val="20"/>
        </w:rPr>
        <w:t> </w:t>
      </w:r>
      <w:r>
        <w:rPr>
          <w:color w:val="1B1B22"/>
        </w:rPr>
        <w:t>work</w:t>
      </w:r>
      <w:r>
        <w:rPr>
          <w:color w:val="1B1B22"/>
          <w:spacing w:val="19"/>
        </w:rPr>
        <w:t> </w:t>
      </w:r>
      <w:r>
        <w:rPr>
          <w:color w:val="1B1B22"/>
        </w:rPr>
        <w:t>with</w:t>
      </w:r>
      <w:r>
        <w:rPr>
          <w:color w:val="1B1B22"/>
          <w:spacing w:val="20"/>
        </w:rPr>
        <w:t> </w:t>
      </w:r>
      <w:r>
        <w:rPr>
          <w:color w:val="1B1B22"/>
        </w:rPr>
        <w:t>the</w:t>
      </w:r>
      <w:r>
        <w:rPr>
          <w:color w:val="1B1B22"/>
          <w:spacing w:val="20"/>
        </w:rPr>
        <w:t> </w:t>
      </w:r>
      <w:r>
        <w:rPr>
          <w:color w:val="1B1B22"/>
        </w:rPr>
        <w:t>Bioeconomy.</w:t>
      </w:r>
      <w:r>
        <w:rPr>
          <w:color w:val="1B1B22"/>
          <w:spacing w:val="6"/>
        </w:rPr>
        <w:t> </w:t>
      </w:r>
      <w:r>
        <w:rPr>
          <w:color w:val="1B1B22"/>
        </w:rPr>
        <w:t>The</w:t>
      </w:r>
      <w:r>
        <w:rPr>
          <w:color w:val="1B1B22"/>
          <w:spacing w:val="18"/>
        </w:rPr>
        <w:t> </w:t>
      </w:r>
      <w:r>
        <w:rPr>
          <w:color w:val="1B1B22"/>
        </w:rPr>
        <w:t>objective</w:t>
      </w:r>
      <w:r>
        <w:rPr>
          <w:color w:val="1B1B22"/>
          <w:spacing w:val="21"/>
        </w:rPr>
        <w:t> </w:t>
      </w:r>
      <w:r>
        <w:rPr>
          <w:color w:val="1B1B22"/>
          <w:spacing w:val="-7"/>
        </w:rPr>
        <w:t>of</w:t>
      </w:r>
    </w:p>
    <w:p>
      <w:pPr>
        <w:pStyle w:val="BodyText"/>
        <w:spacing w:line="321" w:lineRule="auto" w:before="170"/>
        <w:ind w:left="666" w:right="569"/>
      </w:pPr>
      <w:r>
        <w:rPr/>
        <w:br w:type="column"/>
      </w:r>
      <w:r>
        <w:rPr>
          <w:color w:val="1B1B22"/>
        </w:rPr>
        <w:t>projects</w:t>
      </w:r>
      <w:r>
        <w:rPr>
          <w:color w:val="1B1B22"/>
          <w:spacing w:val="-11"/>
        </w:rPr>
        <w:t> </w:t>
      </w:r>
      <w:r>
        <w:rPr>
          <w:color w:val="1B1B22"/>
        </w:rPr>
        <w:t>that</w:t>
      </w:r>
      <w:r>
        <w:rPr>
          <w:color w:val="1B1B22"/>
          <w:spacing w:val="-11"/>
        </w:rPr>
        <w:t> </w:t>
      </w:r>
      <w:r>
        <w:rPr>
          <w:color w:val="1B1B22"/>
        </w:rPr>
        <w:t>combine</w:t>
      </w:r>
      <w:r>
        <w:rPr>
          <w:color w:val="1B1B22"/>
          <w:spacing w:val="-10"/>
        </w:rPr>
        <w:t> </w:t>
      </w:r>
      <w:r>
        <w:rPr>
          <w:color w:val="1B1B22"/>
        </w:rPr>
        <w:t>environmental</w:t>
      </w:r>
      <w:r>
        <w:rPr>
          <w:color w:val="1B1B22"/>
          <w:spacing w:val="-10"/>
        </w:rPr>
        <w:t> </w:t>
      </w:r>
      <w:r>
        <w:rPr>
          <w:color w:val="1B1B22"/>
        </w:rPr>
        <w:t>preservation and</w:t>
      </w:r>
      <w:r>
        <w:rPr>
          <w:color w:val="1B1B22"/>
          <w:spacing w:val="-9"/>
        </w:rPr>
        <w:t> </w:t>
      </w:r>
      <w:r>
        <w:rPr>
          <w:color w:val="1B1B22"/>
        </w:rPr>
        <w:t>income</w:t>
      </w:r>
      <w:r>
        <w:rPr>
          <w:color w:val="1B1B22"/>
          <w:spacing w:val="-9"/>
        </w:rPr>
        <w:t> </w:t>
      </w:r>
      <w:r>
        <w:rPr>
          <w:color w:val="1B1B22"/>
        </w:rPr>
        <w:t>generation</w:t>
      </w:r>
      <w:r>
        <w:rPr>
          <w:color w:val="1B1B22"/>
          <w:spacing w:val="-8"/>
        </w:rPr>
        <w:t> </w:t>
      </w:r>
      <w:r>
        <w:rPr>
          <w:color w:val="1B1B22"/>
        </w:rPr>
        <w:t>for</w:t>
      </w:r>
      <w:r>
        <w:rPr>
          <w:color w:val="1B1B22"/>
          <w:spacing w:val="-8"/>
        </w:rPr>
        <w:t> </w:t>
      </w:r>
      <w:r>
        <w:rPr>
          <w:color w:val="1B1B22"/>
        </w:rPr>
        <w:t>landowners,</w:t>
      </w:r>
      <w:r>
        <w:rPr>
          <w:color w:val="1B1B22"/>
          <w:spacing w:val="-9"/>
        </w:rPr>
        <w:t> </w:t>
      </w:r>
      <w:r>
        <w:rPr>
          <w:color w:val="1B1B22"/>
        </w:rPr>
        <w:t>in</w:t>
      </w:r>
      <w:r>
        <w:rPr>
          <w:color w:val="1B1B22"/>
          <w:spacing w:val="-9"/>
        </w:rPr>
        <w:t> </w:t>
      </w:r>
      <w:r>
        <w:rPr>
          <w:color w:val="1B1B22"/>
        </w:rPr>
        <w:t>addition to</w:t>
      </w:r>
      <w:r>
        <w:rPr>
          <w:color w:val="1B1B22"/>
          <w:spacing w:val="-13"/>
        </w:rPr>
        <w:t> </w:t>
      </w:r>
      <w:r>
        <w:rPr>
          <w:color w:val="1B1B22"/>
        </w:rPr>
        <w:t>social</w:t>
      </w:r>
      <w:r>
        <w:rPr>
          <w:color w:val="1B1B22"/>
          <w:spacing w:val="-12"/>
        </w:rPr>
        <w:t> </w:t>
      </w:r>
      <w:r>
        <w:rPr>
          <w:color w:val="1B1B22"/>
        </w:rPr>
        <w:t>projects</w:t>
      </w:r>
      <w:r>
        <w:rPr>
          <w:color w:val="1B1B22"/>
          <w:spacing w:val="-13"/>
        </w:rPr>
        <w:t> </w:t>
      </w:r>
      <w:r>
        <w:rPr>
          <w:color w:val="1B1B22"/>
        </w:rPr>
        <w:t>aimed</w:t>
      </w:r>
      <w:r>
        <w:rPr>
          <w:color w:val="1B1B22"/>
          <w:spacing w:val="-12"/>
        </w:rPr>
        <w:t> </w:t>
      </w:r>
      <w:r>
        <w:rPr>
          <w:color w:val="1B1B22"/>
        </w:rPr>
        <w:t>at</w:t>
      </w:r>
      <w:r>
        <w:rPr>
          <w:color w:val="1B1B22"/>
          <w:spacing w:val="-12"/>
        </w:rPr>
        <w:t> </w:t>
      </w:r>
      <w:r>
        <w:rPr>
          <w:color w:val="1B1B22"/>
        </w:rPr>
        <w:t>riverside,</w:t>
      </w:r>
      <w:r>
        <w:rPr>
          <w:color w:val="1B1B22"/>
          <w:spacing w:val="-13"/>
        </w:rPr>
        <w:t> </w:t>
      </w:r>
      <w:r>
        <w:rPr>
          <w:color w:val="1B1B22"/>
        </w:rPr>
        <w:t>traditional</w:t>
      </w:r>
      <w:r>
        <w:rPr>
          <w:color w:val="1B1B22"/>
          <w:spacing w:val="-12"/>
        </w:rPr>
        <w:t> </w:t>
      </w:r>
      <w:r>
        <w:rPr>
          <w:color w:val="1B1B22"/>
        </w:rPr>
        <w:t>and </w:t>
      </w:r>
      <w:r>
        <w:rPr>
          <w:color w:val="1B1B22"/>
          <w:spacing w:val="-2"/>
        </w:rPr>
        <w:t>indigenous</w:t>
      </w:r>
      <w:r>
        <w:rPr>
          <w:color w:val="1B1B22"/>
          <w:spacing w:val="-3"/>
        </w:rPr>
        <w:t> </w:t>
      </w:r>
      <w:r>
        <w:rPr>
          <w:color w:val="1B1B22"/>
          <w:spacing w:val="-2"/>
        </w:rPr>
        <w:t>communities</w:t>
      </w:r>
      <w:r>
        <w:rPr>
          <w:color w:val="1B1B22"/>
          <w:spacing w:val="-3"/>
        </w:rPr>
        <w:t> </w:t>
      </w:r>
      <w:r>
        <w:rPr>
          <w:color w:val="1B1B22"/>
          <w:spacing w:val="-2"/>
        </w:rPr>
        <w:t>located within</w:t>
      </w:r>
      <w:r>
        <w:rPr>
          <w:color w:val="1B1B22"/>
          <w:spacing w:val="-3"/>
        </w:rPr>
        <w:t> </w:t>
      </w:r>
      <w:r>
        <w:rPr>
          <w:color w:val="1B1B22"/>
          <w:spacing w:val="-2"/>
        </w:rPr>
        <w:t>and</w:t>
      </w:r>
      <w:r>
        <w:rPr>
          <w:color w:val="1B1B22"/>
          <w:spacing w:val="-3"/>
        </w:rPr>
        <w:t> </w:t>
      </w:r>
      <w:r>
        <w:rPr>
          <w:color w:val="1B1B22"/>
          <w:spacing w:val="-2"/>
        </w:rPr>
        <w:t>around </w:t>
      </w:r>
      <w:r>
        <w:rPr>
          <w:color w:val="1B1B22"/>
        </w:rPr>
        <w:t>these projects.</w:t>
      </w:r>
    </w:p>
    <w:p>
      <w:pPr>
        <w:pStyle w:val="BodyText"/>
        <w:spacing w:line="321" w:lineRule="auto" w:before="117"/>
        <w:ind w:left="666" w:right="570"/>
      </w:pPr>
      <w:r>
        <w:rPr>
          <w:color w:val="1B1B22"/>
        </w:rPr>
        <w:t>Aiming to diversify the sources of carbon credit generation, in March of this year we launched the Biogas</w:t>
      </w:r>
      <w:r>
        <w:rPr>
          <w:color w:val="1B1B22"/>
          <w:spacing w:val="-2"/>
        </w:rPr>
        <w:t> </w:t>
      </w:r>
      <w:r>
        <w:rPr>
          <w:color w:val="1B1B22"/>
        </w:rPr>
        <w:t>Program,</w:t>
      </w:r>
      <w:r>
        <w:rPr>
          <w:color w:val="1B1B22"/>
          <w:spacing w:val="-2"/>
        </w:rPr>
        <w:t> </w:t>
      </w:r>
      <w:r>
        <w:rPr>
          <w:color w:val="1B1B22"/>
        </w:rPr>
        <w:t>which</w:t>
      </w:r>
      <w:r>
        <w:rPr>
          <w:color w:val="1B1B22"/>
          <w:spacing w:val="-2"/>
        </w:rPr>
        <w:t> </w:t>
      </w:r>
      <w:r>
        <w:rPr>
          <w:color w:val="1B1B22"/>
        </w:rPr>
        <w:t>supports</w:t>
      </w:r>
      <w:r>
        <w:rPr>
          <w:color w:val="1B1B22"/>
          <w:spacing w:val="-2"/>
        </w:rPr>
        <w:t> </w:t>
      </w:r>
      <w:r>
        <w:rPr>
          <w:color w:val="1B1B22"/>
        </w:rPr>
        <w:t>the</w:t>
      </w:r>
      <w:r>
        <w:rPr>
          <w:color w:val="1B1B22"/>
          <w:spacing w:val="-2"/>
        </w:rPr>
        <w:t> </w:t>
      </w:r>
      <w:r>
        <w:rPr>
          <w:color w:val="1B1B22"/>
        </w:rPr>
        <w:t>development of projects based on the generation of biogas and biomethane in agriculture. Since the beginning of the</w:t>
      </w:r>
      <w:r>
        <w:rPr>
          <w:color w:val="1B1B22"/>
          <w:spacing w:val="-8"/>
        </w:rPr>
        <w:t> </w:t>
      </w:r>
      <w:r>
        <w:rPr>
          <w:color w:val="1B1B22"/>
        </w:rPr>
        <w:t>program,</w:t>
      </w:r>
      <w:r>
        <w:rPr>
          <w:color w:val="1B1B22"/>
          <w:spacing w:val="-9"/>
        </w:rPr>
        <w:t> </w:t>
      </w:r>
      <w:r>
        <w:rPr>
          <w:color w:val="1B1B22"/>
        </w:rPr>
        <w:t>we</w:t>
      </w:r>
      <w:r>
        <w:rPr>
          <w:color w:val="1B1B22"/>
          <w:spacing w:val="-9"/>
        </w:rPr>
        <w:t> </w:t>
      </w:r>
      <w:r>
        <w:rPr>
          <w:color w:val="1B1B22"/>
        </w:rPr>
        <w:t>have</w:t>
      </w:r>
      <w:r>
        <w:rPr>
          <w:color w:val="1B1B22"/>
          <w:spacing w:val="-9"/>
        </w:rPr>
        <w:t> </w:t>
      </w:r>
      <w:r>
        <w:rPr>
          <w:color w:val="1B1B22"/>
        </w:rPr>
        <w:t>contracted</w:t>
      </w:r>
      <w:r>
        <w:rPr>
          <w:color w:val="1B1B22"/>
          <w:spacing w:val="-8"/>
        </w:rPr>
        <w:t> </w:t>
      </w:r>
      <w:r>
        <w:rPr>
          <w:color w:val="1B1B22"/>
        </w:rPr>
        <w:t>four</w:t>
      </w:r>
      <w:r>
        <w:rPr>
          <w:color w:val="1B1B22"/>
          <w:spacing w:val="-8"/>
        </w:rPr>
        <w:t> </w:t>
      </w:r>
      <w:r>
        <w:rPr>
          <w:color w:val="1B1B22"/>
        </w:rPr>
        <w:t>projects</w:t>
      </w:r>
      <w:r>
        <w:rPr>
          <w:color w:val="1B1B22"/>
          <w:spacing w:val="-9"/>
        </w:rPr>
        <w:t> </w:t>
      </w:r>
      <w:r>
        <w:rPr>
          <w:color w:val="1B1B22"/>
        </w:rPr>
        <w:t>for the development of carbon credits using </w:t>
      </w:r>
      <w:r>
        <w:rPr>
          <w:color w:val="1B1B22"/>
        </w:rPr>
        <w:t>this </w:t>
      </w:r>
      <w:r>
        <w:rPr>
          <w:color w:val="1B1B22"/>
          <w:spacing w:val="-2"/>
        </w:rPr>
        <w:t>methodology.</w:t>
      </w:r>
    </w:p>
    <w:p>
      <w:pPr>
        <w:pStyle w:val="BodyText"/>
        <w:spacing w:line="321" w:lineRule="auto" w:before="115"/>
        <w:ind w:left="666" w:right="570"/>
      </w:pPr>
      <w:r>
        <w:rPr>
          <w:color w:val="1B1B22"/>
        </w:rPr>
        <w:t>In line with diversification, we prospected and signed the</w:t>
      </w:r>
      <w:r>
        <w:rPr>
          <w:color w:val="1B1B22"/>
          <w:spacing w:val="-1"/>
        </w:rPr>
        <w:t> </w:t>
      </w:r>
      <w:r>
        <w:rPr>
          <w:color w:val="1B1B22"/>
        </w:rPr>
        <w:t>first soil carbon</w:t>
      </w:r>
      <w:r>
        <w:rPr>
          <w:color w:val="1B1B22"/>
          <w:spacing w:val="-1"/>
        </w:rPr>
        <w:t> </w:t>
      </w:r>
      <w:r>
        <w:rPr>
          <w:color w:val="1B1B22"/>
        </w:rPr>
        <w:t>contract</w:t>
      </w:r>
      <w:r>
        <w:rPr>
          <w:color w:val="1B1B22"/>
          <w:spacing w:val="-2"/>
        </w:rPr>
        <w:t> </w:t>
      </w:r>
      <w:r>
        <w:rPr>
          <w:color w:val="1B1B22"/>
        </w:rPr>
        <w:t>(ALM) for the recovery of degraded pasture, an area of 1,150 </w:t>
      </w:r>
      <w:r>
        <w:rPr>
          <w:color w:val="1B1B22"/>
          <w:spacing w:val="-2"/>
        </w:rPr>
        <w:t>hectares.</w:t>
      </w:r>
    </w:p>
    <w:p>
      <w:pPr>
        <w:pStyle w:val="BodyText"/>
        <w:ind w:left="0"/>
        <w:jc w:val="left"/>
      </w:pPr>
    </w:p>
    <w:p>
      <w:pPr>
        <w:pStyle w:val="BodyText"/>
        <w:ind w:left="0"/>
        <w:jc w:val="left"/>
      </w:pPr>
    </w:p>
    <w:p>
      <w:pPr>
        <w:pStyle w:val="BodyText"/>
        <w:spacing w:before="170"/>
        <w:ind w:left="0"/>
        <w:jc w:val="left"/>
      </w:pPr>
    </w:p>
    <w:p>
      <w:pPr>
        <w:pStyle w:val="BodyText"/>
        <w:spacing w:line="321" w:lineRule="auto" w:before="1"/>
        <w:ind w:left="666" w:right="569"/>
      </w:pPr>
      <w:r>
        <w:rPr>
          <w:color w:val="1B1B22"/>
        </w:rPr>
        <w:t>our work is to promote the strengthening </w:t>
      </w:r>
      <w:r>
        <w:rPr>
          <w:color w:val="1B1B22"/>
        </w:rPr>
        <w:t>and productive inclusion of Bioeconomy projects that respect good environmental practices and local </w:t>
      </w:r>
      <w:r>
        <w:rPr>
          <w:color w:val="1B1B22"/>
          <w:spacing w:val="-2"/>
        </w:rPr>
        <w:t>cultures.</w:t>
      </w:r>
    </w:p>
    <w:p>
      <w:pPr>
        <w:pStyle w:val="BodyText"/>
        <w:spacing w:line="321" w:lineRule="auto" w:before="117"/>
        <w:ind w:left="666" w:right="570"/>
      </w:pPr>
      <w:r>
        <w:rPr>
          <w:color w:val="1B1B22"/>
        </w:rPr>
        <w:t>We are currently one of the main financiers of forest</w:t>
      </w:r>
      <w:r>
        <w:rPr>
          <w:color w:val="1B1B22"/>
          <w:spacing w:val="-13"/>
        </w:rPr>
        <w:t> </w:t>
      </w:r>
      <w:r>
        <w:rPr>
          <w:color w:val="1B1B22"/>
        </w:rPr>
        <w:t>products</w:t>
      </w:r>
      <w:r>
        <w:rPr>
          <w:color w:val="1B1B22"/>
          <w:spacing w:val="-12"/>
        </w:rPr>
        <w:t> </w:t>
      </w:r>
      <w:r>
        <w:rPr>
          <w:color w:val="1B1B22"/>
        </w:rPr>
        <w:t>and</w:t>
      </w:r>
      <w:r>
        <w:rPr>
          <w:color w:val="1B1B22"/>
          <w:spacing w:val="-12"/>
        </w:rPr>
        <w:t> </w:t>
      </w:r>
      <w:r>
        <w:rPr>
          <w:color w:val="1B1B22"/>
        </w:rPr>
        <w:t>biodiversity,</w:t>
      </w:r>
      <w:r>
        <w:rPr>
          <w:color w:val="1B1B22"/>
          <w:spacing w:val="-13"/>
        </w:rPr>
        <w:t> </w:t>
      </w:r>
      <w:r>
        <w:rPr>
          <w:color w:val="1B1B22"/>
        </w:rPr>
        <w:t>with</w:t>
      </w:r>
      <w:r>
        <w:rPr>
          <w:color w:val="1B1B22"/>
          <w:spacing w:val="-12"/>
        </w:rPr>
        <w:t> </w:t>
      </w:r>
      <w:r>
        <w:rPr>
          <w:color w:val="1B1B22"/>
        </w:rPr>
        <w:t>R$1.4</w:t>
      </w:r>
      <w:r>
        <w:rPr>
          <w:color w:val="1B1B22"/>
          <w:spacing w:val="-12"/>
        </w:rPr>
        <w:t> </w:t>
      </w:r>
      <w:r>
        <w:rPr>
          <w:color w:val="1B1B22"/>
        </w:rPr>
        <w:t>billion in bioeconomy projects in the Legal Amazon, representing a growth of 30% in six months.</w:t>
      </w:r>
    </w:p>
    <w:p>
      <w:pPr>
        <w:pStyle w:val="BodyText"/>
        <w:spacing w:line="321" w:lineRule="auto" w:before="118"/>
        <w:ind w:left="666" w:right="569"/>
      </w:pPr>
      <w:r>
        <w:rPr>
          <w:color w:val="1B1B22"/>
        </w:rPr>
        <w:t>Our</w:t>
      </w:r>
      <w:r>
        <w:rPr>
          <w:color w:val="1B1B22"/>
          <w:spacing w:val="-4"/>
        </w:rPr>
        <w:t> </w:t>
      </w:r>
      <w:r>
        <w:rPr>
          <w:color w:val="1B1B22"/>
        </w:rPr>
        <w:t>work</w:t>
      </w:r>
      <w:r>
        <w:rPr>
          <w:color w:val="1B1B22"/>
          <w:spacing w:val="-5"/>
        </w:rPr>
        <w:t> </w:t>
      </w:r>
      <w:r>
        <w:rPr>
          <w:color w:val="1B1B22"/>
        </w:rPr>
        <w:t>in</w:t>
      </w:r>
      <w:r>
        <w:rPr>
          <w:color w:val="1B1B22"/>
          <w:spacing w:val="-4"/>
        </w:rPr>
        <w:t> </w:t>
      </w:r>
      <w:r>
        <w:rPr>
          <w:color w:val="1B1B22"/>
        </w:rPr>
        <w:t>sociobiodiversity</w:t>
      </w:r>
      <w:r>
        <w:rPr>
          <w:color w:val="1B1B22"/>
          <w:spacing w:val="-4"/>
        </w:rPr>
        <w:t> </w:t>
      </w:r>
      <w:r>
        <w:rPr>
          <w:color w:val="1B1B22"/>
        </w:rPr>
        <w:t>is</w:t>
      </w:r>
      <w:r>
        <w:rPr>
          <w:color w:val="1B1B22"/>
          <w:spacing w:val="-4"/>
        </w:rPr>
        <w:t> </w:t>
      </w:r>
      <w:r>
        <w:rPr>
          <w:color w:val="1B1B22"/>
        </w:rPr>
        <w:t>based</w:t>
      </w:r>
      <w:r>
        <w:rPr>
          <w:color w:val="1B1B22"/>
          <w:spacing w:val="-4"/>
        </w:rPr>
        <w:t> </w:t>
      </w:r>
      <w:r>
        <w:rPr>
          <w:color w:val="1B1B22"/>
        </w:rPr>
        <w:t>on</w:t>
      </w:r>
      <w:r>
        <w:rPr>
          <w:color w:val="1B1B22"/>
          <w:spacing w:val="-4"/>
        </w:rPr>
        <w:t> </w:t>
      </w:r>
      <w:r>
        <w:rPr>
          <w:color w:val="1B1B22"/>
        </w:rPr>
        <w:t>five</w:t>
      </w:r>
      <w:r>
        <w:rPr>
          <w:color w:val="1B1B22"/>
          <w:spacing w:val="-4"/>
        </w:rPr>
        <w:t> </w:t>
      </w:r>
      <w:r>
        <w:rPr>
          <w:color w:val="1B1B22"/>
        </w:rPr>
        <w:t>main </w:t>
      </w:r>
      <w:r>
        <w:rPr>
          <w:color w:val="1B1B22"/>
          <w:spacing w:val="-2"/>
        </w:rPr>
        <w:t>axes:</w:t>
      </w:r>
      <w:r>
        <w:rPr>
          <w:color w:val="1B1B22"/>
          <w:spacing w:val="-11"/>
        </w:rPr>
        <w:t> </w:t>
      </w:r>
      <w:r>
        <w:rPr>
          <w:color w:val="1B1B22"/>
          <w:spacing w:val="-2"/>
        </w:rPr>
        <w:t>Forest</w:t>
      </w:r>
      <w:r>
        <w:rPr>
          <w:color w:val="1B1B22"/>
          <w:spacing w:val="-10"/>
        </w:rPr>
        <w:t> </w:t>
      </w:r>
      <w:r>
        <w:rPr>
          <w:color w:val="1B1B22"/>
          <w:spacing w:val="-2"/>
        </w:rPr>
        <w:t>Restoration</w:t>
      </w:r>
      <w:r>
        <w:rPr>
          <w:color w:val="1B1B22"/>
          <w:spacing w:val="-11"/>
        </w:rPr>
        <w:t> </w:t>
      </w:r>
      <w:r>
        <w:rPr>
          <w:color w:val="1B1B22"/>
          <w:spacing w:val="-2"/>
        </w:rPr>
        <w:t>and</w:t>
      </w:r>
      <w:r>
        <w:rPr>
          <w:color w:val="1B1B22"/>
          <w:spacing w:val="-10"/>
        </w:rPr>
        <w:t> </w:t>
      </w:r>
      <w:r>
        <w:rPr>
          <w:color w:val="1B1B22"/>
          <w:spacing w:val="-2"/>
        </w:rPr>
        <w:t>Agroforestry</w:t>
      </w:r>
      <w:r>
        <w:rPr>
          <w:color w:val="1B1B22"/>
          <w:spacing w:val="-10"/>
        </w:rPr>
        <w:t> </w:t>
      </w:r>
      <w:r>
        <w:rPr>
          <w:color w:val="1B1B22"/>
          <w:spacing w:val="-2"/>
        </w:rPr>
        <w:t>Systems, </w:t>
      </w:r>
      <w:r>
        <w:rPr>
          <w:color w:val="1B1B22"/>
        </w:rPr>
        <w:t>Low Carbon Agriculture, Connectivity, Forest Bioeconomy and Renewable Energy, in which we support the entire value chain, from </w:t>
      </w:r>
      <w:r>
        <w:rPr>
          <w:color w:val="1B1B22"/>
        </w:rPr>
        <w:t>the production</w:t>
      </w:r>
      <w:r>
        <w:rPr>
          <w:color w:val="1B1B22"/>
          <w:spacing w:val="-11"/>
        </w:rPr>
        <w:t> </w:t>
      </w:r>
      <w:r>
        <w:rPr>
          <w:color w:val="1B1B22"/>
        </w:rPr>
        <w:t>to</w:t>
      </w:r>
      <w:r>
        <w:rPr>
          <w:color w:val="1B1B22"/>
          <w:spacing w:val="-8"/>
        </w:rPr>
        <w:t> </w:t>
      </w:r>
      <w:r>
        <w:rPr>
          <w:color w:val="1B1B22"/>
        </w:rPr>
        <w:t>the</w:t>
      </w:r>
      <w:r>
        <w:rPr>
          <w:color w:val="1B1B22"/>
          <w:spacing w:val="-10"/>
        </w:rPr>
        <w:t> </w:t>
      </w:r>
      <w:r>
        <w:rPr>
          <w:color w:val="1B1B22"/>
        </w:rPr>
        <w:t>export</w:t>
      </w:r>
      <w:r>
        <w:rPr>
          <w:color w:val="1B1B22"/>
          <w:spacing w:val="-10"/>
        </w:rPr>
        <w:t> </w:t>
      </w:r>
      <w:r>
        <w:rPr>
          <w:color w:val="1B1B22"/>
        </w:rPr>
        <w:t>of</w:t>
      </w:r>
      <w:r>
        <w:rPr>
          <w:color w:val="1B1B22"/>
          <w:spacing w:val="-9"/>
        </w:rPr>
        <w:t> </w:t>
      </w:r>
      <w:r>
        <w:rPr>
          <w:color w:val="1B1B22"/>
        </w:rPr>
        <w:t>bioeconomy</w:t>
      </w:r>
      <w:r>
        <w:rPr>
          <w:color w:val="1B1B22"/>
          <w:spacing w:val="-8"/>
        </w:rPr>
        <w:t> </w:t>
      </w:r>
      <w:r>
        <w:rPr>
          <w:color w:val="1B1B22"/>
          <w:spacing w:val="-2"/>
        </w:rPr>
        <w:t>products.</w:t>
      </w:r>
    </w:p>
    <w:p>
      <w:pPr>
        <w:spacing w:after="0" w:line="321" w:lineRule="auto"/>
        <w:sectPr>
          <w:type w:val="continuous"/>
          <w:pgSz w:w="11910" w:h="16840"/>
          <w:pgMar w:header="152" w:footer="591" w:top="1920" w:bottom="280" w:left="0" w:right="280"/>
          <w:cols w:num="2" w:equalWidth="0">
            <w:col w:w="5602" w:space="40"/>
            <w:col w:w="5988"/>
          </w:cols>
        </w:sectPr>
      </w:pPr>
    </w:p>
    <w:p>
      <w:pPr>
        <w:pStyle w:val="BodyText"/>
        <w:spacing w:before="44"/>
        <w:ind w:left="0"/>
        <w:jc w:val="left"/>
        <w:rPr>
          <w:sz w:val="28"/>
        </w:rPr>
      </w:pPr>
    </w:p>
    <w:p>
      <w:pPr>
        <w:pStyle w:val="Heading2"/>
        <w:jc w:val="both"/>
        <w:rPr>
          <w:b w:val="0"/>
        </w:rPr>
      </w:pPr>
      <w:r>
        <w:rPr>
          <w:b w:val="0"/>
          <w:color w:val="465EFF"/>
          <w:spacing w:val="17"/>
        </w:rPr>
        <w:t>Energy</w:t>
      </w:r>
      <w:r>
        <w:rPr>
          <w:b w:val="0"/>
          <w:color w:val="465EFF"/>
          <w:spacing w:val="37"/>
        </w:rPr>
        <w:t> </w:t>
      </w:r>
      <w:r>
        <w:rPr>
          <w:b w:val="0"/>
          <w:color w:val="465EFF"/>
          <w:spacing w:val="17"/>
        </w:rPr>
        <w:t>Eco-</w:t>
      </w:r>
      <w:r>
        <w:rPr>
          <w:b w:val="0"/>
          <w:color w:val="465EFF"/>
          <w:spacing w:val="-44"/>
        </w:rPr>
        <w:t> </w:t>
      </w:r>
      <w:r>
        <w:rPr>
          <w:b w:val="0"/>
          <w:color w:val="465EFF"/>
          <w:spacing w:val="18"/>
        </w:rPr>
        <w:t>Efficiency</w:t>
      </w:r>
    </w:p>
    <w:p>
      <w:pPr>
        <w:pStyle w:val="BodyText"/>
        <w:spacing w:line="321" w:lineRule="auto" w:before="169"/>
        <w:ind w:right="569"/>
      </w:pPr>
      <w:r>
        <w:rPr>
          <w:color w:val="1B1B22"/>
        </w:rPr>
        <w:t>Considering</w:t>
      </w:r>
      <w:r>
        <w:rPr>
          <w:color w:val="1B1B22"/>
          <w:spacing w:val="-13"/>
        </w:rPr>
        <w:t> </w:t>
      </w:r>
      <w:r>
        <w:rPr>
          <w:color w:val="1B1B22"/>
        </w:rPr>
        <w:t>the</w:t>
      </w:r>
      <w:r>
        <w:rPr>
          <w:color w:val="1B1B22"/>
          <w:spacing w:val="-12"/>
        </w:rPr>
        <w:t> </w:t>
      </w:r>
      <w:r>
        <w:rPr>
          <w:color w:val="1B1B22"/>
        </w:rPr>
        <w:t>“BB</w:t>
      </w:r>
      <w:r>
        <w:rPr>
          <w:color w:val="1B1B22"/>
          <w:spacing w:val="-13"/>
        </w:rPr>
        <w:t> </w:t>
      </w:r>
      <w:r>
        <w:rPr>
          <w:color w:val="1B1B22"/>
        </w:rPr>
        <w:t>2030</w:t>
      </w:r>
      <w:r>
        <w:rPr>
          <w:color w:val="1B1B22"/>
          <w:spacing w:val="-12"/>
        </w:rPr>
        <w:t> </w:t>
      </w:r>
      <w:r>
        <w:rPr>
          <w:color w:val="1B1B22"/>
        </w:rPr>
        <w:t>for</w:t>
      </w:r>
      <w:r>
        <w:rPr>
          <w:color w:val="1B1B22"/>
          <w:spacing w:val="-12"/>
        </w:rPr>
        <w:t> </w:t>
      </w:r>
      <w:r>
        <w:rPr>
          <w:color w:val="1B1B22"/>
        </w:rPr>
        <w:t>a</w:t>
      </w:r>
      <w:r>
        <w:rPr>
          <w:color w:val="1B1B22"/>
          <w:spacing w:val="-13"/>
        </w:rPr>
        <w:t> </w:t>
      </w:r>
      <w:r>
        <w:rPr>
          <w:color w:val="1B1B22"/>
        </w:rPr>
        <w:t>more</w:t>
      </w:r>
      <w:r>
        <w:rPr>
          <w:color w:val="1B1B22"/>
          <w:spacing w:val="-12"/>
        </w:rPr>
        <w:t> </w:t>
      </w:r>
      <w:r>
        <w:rPr>
          <w:color w:val="1B1B22"/>
        </w:rPr>
        <w:t>sustainable</w:t>
      </w:r>
      <w:r>
        <w:rPr>
          <w:color w:val="1B1B22"/>
          <w:spacing w:val="-12"/>
        </w:rPr>
        <w:t> </w:t>
      </w:r>
      <w:r>
        <w:rPr>
          <w:color w:val="1B1B22"/>
        </w:rPr>
        <w:t>world”</w:t>
      </w:r>
      <w:r>
        <w:rPr>
          <w:color w:val="1B1B22"/>
          <w:spacing w:val="-13"/>
        </w:rPr>
        <w:t> </w:t>
      </w:r>
      <w:r>
        <w:rPr>
          <w:color w:val="1B1B22"/>
        </w:rPr>
        <w:t>commitment,</w:t>
      </w:r>
      <w:r>
        <w:rPr>
          <w:color w:val="1B1B22"/>
          <w:spacing w:val="-12"/>
        </w:rPr>
        <w:t> </w:t>
      </w:r>
      <w:r>
        <w:rPr>
          <w:color w:val="1B1B22"/>
        </w:rPr>
        <w:t>we</w:t>
      </w:r>
      <w:r>
        <w:rPr>
          <w:color w:val="1B1B22"/>
          <w:spacing w:val="-12"/>
        </w:rPr>
        <w:t> </w:t>
      </w:r>
      <w:r>
        <w:rPr>
          <w:color w:val="1B1B22"/>
        </w:rPr>
        <w:t>are</w:t>
      </w:r>
      <w:r>
        <w:rPr>
          <w:color w:val="1B1B22"/>
          <w:spacing w:val="-13"/>
        </w:rPr>
        <w:t> </w:t>
      </w:r>
      <w:r>
        <w:rPr>
          <w:color w:val="1B1B22"/>
        </w:rPr>
        <w:t>investing</w:t>
      </w:r>
      <w:r>
        <w:rPr>
          <w:color w:val="1B1B22"/>
          <w:spacing w:val="-12"/>
        </w:rPr>
        <w:t> </w:t>
      </w:r>
      <w:r>
        <w:rPr>
          <w:color w:val="1B1B22"/>
        </w:rPr>
        <w:t>in</w:t>
      </w:r>
      <w:r>
        <w:rPr>
          <w:color w:val="1B1B22"/>
          <w:spacing w:val="-12"/>
        </w:rPr>
        <w:t> </w:t>
      </w:r>
      <w:r>
        <w:rPr>
          <w:color w:val="1B1B22"/>
        </w:rPr>
        <w:t>decarbonization</w:t>
      </w:r>
      <w:r>
        <w:rPr>
          <w:color w:val="1B1B22"/>
          <w:spacing w:val="-13"/>
        </w:rPr>
        <w:t> </w:t>
      </w:r>
      <w:r>
        <w:rPr>
          <w:color w:val="1B1B22"/>
        </w:rPr>
        <w:t>and ensuring that 100% of the electricity consumed by BB comes from renewable sources. We migrated 441 administrative buildings to the Free Contracting Environment (ACL), ensuring the consumption of clean energy and achieving accumulated savings of R$99.5 million. In 2024, we inaugurated another plant in the state of São Paulo, reaching 16 plants in operation and we have 11 plants under construction, totaling 27 by the end of 2025.</w:t>
      </w:r>
    </w:p>
    <w:p>
      <w:pPr>
        <w:pStyle w:val="BodyText"/>
        <w:spacing w:line="321" w:lineRule="auto" w:before="117"/>
        <w:ind w:right="569"/>
      </w:pPr>
      <w:r>
        <w:rPr>
          <w:color w:val="1B1B22"/>
        </w:rPr>
        <w:t>BB's solar plants have already generated around 87.8 GWh, preventing the emission of more than 32.6 </w:t>
      </w:r>
      <w:r>
        <w:rPr>
          <w:color w:val="1B1B22"/>
          <w:spacing w:val="-2"/>
        </w:rPr>
        <w:t>thousand</w:t>
      </w:r>
      <w:r>
        <w:rPr>
          <w:color w:val="1B1B22"/>
          <w:spacing w:val="-11"/>
        </w:rPr>
        <w:t> </w:t>
      </w:r>
      <w:r>
        <w:rPr>
          <w:color w:val="1B1B22"/>
          <w:spacing w:val="-2"/>
        </w:rPr>
        <w:t>tons</w:t>
      </w:r>
      <w:r>
        <w:rPr>
          <w:color w:val="1B1B22"/>
          <w:spacing w:val="-10"/>
        </w:rPr>
        <w:t> </w:t>
      </w:r>
      <w:r>
        <w:rPr>
          <w:color w:val="1B1B22"/>
          <w:spacing w:val="-2"/>
        </w:rPr>
        <w:t>of</w:t>
      </w:r>
      <w:r>
        <w:rPr>
          <w:color w:val="1B1B22"/>
          <w:spacing w:val="-10"/>
        </w:rPr>
        <w:t> </w:t>
      </w:r>
      <w:r>
        <w:rPr>
          <w:color w:val="1B1B22"/>
          <w:spacing w:val="-2"/>
        </w:rPr>
        <w:t>CO2</w:t>
      </w:r>
      <w:r>
        <w:rPr>
          <w:color w:val="1B1B22"/>
          <w:spacing w:val="-10"/>
        </w:rPr>
        <w:t> </w:t>
      </w:r>
      <w:r>
        <w:rPr>
          <w:color w:val="1B1B22"/>
          <w:spacing w:val="-2"/>
        </w:rPr>
        <w:t>into</w:t>
      </w:r>
      <w:r>
        <w:rPr>
          <w:color w:val="1B1B22"/>
          <w:spacing w:val="-9"/>
        </w:rPr>
        <w:t> </w:t>
      </w:r>
      <w:r>
        <w:rPr>
          <w:color w:val="1B1B22"/>
          <w:spacing w:val="-2"/>
        </w:rPr>
        <w:t>the</w:t>
      </w:r>
      <w:r>
        <w:rPr>
          <w:color w:val="1B1B22"/>
          <w:spacing w:val="-9"/>
        </w:rPr>
        <w:t> </w:t>
      </w:r>
      <w:r>
        <w:rPr>
          <w:color w:val="1B1B22"/>
          <w:spacing w:val="-2"/>
        </w:rPr>
        <w:t>atmosphere,</w:t>
      </w:r>
      <w:r>
        <w:rPr>
          <w:color w:val="1B1B22"/>
          <w:spacing w:val="-10"/>
        </w:rPr>
        <w:t> </w:t>
      </w:r>
      <w:r>
        <w:rPr>
          <w:color w:val="1B1B22"/>
          <w:spacing w:val="-2"/>
        </w:rPr>
        <w:t>equivalent</w:t>
      </w:r>
      <w:r>
        <w:rPr>
          <w:color w:val="1B1B22"/>
          <w:spacing w:val="-9"/>
        </w:rPr>
        <w:t> </w:t>
      </w:r>
      <w:r>
        <w:rPr>
          <w:color w:val="1B1B22"/>
          <w:spacing w:val="-2"/>
        </w:rPr>
        <w:t>to</w:t>
      </w:r>
      <w:r>
        <w:rPr>
          <w:color w:val="1B1B22"/>
          <w:spacing w:val="-9"/>
        </w:rPr>
        <w:t> </w:t>
      </w:r>
      <w:r>
        <w:rPr>
          <w:color w:val="1B1B22"/>
          <w:spacing w:val="-2"/>
        </w:rPr>
        <w:t>planting</w:t>
      </w:r>
      <w:r>
        <w:rPr>
          <w:color w:val="1B1B22"/>
          <w:spacing w:val="-10"/>
        </w:rPr>
        <w:t> </w:t>
      </w:r>
      <w:r>
        <w:rPr>
          <w:color w:val="1B1B22"/>
          <w:spacing w:val="-2"/>
        </w:rPr>
        <w:t>a</w:t>
      </w:r>
      <w:r>
        <w:rPr>
          <w:color w:val="1B1B22"/>
          <w:spacing w:val="-9"/>
        </w:rPr>
        <w:t> </w:t>
      </w:r>
      <w:r>
        <w:rPr>
          <w:color w:val="1B1B22"/>
          <w:spacing w:val="-2"/>
        </w:rPr>
        <w:t>forest</w:t>
      </w:r>
      <w:r>
        <w:rPr>
          <w:color w:val="1B1B22"/>
          <w:spacing w:val="-9"/>
        </w:rPr>
        <w:t> </w:t>
      </w:r>
      <w:r>
        <w:rPr>
          <w:color w:val="1B1B22"/>
          <w:spacing w:val="-2"/>
        </w:rPr>
        <w:t>of</w:t>
      </w:r>
      <w:r>
        <w:rPr>
          <w:color w:val="1B1B22"/>
          <w:spacing w:val="-11"/>
        </w:rPr>
        <w:t> </w:t>
      </w:r>
      <w:r>
        <w:rPr>
          <w:color w:val="1B1B22"/>
          <w:spacing w:val="-2"/>
        </w:rPr>
        <w:t>two</w:t>
      </w:r>
      <w:r>
        <w:rPr>
          <w:color w:val="1B1B22"/>
          <w:spacing w:val="-10"/>
        </w:rPr>
        <w:t> </w:t>
      </w:r>
      <w:r>
        <w:rPr>
          <w:color w:val="1B1B22"/>
          <w:spacing w:val="-2"/>
        </w:rPr>
        <w:t>hundred</w:t>
      </w:r>
      <w:r>
        <w:rPr>
          <w:color w:val="1B1B22"/>
          <w:spacing w:val="-9"/>
        </w:rPr>
        <w:t> </w:t>
      </w:r>
      <w:r>
        <w:rPr>
          <w:color w:val="1B1B22"/>
          <w:spacing w:val="-2"/>
        </w:rPr>
        <w:t>and</w:t>
      </w:r>
      <w:r>
        <w:rPr>
          <w:color w:val="1B1B22"/>
          <w:spacing w:val="-10"/>
        </w:rPr>
        <w:t> </w:t>
      </w:r>
      <w:r>
        <w:rPr>
          <w:color w:val="1B1B22"/>
          <w:spacing w:val="-2"/>
        </w:rPr>
        <w:t>thirty</w:t>
      </w:r>
      <w:r>
        <w:rPr>
          <w:color w:val="1B1B22"/>
          <w:spacing w:val="-9"/>
        </w:rPr>
        <w:t> </w:t>
      </w:r>
      <w:r>
        <w:rPr>
          <w:color w:val="1B1B22"/>
          <w:spacing w:val="-2"/>
        </w:rPr>
        <w:t>thousand trees.</w:t>
      </w:r>
    </w:p>
    <w:p>
      <w:pPr>
        <w:pStyle w:val="BodyText"/>
        <w:spacing w:line="321" w:lineRule="auto" w:before="118"/>
        <w:ind w:right="569"/>
      </w:pPr>
      <w:r>
        <w:rPr>
          <w:color w:val="1B1B22"/>
        </w:rPr>
        <w:t>We</w:t>
      </w:r>
      <w:r>
        <w:rPr>
          <w:color w:val="1B1B22"/>
          <w:spacing w:val="-13"/>
        </w:rPr>
        <w:t> </w:t>
      </w:r>
      <w:r>
        <w:rPr>
          <w:color w:val="1B1B22"/>
        </w:rPr>
        <w:t>launched</w:t>
      </w:r>
      <w:r>
        <w:rPr>
          <w:color w:val="1B1B22"/>
          <w:spacing w:val="-12"/>
        </w:rPr>
        <w:t> </w:t>
      </w:r>
      <w:r>
        <w:rPr>
          <w:color w:val="1B1B22"/>
        </w:rPr>
        <w:t>a</w:t>
      </w:r>
      <w:r>
        <w:rPr>
          <w:color w:val="1B1B22"/>
          <w:spacing w:val="-13"/>
        </w:rPr>
        <w:t> </w:t>
      </w:r>
      <w:r>
        <w:rPr>
          <w:color w:val="1B1B22"/>
        </w:rPr>
        <w:t>new</w:t>
      </w:r>
      <w:r>
        <w:rPr>
          <w:color w:val="1B1B22"/>
          <w:spacing w:val="-12"/>
        </w:rPr>
        <w:t> </w:t>
      </w:r>
      <w:r>
        <w:rPr>
          <w:color w:val="1B1B22"/>
        </w:rPr>
        <w:t>sustainable</w:t>
      </w:r>
      <w:r>
        <w:rPr>
          <w:color w:val="1B1B22"/>
          <w:spacing w:val="-12"/>
        </w:rPr>
        <w:t> </w:t>
      </w:r>
      <w:r>
        <w:rPr>
          <w:color w:val="1B1B22"/>
        </w:rPr>
        <w:t>financial</w:t>
      </w:r>
      <w:r>
        <w:rPr>
          <w:color w:val="1B1B22"/>
          <w:spacing w:val="-13"/>
        </w:rPr>
        <w:t> </w:t>
      </w:r>
      <w:r>
        <w:rPr>
          <w:color w:val="1B1B22"/>
        </w:rPr>
        <w:t>asset,</w:t>
      </w:r>
      <w:r>
        <w:rPr>
          <w:color w:val="1B1B22"/>
          <w:spacing w:val="-12"/>
        </w:rPr>
        <w:t> </w:t>
      </w:r>
      <w:r>
        <w:rPr>
          <w:color w:val="1B1B22"/>
        </w:rPr>
        <w:t>an</w:t>
      </w:r>
      <w:r>
        <w:rPr>
          <w:color w:val="1B1B22"/>
          <w:spacing w:val="-12"/>
        </w:rPr>
        <w:t> </w:t>
      </w:r>
      <w:r>
        <w:rPr>
          <w:color w:val="1B1B22"/>
        </w:rPr>
        <w:t>unprecedented</w:t>
      </w:r>
      <w:r>
        <w:rPr>
          <w:color w:val="1B1B22"/>
          <w:spacing w:val="-13"/>
        </w:rPr>
        <w:t> </w:t>
      </w:r>
      <w:r>
        <w:rPr>
          <w:color w:val="1B1B22"/>
        </w:rPr>
        <w:t>business</w:t>
      </w:r>
      <w:r>
        <w:rPr>
          <w:color w:val="1B1B22"/>
          <w:spacing w:val="-12"/>
        </w:rPr>
        <w:t> </w:t>
      </w:r>
      <w:r>
        <w:rPr>
          <w:color w:val="1B1B22"/>
        </w:rPr>
        <w:t>model</w:t>
      </w:r>
      <w:r>
        <w:rPr>
          <w:color w:val="1B1B22"/>
          <w:spacing w:val="-12"/>
        </w:rPr>
        <w:t> </w:t>
      </w:r>
      <w:r>
        <w:rPr>
          <w:color w:val="1B1B22"/>
        </w:rPr>
        <w:t>in</w:t>
      </w:r>
      <w:r>
        <w:rPr>
          <w:color w:val="1B1B22"/>
          <w:spacing w:val="-13"/>
        </w:rPr>
        <w:t> </w:t>
      </w:r>
      <w:r>
        <w:rPr>
          <w:color w:val="1B1B22"/>
        </w:rPr>
        <w:t>the</w:t>
      </w:r>
      <w:r>
        <w:rPr>
          <w:color w:val="1B1B22"/>
          <w:spacing w:val="-12"/>
        </w:rPr>
        <w:t> </w:t>
      </w:r>
      <w:r>
        <w:rPr>
          <w:color w:val="1B1B22"/>
        </w:rPr>
        <w:t>market.</w:t>
      </w:r>
      <w:r>
        <w:rPr>
          <w:color w:val="1B1B22"/>
          <w:spacing w:val="-12"/>
        </w:rPr>
        <w:t> </w:t>
      </w:r>
      <w:r>
        <w:rPr>
          <w:color w:val="1B1B22"/>
        </w:rPr>
        <w:t>It</w:t>
      </w:r>
      <w:r>
        <w:rPr>
          <w:color w:val="1B1B22"/>
          <w:spacing w:val="-13"/>
        </w:rPr>
        <w:t> </w:t>
      </w:r>
      <w:r>
        <w:rPr>
          <w:color w:val="1B1B22"/>
        </w:rPr>
        <w:t>involves</w:t>
      </w:r>
      <w:r>
        <w:rPr>
          <w:color w:val="1B1B22"/>
          <w:spacing w:val="-12"/>
        </w:rPr>
        <w:t> </w:t>
      </w:r>
      <w:r>
        <w:rPr>
          <w:color w:val="1B1B22"/>
        </w:rPr>
        <w:t>the </w:t>
      </w:r>
      <w:r>
        <w:rPr>
          <w:color w:val="1B1B22"/>
          <w:spacing w:val="-2"/>
        </w:rPr>
        <w:t>sale</w:t>
      </w:r>
      <w:r>
        <w:rPr>
          <w:color w:val="1B1B22"/>
          <w:spacing w:val="-10"/>
        </w:rPr>
        <w:t> </w:t>
      </w:r>
      <w:r>
        <w:rPr>
          <w:color w:val="1B1B22"/>
          <w:spacing w:val="-2"/>
        </w:rPr>
        <w:t>of</w:t>
      </w:r>
      <w:r>
        <w:rPr>
          <w:color w:val="1B1B22"/>
          <w:spacing w:val="-6"/>
        </w:rPr>
        <w:t> </w:t>
      </w:r>
      <w:r>
        <w:rPr>
          <w:color w:val="1B1B22"/>
          <w:spacing w:val="-2"/>
        </w:rPr>
        <w:t>properties</w:t>
      </w:r>
      <w:r>
        <w:rPr>
          <w:color w:val="1B1B22"/>
          <w:spacing w:val="-8"/>
        </w:rPr>
        <w:t> </w:t>
      </w:r>
      <w:r>
        <w:rPr>
          <w:color w:val="1B1B22"/>
          <w:spacing w:val="-2"/>
        </w:rPr>
        <w:t>not</w:t>
      </w:r>
      <w:r>
        <w:rPr>
          <w:color w:val="1B1B22"/>
          <w:spacing w:val="-7"/>
        </w:rPr>
        <w:t> </w:t>
      </w:r>
      <w:r>
        <w:rPr>
          <w:color w:val="1B1B22"/>
          <w:spacing w:val="-2"/>
        </w:rPr>
        <w:t>in</w:t>
      </w:r>
      <w:r>
        <w:rPr>
          <w:color w:val="1B1B22"/>
          <w:spacing w:val="-7"/>
        </w:rPr>
        <w:t> </w:t>
      </w:r>
      <w:r>
        <w:rPr>
          <w:color w:val="1B1B22"/>
          <w:spacing w:val="-2"/>
        </w:rPr>
        <w:t>use</w:t>
      </w:r>
      <w:r>
        <w:rPr>
          <w:color w:val="1B1B22"/>
          <w:spacing w:val="-7"/>
        </w:rPr>
        <w:t> </w:t>
      </w:r>
      <w:r>
        <w:rPr>
          <w:color w:val="1B1B22"/>
          <w:spacing w:val="-2"/>
        </w:rPr>
        <w:t>by</w:t>
      </w:r>
      <w:r>
        <w:rPr>
          <w:color w:val="1B1B22"/>
          <w:spacing w:val="-7"/>
        </w:rPr>
        <w:t> </w:t>
      </w:r>
      <w:r>
        <w:rPr>
          <w:color w:val="1B1B22"/>
          <w:spacing w:val="-2"/>
        </w:rPr>
        <w:t>BB</w:t>
      </w:r>
      <w:r>
        <w:rPr>
          <w:color w:val="1B1B22"/>
          <w:spacing w:val="-9"/>
        </w:rPr>
        <w:t> </w:t>
      </w:r>
      <w:r>
        <w:rPr>
          <w:color w:val="1B1B22"/>
          <w:spacing w:val="-2"/>
        </w:rPr>
        <w:t>with</w:t>
      </w:r>
      <w:r>
        <w:rPr>
          <w:color w:val="1B1B22"/>
          <w:spacing w:val="-8"/>
        </w:rPr>
        <w:t> </w:t>
      </w:r>
      <w:r>
        <w:rPr>
          <w:color w:val="1B1B22"/>
          <w:spacing w:val="-2"/>
        </w:rPr>
        <w:t>the</w:t>
      </w:r>
      <w:r>
        <w:rPr>
          <w:color w:val="1B1B22"/>
          <w:spacing w:val="-7"/>
        </w:rPr>
        <w:t> </w:t>
      </w:r>
      <w:r>
        <w:rPr>
          <w:color w:val="1B1B22"/>
          <w:spacing w:val="-2"/>
        </w:rPr>
        <w:t>possibility</w:t>
      </w:r>
      <w:r>
        <w:rPr>
          <w:color w:val="1B1B22"/>
          <w:spacing w:val="-7"/>
        </w:rPr>
        <w:t> </w:t>
      </w:r>
      <w:r>
        <w:rPr>
          <w:color w:val="1B1B22"/>
          <w:spacing w:val="-2"/>
        </w:rPr>
        <w:t>of</w:t>
      </w:r>
      <w:r>
        <w:rPr>
          <w:color w:val="1B1B22"/>
          <w:spacing w:val="-7"/>
        </w:rPr>
        <w:t> </w:t>
      </w:r>
      <w:r>
        <w:rPr>
          <w:color w:val="1B1B22"/>
          <w:spacing w:val="-2"/>
        </w:rPr>
        <w:t>payment</w:t>
      </w:r>
      <w:r>
        <w:rPr>
          <w:color w:val="1B1B22"/>
          <w:spacing w:val="-7"/>
        </w:rPr>
        <w:t> </w:t>
      </w:r>
      <w:r>
        <w:rPr>
          <w:color w:val="1B1B22"/>
          <w:spacing w:val="-2"/>
        </w:rPr>
        <w:t>in</w:t>
      </w:r>
      <w:r>
        <w:rPr>
          <w:color w:val="1B1B22"/>
          <w:spacing w:val="-7"/>
        </w:rPr>
        <w:t> </w:t>
      </w:r>
      <w:r>
        <w:rPr>
          <w:color w:val="1B1B22"/>
          <w:spacing w:val="-2"/>
        </w:rPr>
        <w:t>carbon</w:t>
      </w:r>
      <w:r>
        <w:rPr>
          <w:color w:val="1B1B22"/>
          <w:spacing w:val="-8"/>
        </w:rPr>
        <w:t> </w:t>
      </w:r>
      <w:r>
        <w:rPr>
          <w:color w:val="1B1B22"/>
          <w:spacing w:val="-2"/>
        </w:rPr>
        <w:t>credits.</w:t>
      </w:r>
      <w:r>
        <w:rPr>
          <w:color w:val="1B1B22"/>
          <w:spacing w:val="-11"/>
        </w:rPr>
        <w:t> </w:t>
      </w:r>
      <w:r>
        <w:rPr>
          <w:color w:val="1B1B22"/>
          <w:spacing w:val="-2"/>
        </w:rPr>
        <w:t>We</w:t>
      </w:r>
      <w:r>
        <w:rPr>
          <w:color w:val="1B1B22"/>
          <w:spacing w:val="-6"/>
        </w:rPr>
        <w:t> </w:t>
      </w:r>
      <w:r>
        <w:rPr>
          <w:color w:val="1B1B22"/>
          <w:spacing w:val="-2"/>
        </w:rPr>
        <w:t>sold</w:t>
      </w:r>
      <w:r>
        <w:rPr>
          <w:color w:val="1B1B22"/>
          <w:spacing w:val="-7"/>
        </w:rPr>
        <w:t> </w:t>
      </w:r>
      <w:r>
        <w:rPr>
          <w:color w:val="1B1B22"/>
          <w:spacing w:val="-2"/>
        </w:rPr>
        <w:t>58</w:t>
      </w:r>
      <w:r>
        <w:rPr>
          <w:color w:val="1B1B22"/>
          <w:spacing w:val="-7"/>
        </w:rPr>
        <w:t> </w:t>
      </w:r>
      <w:r>
        <w:rPr>
          <w:color w:val="1B1B22"/>
          <w:spacing w:val="-2"/>
        </w:rPr>
        <w:t>rural</w:t>
      </w:r>
      <w:r>
        <w:rPr>
          <w:color w:val="1B1B22"/>
          <w:spacing w:val="-7"/>
        </w:rPr>
        <w:t> </w:t>
      </w:r>
      <w:r>
        <w:rPr>
          <w:color w:val="1B1B22"/>
          <w:spacing w:val="-2"/>
        </w:rPr>
        <w:t>and</w:t>
      </w:r>
      <w:r>
        <w:rPr>
          <w:color w:val="1B1B22"/>
          <w:spacing w:val="-7"/>
        </w:rPr>
        <w:t> </w:t>
      </w:r>
      <w:r>
        <w:rPr>
          <w:color w:val="1B1B22"/>
          <w:spacing w:val="-2"/>
        </w:rPr>
        <w:t>urban </w:t>
      </w:r>
      <w:r>
        <w:rPr>
          <w:color w:val="1B1B22"/>
        </w:rPr>
        <w:t>properties using this new payment method.</w:t>
      </w:r>
    </w:p>
    <w:p>
      <w:pPr>
        <w:pStyle w:val="BodyText"/>
        <w:spacing w:line="321" w:lineRule="auto" w:before="118"/>
        <w:ind w:right="573"/>
      </w:pPr>
      <w:r>
        <w:rPr>
          <w:color w:val="1B1B22"/>
        </w:rPr>
        <w:t>In 2024, we revised the packaging process for cards sent via courier to promote more sustainable practices, resulting in a reduction of</w:t>
      </w:r>
      <w:r>
        <w:rPr>
          <w:color w:val="1B1B22"/>
          <w:spacing w:val="-1"/>
        </w:rPr>
        <w:t> </w:t>
      </w:r>
      <w:r>
        <w:rPr>
          <w:color w:val="1B1B22"/>
        </w:rPr>
        <w:t>approximately five tons of plastic waste per year.</w:t>
      </w:r>
    </w:p>
    <w:p>
      <w:pPr>
        <w:pStyle w:val="Heading1"/>
        <w:spacing w:before="95"/>
        <w:jc w:val="both"/>
      </w:pPr>
      <w:r>
        <w:rPr>
          <w:color w:val="465EFF"/>
          <w:spacing w:val="30"/>
        </w:rPr>
        <w:t>Corporate</w:t>
      </w:r>
      <w:r>
        <w:rPr>
          <w:color w:val="465EFF"/>
          <w:spacing w:val="79"/>
        </w:rPr>
        <w:t> </w:t>
      </w:r>
      <w:r>
        <w:rPr>
          <w:color w:val="465EFF"/>
          <w:spacing w:val="29"/>
        </w:rPr>
        <w:t>Governance</w:t>
      </w:r>
    </w:p>
    <w:p>
      <w:pPr>
        <w:spacing w:after="0"/>
        <w:jc w:val="both"/>
        <w:sectPr>
          <w:pgSz w:w="11910" w:h="16840"/>
          <w:pgMar w:header="152" w:footer="591" w:top="900" w:bottom="780" w:left="0" w:right="280"/>
        </w:sectPr>
      </w:pPr>
    </w:p>
    <w:p>
      <w:pPr>
        <w:pStyle w:val="BodyText"/>
        <w:spacing w:line="321" w:lineRule="auto" w:before="164"/>
      </w:pPr>
      <w:r>
        <w:rPr>
          <w:color w:val="1B1B22"/>
          <w:spacing w:val="-2"/>
        </w:rPr>
        <w:t>We</w:t>
      </w:r>
      <w:r>
        <w:rPr>
          <w:color w:val="1B1B22"/>
          <w:spacing w:val="-10"/>
        </w:rPr>
        <w:t> </w:t>
      </w:r>
      <w:r>
        <w:rPr>
          <w:color w:val="1B1B22"/>
          <w:spacing w:val="-2"/>
        </w:rPr>
        <w:t>adopt</w:t>
      </w:r>
      <w:r>
        <w:rPr>
          <w:color w:val="1B1B22"/>
          <w:spacing w:val="-9"/>
        </w:rPr>
        <w:t> </w:t>
      </w:r>
      <w:r>
        <w:rPr>
          <w:color w:val="1B1B22"/>
          <w:spacing w:val="-2"/>
        </w:rPr>
        <w:t>the</w:t>
      </w:r>
      <w:r>
        <w:rPr>
          <w:color w:val="1B1B22"/>
          <w:spacing w:val="-10"/>
        </w:rPr>
        <w:t> </w:t>
      </w:r>
      <w:r>
        <w:rPr>
          <w:color w:val="1B1B22"/>
          <w:spacing w:val="-2"/>
        </w:rPr>
        <w:t>best</w:t>
      </w:r>
      <w:r>
        <w:rPr>
          <w:color w:val="1B1B22"/>
          <w:spacing w:val="-11"/>
        </w:rPr>
        <w:t> </w:t>
      </w:r>
      <w:r>
        <w:rPr>
          <w:color w:val="1B1B22"/>
          <w:spacing w:val="-2"/>
        </w:rPr>
        <w:t>corporate</w:t>
      </w:r>
      <w:r>
        <w:rPr>
          <w:color w:val="1B1B22"/>
          <w:spacing w:val="-9"/>
        </w:rPr>
        <w:t> </w:t>
      </w:r>
      <w:r>
        <w:rPr>
          <w:color w:val="1B1B22"/>
          <w:spacing w:val="-2"/>
        </w:rPr>
        <w:t>governance</w:t>
      </w:r>
      <w:r>
        <w:rPr>
          <w:color w:val="1B1B22"/>
          <w:spacing w:val="-10"/>
        </w:rPr>
        <w:t> </w:t>
      </w:r>
      <w:r>
        <w:rPr>
          <w:color w:val="1B1B22"/>
          <w:spacing w:val="-2"/>
        </w:rPr>
        <w:t>practices, </w:t>
      </w:r>
      <w:r>
        <w:rPr>
          <w:color w:val="1B1B22"/>
        </w:rPr>
        <w:t>maintaining our commitment to the principles of transparency,</w:t>
      </w:r>
      <w:r>
        <w:rPr>
          <w:color w:val="1B1B22"/>
          <w:spacing w:val="-13"/>
        </w:rPr>
        <w:t> </w:t>
      </w:r>
      <w:r>
        <w:rPr>
          <w:color w:val="1B1B22"/>
        </w:rPr>
        <w:t>accountability,</w:t>
      </w:r>
      <w:r>
        <w:rPr>
          <w:color w:val="1B1B22"/>
          <w:spacing w:val="-12"/>
        </w:rPr>
        <w:t> </w:t>
      </w:r>
      <w:r>
        <w:rPr>
          <w:color w:val="1B1B22"/>
        </w:rPr>
        <w:t>equity</w:t>
      </w:r>
      <w:r>
        <w:rPr>
          <w:color w:val="1B1B22"/>
          <w:spacing w:val="-13"/>
        </w:rPr>
        <w:t> </w:t>
      </w:r>
      <w:r>
        <w:rPr>
          <w:color w:val="1B1B22"/>
        </w:rPr>
        <w:t>and</w:t>
      </w:r>
      <w:r>
        <w:rPr>
          <w:color w:val="1B1B22"/>
          <w:spacing w:val="-12"/>
        </w:rPr>
        <w:t> </w:t>
      </w:r>
      <w:r>
        <w:rPr>
          <w:color w:val="1B1B22"/>
        </w:rPr>
        <w:t>corporate responsibility. Since 2006, we have been listed on B3's Novo Mercado, a segment with the </w:t>
      </w:r>
      <w:r>
        <w:rPr>
          <w:color w:val="1B1B22"/>
        </w:rPr>
        <w:t>highest standard of corporate governance.</w:t>
      </w:r>
    </w:p>
    <w:p>
      <w:pPr>
        <w:pStyle w:val="BodyText"/>
        <w:spacing w:line="321" w:lineRule="auto" w:before="115"/>
      </w:pPr>
      <w:r>
        <w:rPr>
          <w:color w:val="1B1B22"/>
        </w:rPr>
        <w:t>Decisions are made collectively at all levels.</w:t>
      </w:r>
      <w:r>
        <w:rPr>
          <w:color w:val="1B1B22"/>
          <w:spacing w:val="-7"/>
        </w:rPr>
        <w:t> </w:t>
      </w:r>
      <w:r>
        <w:rPr>
          <w:color w:val="1B1B22"/>
        </w:rPr>
        <w:t>Thus, the administration has a structure of committees, subcommittees and strategic commissions </w:t>
      </w:r>
      <w:r>
        <w:rPr>
          <w:color w:val="1B1B22"/>
        </w:rPr>
        <w:t>that guarantee agility, quality and security in decision- </w:t>
      </w:r>
      <w:r>
        <w:rPr>
          <w:color w:val="1B1B22"/>
          <w:spacing w:val="-2"/>
        </w:rPr>
        <w:t>making.</w:t>
      </w:r>
    </w:p>
    <w:p>
      <w:pPr>
        <w:pStyle w:val="BodyText"/>
        <w:spacing w:line="321" w:lineRule="auto" w:before="117"/>
      </w:pPr>
      <w:r>
        <w:rPr>
          <w:color w:val="1B1B22"/>
        </w:rPr>
        <w:t>Our governance structure is made up of the General Shareholders’ Meeting; by the Board of Directors</w:t>
      </w:r>
      <w:r>
        <w:rPr>
          <w:color w:val="1B1B22"/>
          <w:spacing w:val="-12"/>
        </w:rPr>
        <w:t> </w:t>
      </w:r>
      <w:r>
        <w:rPr>
          <w:color w:val="1B1B22"/>
        </w:rPr>
        <w:t>(CA)</w:t>
      </w:r>
      <w:r>
        <w:rPr>
          <w:color w:val="1B1B22"/>
          <w:spacing w:val="-11"/>
        </w:rPr>
        <w:t> </w:t>
      </w:r>
      <w:r>
        <w:rPr>
          <w:color w:val="1B1B22"/>
        </w:rPr>
        <w:t>and</w:t>
      </w:r>
      <w:r>
        <w:rPr>
          <w:color w:val="1B1B22"/>
          <w:spacing w:val="-11"/>
        </w:rPr>
        <w:t> </w:t>
      </w:r>
      <w:r>
        <w:rPr>
          <w:color w:val="1B1B22"/>
        </w:rPr>
        <w:t>its</w:t>
      </w:r>
      <w:r>
        <w:rPr>
          <w:color w:val="1B1B22"/>
          <w:spacing w:val="-11"/>
        </w:rPr>
        <w:t> </w:t>
      </w:r>
      <w:r>
        <w:rPr>
          <w:color w:val="1B1B22"/>
        </w:rPr>
        <w:t>advisory</w:t>
      </w:r>
      <w:r>
        <w:rPr>
          <w:color w:val="1B1B22"/>
          <w:spacing w:val="-11"/>
        </w:rPr>
        <w:t> </w:t>
      </w:r>
      <w:r>
        <w:rPr>
          <w:color w:val="1B1B22"/>
        </w:rPr>
        <w:t>committees</w:t>
      </w:r>
      <w:r>
        <w:rPr>
          <w:color w:val="1B1B22"/>
          <w:spacing w:val="-10"/>
        </w:rPr>
        <w:t> </w:t>
      </w:r>
      <w:r>
        <w:rPr>
          <w:color w:val="1B1B22"/>
        </w:rPr>
        <w:t>–</w:t>
      </w:r>
      <w:r>
        <w:rPr>
          <w:color w:val="1B1B22"/>
          <w:spacing w:val="-13"/>
        </w:rPr>
        <w:t> </w:t>
      </w:r>
      <w:r>
        <w:rPr>
          <w:color w:val="1B1B22"/>
        </w:rPr>
        <w:t>Audit Committee (Coaud); People, Remuneration and Eligibility Committee (Corem); Risk and Capital Committee (Coris), Technology and Innovation Committee (Cotei) and Business Sustainability Committee (Cosem); by the Executive Board, composed</w:t>
      </w:r>
      <w:r>
        <w:rPr>
          <w:color w:val="1B1B22"/>
          <w:spacing w:val="-13"/>
        </w:rPr>
        <w:t> </w:t>
      </w:r>
      <w:r>
        <w:rPr>
          <w:color w:val="1B1B22"/>
        </w:rPr>
        <w:t>of</w:t>
      </w:r>
      <w:r>
        <w:rPr>
          <w:color w:val="1B1B22"/>
          <w:spacing w:val="-12"/>
        </w:rPr>
        <w:t> </w:t>
      </w:r>
      <w:r>
        <w:rPr>
          <w:color w:val="1B1B22"/>
        </w:rPr>
        <w:t>the</w:t>
      </w:r>
      <w:r>
        <w:rPr>
          <w:color w:val="1B1B22"/>
          <w:spacing w:val="-13"/>
        </w:rPr>
        <w:t> </w:t>
      </w:r>
      <w:r>
        <w:rPr>
          <w:color w:val="1B1B22"/>
        </w:rPr>
        <w:t>Board</w:t>
      </w:r>
      <w:r>
        <w:rPr>
          <w:color w:val="1B1B22"/>
          <w:spacing w:val="-12"/>
        </w:rPr>
        <w:t> </w:t>
      </w:r>
      <w:r>
        <w:rPr>
          <w:color w:val="1B1B22"/>
        </w:rPr>
        <w:t>of</w:t>
      </w:r>
      <w:r>
        <w:rPr>
          <w:color w:val="1B1B22"/>
          <w:spacing w:val="-12"/>
        </w:rPr>
        <w:t> </w:t>
      </w:r>
      <w:r>
        <w:rPr>
          <w:color w:val="1B1B22"/>
        </w:rPr>
        <w:t>Directors</w:t>
      </w:r>
      <w:r>
        <w:rPr>
          <w:color w:val="1B1B22"/>
          <w:spacing w:val="-13"/>
        </w:rPr>
        <w:t> </w:t>
      </w:r>
      <w:r>
        <w:rPr>
          <w:color w:val="1B1B22"/>
        </w:rPr>
        <w:t>(President</w:t>
      </w:r>
      <w:r>
        <w:rPr>
          <w:color w:val="1B1B22"/>
          <w:spacing w:val="-12"/>
        </w:rPr>
        <w:t> </w:t>
      </w:r>
      <w:r>
        <w:rPr>
          <w:color w:val="1B1B22"/>
        </w:rPr>
        <w:t>and Vice-Presidents) and other Directors; and by the Supervisory</w:t>
      </w:r>
      <w:r>
        <w:rPr>
          <w:color w:val="1B1B22"/>
          <w:spacing w:val="57"/>
        </w:rPr>
        <w:t> </w:t>
      </w:r>
      <w:r>
        <w:rPr>
          <w:color w:val="1B1B22"/>
        </w:rPr>
        <w:t>Board.</w:t>
      </w:r>
      <w:r>
        <w:rPr>
          <w:color w:val="1B1B22"/>
          <w:spacing w:val="43"/>
        </w:rPr>
        <w:t> </w:t>
      </w:r>
      <w:r>
        <w:rPr>
          <w:color w:val="1B1B22"/>
        </w:rPr>
        <w:t>The</w:t>
      </w:r>
      <w:r>
        <w:rPr>
          <w:color w:val="1B1B22"/>
          <w:spacing w:val="59"/>
        </w:rPr>
        <w:t> </w:t>
      </w:r>
      <w:r>
        <w:rPr>
          <w:color w:val="1B1B22"/>
        </w:rPr>
        <w:t>Board</w:t>
      </w:r>
      <w:r>
        <w:rPr>
          <w:color w:val="1B1B22"/>
          <w:spacing w:val="60"/>
        </w:rPr>
        <w:t> </w:t>
      </w:r>
      <w:r>
        <w:rPr>
          <w:color w:val="1B1B22"/>
        </w:rPr>
        <w:t>of</w:t>
      </w:r>
      <w:r>
        <w:rPr>
          <w:color w:val="1B1B22"/>
          <w:spacing w:val="57"/>
        </w:rPr>
        <w:t> </w:t>
      </w:r>
      <w:r>
        <w:rPr>
          <w:color w:val="1B1B22"/>
        </w:rPr>
        <w:t>Directors</w:t>
      </w:r>
      <w:r>
        <w:rPr>
          <w:color w:val="1B1B22"/>
          <w:spacing w:val="59"/>
        </w:rPr>
        <w:t> </w:t>
      </w:r>
      <w:r>
        <w:rPr>
          <w:color w:val="1B1B22"/>
          <w:spacing w:val="-4"/>
        </w:rPr>
        <w:t>also</w:t>
      </w:r>
    </w:p>
    <w:p>
      <w:pPr>
        <w:pStyle w:val="BodyText"/>
        <w:spacing w:line="319" w:lineRule="auto" w:before="164"/>
        <w:ind w:left="668" w:right="570"/>
      </w:pPr>
      <w:r>
        <w:rPr/>
        <w:br w:type="column"/>
      </w:r>
      <w:r>
        <w:rPr>
          <w:color w:val="1B1B22"/>
        </w:rPr>
        <w:t>receives advice from Internal Audit and an Independent</w:t>
      </w:r>
      <w:r>
        <w:rPr>
          <w:color w:val="1B1B22"/>
          <w:spacing w:val="-1"/>
        </w:rPr>
        <w:t> </w:t>
      </w:r>
      <w:r>
        <w:rPr>
          <w:color w:val="1B1B22"/>
        </w:rPr>
        <w:t>Audit.</w:t>
      </w:r>
    </w:p>
    <w:p>
      <w:pPr>
        <w:pStyle w:val="BodyText"/>
        <w:spacing w:line="321" w:lineRule="auto" w:before="123"/>
        <w:ind w:left="668" w:right="568"/>
      </w:pPr>
      <w:r>
        <w:rPr>
          <w:color w:val="1B1B22"/>
        </w:rPr>
        <w:t>The CA, an independent collegial decision-making body, has, as provided for in Law and the Bylaws, strategic, guiding, elective and supervisory responsibilities. At least 30% of the members are independent, as defined in the legislation and in the B3 Novo Mercado Regulations.</w:t>
      </w:r>
    </w:p>
    <w:p>
      <w:pPr>
        <w:pStyle w:val="BodyText"/>
        <w:spacing w:line="321" w:lineRule="auto" w:before="117"/>
        <w:ind w:left="668" w:right="566"/>
      </w:pPr>
      <w:r>
        <w:rPr>
          <w:color w:val="1B1B22"/>
        </w:rPr>
        <w:t>We highlight that, in February 2024, the CA approved</w:t>
      </w:r>
      <w:r>
        <w:rPr>
          <w:color w:val="1B1B22"/>
          <w:spacing w:val="-1"/>
        </w:rPr>
        <w:t> </w:t>
      </w:r>
      <w:r>
        <w:rPr>
          <w:color w:val="1B1B22"/>
        </w:rPr>
        <w:t>the</w:t>
      </w:r>
      <w:r>
        <w:rPr>
          <w:color w:val="1B1B22"/>
          <w:spacing w:val="-1"/>
        </w:rPr>
        <w:t> </w:t>
      </w:r>
      <w:r>
        <w:rPr>
          <w:color w:val="1B1B22"/>
        </w:rPr>
        <w:t>review</w:t>
      </w:r>
      <w:r>
        <w:rPr>
          <w:color w:val="1B1B22"/>
          <w:spacing w:val="-1"/>
        </w:rPr>
        <w:t> </w:t>
      </w:r>
      <w:r>
        <w:rPr>
          <w:color w:val="1B1B22"/>
        </w:rPr>
        <w:t>of</w:t>
      </w:r>
      <w:r>
        <w:rPr>
          <w:color w:val="1B1B22"/>
          <w:spacing w:val="-2"/>
        </w:rPr>
        <w:t> </w:t>
      </w:r>
      <w:r>
        <w:rPr>
          <w:color w:val="1B1B22"/>
        </w:rPr>
        <w:t>the</w:t>
      </w:r>
      <w:r>
        <w:rPr>
          <w:color w:val="1B1B22"/>
          <w:spacing w:val="-1"/>
        </w:rPr>
        <w:t> </w:t>
      </w:r>
      <w:r>
        <w:rPr>
          <w:color w:val="1B1B22"/>
        </w:rPr>
        <w:t>Director</w:t>
      </w:r>
      <w:r>
        <w:rPr>
          <w:color w:val="1B1B22"/>
          <w:spacing w:val="-5"/>
        </w:rPr>
        <w:t> </w:t>
      </w:r>
      <w:r>
        <w:rPr>
          <w:color w:val="1B1B22"/>
        </w:rPr>
        <w:t>Appointment and</w:t>
      </w:r>
      <w:r>
        <w:rPr>
          <w:color w:val="1B1B22"/>
          <w:spacing w:val="-13"/>
        </w:rPr>
        <w:t> </w:t>
      </w:r>
      <w:r>
        <w:rPr>
          <w:color w:val="1B1B22"/>
        </w:rPr>
        <w:t>Succession</w:t>
      </w:r>
      <w:r>
        <w:rPr>
          <w:color w:val="1B1B22"/>
          <w:spacing w:val="-12"/>
        </w:rPr>
        <w:t> </w:t>
      </w:r>
      <w:r>
        <w:rPr>
          <w:color w:val="1B1B22"/>
        </w:rPr>
        <w:t>Policy,</w:t>
      </w:r>
      <w:r>
        <w:rPr>
          <w:color w:val="1B1B22"/>
          <w:spacing w:val="-13"/>
        </w:rPr>
        <w:t> </w:t>
      </w:r>
      <w:r>
        <w:rPr>
          <w:color w:val="1B1B22"/>
        </w:rPr>
        <w:t>including</w:t>
      </w:r>
      <w:r>
        <w:rPr>
          <w:color w:val="1B1B22"/>
          <w:spacing w:val="-12"/>
        </w:rPr>
        <w:t> </w:t>
      </w:r>
      <w:r>
        <w:rPr>
          <w:color w:val="1B1B22"/>
        </w:rPr>
        <w:t>ESG</w:t>
      </w:r>
      <w:r>
        <w:rPr>
          <w:color w:val="1B1B22"/>
          <w:spacing w:val="-12"/>
        </w:rPr>
        <w:t> </w:t>
      </w:r>
      <w:r>
        <w:rPr>
          <w:color w:val="1B1B22"/>
        </w:rPr>
        <w:t>criteria</w:t>
      </w:r>
      <w:r>
        <w:rPr>
          <w:color w:val="1B1B22"/>
          <w:spacing w:val="-13"/>
        </w:rPr>
        <w:t> </w:t>
      </w:r>
      <w:r>
        <w:rPr>
          <w:color w:val="1B1B22"/>
        </w:rPr>
        <w:t>for</w:t>
      </w:r>
      <w:r>
        <w:rPr>
          <w:color w:val="1B1B22"/>
          <w:spacing w:val="-12"/>
        </w:rPr>
        <w:t> </w:t>
      </w:r>
      <w:r>
        <w:rPr>
          <w:color w:val="1B1B22"/>
        </w:rPr>
        <w:t>the composition of the Executive Board (Direx). </w:t>
      </w:r>
      <w:r>
        <w:rPr>
          <w:color w:val="1B1B22"/>
          <w:spacing w:val="-2"/>
        </w:rPr>
        <w:t>Nominations</w:t>
      </w:r>
      <w:r>
        <w:rPr>
          <w:color w:val="1B1B22"/>
          <w:spacing w:val="-11"/>
        </w:rPr>
        <w:t> </w:t>
      </w:r>
      <w:r>
        <w:rPr>
          <w:color w:val="1B1B22"/>
          <w:spacing w:val="-2"/>
        </w:rPr>
        <w:t>of</w:t>
      </w:r>
      <w:r>
        <w:rPr>
          <w:color w:val="1B1B22"/>
          <w:spacing w:val="-10"/>
        </w:rPr>
        <w:t> </w:t>
      </w:r>
      <w:r>
        <w:rPr>
          <w:color w:val="1B1B22"/>
          <w:spacing w:val="-2"/>
        </w:rPr>
        <w:t>at</w:t>
      </w:r>
      <w:r>
        <w:rPr>
          <w:color w:val="1B1B22"/>
          <w:spacing w:val="-11"/>
        </w:rPr>
        <w:t> </w:t>
      </w:r>
      <w:r>
        <w:rPr>
          <w:color w:val="1B1B22"/>
          <w:spacing w:val="-2"/>
        </w:rPr>
        <w:t>least</w:t>
      </w:r>
      <w:r>
        <w:rPr>
          <w:color w:val="1B1B22"/>
          <w:spacing w:val="-10"/>
        </w:rPr>
        <w:t> </w:t>
      </w:r>
      <w:r>
        <w:rPr>
          <w:color w:val="1B1B22"/>
          <w:spacing w:val="-2"/>
        </w:rPr>
        <w:t>half</w:t>
      </w:r>
      <w:r>
        <w:rPr>
          <w:color w:val="1B1B22"/>
          <w:spacing w:val="-10"/>
        </w:rPr>
        <w:t> </w:t>
      </w:r>
      <w:r>
        <w:rPr>
          <w:color w:val="1B1B22"/>
          <w:spacing w:val="-2"/>
        </w:rPr>
        <w:t>of</w:t>
      </w:r>
      <w:r>
        <w:rPr>
          <w:color w:val="1B1B22"/>
          <w:spacing w:val="-11"/>
        </w:rPr>
        <w:t> </w:t>
      </w:r>
      <w:r>
        <w:rPr>
          <w:color w:val="1B1B22"/>
          <w:spacing w:val="-2"/>
        </w:rPr>
        <w:t>Direx</w:t>
      </w:r>
      <w:r>
        <w:rPr>
          <w:color w:val="1B1B22"/>
          <w:spacing w:val="-10"/>
        </w:rPr>
        <w:t> </w:t>
      </w:r>
      <w:r>
        <w:rPr>
          <w:color w:val="1B1B22"/>
          <w:spacing w:val="-2"/>
        </w:rPr>
        <w:t>members</w:t>
      </w:r>
      <w:r>
        <w:rPr>
          <w:color w:val="1B1B22"/>
          <w:spacing w:val="-10"/>
        </w:rPr>
        <w:t> </w:t>
      </w:r>
      <w:r>
        <w:rPr>
          <w:color w:val="1B1B22"/>
          <w:spacing w:val="-2"/>
        </w:rPr>
        <w:t>must </w:t>
      </w:r>
      <w:r>
        <w:rPr>
          <w:color w:val="1B1B22"/>
        </w:rPr>
        <w:t>respect the following criteria: minimum of 30% women, according to the gender declared at the time of nomination; and 20% for self-declared “black”,</w:t>
      </w:r>
      <w:r>
        <w:rPr>
          <w:color w:val="1B1B22"/>
          <w:spacing w:val="-13"/>
        </w:rPr>
        <w:t> </w:t>
      </w:r>
      <w:r>
        <w:rPr>
          <w:color w:val="1B1B22"/>
        </w:rPr>
        <w:t>“brown”</w:t>
      </w:r>
      <w:r>
        <w:rPr>
          <w:color w:val="1B1B22"/>
          <w:spacing w:val="-12"/>
        </w:rPr>
        <w:t> </w:t>
      </w:r>
      <w:r>
        <w:rPr>
          <w:color w:val="1B1B22"/>
        </w:rPr>
        <w:t>or</w:t>
      </w:r>
      <w:r>
        <w:rPr>
          <w:color w:val="1B1B22"/>
          <w:spacing w:val="-13"/>
        </w:rPr>
        <w:t> </w:t>
      </w:r>
      <w:r>
        <w:rPr>
          <w:color w:val="1B1B22"/>
        </w:rPr>
        <w:t>“indigenous”,</w:t>
      </w:r>
      <w:r>
        <w:rPr>
          <w:color w:val="1B1B22"/>
          <w:spacing w:val="-12"/>
        </w:rPr>
        <w:t> </w:t>
      </w:r>
      <w:r>
        <w:rPr>
          <w:color w:val="1B1B22"/>
        </w:rPr>
        <w:t>LGBTQIAPN+</w:t>
      </w:r>
      <w:r>
        <w:rPr>
          <w:color w:val="1B1B22"/>
          <w:spacing w:val="-12"/>
        </w:rPr>
        <w:t> </w:t>
      </w:r>
      <w:r>
        <w:rPr>
          <w:color w:val="1B1B22"/>
        </w:rPr>
        <w:t>and PwD.</w:t>
      </w:r>
      <w:r>
        <w:rPr>
          <w:color w:val="1B1B22"/>
          <w:spacing w:val="-13"/>
        </w:rPr>
        <w:t> </w:t>
      </w:r>
      <w:r>
        <w:rPr>
          <w:color w:val="1B1B22"/>
        </w:rPr>
        <w:t>All</w:t>
      </w:r>
      <w:r>
        <w:rPr>
          <w:color w:val="1B1B22"/>
          <w:spacing w:val="-12"/>
        </w:rPr>
        <w:t> </w:t>
      </w:r>
      <w:r>
        <w:rPr>
          <w:color w:val="1B1B22"/>
        </w:rPr>
        <w:t>the</w:t>
      </w:r>
      <w:r>
        <w:rPr>
          <w:color w:val="1B1B22"/>
          <w:spacing w:val="-12"/>
        </w:rPr>
        <w:t> </w:t>
      </w:r>
      <w:r>
        <w:rPr>
          <w:color w:val="1B1B22"/>
        </w:rPr>
        <w:t>aforementioned</w:t>
      </w:r>
      <w:r>
        <w:rPr>
          <w:color w:val="1B1B22"/>
          <w:spacing w:val="-12"/>
        </w:rPr>
        <w:t> </w:t>
      </w:r>
      <w:r>
        <w:rPr>
          <w:color w:val="1B1B22"/>
        </w:rPr>
        <w:t>percentages</w:t>
      </w:r>
      <w:r>
        <w:rPr>
          <w:color w:val="1B1B22"/>
          <w:spacing w:val="-11"/>
        </w:rPr>
        <w:t> </w:t>
      </w:r>
      <w:r>
        <w:rPr>
          <w:color w:val="1B1B22"/>
        </w:rPr>
        <w:t>must</w:t>
      </w:r>
      <w:r>
        <w:rPr>
          <w:color w:val="1B1B22"/>
          <w:spacing w:val="-11"/>
        </w:rPr>
        <w:t> </w:t>
      </w:r>
      <w:r>
        <w:rPr>
          <w:color w:val="1B1B22"/>
        </w:rPr>
        <w:t>be completed when electing for Direx by with implementation by the end of 2027.</w:t>
      </w:r>
    </w:p>
    <w:p>
      <w:pPr>
        <w:pStyle w:val="BodyText"/>
        <w:spacing w:line="319" w:lineRule="auto" w:before="112"/>
        <w:ind w:left="668" w:right="569"/>
      </w:pPr>
      <w:r>
        <w:rPr>
          <w:color w:val="1B1B22"/>
          <w:spacing w:val="-2"/>
        </w:rPr>
        <w:t>The</w:t>
      </w:r>
      <w:r>
        <w:rPr>
          <w:color w:val="1B1B22"/>
          <w:spacing w:val="-10"/>
        </w:rPr>
        <w:t> </w:t>
      </w:r>
      <w:r>
        <w:rPr>
          <w:color w:val="1B1B22"/>
          <w:spacing w:val="-2"/>
        </w:rPr>
        <w:t>use</w:t>
      </w:r>
      <w:r>
        <w:rPr>
          <w:color w:val="1B1B22"/>
          <w:spacing w:val="-11"/>
        </w:rPr>
        <w:t> </w:t>
      </w:r>
      <w:r>
        <w:rPr>
          <w:color w:val="1B1B22"/>
          <w:spacing w:val="-2"/>
        </w:rPr>
        <w:t>of</w:t>
      </w:r>
      <w:r>
        <w:rPr>
          <w:color w:val="1B1B22"/>
          <w:spacing w:val="-9"/>
        </w:rPr>
        <w:t> </w:t>
      </w:r>
      <w:r>
        <w:rPr>
          <w:color w:val="1B1B22"/>
          <w:spacing w:val="-2"/>
        </w:rPr>
        <w:t>ESG</w:t>
      </w:r>
      <w:r>
        <w:rPr>
          <w:color w:val="1B1B22"/>
          <w:spacing w:val="-8"/>
        </w:rPr>
        <w:t> </w:t>
      </w:r>
      <w:r>
        <w:rPr>
          <w:color w:val="1B1B22"/>
          <w:spacing w:val="-2"/>
        </w:rPr>
        <w:t>criteria</w:t>
      </w:r>
      <w:r>
        <w:rPr>
          <w:color w:val="1B1B22"/>
          <w:spacing w:val="-8"/>
        </w:rPr>
        <w:t> </w:t>
      </w:r>
      <w:r>
        <w:rPr>
          <w:color w:val="1B1B22"/>
          <w:spacing w:val="-2"/>
        </w:rPr>
        <w:t>in</w:t>
      </w:r>
      <w:r>
        <w:rPr>
          <w:color w:val="1B1B22"/>
          <w:spacing w:val="-11"/>
        </w:rPr>
        <w:t> </w:t>
      </w:r>
      <w:r>
        <w:rPr>
          <w:color w:val="1B1B22"/>
          <w:spacing w:val="-2"/>
        </w:rPr>
        <w:t>the</w:t>
      </w:r>
      <w:r>
        <w:rPr>
          <w:color w:val="1B1B22"/>
          <w:spacing w:val="-8"/>
        </w:rPr>
        <w:t> </w:t>
      </w:r>
      <w:r>
        <w:rPr>
          <w:color w:val="1B1B22"/>
          <w:spacing w:val="-2"/>
        </w:rPr>
        <w:t>appointment</w:t>
      </w:r>
      <w:r>
        <w:rPr>
          <w:color w:val="1B1B22"/>
          <w:spacing w:val="-11"/>
        </w:rPr>
        <w:t> </w:t>
      </w:r>
      <w:r>
        <w:rPr>
          <w:color w:val="1B1B22"/>
          <w:spacing w:val="-2"/>
        </w:rPr>
        <w:t>of</w:t>
      </w:r>
      <w:r>
        <w:rPr>
          <w:color w:val="1B1B22"/>
          <w:spacing w:val="-9"/>
        </w:rPr>
        <w:t> </w:t>
      </w:r>
      <w:r>
        <w:rPr>
          <w:color w:val="1B1B22"/>
          <w:spacing w:val="-2"/>
        </w:rPr>
        <w:t>Senior </w:t>
      </w:r>
      <w:r>
        <w:rPr>
          <w:color w:val="1B1B22"/>
        </w:rPr>
        <w:t>Management</w:t>
      </w:r>
      <w:r>
        <w:rPr>
          <w:color w:val="1B1B22"/>
          <w:spacing w:val="16"/>
        </w:rPr>
        <w:t> </w:t>
      </w:r>
      <w:r>
        <w:rPr>
          <w:color w:val="1B1B22"/>
        </w:rPr>
        <w:t>raises</w:t>
      </w:r>
      <w:r>
        <w:rPr>
          <w:color w:val="1B1B22"/>
          <w:spacing w:val="18"/>
        </w:rPr>
        <w:t> </w:t>
      </w:r>
      <w:r>
        <w:rPr>
          <w:color w:val="1B1B22"/>
        </w:rPr>
        <w:t>the</w:t>
      </w:r>
      <w:r>
        <w:rPr>
          <w:color w:val="1B1B22"/>
          <w:spacing w:val="18"/>
        </w:rPr>
        <w:t> </w:t>
      </w:r>
      <w:r>
        <w:rPr>
          <w:color w:val="1B1B22"/>
        </w:rPr>
        <w:t>Bank's</w:t>
      </w:r>
      <w:r>
        <w:rPr>
          <w:color w:val="1B1B22"/>
          <w:spacing w:val="18"/>
        </w:rPr>
        <w:t> </w:t>
      </w:r>
      <w:r>
        <w:rPr>
          <w:color w:val="1B1B22"/>
        </w:rPr>
        <w:t>level</w:t>
      </w:r>
      <w:r>
        <w:rPr>
          <w:color w:val="1B1B22"/>
          <w:spacing w:val="18"/>
        </w:rPr>
        <w:t> </w:t>
      </w:r>
      <w:r>
        <w:rPr>
          <w:color w:val="1B1B22"/>
        </w:rPr>
        <w:t>on</w:t>
      </w:r>
      <w:r>
        <w:rPr>
          <w:color w:val="1B1B22"/>
          <w:spacing w:val="18"/>
        </w:rPr>
        <w:t> </w:t>
      </w:r>
      <w:r>
        <w:rPr>
          <w:color w:val="1B1B22"/>
        </w:rPr>
        <w:t>the</w:t>
      </w:r>
      <w:r>
        <w:rPr>
          <w:color w:val="1B1B22"/>
          <w:spacing w:val="18"/>
        </w:rPr>
        <w:t> </w:t>
      </w:r>
      <w:r>
        <w:rPr>
          <w:color w:val="1B1B22"/>
          <w:spacing w:val="-4"/>
        </w:rPr>
        <w:t>world</w:t>
      </w:r>
    </w:p>
    <w:p>
      <w:pPr>
        <w:spacing w:after="0" w:line="319" w:lineRule="auto"/>
        <w:sectPr>
          <w:type w:val="continuous"/>
          <w:pgSz w:w="11910" w:h="16840"/>
          <w:pgMar w:header="152" w:footer="591" w:top="1920" w:bottom="280" w:left="0" w:right="280"/>
          <w:cols w:num="2" w:equalWidth="0">
            <w:col w:w="5600" w:space="40"/>
            <w:col w:w="5990"/>
          </w:cols>
        </w:sectPr>
      </w:pPr>
    </w:p>
    <w:p>
      <w:pPr>
        <w:pStyle w:val="BodyText"/>
        <w:spacing w:before="156"/>
        <w:ind w:left="0"/>
        <w:jc w:val="left"/>
      </w:pPr>
    </w:p>
    <w:p>
      <w:pPr>
        <w:spacing w:after="0"/>
        <w:jc w:val="left"/>
        <w:sectPr>
          <w:pgSz w:w="11910" w:h="16840"/>
          <w:pgMar w:header="152" w:footer="591" w:top="900" w:bottom="780" w:left="0" w:right="280"/>
        </w:sectPr>
      </w:pPr>
    </w:p>
    <w:p>
      <w:pPr>
        <w:pStyle w:val="BodyText"/>
        <w:spacing w:line="319" w:lineRule="auto" w:before="79"/>
        <w:jc w:val="left"/>
      </w:pPr>
      <w:r>
        <w:rPr>
          <w:color w:val="1B1B22"/>
        </w:rPr>
        <w:t>stage,</w:t>
      </w:r>
      <w:r>
        <w:rPr>
          <w:color w:val="1B1B22"/>
          <w:spacing w:val="28"/>
        </w:rPr>
        <w:t> </w:t>
      </w:r>
      <w:r>
        <w:rPr>
          <w:color w:val="1B1B22"/>
        </w:rPr>
        <w:t>aligned</w:t>
      </w:r>
      <w:r>
        <w:rPr>
          <w:color w:val="1B1B22"/>
          <w:spacing w:val="29"/>
        </w:rPr>
        <w:t> </w:t>
      </w:r>
      <w:r>
        <w:rPr>
          <w:color w:val="1B1B22"/>
        </w:rPr>
        <w:t>with</w:t>
      </w:r>
      <w:r>
        <w:rPr>
          <w:color w:val="1B1B22"/>
          <w:spacing w:val="29"/>
        </w:rPr>
        <w:t> </w:t>
      </w:r>
      <w:r>
        <w:rPr>
          <w:color w:val="1B1B22"/>
        </w:rPr>
        <w:t>the</w:t>
      </w:r>
      <w:r>
        <w:rPr>
          <w:color w:val="1B1B22"/>
          <w:spacing w:val="27"/>
        </w:rPr>
        <w:t> </w:t>
      </w:r>
      <w:r>
        <w:rPr>
          <w:color w:val="1B1B22"/>
        </w:rPr>
        <w:t>most</w:t>
      </w:r>
      <w:r>
        <w:rPr>
          <w:color w:val="1B1B22"/>
          <w:spacing w:val="29"/>
        </w:rPr>
        <w:t> </w:t>
      </w:r>
      <w:r>
        <w:rPr>
          <w:color w:val="1B1B22"/>
        </w:rPr>
        <w:t>inspiring</w:t>
      </w:r>
      <w:r>
        <w:rPr>
          <w:color w:val="1B1B22"/>
          <w:spacing w:val="28"/>
        </w:rPr>
        <w:t> </w:t>
      </w:r>
      <w:r>
        <w:rPr>
          <w:color w:val="1B1B22"/>
        </w:rPr>
        <w:t>corporate governance</w:t>
      </w:r>
      <w:r>
        <w:rPr>
          <w:color w:val="1B1B22"/>
          <w:spacing w:val="47"/>
        </w:rPr>
        <w:t> </w:t>
      </w:r>
      <w:r>
        <w:rPr>
          <w:color w:val="1B1B22"/>
        </w:rPr>
        <w:t>practices,</w:t>
      </w:r>
      <w:r>
        <w:rPr>
          <w:color w:val="1B1B22"/>
          <w:spacing w:val="47"/>
        </w:rPr>
        <w:t> </w:t>
      </w:r>
      <w:r>
        <w:rPr>
          <w:color w:val="1B1B22"/>
        </w:rPr>
        <w:t>capable</w:t>
      </w:r>
      <w:r>
        <w:rPr>
          <w:color w:val="1B1B22"/>
          <w:spacing w:val="47"/>
        </w:rPr>
        <w:t> </w:t>
      </w:r>
      <w:r>
        <w:rPr>
          <w:color w:val="1B1B22"/>
        </w:rPr>
        <w:t>of</w:t>
      </w:r>
      <w:r>
        <w:rPr>
          <w:color w:val="1B1B22"/>
          <w:spacing w:val="47"/>
        </w:rPr>
        <w:t> </w:t>
      </w:r>
      <w:r>
        <w:rPr>
          <w:color w:val="1B1B22"/>
        </w:rPr>
        <w:t>driving</w:t>
      </w:r>
      <w:r>
        <w:rPr>
          <w:color w:val="1B1B22"/>
          <w:spacing w:val="48"/>
        </w:rPr>
        <w:t> </w:t>
      </w:r>
      <w:r>
        <w:rPr>
          <w:color w:val="1B1B22"/>
          <w:spacing w:val="-2"/>
        </w:rPr>
        <w:t>lasting</w:t>
      </w:r>
    </w:p>
    <w:p>
      <w:pPr>
        <w:pStyle w:val="BodyText"/>
        <w:spacing w:line="319" w:lineRule="auto" w:before="79"/>
        <w:ind w:left="669" w:right="570"/>
        <w:jc w:val="left"/>
      </w:pPr>
      <w:r>
        <w:rPr/>
        <w:br w:type="column"/>
      </w:r>
      <w:r>
        <w:rPr>
          <w:color w:val="1B1B22"/>
        </w:rPr>
        <w:t>and</w:t>
      </w:r>
      <w:r>
        <w:rPr>
          <w:color w:val="1B1B22"/>
          <w:spacing w:val="40"/>
        </w:rPr>
        <w:t> </w:t>
      </w:r>
      <w:r>
        <w:rPr>
          <w:color w:val="1B1B22"/>
        </w:rPr>
        <w:t>considerable</w:t>
      </w:r>
      <w:r>
        <w:rPr>
          <w:color w:val="1B1B22"/>
          <w:spacing w:val="40"/>
        </w:rPr>
        <w:t> </w:t>
      </w:r>
      <w:r>
        <w:rPr>
          <w:color w:val="1B1B22"/>
        </w:rPr>
        <w:t>changes</w:t>
      </w:r>
      <w:r>
        <w:rPr>
          <w:color w:val="1B1B22"/>
          <w:spacing w:val="40"/>
        </w:rPr>
        <w:t> </w:t>
      </w:r>
      <w:r>
        <w:rPr>
          <w:color w:val="1B1B22"/>
        </w:rPr>
        <w:t>in</w:t>
      </w:r>
      <w:r>
        <w:rPr>
          <w:color w:val="1B1B22"/>
          <w:spacing w:val="40"/>
        </w:rPr>
        <w:t> </w:t>
      </w:r>
      <w:r>
        <w:rPr>
          <w:color w:val="1B1B22"/>
        </w:rPr>
        <w:t>our</w:t>
      </w:r>
      <w:r>
        <w:rPr>
          <w:color w:val="1B1B22"/>
          <w:spacing w:val="40"/>
        </w:rPr>
        <w:t> </w:t>
      </w:r>
      <w:r>
        <w:rPr>
          <w:color w:val="1B1B22"/>
        </w:rPr>
        <w:t>organizational </w:t>
      </w:r>
      <w:r>
        <w:rPr>
          <w:color w:val="1B1B22"/>
          <w:spacing w:val="-2"/>
        </w:rPr>
        <w:t>culture.</w:t>
      </w:r>
    </w:p>
    <w:p>
      <w:pPr>
        <w:spacing w:after="0" w:line="319" w:lineRule="auto"/>
        <w:jc w:val="left"/>
        <w:sectPr>
          <w:type w:val="continuous"/>
          <w:pgSz w:w="11910" w:h="16840"/>
          <w:pgMar w:header="152" w:footer="591" w:top="1920" w:bottom="280" w:left="0" w:right="280"/>
          <w:cols w:num="2" w:equalWidth="0">
            <w:col w:w="5598" w:space="40"/>
            <w:col w:w="5992"/>
          </w:cols>
        </w:sectPr>
      </w:pPr>
    </w:p>
    <w:p>
      <w:pPr>
        <w:pStyle w:val="Heading1"/>
        <w:spacing w:before="100"/>
        <w:jc w:val="both"/>
      </w:pPr>
      <w:r>
        <w:rPr>
          <w:color w:val="465EFF"/>
          <w:spacing w:val="28"/>
        </w:rPr>
        <w:t>Diversity,</w:t>
      </w:r>
      <w:r>
        <w:rPr>
          <w:color w:val="465EFF"/>
          <w:spacing w:val="27"/>
          <w:w w:val="150"/>
        </w:rPr>
        <w:t> </w:t>
      </w:r>
      <w:r>
        <w:rPr>
          <w:color w:val="465EFF"/>
          <w:spacing w:val="27"/>
        </w:rPr>
        <w:t>Equity,</w:t>
      </w:r>
      <w:r>
        <w:rPr>
          <w:color w:val="465EFF"/>
          <w:spacing w:val="27"/>
          <w:w w:val="150"/>
        </w:rPr>
        <w:t> </w:t>
      </w:r>
      <w:r>
        <w:rPr>
          <w:color w:val="465EFF"/>
          <w:spacing w:val="26"/>
        </w:rPr>
        <w:t>and</w:t>
      </w:r>
      <w:r>
        <w:rPr>
          <w:color w:val="465EFF"/>
          <w:spacing w:val="28"/>
          <w:w w:val="150"/>
        </w:rPr>
        <w:t> </w:t>
      </w:r>
      <w:r>
        <w:rPr>
          <w:color w:val="465EFF"/>
          <w:spacing w:val="30"/>
        </w:rPr>
        <w:t>Inclusion</w:t>
      </w:r>
    </w:p>
    <w:p>
      <w:pPr>
        <w:pStyle w:val="BodyText"/>
        <w:spacing w:line="321" w:lineRule="auto" w:before="332"/>
        <w:ind w:right="574"/>
      </w:pPr>
      <w:r>
        <w:rPr>
          <w:color w:val="1B1B22"/>
        </w:rPr>
        <w:t>We remain committed to Diversity and are proud to say that we have increased the number of women in leadership positions.</w:t>
      </w:r>
    </w:p>
    <w:p>
      <w:pPr>
        <w:pStyle w:val="BodyText"/>
        <w:spacing w:line="321" w:lineRule="auto" w:before="119"/>
        <w:ind w:right="568"/>
      </w:pPr>
      <w:r>
        <w:rPr/>
        <w:drawing>
          <wp:anchor distT="0" distB="0" distL="0" distR="0" allowOverlap="1" layoutInCell="1" locked="0" behindDoc="0" simplePos="0" relativeHeight="15734784">
            <wp:simplePos x="0" y="0"/>
            <wp:positionH relativeFrom="page">
              <wp:posOffset>3832859</wp:posOffset>
            </wp:positionH>
            <wp:positionV relativeFrom="paragraph">
              <wp:posOffset>626183</wp:posOffset>
            </wp:positionV>
            <wp:extent cx="3227705" cy="5437505"/>
            <wp:effectExtent l="0" t="0" r="0" b="0"/>
            <wp:wrapNone/>
            <wp:docPr id="39" name="Image 39" descr="Pessoas andando em piso de cimento  Descrição gerada automaticamente com confiança baixa"/>
            <wp:cNvGraphicFramePr>
              <a:graphicFrameLocks/>
            </wp:cNvGraphicFramePr>
            <a:graphic>
              <a:graphicData uri="http://schemas.openxmlformats.org/drawingml/2006/picture">
                <pic:pic>
                  <pic:nvPicPr>
                    <pic:cNvPr id="39" name="Image 39" descr="Pessoas andando em piso de cimento  Descrição gerada automaticamente com confiança baixa"/>
                    <pic:cNvPicPr/>
                  </pic:nvPicPr>
                  <pic:blipFill>
                    <a:blip r:embed="rId15" cstate="print"/>
                    <a:stretch>
                      <a:fillRect/>
                    </a:stretch>
                  </pic:blipFill>
                  <pic:spPr>
                    <a:xfrm>
                      <a:off x="0" y="0"/>
                      <a:ext cx="3227705" cy="5437505"/>
                    </a:xfrm>
                    <a:prstGeom prst="rect">
                      <a:avLst/>
                    </a:prstGeom>
                  </pic:spPr>
                </pic:pic>
              </a:graphicData>
            </a:graphic>
          </wp:anchor>
        </w:drawing>
      </w:r>
      <w:r>
        <w:rPr>
          <w:color w:val="1B1B22"/>
        </w:rPr>
        <w:t>Currently, 44% of</w:t>
      </w:r>
      <w:r>
        <w:rPr>
          <w:color w:val="1B1B22"/>
          <w:spacing w:val="-1"/>
        </w:rPr>
        <w:t> </w:t>
      </w:r>
      <w:r>
        <w:rPr>
          <w:color w:val="1B1B22"/>
        </w:rPr>
        <w:t>our Executive Board (CD) and</w:t>
      </w:r>
      <w:r>
        <w:rPr>
          <w:color w:val="1B1B22"/>
          <w:spacing w:val="-1"/>
        </w:rPr>
        <w:t> </w:t>
      </w:r>
      <w:r>
        <w:rPr>
          <w:color w:val="1B1B22"/>
        </w:rPr>
        <w:t>50% of</w:t>
      </w:r>
      <w:r>
        <w:rPr>
          <w:color w:val="1B1B22"/>
          <w:spacing w:val="-1"/>
        </w:rPr>
        <w:t> </w:t>
      </w:r>
      <w:r>
        <w:rPr>
          <w:color w:val="1B1B22"/>
        </w:rPr>
        <w:t>our Board</w:t>
      </w:r>
      <w:r>
        <w:rPr>
          <w:color w:val="1B1B22"/>
          <w:spacing w:val="-1"/>
        </w:rPr>
        <w:t> </w:t>
      </w:r>
      <w:r>
        <w:rPr>
          <w:color w:val="1B1B22"/>
        </w:rPr>
        <w:t>of Directors</w:t>
      </w:r>
      <w:r>
        <w:rPr>
          <w:color w:val="1B1B22"/>
          <w:spacing w:val="-1"/>
        </w:rPr>
        <w:t> </w:t>
      </w:r>
      <w:r>
        <w:rPr>
          <w:color w:val="1B1B22"/>
        </w:rPr>
        <w:t>(CA)</w:t>
      </w:r>
      <w:r>
        <w:rPr>
          <w:color w:val="1B1B22"/>
          <w:spacing w:val="-1"/>
        </w:rPr>
        <w:t> </w:t>
      </w:r>
      <w:r>
        <w:rPr>
          <w:color w:val="1B1B22"/>
        </w:rPr>
        <w:t>are</w:t>
      </w:r>
      <w:r>
        <w:rPr>
          <w:color w:val="1B1B22"/>
          <w:spacing w:val="-1"/>
        </w:rPr>
        <w:t> </w:t>
      </w:r>
      <w:r>
        <w:rPr>
          <w:color w:val="1B1B22"/>
        </w:rPr>
        <w:t>women. In addition, two</w:t>
      </w:r>
      <w:r>
        <w:rPr>
          <w:color w:val="1B1B22"/>
          <w:spacing w:val="-6"/>
        </w:rPr>
        <w:t> </w:t>
      </w:r>
      <w:r>
        <w:rPr>
          <w:color w:val="1B1B22"/>
        </w:rPr>
        <w:t>members</w:t>
      </w:r>
      <w:r>
        <w:rPr>
          <w:color w:val="1B1B22"/>
          <w:spacing w:val="-5"/>
        </w:rPr>
        <w:t> </w:t>
      </w:r>
      <w:r>
        <w:rPr>
          <w:color w:val="1B1B22"/>
        </w:rPr>
        <w:t>of</w:t>
      </w:r>
      <w:r>
        <w:rPr>
          <w:color w:val="1B1B22"/>
          <w:spacing w:val="-5"/>
        </w:rPr>
        <w:t> </w:t>
      </w:r>
      <w:r>
        <w:rPr>
          <w:color w:val="1B1B22"/>
        </w:rPr>
        <w:t>the</w:t>
      </w:r>
      <w:r>
        <w:rPr>
          <w:color w:val="1B1B22"/>
          <w:spacing w:val="-5"/>
        </w:rPr>
        <w:t> </w:t>
      </w:r>
      <w:r>
        <w:rPr>
          <w:color w:val="1B1B22"/>
        </w:rPr>
        <w:t>Board</w:t>
      </w:r>
      <w:r>
        <w:rPr>
          <w:color w:val="1B1B22"/>
          <w:spacing w:val="-5"/>
        </w:rPr>
        <w:t> </w:t>
      </w:r>
      <w:r>
        <w:rPr>
          <w:color w:val="1B1B22"/>
        </w:rPr>
        <w:t>of</w:t>
      </w:r>
      <w:r>
        <w:rPr>
          <w:color w:val="1B1B22"/>
          <w:spacing w:val="-5"/>
        </w:rPr>
        <w:t> </w:t>
      </w:r>
      <w:r>
        <w:rPr>
          <w:color w:val="1B1B22"/>
        </w:rPr>
        <w:t>Directors</w:t>
      </w:r>
      <w:r>
        <w:rPr>
          <w:color w:val="1B1B22"/>
          <w:spacing w:val="-5"/>
        </w:rPr>
        <w:t> </w:t>
      </w:r>
      <w:r>
        <w:rPr>
          <w:color w:val="1B1B22"/>
        </w:rPr>
        <w:t>and</w:t>
      </w:r>
      <w:r>
        <w:rPr>
          <w:color w:val="1B1B22"/>
          <w:spacing w:val="-5"/>
        </w:rPr>
        <w:t> </w:t>
      </w:r>
      <w:r>
        <w:rPr>
          <w:color w:val="1B1B22"/>
        </w:rPr>
        <w:t>two</w:t>
      </w:r>
      <w:r>
        <w:rPr>
          <w:color w:val="1B1B22"/>
          <w:spacing w:val="-5"/>
        </w:rPr>
        <w:t> </w:t>
      </w:r>
      <w:r>
        <w:rPr>
          <w:color w:val="1B1B22"/>
        </w:rPr>
        <w:t>of</w:t>
      </w:r>
      <w:r>
        <w:rPr>
          <w:color w:val="1B1B22"/>
          <w:spacing w:val="-5"/>
        </w:rPr>
        <w:t> </w:t>
      </w:r>
      <w:r>
        <w:rPr>
          <w:color w:val="1B1B22"/>
        </w:rPr>
        <w:t>the</w:t>
      </w:r>
      <w:r>
        <w:rPr>
          <w:color w:val="1B1B22"/>
          <w:spacing w:val="-5"/>
        </w:rPr>
        <w:t> </w:t>
      </w:r>
      <w:r>
        <w:rPr>
          <w:color w:val="1B1B22"/>
        </w:rPr>
        <w:t>CA</w:t>
      </w:r>
      <w:r>
        <w:rPr>
          <w:color w:val="1B1B22"/>
          <w:spacing w:val="-9"/>
        </w:rPr>
        <w:t> </w:t>
      </w:r>
      <w:r>
        <w:rPr>
          <w:color w:val="1B1B22"/>
        </w:rPr>
        <w:t>identify</w:t>
      </w:r>
      <w:r>
        <w:rPr>
          <w:color w:val="1B1B22"/>
          <w:spacing w:val="-5"/>
        </w:rPr>
        <w:t> </w:t>
      </w:r>
      <w:r>
        <w:rPr>
          <w:color w:val="1B1B22"/>
        </w:rPr>
        <w:t>as</w:t>
      </w:r>
      <w:r>
        <w:rPr>
          <w:color w:val="1B1B22"/>
          <w:spacing w:val="-5"/>
        </w:rPr>
        <w:t> </w:t>
      </w:r>
      <w:r>
        <w:rPr>
          <w:color w:val="1B1B22"/>
        </w:rPr>
        <w:t>black.</w:t>
      </w:r>
      <w:r>
        <w:rPr>
          <w:color w:val="1B1B22"/>
          <w:spacing w:val="-13"/>
        </w:rPr>
        <w:t> </w:t>
      </w:r>
      <w:r>
        <w:rPr>
          <w:color w:val="1B1B22"/>
        </w:rPr>
        <w:t>Two</w:t>
      </w:r>
      <w:r>
        <w:rPr>
          <w:color w:val="1B1B22"/>
          <w:spacing w:val="-4"/>
        </w:rPr>
        <w:t> </w:t>
      </w:r>
      <w:r>
        <w:rPr>
          <w:color w:val="1B1B22"/>
        </w:rPr>
        <w:t>members</w:t>
      </w:r>
      <w:r>
        <w:rPr>
          <w:color w:val="1B1B22"/>
          <w:spacing w:val="-5"/>
        </w:rPr>
        <w:t> </w:t>
      </w:r>
      <w:r>
        <w:rPr>
          <w:color w:val="1B1B22"/>
        </w:rPr>
        <w:t>of</w:t>
      </w:r>
      <w:r>
        <w:rPr>
          <w:color w:val="1B1B22"/>
          <w:spacing w:val="-5"/>
        </w:rPr>
        <w:t> </w:t>
      </w:r>
      <w:r>
        <w:rPr>
          <w:color w:val="1B1B22"/>
        </w:rPr>
        <w:t>the</w:t>
      </w:r>
      <w:r>
        <w:rPr>
          <w:color w:val="1B1B22"/>
          <w:spacing w:val="-1"/>
        </w:rPr>
        <w:t> </w:t>
      </w:r>
      <w:r>
        <w:rPr>
          <w:color w:val="1B1B22"/>
        </w:rPr>
        <w:t>CD</w:t>
      </w:r>
      <w:r>
        <w:rPr>
          <w:color w:val="1B1B22"/>
          <w:spacing w:val="-5"/>
        </w:rPr>
        <w:t> </w:t>
      </w:r>
      <w:r>
        <w:rPr>
          <w:color w:val="1B1B22"/>
        </w:rPr>
        <w:t>and</w:t>
      </w:r>
      <w:r>
        <w:rPr>
          <w:color w:val="1B1B22"/>
          <w:spacing w:val="-5"/>
        </w:rPr>
        <w:t> </w:t>
      </w:r>
      <w:r>
        <w:rPr>
          <w:color w:val="1B1B22"/>
        </w:rPr>
        <w:t>two of the CA identify as members of the LGBTQIAPN+</w:t>
      </w:r>
    </w:p>
    <w:p>
      <w:pPr>
        <w:pStyle w:val="BodyText"/>
        <w:spacing w:line="252" w:lineRule="exact"/>
        <w:jc w:val="left"/>
      </w:pPr>
      <w:r>
        <w:rPr>
          <w:color w:val="1B1B22"/>
          <w:spacing w:val="-2"/>
        </w:rPr>
        <w:t>community.</w:t>
      </w:r>
    </w:p>
    <w:p>
      <w:pPr>
        <w:pStyle w:val="BodyText"/>
        <w:spacing w:line="321" w:lineRule="auto" w:before="206"/>
        <w:ind w:right="5874"/>
      </w:pPr>
      <w:r>
        <w:rPr>
          <w:color w:val="1B1B22"/>
        </w:rPr>
        <w:t>We have one of the most diverse boards in the market, recently endorsed by B3, through iDiversa, an index that recognizes companies that stand out for their diversity and representation of these </w:t>
      </w:r>
      <w:r>
        <w:rPr>
          <w:color w:val="1B1B22"/>
          <w:spacing w:val="-2"/>
        </w:rPr>
        <w:t>groups.</w:t>
      </w:r>
    </w:p>
    <w:p>
      <w:pPr>
        <w:pStyle w:val="BodyText"/>
        <w:spacing w:line="321" w:lineRule="auto" w:before="117"/>
        <w:ind w:right="5874"/>
      </w:pPr>
      <w:r>
        <w:rPr>
          <w:color w:val="1B1B22"/>
        </w:rPr>
        <w:t>We are committed to promoting a collaborative, inclusive and equitable work environment. We are </w:t>
      </w:r>
      <w:r>
        <w:rPr>
          <w:color w:val="1B1B22"/>
          <w:spacing w:val="-2"/>
        </w:rPr>
        <w:t>also</w:t>
      </w:r>
      <w:r>
        <w:rPr>
          <w:color w:val="1B1B22"/>
          <w:spacing w:val="-8"/>
        </w:rPr>
        <w:t> </w:t>
      </w:r>
      <w:r>
        <w:rPr>
          <w:color w:val="1B1B22"/>
          <w:spacing w:val="-2"/>
        </w:rPr>
        <w:t>increasingly</w:t>
      </w:r>
      <w:r>
        <w:rPr>
          <w:color w:val="1B1B22"/>
          <w:spacing w:val="-8"/>
        </w:rPr>
        <w:t> </w:t>
      </w:r>
      <w:r>
        <w:rPr>
          <w:color w:val="1B1B22"/>
          <w:spacing w:val="-2"/>
        </w:rPr>
        <w:t>investing</w:t>
      </w:r>
      <w:r>
        <w:rPr>
          <w:color w:val="1B1B22"/>
          <w:spacing w:val="-8"/>
        </w:rPr>
        <w:t> </w:t>
      </w:r>
      <w:r>
        <w:rPr>
          <w:color w:val="1B1B22"/>
          <w:spacing w:val="-2"/>
        </w:rPr>
        <w:t>in</w:t>
      </w:r>
      <w:r>
        <w:rPr>
          <w:color w:val="1B1B22"/>
          <w:spacing w:val="-8"/>
        </w:rPr>
        <w:t> </w:t>
      </w:r>
      <w:r>
        <w:rPr>
          <w:color w:val="1B1B22"/>
          <w:spacing w:val="-2"/>
        </w:rPr>
        <w:t>actions</w:t>
      </w:r>
      <w:r>
        <w:rPr>
          <w:color w:val="1B1B22"/>
          <w:spacing w:val="-8"/>
        </w:rPr>
        <w:t> </w:t>
      </w:r>
      <w:r>
        <w:rPr>
          <w:color w:val="1B1B22"/>
          <w:spacing w:val="-2"/>
        </w:rPr>
        <w:t>that</w:t>
      </w:r>
      <w:r>
        <w:rPr>
          <w:color w:val="1B1B22"/>
          <w:spacing w:val="-8"/>
        </w:rPr>
        <w:t> </w:t>
      </w:r>
      <w:r>
        <w:rPr>
          <w:color w:val="1B1B22"/>
          <w:spacing w:val="-2"/>
        </w:rPr>
        <w:t>promote</w:t>
      </w:r>
      <w:r>
        <w:rPr>
          <w:color w:val="1B1B22"/>
          <w:spacing w:val="-9"/>
        </w:rPr>
        <w:t> </w:t>
      </w:r>
      <w:r>
        <w:rPr>
          <w:color w:val="1B1B22"/>
          <w:spacing w:val="-2"/>
        </w:rPr>
        <w:t>an </w:t>
      </w:r>
      <w:r>
        <w:rPr>
          <w:color w:val="1B1B22"/>
        </w:rPr>
        <w:t>increase in the number of women in leadership </w:t>
      </w:r>
      <w:r>
        <w:rPr>
          <w:color w:val="1B1B22"/>
          <w:spacing w:val="-2"/>
        </w:rPr>
        <w:t>positions.</w:t>
      </w:r>
    </w:p>
    <w:p>
      <w:pPr>
        <w:pStyle w:val="BodyText"/>
        <w:spacing w:line="321" w:lineRule="auto" w:before="117"/>
        <w:ind w:right="5873"/>
      </w:pPr>
      <w:r>
        <w:rPr>
          <w:color w:val="1B1B22"/>
        </w:rPr>
        <w:t>In August, the BB Foundation and the Palmares Cultural Foundation signed a Memorandum of Understanding support the black Brazilian population</w:t>
      </w:r>
      <w:r>
        <w:rPr>
          <w:color w:val="1B1B22"/>
          <w:spacing w:val="-9"/>
        </w:rPr>
        <w:t> </w:t>
      </w:r>
      <w:r>
        <w:rPr>
          <w:color w:val="1B1B22"/>
        </w:rPr>
        <w:t>in</w:t>
      </w:r>
      <w:r>
        <w:rPr>
          <w:color w:val="1B1B22"/>
          <w:spacing w:val="-10"/>
        </w:rPr>
        <w:t> </w:t>
      </w:r>
      <w:r>
        <w:rPr>
          <w:color w:val="1B1B22"/>
        </w:rPr>
        <w:t>areas</w:t>
      </w:r>
      <w:r>
        <w:rPr>
          <w:color w:val="1B1B22"/>
          <w:spacing w:val="-10"/>
        </w:rPr>
        <w:t> </w:t>
      </w:r>
      <w:r>
        <w:rPr>
          <w:color w:val="1B1B22"/>
        </w:rPr>
        <w:t>such</w:t>
      </w:r>
      <w:r>
        <w:rPr>
          <w:color w:val="1B1B22"/>
          <w:spacing w:val="-9"/>
        </w:rPr>
        <w:t> </w:t>
      </w:r>
      <w:r>
        <w:rPr>
          <w:color w:val="1B1B22"/>
        </w:rPr>
        <w:t>as</w:t>
      </w:r>
      <w:r>
        <w:rPr>
          <w:color w:val="1B1B22"/>
          <w:spacing w:val="-9"/>
        </w:rPr>
        <w:t> </w:t>
      </w:r>
      <w:r>
        <w:rPr>
          <w:color w:val="1B1B22"/>
        </w:rPr>
        <w:t>culture,</w:t>
      </w:r>
      <w:r>
        <w:rPr>
          <w:color w:val="1B1B22"/>
          <w:spacing w:val="-10"/>
        </w:rPr>
        <w:t> </w:t>
      </w:r>
      <w:r>
        <w:rPr>
          <w:color w:val="1B1B22"/>
        </w:rPr>
        <w:t>education,</w:t>
      </w:r>
      <w:r>
        <w:rPr>
          <w:color w:val="1B1B22"/>
          <w:spacing w:val="-9"/>
        </w:rPr>
        <w:t> </w:t>
      </w:r>
      <w:r>
        <w:rPr>
          <w:color w:val="1B1B22"/>
        </w:rPr>
        <w:t>work, income and cultural heritage. The partnership aims to structure initiatives for anti-racist education, racial literacy and preservation of Afro-Brazilian heritage, integrating quilombola communities and traditional peoples.</w:t>
      </w:r>
    </w:p>
    <w:p>
      <w:pPr>
        <w:pStyle w:val="BodyText"/>
        <w:spacing w:line="321" w:lineRule="auto" w:before="114"/>
        <w:ind w:right="5872"/>
      </w:pPr>
      <w:r>
        <w:rPr>
          <w:color w:val="1B1B22"/>
        </w:rPr>
        <w:t>In September, together with other federal state- owned companies, we officially joined the Pact for Diversity, Equity and Inclusion (Pacto DEI), coordinated</w:t>
      </w:r>
      <w:r>
        <w:rPr>
          <w:color w:val="1B1B22"/>
          <w:spacing w:val="48"/>
        </w:rPr>
        <w:t> </w:t>
      </w:r>
      <w:r>
        <w:rPr>
          <w:color w:val="1B1B22"/>
        </w:rPr>
        <w:t>by</w:t>
      </w:r>
      <w:r>
        <w:rPr>
          <w:color w:val="1B1B22"/>
          <w:spacing w:val="51"/>
        </w:rPr>
        <w:t> </w:t>
      </w:r>
      <w:r>
        <w:rPr>
          <w:color w:val="1B1B22"/>
        </w:rPr>
        <w:t>the</w:t>
      </w:r>
      <w:r>
        <w:rPr>
          <w:color w:val="1B1B22"/>
          <w:spacing w:val="51"/>
        </w:rPr>
        <w:t> </w:t>
      </w:r>
      <w:r>
        <w:rPr>
          <w:color w:val="1B1B22"/>
        </w:rPr>
        <w:t>Ministry</w:t>
      </w:r>
      <w:r>
        <w:rPr>
          <w:color w:val="1B1B22"/>
          <w:spacing w:val="50"/>
        </w:rPr>
        <w:t> </w:t>
      </w:r>
      <w:r>
        <w:rPr>
          <w:color w:val="1B1B22"/>
        </w:rPr>
        <w:t>of</w:t>
      </w:r>
      <w:r>
        <w:rPr>
          <w:color w:val="1B1B22"/>
          <w:spacing w:val="51"/>
        </w:rPr>
        <w:t> </w:t>
      </w:r>
      <w:r>
        <w:rPr>
          <w:color w:val="1B1B22"/>
        </w:rPr>
        <w:t>Management</w:t>
      </w:r>
      <w:r>
        <w:rPr>
          <w:color w:val="1B1B22"/>
          <w:spacing w:val="51"/>
        </w:rPr>
        <w:t> </w:t>
      </w:r>
      <w:r>
        <w:rPr>
          <w:color w:val="1B1B22"/>
          <w:spacing w:val="-5"/>
        </w:rPr>
        <w:t>and</w:t>
      </w:r>
    </w:p>
    <w:p>
      <w:pPr>
        <w:pStyle w:val="BodyText"/>
        <w:spacing w:line="321" w:lineRule="auto"/>
        <w:ind w:right="569"/>
      </w:pPr>
      <w:r>
        <w:rPr>
          <w:color w:val="1B1B22"/>
        </w:rPr>
        <w:t>Innovation in Public Services (MGI), through the Secretariat of Governance of State-Owned Companies.</w:t>
      </w:r>
      <w:r>
        <w:rPr>
          <w:color w:val="1B1B22"/>
          <w:spacing w:val="-8"/>
        </w:rPr>
        <w:t> </w:t>
      </w:r>
      <w:r>
        <w:rPr>
          <w:color w:val="1B1B22"/>
        </w:rPr>
        <w:t>The agreement</w:t>
      </w:r>
      <w:r>
        <w:rPr>
          <w:color w:val="1B1B22"/>
          <w:spacing w:val="-13"/>
        </w:rPr>
        <w:t> </w:t>
      </w:r>
      <w:r>
        <w:rPr>
          <w:color w:val="1B1B22"/>
        </w:rPr>
        <w:t>aims</w:t>
      </w:r>
      <w:r>
        <w:rPr>
          <w:color w:val="1B1B22"/>
          <w:spacing w:val="-12"/>
        </w:rPr>
        <w:t> </w:t>
      </w:r>
      <w:r>
        <w:rPr>
          <w:color w:val="1B1B22"/>
        </w:rPr>
        <w:t>to</w:t>
      </w:r>
      <w:r>
        <w:rPr>
          <w:color w:val="1B1B22"/>
          <w:spacing w:val="-12"/>
        </w:rPr>
        <w:t> </w:t>
      </w:r>
      <w:r>
        <w:rPr>
          <w:color w:val="1B1B22"/>
        </w:rPr>
        <w:t>improve</w:t>
      </w:r>
      <w:r>
        <w:rPr>
          <w:color w:val="1B1B22"/>
          <w:spacing w:val="-12"/>
        </w:rPr>
        <w:t> </w:t>
      </w:r>
      <w:r>
        <w:rPr>
          <w:color w:val="1B1B22"/>
        </w:rPr>
        <w:t>public</w:t>
      </w:r>
      <w:r>
        <w:rPr>
          <w:color w:val="1B1B22"/>
          <w:spacing w:val="-11"/>
        </w:rPr>
        <w:t> </w:t>
      </w:r>
      <w:r>
        <w:rPr>
          <w:color w:val="1B1B22"/>
        </w:rPr>
        <w:t>policies</w:t>
      </w:r>
      <w:r>
        <w:rPr>
          <w:color w:val="1B1B22"/>
          <w:spacing w:val="-12"/>
        </w:rPr>
        <w:t> </w:t>
      </w:r>
      <w:r>
        <w:rPr>
          <w:color w:val="1B1B22"/>
        </w:rPr>
        <w:t>and</w:t>
      </w:r>
      <w:r>
        <w:rPr>
          <w:color w:val="1B1B22"/>
          <w:spacing w:val="-11"/>
        </w:rPr>
        <w:t> </w:t>
      </w:r>
      <w:r>
        <w:rPr>
          <w:color w:val="1B1B22"/>
        </w:rPr>
        <w:t>implement</w:t>
      </w:r>
      <w:r>
        <w:rPr>
          <w:color w:val="1B1B22"/>
          <w:spacing w:val="-13"/>
        </w:rPr>
        <w:t> </w:t>
      </w:r>
      <w:r>
        <w:rPr>
          <w:color w:val="1B1B22"/>
        </w:rPr>
        <w:t>affirmative</w:t>
      </w:r>
      <w:r>
        <w:rPr>
          <w:color w:val="1B1B22"/>
          <w:spacing w:val="-12"/>
        </w:rPr>
        <w:t> </w:t>
      </w:r>
      <w:r>
        <w:rPr>
          <w:color w:val="1B1B22"/>
        </w:rPr>
        <w:t>actions</w:t>
      </w:r>
      <w:r>
        <w:rPr>
          <w:color w:val="1B1B22"/>
          <w:spacing w:val="-12"/>
        </w:rPr>
        <w:t> </w:t>
      </w:r>
      <w:r>
        <w:rPr>
          <w:color w:val="1B1B22"/>
        </w:rPr>
        <w:t>that</w:t>
      </w:r>
      <w:r>
        <w:rPr>
          <w:color w:val="1B1B22"/>
          <w:spacing w:val="-13"/>
        </w:rPr>
        <w:t> </w:t>
      </w:r>
      <w:r>
        <w:rPr>
          <w:color w:val="1B1B22"/>
        </w:rPr>
        <w:t>promote</w:t>
      </w:r>
      <w:r>
        <w:rPr>
          <w:color w:val="1B1B22"/>
          <w:spacing w:val="-11"/>
        </w:rPr>
        <w:t> </w:t>
      </w:r>
      <w:r>
        <w:rPr>
          <w:color w:val="1B1B22"/>
        </w:rPr>
        <w:t>plurality</w:t>
      </w:r>
      <w:r>
        <w:rPr>
          <w:color w:val="1B1B22"/>
          <w:spacing w:val="-11"/>
        </w:rPr>
        <w:t> </w:t>
      </w:r>
      <w:r>
        <w:rPr>
          <w:color w:val="1B1B22"/>
        </w:rPr>
        <w:t>in</w:t>
      </w:r>
      <w:r>
        <w:rPr>
          <w:color w:val="1B1B22"/>
          <w:spacing w:val="-13"/>
        </w:rPr>
        <w:t> </w:t>
      </w:r>
      <w:r>
        <w:rPr>
          <w:color w:val="1B1B22"/>
        </w:rPr>
        <w:t>public </w:t>
      </w:r>
      <w:r>
        <w:rPr>
          <w:color w:val="1B1B22"/>
          <w:spacing w:val="-2"/>
        </w:rPr>
        <w:t>companies.</w:t>
      </w:r>
    </w:p>
    <w:p>
      <w:pPr>
        <w:spacing w:after="0" w:line="321" w:lineRule="auto"/>
        <w:sectPr>
          <w:type w:val="continuous"/>
          <w:pgSz w:w="11910" w:h="16840"/>
          <w:pgMar w:header="152" w:footer="591" w:top="1920" w:bottom="280" w:left="0" w:right="280"/>
        </w:sectPr>
      </w:pPr>
    </w:p>
    <w:p>
      <w:pPr>
        <w:pStyle w:val="Heading1"/>
        <w:spacing w:before="298"/>
      </w:pPr>
      <w:r>
        <w:rPr>
          <w:color w:val="465EFF"/>
          <w:spacing w:val="24"/>
        </w:rPr>
        <w:t>Awards</w:t>
      </w:r>
      <w:r>
        <w:rPr>
          <w:color w:val="465EFF"/>
          <w:spacing w:val="77"/>
        </w:rPr>
        <w:t> </w:t>
      </w:r>
      <w:r>
        <w:rPr>
          <w:color w:val="465EFF"/>
          <w:spacing w:val="26"/>
        </w:rPr>
        <w:t>and</w:t>
      </w:r>
      <w:r>
        <w:rPr>
          <w:color w:val="465EFF"/>
          <w:spacing w:val="79"/>
        </w:rPr>
        <w:t> </w:t>
      </w:r>
      <w:r>
        <w:rPr>
          <w:color w:val="465EFF"/>
          <w:spacing w:val="31"/>
        </w:rPr>
        <w:t>Recognition</w:t>
      </w:r>
    </w:p>
    <w:p>
      <w:pPr>
        <w:pStyle w:val="BodyText"/>
        <w:spacing w:before="11"/>
        <w:ind w:left="0"/>
        <w:jc w:val="left"/>
        <w:rPr>
          <w:rFonts w:ascii="BancoDoBrasil Titulos"/>
          <w:sz w:val="12"/>
        </w:rPr>
      </w:pPr>
    </w:p>
    <w:p>
      <w:pPr>
        <w:spacing w:after="0"/>
        <w:jc w:val="left"/>
        <w:rPr>
          <w:rFonts w:ascii="BancoDoBrasil Titulos"/>
          <w:sz w:val="12"/>
        </w:rPr>
        <w:sectPr>
          <w:pgSz w:w="11910" w:h="16840"/>
          <w:pgMar w:header="152" w:footer="591" w:top="900" w:bottom="780" w:left="0" w:right="280"/>
        </w:sectPr>
      </w:pPr>
    </w:p>
    <w:p>
      <w:pPr>
        <w:pStyle w:val="Heading2"/>
        <w:spacing w:before="71"/>
        <w:rPr>
          <w:b w:val="0"/>
        </w:rPr>
      </w:pPr>
      <w:r>
        <w:rPr>
          <w:b w:val="0"/>
          <w:color w:val="465EFF"/>
          <w:spacing w:val="18"/>
        </w:rPr>
        <w:t>January</w:t>
      </w:r>
    </w:p>
    <w:p>
      <w:pPr>
        <w:pStyle w:val="BodyText"/>
        <w:spacing w:line="321" w:lineRule="auto" w:before="170"/>
        <w:ind w:right="1"/>
      </w:pPr>
      <w:r>
        <w:rPr>
          <w:color w:val="1B1B22"/>
        </w:rPr>
        <w:t>We</w:t>
      </w:r>
      <w:r>
        <w:rPr>
          <w:color w:val="1B1B22"/>
          <w:spacing w:val="-2"/>
        </w:rPr>
        <w:t> </w:t>
      </w:r>
      <w:r>
        <w:rPr>
          <w:color w:val="1B1B22"/>
        </w:rPr>
        <w:t>have</w:t>
      </w:r>
      <w:r>
        <w:rPr>
          <w:color w:val="1B1B22"/>
          <w:spacing w:val="-2"/>
        </w:rPr>
        <w:t> </w:t>
      </w:r>
      <w:r>
        <w:rPr>
          <w:color w:val="1B1B22"/>
        </w:rPr>
        <w:t>been</w:t>
      </w:r>
      <w:r>
        <w:rPr>
          <w:color w:val="1B1B22"/>
          <w:spacing w:val="-2"/>
        </w:rPr>
        <w:t> </w:t>
      </w:r>
      <w:r>
        <w:rPr>
          <w:color w:val="1B1B22"/>
        </w:rPr>
        <w:t>certified</w:t>
      </w:r>
      <w:r>
        <w:rPr>
          <w:color w:val="1B1B22"/>
          <w:spacing w:val="-3"/>
        </w:rPr>
        <w:t> </w:t>
      </w:r>
      <w:r>
        <w:rPr>
          <w:color w:val="1B1B22"/>
        </w:rPr>
        <w:t>as</w:t>
      </w:r>
      <w:r>
        <w:rPr>
          <w:color w:val="1B1B22"/>
          <w:spacing w:val="-3"/>
        </w:rPr>
        <w:t> </w:t>
      </w:r>
      <w:r>
        <w:rPr>
          <w:color w:val="1B1B22"/>
        </w:rPr>
        <w:t>a </w:t>
      </w:r>
      <w:r>
        <w:rPr>
          <w:b/>
          <w:color w:val="1B1B22"/>
        </w:rPr>
        <w:t>Top</w:t>
      </w:r>
      <w:r>
        <w:rPr>
          <w:b/>
          <w:color w:val="1B1B22"/>
          <w:spacing w:val="-3"/>
        </w:rPr>
        <w:t> </w:t>
      </w:r>
      <w:r>
        <w:rPr>
          <w:b/>
          <w:color w:val="1B1B22"/>
        </w:rPr>
        <w:t>Employer</w:t>
      </w:r>
      <w:r>
        <w:rPr>
          <w:b/>
          <w:color w:val="1B1B22"/>
          <w:spacing w:val="-1"/>
        </w:rPr>
        <w:t> </w:t>
      </w:r>
      <w:r>
        <w:rPr>
          <w:color w:val="1B1B22"/>
        </w:rPr>
        <w:t>for</w:t>
      </w:r>
      <w:r>
        <w:rPr>
          <w:color w:val="1B1B22"/>
          <w:spacing w:val="-3"/>
        </w:rPr>
        <w:t> </w:t>
      </w:r>
      <w:r>
        <w:rPr>
          <w:color w:val="1B1B22"/>
        </w:rPr>
        <w:t>the 11th</w:t>
      </w:r>
      <w:r>
        <w:rPr>
          <w:color w:val="1B1B22"/>
          <w:spacing w:val="-13"/>
        </w:rPr>
        <w:t> </w:t>
      </w:r>
      <w:r>
        <w:rPr>
          <w:color w:val="1B1B22"/>
        </w:rPr>
        <w:t>consecutive</w:t>
      </w:r>
      <w:r>
        <w:rPr>
          <w:color w:val="1B1B22"/>
          <w:spacing w:val="-9"/>
        </w:rPr>
        <w:t> </w:t>
      </w:r>
      <w:r>
        <w:rPr>
          <w:color w:val="1B1B22"/>
        </w:rPr>
        <w:t>year.</w:t>
      </w:r>
      <w:r>
        <w:rPr>
          <w:color w:val="1B1B22"/>
          <w:spacing w:val="-13"/>
        </w:rPr>
        <w:t> </w:t>
      </w:r>
      <w:r>
        <w:rPr>
          <w:color w:val="1B1B22"/>
        </w:rPr>
        <w:t>This</w:t>
      </w:r>
      <w:r>
        <w:rPr>
          <w:color w:val="1B1B22"/>
          <w:spacing w:val="-8"/>
        </w:rPr>
        <w:t> </w:t>
      </w:r>
      <w:r>
        <w:rPr>
          <w:color w:val="1B1B22"/>
        </w:rPr>
        <w:t>certification</w:t>
      </w:r>
      <w:r>
        <w:rPr>
          <w:color w:val="1B1B22"/>
          <w:spacing w:val="-9"/>
        </w:rPr>
        <w:t> </w:t>
      </w:r>
      <w:r>
        <w:rPr>
          <w:color w:val="1B1B22"/>
        </w:rPr>
        <w:t>recognizes companies with the best HR practices and is promoted by the Top Employers Institute.</w:t>
      </w:r>
    </w:p>
    <w:p>
      <w:pPr>
        <w:pStyle w:val="BodyText"/>
        <w:spacing w:line="321" w:lineRule="auto" w:before="197"/>
      </w:pPr>
      <w:r>
        <w:rPr>
          <w:color w:val="1B1B22"/>
        </w:rPr>
        <w:t>President Tarciana Medeiros appears in second place in the </w:t>
      </w:r>
      <w:r>
        <w:rPr>
          <w:b/>
          <w:color w:val="1B1B22"/>
        </w:rPr>
        <w:t>CEOs Change Makers </w:t>
      </w:r>
      <w:r>
        <w:rPr>
          <w:color w:val="1B1B22"/>
        </w:rPr>
        <w:t>Brazil ranking, evaluated by Artificial Intelligence on the 100 Brazilian CEOs who have a major impact in the </w:t>
      </w:r>
      <w:r>
        <w:rPr>
          <w:color w:val="1B1B22"/>
          <w:spacing w:val="-2"/>
        </w:rPr>
        <w:t>country.</w:t>
      </w:r>
    </w:p>
    <w:p>
      <w:pPr>
        <w:pStyle w:val="BodyText"/>
        <w:spacing w:line="321" w:lineRule="auto" w:before="197"/>
      </w:pPr>
      <w:r>
        <w:rPr>
          <w:color w:val="1B1B22"/>
        </w:rPr>
        <w:t>Our brand was considered the strongest in the country. The company Brand Finance named the </w:t>
      </w:r>
      <w:r>
        <w:rPr>
          <w:b/>
          <w:color w:val="1B1B22"/>
        </w:rPr>
        <w:t>500 strongest and most valuable brands in the world </w:t>
      </w:r>
      <w:r>
        <w:rPr>
          <w:color w:val="1B1B22"/>
        </w:rPr>
        <w:t>at the Davos Economic Forum </w:t>
      </w:r>
      <w:r>
        <w:rPr>
          <w:color w:val="1B1B22"/>
        </w:rPr>
        <w:t>in Switzerland.</w:t>
      </w:r>
      <w:r>
        <w:rPr>
          <w:color w:val="1B1B22"/>
          <w:spacing w:val="-7"/>
        </w:rPr>
        <w:t> </w:t>
      </w:r>
      <w:r>
        <w:rPr>
          <w:color w:val="1B1B22"/>
        </w:rPr>
        <w:t>Once</w:t>
      </w:r>
      <w:r>
        <w:rPr>
          <w:color w:val="1B1B22"/>
          <w:spacing w:val="-7"/>
        </w:rPr>
        <w:t> </w:t>
      </w:r>
      <w:r>
        <w:rPr>
          <w:color w:val="1B1B22"/>
        </w:rPr>
        <w:t>again,</w:t>
      </w:r>
      <w:r>
        <w:rPr>
          <w:color w:val="1B1B22"/>
          <w:spacing w:val="-7"/>
        </w:rPr>
        <w:t> </w:t>
      </w:r>
      <w:r>
        <w:rPr>
          <w:color w:val="1B1B22"/>
        </w:rPr>
        <w:t>BB</w:t>
      </w:r>
      <w:r>
        <w:rPr>
          <w:color w:val="1B1B22"/>
          <w:spacing w:val="-7"/>
        </w:rPr>
        <w:t> </w:t>
      </w:r>
      <w:r>
        <w:rPr>
          <w:color w:val="1B1B22"/>
        </w:rPr>
        <w:t>was</w:t>
      </w:r>
      <w:r>
        <w:rPr>
          <w:color w:val="1B1B22"/>
          <w:spacing w:val="-7"/>
        </w:rPr>
        <w:t> </w:t>
      </w:r>
      <w:r>
        <w:rPr>
          <w:color w:val="1B1B22"/>
        </w:rPr>
        <w:t>in</w:t>
      </w:r>
      <w:r>
        <w:rPr>
          <w:color w:val="1B1B22"/>
          <w:spacing w:val="-8"/>
        </w:rPr>
        <w:t> </w:t>
      </w:r>
      <w:r>
        <w:rPr>
          <w:color w:val="1B1B22"/>
        </w:rPr>
        <w:t>the</w:t>
      </w:r>
      <w:r>
        <w:rPr>
          <w:color w:val="1B1B22"/>
          <w:spacing w:val="-7"/>
        </w:rPr>
        <w:t> </w:t>
      </w:r>
      <w:r>
        <w:rPr>
          <w:color w:val="1B1B22"/>
        </w:rPr>
        <w:t>ranking</w:t>
      </w:r>
      <w:r>
        <w:rPr>
          <w:color w:val="1B1B22"/>
          <w:spacing w:val="-9"/>
        </w:rPr>
        <w:t> </w:t>
      </w:r>
      <w:r>
        <w:rPr>
          <w:color w:val="1B1B22"/>
        </w:rPr>
        <w:t>and moved</w:t>
      </w:r>
      <w:r>
        <w:rPr>
          <w:color w:val="1B1B22"/>
          <w:spacing w:val="-5"/>
        </w:rPr>
        <w:t> </w:t>
      </w:r>
      <w:r>
        <w:rPr>
          <w:color w:val="1B1B22"/>
        </w:rPr>
        <w:t>up</w:t>
      </w:r>
      <w:r>
        <w:rPr>
          <w:color w:val="1B1B22"/>
          <w:spacing w:val="-5"/>
        </w:rPr>
        <w:t> </w:t>
      </w:r>
      <w:r>
        <w:rPr>
          <w:color w:val="1B1B22"/>
        </w:rPr>
        <w:t>50</w:t>
      </w:r>
      <w:r>
        <w:rPr>
          <w:color w:val="1B1B22"/>
          <w:spacing w:val="-5"/>
        </w:rPr>
        <w:t> </w:t>
      </w:r>
      <w:r>
        <w:rPr>
          <w:color w:val="1B1B22"/>
        </w:rPr>
        <w:t>positions</w:t>
      </w:r>
      <w:r>
        <w:rPr>
          <w:color w:val="1B1B22"/>
          <w:spacing w:val="-5"/>
        </w:rPr>
        <w:t> </w:t>
      </w:r>
      <w:r>
        <w:rPr>
          <w:color w:val="1B1B22"/>
        </w:rPr>
        <w:t>in</w:t>
      </w:r>
      <w:r>
        <w:rPr>
          <w:color w:val="1B1B22"/>
          <w:spacing w:val="-5"/>
        </w:rPr>
        <w:t> </w:t>
      </w:r>
      <w:r>
        <w:rPr>
          <w:color w:val="1B1B22"/>
        </w:rPr>
        <w:t>the</w:t>
      </w:r>
      <w:r>
        <w:rPr>
          <w:color w:val="1B1B22"/>
          <w:spacing w:val="-5"/>
        </w:rPr>
        <w:t> </w:t>
      </w:r>
      <w:r>
        <w:rPr>
          <w:color w:val="1B1B22"/>
        </w:rPr>
        <w:t>ranking</w:t>
      </w:r>
      <w:r>
        <w:rPr>
          <w:color w:val="1B1B22"/>
          <w:spacing w:val="-5"/>
        </w:rPr>
        <w:t> </w:t>
      </w:r>
      <w:r>
        <w:rPr>
          <w:color w:val="1B1B22"/>
        </w:rPr>
        <w:t>compared</w:t>
      </w:r>
      <w:r>
        <w:rPr>
          <w:color w:val="1B1B22"/>
          <w:spacing w:val="-6"/>
        </w:rPr>
        <w:t> </w:t>
      </w:r>
      <w:r>
        <w:rPr>
          <w:color w:val="1B1B22"/>
        </w:rPr>
        <w:t>to </w:t>
      </w:r>
      <w:r>
        <w:rPr>
          <w:color w:val="1B1B22"/>
          <w:spacing w:val="-4"/>
        </w:rPr>
        <w:t>2023.</w:t>
      </w:r>
    </w:p>
    <w:p>
      <w:pPr>
        <w:pStyle w:val="BodyText"/>
        <w:spacing w:line="321" w:lineRule="auto" w:before="195"/>
      </w:pPr>
      <w:r>
        <w:rPr>
          <w:color w:val="1B1B22"/>
        </w:rPr>
        <w:t>We won two categories of </w:t>
      </w:r>
      <w:r>
        <w:rPr>
          <w:b/>
          <w:color w:val="1B1B22"/>
        </w:rPr>
        <w:t>Banking Transformation</w:t>
      </w:r>
      <w:r>
        <w:rPr>
          <w:color w:val="1B1B22"/>
        </w:rPr>
        <w:t>.</w:t>
      </w:r>
      <w:r>
        <w:rPr>
          <w:color w:val="1B1B22"/>
          <w:spacing w:val="-13"/>
        </w:rPr>
        <w:t> </w:t>
      </w:r>
      <w:r>
        <w:rPr>
          <w:color w:val="1B1B22"/>
        </w:rPr>
        <w:t>The</w:t>
      </w:r>
      <w:r>
        <w:rPr>
          <w:color w:val="1B1B22"/>
          <w:spacing w:val="-5"/>
        </w:rPr>
        <w:t> </w:t>
      </w:r>
      <w:r>
        <w:rPr>
          <w:color w:val="1B1B22"/>
        </w:rPr>
        <w:t>award</w:t>
      </w:r>
      <w:r>
        <w:rPr>
          <w:color w:val="1B1B22"/>
          <w:spacing w:val="-4"/>
        </w:rPr>
        <w:t> </w:t>
      </w:r>
      <w:r>
        <w:rPr>
          <w:color w:val="1B1B22"/>
        </w:rPr>
        <w:t>seeks</w:t>
      </w:r>
      <w:r>
        <w:rPr>
          <w:color w:val="1B1B22"/>
          <w:spacing w:val="-5"/>
        </w:rPr>
        <w:t> </w:t>
      </w:r>
      <w:r>
        <w:rPr>
          <w:color w:val="1B1B22"/>
        </w:rPr>
        <w:t>to</w:t>
      </w:r>
      <w:r>
        <w:rPr>
          <w:color w:val="1B1B22"/>
          <w:spacing w:val="-4"/>
        </w:rPr>
        <w:t> </w:t>
      </w:r>
      <w:r>
        <w:rPr>
          <w:color w:val="1B1B22"/>
        </w:rPr>
        <w:t>highlight</w:t>
      </w:r>
      <w:r>
        <w:rPr>
          <w:color w:val="1B1B22"/>
          <w:spacing w:val="-4"/>
        </w:rPr>
        <w:t> </w:t>
      </w:r>
      <w:r>
        <w:rPr>
          <w:color w:val="1B1B22"/>
        </w:rPr>
        <w:t>the best practices in innovation, contributing to the improvement of the financial sector. We were awarded in the categories Innovation with AI and Operational Efficiency.</w:t>
      </w:r>
    </w:p>
    <w:p>
      <w:pPr>
        <w:pStyle w:val="BodyText"/>
        <w:spacing w:line="321" w:lineRule="auto" w:before="196"/>
      </w:pPr>
      <w:r>
        <w:rPr>
          <w:color w:val="1B1B22"/>
        </w:rPr>
        <w:t>BB Private was listed in the Leaders League 2024 Ranking,</w:t>
      </w:r>
      <w:r>
        <w:rPr>
          <w:color w:val="1B1B22"/>
          <w:spacing w:val="-13"/>
        </w:rPr>
        <w:t> </w:t>
      </w:r>
      <w:r>
        <w:rPr>
          <w:color w:val="1B1B22"/>
        </w:rPr>
        <w:t>in</w:t>
      </w:r>
      <w:r>
        <w:rPr>
          <w:color w:val="1B1B22"/>
          <w:spacing w:val="-12"/>
        </w:rPr>
        <w:t> </w:t>
      </w:r>
      <w:r>
        <w:rPr>
          <w:color w:val="1B1B22"/>
        </w:rPr>
        <w:t>the</w:t>
      </w:r>
      <w:r>
        <w:rPr>
          <w:color w:val="1B1B22"/>
          <w:spacing w:val="-13"/>
        </w:rPr>
        <w:t> </w:t>
      </w:r>
      <w:r>
        <w:rPr>
          <w:color w:val="1B1B22"/>
        </w:rPr>
        <w:t>Wealth</w:t>
      </w:r>
      <w:r>
        <w:rPr>
          <w:color w:val="1B1B22"/>
          <w:spacing w:val="-12"/>
        </w:rPr>
        <w:t> </w:t>
      </w:r>
      <w:r>
        <w:rPr>
          <w:color w:val="1B1B22"/>
        </w:rPr>
        <w:t>Management</w:t>
      </w:r>
      <w:r>
        <w:rPr>
          <w:color w:val="1B1B22"/>
          <w:spacing w:val="-12"/>
        </w:rPr>
        <w:t> </w:t>
      </w:r>
      <w:r>
        <w:rPr>
          <w:color w:val="1B1B22"/>
        </w:rPr>
        <w:t>-</w:t>
      </w:r>
      <w:r>
        <w:rPr>
          <w:color w:val="1B1B22"/>
          <w:spacing w:val="-13"/>
        </w:rPr>
        <w:t> </w:t>
      </w:r>
      <w:r>
        <w:rPr>
          <w:color w:val="1B1B22"/>
        </w:rPr>
        <w:t>Private</w:t>
      </w:r>
      <w:r>
        <w:rPr>
          <w:color w:val="1B1B22"/>
          <w:spacing w:val="-12"/>
        </w:rPr>
        <w:t> </w:t>
      </w:r>
      <w:r>
        <w:rPr>
          <w:color w:val="1B1B22"/>
        </w:rPr>
        <w:t>Bank Brazil category, which recognizes the best strategies in Brazil in wealth and asset management for Private clients.</w:t>
      </w:r>
    </w:p>
    <w:p>
      <w:pPr>
        <w:pStyle w:val="Heading2"/>
        <w:spacing w:before="189"/>
        <w:rPr>
          <w:b w:val="0"/>
        </w:rPr>
      </w:pPr>
      <w:r>
        <w:rPr>
          <w:b w:val="0"/>
          <w:color w:val="465EFF"/>
          <w:spacing w:val="17"/>
        </w:rPr>
        <w:t>February</w:t>
      </w:r>
    </w:p>
    <w:p>
      <w:pPr>
        <w:spacing w:line="321" w:lineRule="auto" w:before="170"/>
        <w:ind w:left="850" w:right="0" w:firstLine="0"/>
        <w:jc w:val="both"/>
        <w:rPr>
          <w:sz w:val="20"/>
        </w:rPr>
      </w:pPr>
      <w:r>
        <w:rPr>
          <w:color w:val="1B1B22"/>
          <w:sz w:val="20"/>
        </w:rPr>
        <w:t>We were recognized by </w:t>
      </w:r>
      <w:r>
        <w:rPr>
          <w:b/>
          <w:color w:val="1B1B22"/>
          <w:sz w:val="20"/>
        </w:rPr>
        <w:t>Bacen in the Bacen Ranking and Broadcast Projeções from Agência Estado</w:t>
      </w:r>
      <w:r>
        <w:rPr>
          <w:color w:val="1B1B22"/>
          <w:sz w:val="20"/>
        </w:rPr>
        <w:t>, listed in 1st place in the short-term </w:t>
      </w:r>
      <w:r>
        <w:rPr>
          <w:color w:val="1B1B22"/>
          <w:sz w:val="20"/>
        </w:rPr>
        <w:t>Selic Rate projection and in 4th place in the short-term IPCA projections. In addition, we were listed by </w:t>
      </w:r>
      <w:r>
        <w:rPr>
          <w:color w:val="1B1B22"/>
          <w:spacing w:val="-2"/>
          <w:sz w:val="20"/>
        </w:rPr>
        <w:t>Broadcast</w:t>
      </w:r>
      <w:r>
        <w:rPr>
          <w:color w:val="1B1B22"/>
          <w:spacing w:val="-11"/>
          <w:sz w:val="20"/>
        </w:rPr>
        <w:t> </w:t>
      </w:r>
      <w:r>
        <w:rPr>
          <w:color w:val="1B1B22"/>
          <w:spacing w:val="-2"/>
          <w:sz w:val="20"/>
        </w:rPr>
        <w:t>Projeções</w:t>
      </w:r>
      <w:r>
        <w:rPr>
          <w:color w:val="1B1B22"/>
          <w:spacing w:val="-10"/>
          <w:sz w:val="20"/>
        </w:rPr>
        <w:t> </w:t>
      </w:r>
      <w:r>
        <w:rPr>
          <w:color w:val="1B1B22"/>
          <w:spacing w:val="-2"/>
          <w:sz w:val="20"/>
        </w:rPr>
        <w:t>from</w:t>
      </w:r>
      <w:r>
        <w:rPr>
          <w:color w:val="1B1B22"/>
          <w:spacing w:val="-11"/>
          <w:sz w:val="20"/>
        </w:rPr>
        <w:t> </w:t>
      </w:r>
      <w:r>
        <w:rPr>
          <w:color w:val="1B1B22"/>
          <w:spacing w:val="-2"/>
          <w:sz w:val="20"/>
        </w:rPr>
        <w:t>Agência</w:t>
      </w:r>
      <w:r>
        <w:rPr>
          <w:color w:val="1B1B22"/>
          <w:spacing w:val="-10"/>
          <w:sz w:val="20"/>
        </w:rPr>
        <w:t> </w:t>
      </w:r>
      <w:r>
        <w:rPr>
          <w:color w:val="1B1B22"/>
          <w:spacing w:val="-2"/>
          <w:sz w:val="20"/>
        </w:rPr>
        <w:t>Estado</w:t>
      </w:r>
      <w:r>
        <w:rPr>
          <w:color w:val="1B1B22"/>
          <w:spacing w:val="-10"/>
          <w:sz w:val="20"/>
        </w:rPr>
        <w:t> </w:t>
      </w:r>
      <w:r>
        <w:rPr>
          <w:color w:val="1B1B22"/>
          <w:spacing w:val="-2"/>
          <w:sz w:val="20"/>
        </w:rPr>
        <w:t>for</w:t>
      </w:r>
      <w:r>
        <w:rPr>
          <w:color w:val="1B1B22"/>
          <w:spacing w:val="-11"/>
          <w:sz w:val="20"/>
        </w:rPr>
        <w:t> </w:t>
      </w:r>
      <w:r>
        <w:rPr>
          <w:color w:val="1B1B22"/>
          <w:spacing w:val="-2"/>
          <w:sz w:val="20"/>
        </w:rPr>
        <w:t>4Q23. </w:t>
      </w:r>
      <w:r>
        <w:rPr>
          <w:color w:val="1B1B22"/>
          <w:sz w:val="20"/>
        </w:rPr>
        <w:t>We</w:t>
      </w:r>
      <w:r>
        <w:rPr>
          <w:color w:val="1B1B22"/>
          <w:spacing w:val="35"/>
          <w:sz w:val="20"/>
        </w:rPr>
        <w:t> </w:t>
      </w:r>
      <w:r>
        <w:rPr>
          <w:color w:val="1B1B22"/>
          <w:sz w:val="20"/>
        </w:rPr>
        <w:t>ranked</w:t>
      </w:r>
      <w:r>
        <w:rPr>
          <w:color w:val="1B1B22"/>
          <w:spacing w:val="35"/>
          <w:sz w:val="20"/>
        </w:rPr>
        <w:t> </w:t>
      </w:r>
      <w:r>
        <w:rPr>
          <w:color w:val="1B1B22"/>
          <w:sz w:val="20"/>
        </w:rPr>
        <w:t>2nd</w:t>
      </w:r>
      <w:r>
        <w:rPr>
          <w:color w:val="1B1B22"/>
          <w:spacing w:val="35"/>
          <w:sz w:val="20"/>
        </w:rPr>
        <w:t> </w:t>
      </w:r>
      <w:r>
        <w:rPr>
          <w:color w:val="1B1B22"/>
          <w:sz w:val="20"/>
        </w:rPr>
        <w:t>in</w:t>
      </w:r>
      <w:r>
        <w:rPr>
          <w:color w:val="1B1B22"/>
          <w:spacing w:val="36"/>
          <w:sz w:val="20"/>
        </w:rPr>
        <w:t> </w:t>
      </w:r>
      <w:r>
        <w:rPr>
          <w:color w:val="1B1B22"/>
          <w:sz w:val="20"/>
        </w:rPr>
        <w:t>the</w:t>
      </w:r>
      <w:r>
        <w:rPr>
          <w:color w:val="1B1B22"/>
          <w:spacing w:val="36"/>
          <w:sz w:val="20"/>
        </w:rPr>
        <w:t> </w:t>
      </w:r>
      <w:r>
        <w:rPr>
          <w:color w:val="1B1B22"/>
          <w:sz w:val="20"/>
        </w:rPr>
        <w:t>Basic</w:t>
      </w:r>
      <w:r>
        <w:rPr>
          <w:color w:val="1B1B22"/>
          <w:spacing w:val="22"/>
          <w:sz w:val="20"/>
        </w:rPr>
        <w:t> </w:t>
      </w:r>
      <w:r>
        <w:rPr>
          <w:color w:val="1B1B22"/>
          <w:sz w:val="20"/>
        </w:rPr>
        <w:t>Top</w:t>
      </w:r>
      <w:r>
        <w:rPr>
          <w:color w:val="1B1B22"/>
          <w:spacing w:val="36"/>
          <w:sz w:val="20"/>
        </w:rPr>
        <w:t> </w:t>
      </w:r>
      <w:r>
        <w:rPr>
          <w:color w:val="1B1B22"/>
          <w:sz w:val="20"/>
        </w:rPr>
        <w:t>10,</w:t>
      </w:r>
      <w:r>
        <w:rPr>
          <w:color w:val="1B1B22"/>
          <w:spacing w:val="35"/>
          <w:sz w:val="20"/>
        </w:rPr>
        <w:t> </w:t>
      </w:r>
      <w:r>
        <w:rPr>
          <w:color w:val="1B1B22"/>
          <w:sz w:val="20"/>
        </w:rPr>
        <w:t>which</w:t>
      </w:r>
      <w:r>
        <w:rPr>
          <w:color w:val="1B1B22"/>
          <w:spacing w:val="36"/>
          <w:sz w:val="20"/>
        </w:rPr>
        <w:t> </w:t>
      </w:r>
      <w:r>
        <w:rPr>
          <w:color w:val="1B1B22"/>
          <w:spacing w:val="-2"/>
          <w:sz w:val="20"/>
        </w:rPr>
        <w:t>ranks</w:t>
      </w:r>
    </w:p>
    <w:p>
      <w:pPr>
        <w:pStyle w:val="BodyText"/>
        <w:spacing w:line="321" w:lineRule="auto" w:before="79"/>
        <w:ind w:left="666" w:right="568"/>
      </w:pPr>
      <w:r>
        <w:rPr/>
        <w:br w:type="column"/>
      </w:r>
      <w:r>
        <w:rPr>
          <w:color w:val="1B1B22"/>
        </w:rPr>
        <w:t>institutions</w:t>
      </w:r>
      <w:r>
        <w:rPr>
          <w:color w:val="1B1B22"/>
          <w:spacing w:val="-5"/>
        </w:rPr>
        <w:t> </w:t>
      </w:r>
      <w:r>
        <w:rPr>
          <w:color w:val="1B1B22"/>
        </w:rPr>
        <w:t>according</w:t>
      </w:r>
      <w:r>
        <w:rPr>
          <w:color w:val="1B1B22"/>
          <w:spacing w:val="-4"/>
        </w:rPr>
        <w:t> </w:t>
      </w:r>
      <w:r>
        <w:rPr>
          <w:color w:val="1B1B22"/>
        </w:rPr>
        <w:t>to</w:t>
      </w:r>
      <w:r>
        <w:rPr>
          <w:color w:val="1B1B22"/>
          <w:spacing w:val="-3"/>
        </w:rPr>
        <w:t> </w:t>
      </w:r>
      <w:r>
        <w:rPr>
          <w:color w:val="1B1B22"/>
        </w:rPr>
        <w:t>their</w:t>
      </w:r>
      <w:r>
        <w:rPr>
          <w:color w:val="1B1B22"/>
          <w:spacing w:val="-4"/>
        </w:rPr>
        <w:t> </w:t>
      </w:r>
      <w:r>
        <w:rPr>
          <w:color w:val="1B1B22"/>
        </w:rPr>
        <w:t>projections</w:t>
      </w:r>
      <w:r>
        <w:rPr>
          <w:color w:val="1B1B22"/>
          <w:spacing w:val="-4"/>
        </w:rPr>
        <w:t> </w:t>
      </w:r>
      <w:r>
        <w:rPr>
          <w:color w:val="1B1B22"/>
        </w:rPr>
        <w:t>for</w:t>
      </w:r>
      <w:r>
        <w:rPr>
          <w:color w:val="1B1B22"/>
          <w:spacing w:val="-3"/>
        </w:rPr>
        <w:t> </w:t>
      </w:r>
      <w:r>
        <w:rPr>
          <w:color w:val="1B1B22"/>
        </w:rPr>
        <w:t>a</w:t>
      </w:r>
      <w:r>
        <w:rPr>
          <w:color w:val="1B1B22"/>
          <w:spacing w:val="-4"/>
        </w:rPr>
        <w:t> </w:t>
      </w:r>
      <w:r>
        <w:rPr>
          <w:color w:val="1B1B22"/>
        </w:rPr>
        <w:t>set of four indicators (Selic rate, exchange rate, IPCA and IGP-M).</w:t>
      </w:r>
    </w:p>
    <w:p>
      <w:pPr>
        <w:pStyle w:val="BodyText"/>
        <w:spacing w:line="321" w:lineRule="auto" w:before="198"/>
        <w:ind w:left="666" w:right="568"/>
      </w:pPr>
      <w:r>
        <w:rPr>
          <w:b/>
          <w:color w:val="1B1B22"/>
        </w:rPr>
        <w:t>Blommberg Línea </w:t>
      </w:r>
      <w:r>
        <w:rPr>
          <w:color w:val="1B1B22"/>
        </w:rPr>
        <w:t>presented the new edition of the 50 Impactful</w:t>
      </w:r>
      <w:r>
        <w:rPr>
          <w:color w:val="1B1B22"/>
          <w:spacing w:val="-6"/>
        </w:rPr>
        <w:t> </w:t>
      </w:r>
      <w:r>
        <w:rPr>
          <w:color w:val="1B1B22"/>
        </w:rPr>
        <w:t>Women in Latin</w:t>
      </w:r>
      <w:r>
        <w:rPr>
          <w:color w:val="1B1B22"/>
          <w:spacing w:val="-2"/>
        </w:rPr>
        <w:t> </w:t>
      </w:r>
      <w:r>
        <w:rPr>
          <w:color w:val="1B1B22"/>
        </w:rPr>
        <w:t>America.</w:t>
      </w:r>
      <w:r>
        <w:rPr>
          <w:color w:val="1B1B22"/>
          <w:spacing w:val="-9"/>
        </w:rPr>
        <w:t> </w:t>
      </w:r>
      <w:r>
        <w:rPr>
          <w:color w:val="1B1B22"/>
        </w:rPr>
        <w:t>The list recognizes</w:t>
      </w:r>
      <w:r>
        <w:rPr>
          <w:color w:val="1B1B22"/>
          <w:spacing w:val="-13"/>
        </w:rPr>
        <w:t> </w:t>
      </w:r>
      <w:r>
        <w:rPr>
          <w:color w:val="1B1B22"/>
        </w:rPr>
        <w:t>leaders</w:t>
      </w:r>
      <w:r>
        <w:rPr>
          <w:color w:val="1B1B22"/>
          <w:spacing w:val="-12"/>
        </w:rPr>
        <w:t> </w:t>
      </w:r>
      <w:r>
        <w:rPr>
          <w:color w:val="1B1B22"/>
        </w:rPr>
        <w:t>who</w:t>
      </w:r>
      <w:r>
        <w:rPr>
          <w:color w:val="1B1B22"/>
          <w:spacing w:val="-12"/>
        </w:rPr>
        <w:t> </w:t>
      </w:r>
      <w:r>
        <w:rPr>
          <w:color w:val="1B1B22"/>
        </w:rPr>
        <w:t>serve</w:t>
      </w:r>
      <w:r>
        <w:rPr>
          <w:color w:val="1B1B22"/>
          <w:spacing w:val="-13"/>
        </w:rPr>
        <w:t> </w:t>
      </w:r>
      <w:r>
        <w:rPr>
          <w:color w:val="1B1B22"/>
        </w:rPr>
        <w:t>as</w:t>
      </w:r>
      <w:r>
        <w:rPr>
          <w:color w:val="1B1B22"/>
          <w:spacing w:val="-11"/>
        </w:rPr>
        <w:t> </w:t>
      </w:r>
      <w:r>
        <w:rPr>
          <w:color w:val="1B1B22"/>
        </w:rPr>
        <w:t>inspiration</w:t>
      </w:r>
      <w:r>
        <w:rPr>
          <w:color w:val="1B1B22"/>
          <w:spacing w:val="-12"/>
        </w:rPr>
        <w:t> </w:t>
      </w:r>
      <w:r>
        <w:rPr>
          <w:color w:val="1B1B22"/>
        </w:rPr>
        <w:t>and</w:t>
      </w:r>
      <w:r>
        <w:rPr>
          <w:color w:val="1B1B22"/>
          <w:spacing w:val="-13"/>
        </w:rPr>
        <w:t> </w:t>
      </w:r>
      <w:r>
        <w:rPr>
          <w:color w:val="1B1B22"/>
        </w:rPr>
        <w:t>are </w:t>
      </w:r>
      <w:r>
        <w:rPr>
          <w:color w:val="1B1B22"/>
          <w:spacing w:val="-2"/>
        </w:rPr>
        <w:t>transforming</w:t>
      </w:r>
      <w:r>
        <w:rPr>
          <w:color w:val="1B1B22"/>
          <w:spacing w:val="-8"/>
        </w:rPr>
        <w:t> </w:t>
      </w:r>
      <w:r>
        <w:rPr>
          <w:color w:val="1B1B22"/>
          <w:spacing w:val="-2"/>
        </w:rPr>
        <w:t>business</w:t>
      </w:r>
      <w:r>
        <w:rPr>
          <w:color w:val="1B1B22"/>
          <w:spacing w:val="-8"/>
        </w:rPr>
        <w:t> </w:t>
      </w:r>
      <w:r>
        <w:rPr>
          <w:color w:val="1B1B22"/>
          <w:spacing w:val="-2"/>
        </w:rPr>
        <w:t>in</w:t>
      </w:r>
      <w:r>
        <w:rPr>
          <w:color w:val="1B1B22"/>
          <w:spacing w:val="-6"/>
        </w:rPr>
        <w:t> </w:t>
      </w:r>
      <w:r>
        <w:rPr>
          <w:color w:val="1B1B22"/>
          <w:spacing w:val="-2"/>
        </w:rPr>
        <w:t>the</w:t>
      </w:r>
      <w:r>
        <w:rPr>
          <w:color w:val="1B1B22"/>
          <w:spacing w:val="-6"/>
        </w:rPr>
        <w:t> </w:t>
      </w:r>
      <w:r>
        <w:rPr>
          <w:color w:val="1B1B22"/>
          <w:spacing w:val="-2"/>
        </w:rPr>
        <w:t>region.</w:t>
      </w:r>
      <w:r>
        <w:rPr>
          <w:color w:val="1B1B22"/>
          <w:spacing w:val="-6"/>
        </w:rPr>
        <w:t> </w:t>
      </w:r>
      <w:r>
        <w:rPr>
          <w:color w:val="1B1B22"/>
          <w:spacing w:val="-2"/>
        </w:rPr>
        <w:t>For</w:t>
      </w:r>
      <w:r>
        <w:rPr>
          <w:color w:val="1B1B22"/>
          <w:spacing w:val="-6"/>
        </w:rPr>
        <w:t> </w:t>
      </w:r>
      <w:r>
        <w:rPr>
          <w:color w:val="1B1B22"/>
          <w:spacing w:val="-2"/>
        </w:rPr>
        <w:t>the</w:t>
      </w:r>
      <w:r>
        <w:rPr>
          <w:color w:val="1B1B22"/>
          <w:spacing w:val="-6"/>
        </w:rPr>
        <w:t> </w:t>
      </w:r>
      <w:r>
        <w:rPr>
          <w:color w:val="1B1B22"/>
          <w:spacing w:val="-2"/>
        </w:rPr>
        <w:t>second </w:t>
      </w:r>
      <w:r>
        <w:rPr>
          <w:color w:val="1B1B22"/>
        </w:rPr>
        <w:t>consecutive</w:t>
      </w:r>
      <w:r>
        <w:rPr>
          <w:color w:val="1B1B22"/>
          <w:spacing w:val="-13"/>
        </w:rPr>
        <w:t> </w:t>
      </w:r>
      <w:r>
        <w:rPr>
          <w:color w:val="1B1B22"/>
        </w:rPr>
        <w:t>year,</w:t>
      </w:r>
      <w:r>
        <w:rPr>
          <w:color w:val="1B1B22"/>
          <w:spacing w:val="-12"/>
        </w:rPr>
        <w:t> </w:t>
      </w:r>
      <w:r>
        <w:rPr>
          <w:color w:val="1B1B22"/>
        </w:rPr>
        <w:t>president</w:t>
      </w:r>
      <w:r>
        <w:rPr>
          <w:color w:val="1B1B22"/>
          <w:spacing w:val="-13"/>
        </w:rPr>
        <w:t> </w:t>
      </w:r>
      <w:r>
        <w:rPr>
          <w:color w:val="1B1B22"/>
        </w:rPr>
        <w:t>Tarciana</w:t>
      </w:r>
      <w:r>
        <w:rPr>
          <w:color w:val="1B1B22"/>
          <w:spacing w:val="-12"/>
        </w:rPr>
        <w:t> </w:t>
      </w:r>
      <w:r>
        <w:rPr>
          <w:color w:val="1B1B22"/>
        </w:rPr>
        <w:t>Medeiros</w:t>
      </w:r>
      <w:r>
        <w:rPr>
          <w:color w:val="1B1B22"/>
          <w:spacing w:val="-12"/>
        </w:rPr>
        <w:t> </w:t>
      </w:r>
      <w:r>
        <w:rPr>
          <w:color w:val="1B1B22"/>
        </w:rPr>
        <w:t>is</w:t>
      </w:r>
      <w:r>
        <w:rPr>
          <w:color w:val="1B1B22"/>
          <w:spacing w:val="-13"/>
        </w:rPr>
        <w:t> </w:t>
      </w:r>
      <w:r>
        <w:rPr>
          <w:color w:val="1B1B22"/>
        </w:rPr>
        <w:t>on the list.</w:t>
      </w:r>
    </w:p>
    <w:p>
      <w:pPr>
        <w:pStyle w:val="Heading2"/>
        <w:spacing w:before="189"/>
        <w:ind w:left="666"/>
        <w:rPr>
          <w:b w:val="0"/>
        </w:rPr>
      </w:pPr>
      <w:r>
        <w:rPr>
          <w:b w:val="0"/>
          <w:color w:val="465EFF"/>
          <w:spacing w:val="14"/>
        </w:rPr>
        <w:t>March</w:t>
      </w:r>
    </w:p>
    <w:p>
      <w:pPr>
        <w:pStyle w:val="BodyText"/>
        <w:spacing w:line="321" w:lineRule="auto" w:before="328"/>
        <w:ind w:left="666" w:right="569"/>
      </w:pPr>
      <w:r>
        <w:rPr>
          <w:color w:val="1B1B22"/>
        </w:rPr>
        <w:t>For the</w:t>
      </w:r>
      <w:r>
        <w:rPr>
          <w:color w:val="1B1B22"/>
          <w:spacing w:val="-1"/>
        </w:rPr>
        <w:t> </w:t>
      </w:r>
      <w:r>
        <w:rPr>
          <w:color w:val="1B1B22"/>
        </w:rPr>
        <w:t>11th</w:t>
      </w:r>
      <w:r>
        <w:rPr>
          <w:color w:val="1B1B22"/>
          <w:spacing w:val="-1"/>
        </w:rPr>
        <w:t> </w:t>
      </w:r>
      <w:r>
        <w:rPr>
          <w:color w:val="1B1B22"/>
        </w:rPr>
        <w:t>time,</w:t>
      </w:r>
      <w:r>
        <w:rPr>
          <w:color w:val="1B1B22"/>
          <w:spacing w:val="-1"/>
        </w:rPr>
        <w:t> </w:t>
      </w:r>
      <w:r>
        <w:rPr>
          <w:color w:val="1B1B22"/>
        </w:rPr>
        <w:t>we</w:t>
      </w:r>
      <w:r>
        <w:rPr>
          <w:color w:val="1B1B22"/>
          <w:spacing w:val="-1"/>
        </w:rPr>
        <w:t> </w:t>
      </w:r>
      <w:r>
        <w:rPr>
          <w:color w:val="1B1B22"/>
        </w:rPr>
        <w:t>won the </w:t>
      </w:r>
      <w:r>
        <w:rPr>
          <w:b/>
          <w:color w:val="1B1B22"/>
        </w:rPr>
        <w:t>Ombudsman</w:t>
      </w:r>
      <w:r>
        <w:rPr>
          <w:b/>
          <w:color w:val="1B1B22"/>
          <w:spacing w:val="-1"/>
        </w:rPr>
        <w:t> </w:t>
      </w:r>
      <w:r>
        <w:rPr>
          <w:b/>
          <w:color w:val="1B1B22"/>
        </w:rPr>
        <w:t>Brasil </w:t>
      </w:r>
      <w:r>
        <w:rPr>
          <w:b/>
          <w:color w:val="1B1B22"/>
          <w:spacing w:val="-2"/>
        </w:rPr>
        <w:t>Award,</w:t>
      </w:r>
      <w:r>
        <w:rPr>
          <w:b/>
          <w:color w:val="1B1B22"/>
          <w:spacing w:val="-7"/>
        </w:rPr>
        <w:t> </w:t>
      </w:r>
      <w:r>
        <w:rPr>
          <w:color w:val="1B1B22"/>
          <w:spacing w:val="-2"/>
        </w:rPr>
        <w:t>which</w:t>
      </w:r>
      <w:r>
        <w:rPr>
          <w:color w:val="1B1B22"/>
          <w:spacing w:val="-8"/>
        </w:rPr>
        <w:t> </w:t>
      </w:r>
      <w:r>
        <w:rPr>
          <w:color w:val="1B1B22"/>
          <w:spacing w:val="-2"/>
        </w:rPr>
        <w:t>recognizes</w:t>
      </w:r>
      <w:r>
        <w:rPr>
          <w:color w:val="1B1B22"/>
          <w:spacing w:val="-8"/>
        </w:rPr>
        <w:t> </w:t>
      </w:r>
      <w:r>
        <w:rPr>
          <w:color w:val="1B1B22"/>
          <w:spacing w:val="-2"/>
        </w:rPr>
        <w:t>the</w:t>
      </w:r>
      <w:r>
        <w:rPr>
          <w:color w:val="1B1B22"/>
          <w:spacing w:val="-8"/>
        </w:rPr>
        <w:t> </w:t>
      </w:r>
      <w:r>
        <w:rPr>
          <w:color w:val="1B1B22"/>
          <w:spacing w:val="-2"/>
        </w:rPr>
        <w:t>work</w:t>
      </w:r>
      <w:r>
        <w:rPr>
          <w:color w:val="1B1B22"/>
          <w:spacing w:val="-7"/>
        </w:rPr>
        <w:t> </w:t>
      </w:r>
      <w:r>
        <w:rPr>
          <w:color w:val="1B1B22"/>
          <w:spacing w:val="-2"/>
        </w:rPr>
        <w:t>of</w:t>
      </w:r>
      <w:r>
        <w:rPr>
          <w:color w:val="1B1B22"/>
          <w:spacing w:val="-9"/>
        </w:rPr>
        <w:t> </w:t>
      </w:r>
      <w:r>
        <w:rPr>
          <w:color w:val="1B1B22"/>
          <w:spacing w:val="-2"/>
        </w:rPr>
        <w:t>organizations </w:t>
      </w:r>
      <w:r>
        <w:rPr>
          <w:color w:val="1B1B22"/>
        </w:rPr>
        <w:t>and ombudsmen to strengthen and expand </w:t>
      </w:r>
      <w:r>
        <w:rPr>
          <w:color w:val="1B1B22"/>
        </w:rPr>
        <w:t>the ombudsman institute in Brazil and around the </w:t>
      </w:r>
      <w:r>
        <w:rPr>
          <w:color w:val="1B1B22"/>
          <w:spacing w:val="-2"/>
        </w:rPr>
        <w:t>world.</w:t>
      </w:r>
    </w:p>
    <w:p>
      <w:pPr>
        <w:pStyle w:val="BodyText"/>
        <w:spacing w:line="321" w:lineRule="auto" w:before="197"/>
        <w:ind w:left="666" w:right="567"/>
      </w:pPr>
      <w:r>
        <w:rPr>
          <w:color w:val="1B1B22"/>
        </w:rPr>
        <w:t>In</w:t>
      </w:r>
      <w:r>
        <w:rPr>
          <w:color w:val="1B1B22"/>
          <w:spacing w:val="-4"/>
        </w:rPr>
        <w:t> </w:t>
      </w:r>
      <w:r>
        <w:rPr>
          <w:color w:val="1B1B22"/>
        </w:rPr>
        <w:t>the</w:t>
      </w:r>
      <w:r>
        <w:rPr>
          <w:color w:val="1B1B22"/>
          <w:spacing w:val="-4"/>
        </w:rPr>
        <w:t> </w:t>
      </w:r>
      <w:r>
        <w:rPr>
          <w:b/>
          <w:color w:val="1B1B22"/>
        </w:rPr>
        <w:t>Movimentos</w:t>
      </w:r>
      <w:r>
        <w:rPr>
          <w:b/>
          <w:color w:val="1B1B22"/>
          <w:spacing w:val="-4"/>
        </w:rPr>
        <w:t> </w:t>
      </w:r>
      <w:r>
        <w:rPr>
          <w:b/>
          <w:color w:val="1B1B22"/>
        </w:rPr>
        <w:t>Elas</w:t>
      </w:r>
      <w:r>
        <w:rPr>
          <w:b/>
          <w:color w:val="1B1B22"/>
          <w:spacing w:val="-5"/>
        </w:rPr>
        <w:t> </w:t>
      </w:r>
      <w:r>
        <w:rPr>
          <w:b/>
          <w:color w:val="1B1B22"/>
        </w:rPr>
        <w:t>Lideram</w:t>
      </w:r>
      <w:r>
        <w:rPr>
          <w:b/>
          <w:color w:val="1B1B22"/>
          <w:spacing w:val="-4"/>
        </w:rPr>
        <w:t> </w:t>
      </w:r>
      <w:r>
        <w:rPr>
          <w:b/>
          <w:color w:val="1B1B22"/>
        </w:rPr>
        <w:t>2030</w:t>
      </w:r>
      <w:r>
        <w:rPr>
          <w:b/>
          <w:color w:val="1B1B22"/>
          <w:spacing w:val="-3"/>
        </w:rPr>
        <w:t> </w:t>
      </w:r>
      <w:r>
        <w:rPr>
          <w:b/>
          <w:color w:val="1B1B22"/>
        </w:rPr>
        <w:t>and</w:t>
      </w:r>
      <w:r>
        <w:rPr>
          <w:b/>
          <w:color w:val="1B1B22"/>
          <w:spacing w:val="-5"/>
        </w:rPr>
        <w:t> </w:t>
      </w:r>
      <w:r>
        <w:rPr>
          <w:b/>
          <w:color w:val="1B1B22"/>
        </w:rPr>
        <w:t>Raça</w:t>
      </w:r>
      <w:r>
        <w:rPr>
          <w:b/>
          <w:color w:val="1B1B22"/>
          <w:spacing w:val="-5"/>
        </w:rPr>
        <w:t> </w:t>
      </w:r>
      <w:r>
        <w:rPr>
          <w:b/>
          <w:color w:val="1B1B22"/>
        </w:rPr>
        <w:t>é Prioridade</w:t>
      </w:r>
      <w:r>
        <w:rPr>
          <w:b/>
          <w:color w:val="1B1B22"/>
          <w:spacing w:val="-13"/>
        </w:rPr>
        <w:t> </w:t>
      </w:r>
      <w:r>
        <w:rPr>
          <w:b/>
          <w:color w:val="1B1B22"/>
        </w:rPr>
        <w:t>Awards</w:t>
      </w:r>
      <w:r>
        <w:rPr>
          <w:b/>
          <w:color w:val="1B1B22"/>
          <w:spacing w:val="-12"/>
        </w:rPr>
        <w:t> </w:t>
      </w:r>
      <w:r>
        <w:rPr>
          <w:b/>
          <w:color w:val="1B1B22"/>
        </w:rPr>
        <w:t>–</w:t>
      </w:r>
      <w:r>
        <w:rPr>
          <w:b/>
          <w:color w:val="1B1B22"/>
          <w:spacing w:val="-12"/>
        </w:rPr>
        <w:t> </w:t>
      </w:r>
      <w:r>
        <w:rPr>
          <w:b/>
          <w:color w:val="1B1B22"/>
        </w:rPr>
        <w:t>UN</w:t>
      </w:r>
      <w:r>
        <w:rPr>
          <w:b/>
          <w:color w:val="1B1B22"/>
          <w:spacing w:val="-12"/>
        </w:rPr>
        <w:t> </w:t>
      </w:r>
      <w:r>
        <w:rPr>
          <w:b/>
          <w:color w:val="1B1B22"/>
        </w:rPr>
        <w:t>Global</w:t>
      </w:r>
      <w:r>
        <w:rPr>
          <w:b/>
          <w:color w:val="1B1B22"/>
          <w:spacing w:val="-12"/>
        </w:rPr>
        <w:t> </w:t>
      </w:r>
      <w:r>
        <w:rPr>
          <w:b/>
          <w:color w:val="1B1B22"/>
        </w:rPr>
        <w:t>Compact</w:t>
      </w:r>
      <w:r>
        <w:rPr>
          <w:color w:val="1B1B22"/>
        </w:rPr>
        <w:t>,</w:t>
      </w:r>
      <w:r>
        <w:rPr>
          <w:color w:val="1B1B22"/>
          <w:spacing w:val="-13"/>
        </w:rPr>
        <w:t> </w:t>
      </w:r>
      <w:r>
        <w:rPr>
          <w:color w:val="1B1B22"/>
        </w:rPr>
        <w:t>we</w:t>
      </w:r>
      <w:r>
        <w:rPr>
          <w:color w:val="1B1B22"/>
          <w:spacing w:val="-12"/>
        </w:rPr>
        <w:t> </w:t>
      </w:r>
      <w:r>
        <w:rPr>
          <w:color w:val="1B1B22"/>
        </w:rPr>
        <w:t>won the award in the categories “30% of black or </w:t>
      </w:r>
      <w:r>
        <w:rPr>
          <w:color w:val="1B1B22"/>
          <w:spacing w:val="-2"/>
        </w:rPr>
        <w:t>indigenous</w:t>
      </w:r>
      <w:r>
        <w:rPr>
          <w:color w:val="1B1B22"/>
          <w:spacing w:val="-8"/>
        </w:rPr>
        <w:t> </w:t>
      </w:r>
      <w:r>
        <w:rPr>
          <w:color w:val="1B1B22"/>
          <w:spacing w:val="-2"/>
        </w:rPr>
        <w:t>people</w:t>
      </w:r>
      <w:r>
        <w:rPr>
          <w:color w:val="1B1B22"/>
          <w:spacing w:val="-7"/>
        </w:rPr>
        <w:t> </w:t>
      </w:r>
      <w:r>
        <w:rPr>
          <w:color w:val="1B1B22"/>
          <w:spacing w:val="-2"/>
        </w:rPr>
        <w:t>in</w:t>
      </w:r>
      <w:r>
        <w:rPr>
          <w:color w:val="1B1B22"/>
          <w:spacing w:val="-8"/>
        </w:rPr>
        <w:t> </w:t>
      </w:r>
      <w:r>
        <w:rPr>
          <w:color w:val="1B1B22"/>
          <w:spacing w:val="-2"/>
        </w:rPr>
        <w:t>leadership</w:t>
      </w:r>
      <w:r>
        <w:rPr>
          <w:color w:val="1B1B22"/>
          <w:spacing w:val="-7"/>
        </w:rPr>
        <w:t> </w:t>
      </w:r>
      <w:r>
        <w:rPr>
          <w:color w:val="1B1B22"/>
          <w:spacing w:val="-2"/>
        </w:rPr>
        <w:t>positions</w:t>
      </w:r>
      <w:r>
        <w:rPr>
          <w:color w:val="1B1B22"/>
          <w:spacing w:val="-8"/>
        </w:rPr>
        <w:t> </w:t>
      </w:r>
      <w:r>
        <w:rPr>
          <w:color w:val="1B1B22"/>
          <w:spacing w:val="-2"/>
        </w:rPr>
        <w:t>by</w:t>
      </w:r>
      <w:r>
        <w:rPr>
          <w:color w:val="1B1B22"/>
          <w:spacing w:val="-7"/>
        </w:rPr>
        <w:t> </w:t>
      </w:r>
      <w:r>
        <w:rPr>
          <w:color w:val="1B1B22"/>
          <w:spacing w:val="-2"/>
        </w:rPr>
        <w:t>2025”; </w:t>
      </w:r>
      <w:r>
        <w:rPr>
          <w:color w:val="1B1B22"/>
        </w:rPr>
        <w:t>and “Support for women's entrepreneurship through supply chains and marketing, with the </w:t>
      </w:r>
      <w:r>
        <w:rPr>
          <w:color w:val="1B1B22"/>
          <w:spacing w:val="-2"/>
        </w:rPr>
        <w:t>implementation</w:t>
      </w:r>
      <w:r>
        <w:rPr>
          <w:color w:val="1B1B22"/>
          <w:spacing w:val="-7"/>
        </w:rPr>
        <w:t> </w:t>
      </w:r>
      <w:r>
        <w:rPr>
          <w:color w:val="1B1B22"/>
          <w:spacing w:val="-2"/>
        </w:rPr>
        <w:t>of</w:t>
      </w:r>
      <w:r>
        <w:rPr>
          <w:color w:val="1B1B22"/>
          <w:spacing w:val="-9"/>
        </w:rPr>
        <w:t> </w:t>
      </w:r>
      <w:r>
        <w:rPr>
          <w:color w:val="1B1B22"/>
          <w:spacing w:val="-2"/>
        </w:rPr>
        <w:t>business</w:t>
      </w:r>
      <w:r>
        <w:rPr>
          <w:color w:val="1B1B22"/>
          <w:spacing w:val="-8"/>
        </w:rPr>
        <w:t> </w:t>
      </w:r>
      <w:r>
        <w:rPr>
          <w:color w:val="1B1B22"/>
          <w:spacing w:val="-2"/>
        </w:rPr>
        <w:t>development</w:t>
      </w:r>
      <w:r>
        <w:rPr>
          <w:color w:val="1B1B22"/>
          <w:spacing w:val="-8"/>
        </w:rPr>
        <w:t> </w:t>
      </w:r>
      <w:r>
        <w:rPr>
          <w:color w:val="1B1B22"/>
          <w:spacing w:val="-2"/>
        </w:rPr>
        <w:t>practices </w:t>
      </w:r>
      <w:r>
        <w:rPr>
          <w:color w:val="1B1B22"/>
        </w:rPr>
        <w:t>that empower women” and President Tarciana Medeiros was nominated in two categories: CEO “Race is a priority” and CEO “Elas Lideram”.</w:t>
      </w:r>
    </w:p>
    <w:p>
      <w:pPr>
        <w:pStyle w:val="BodyText"/>
        <w:spacing w:line="321" w:lineRule="auto" w:before="193"/>
        <w:ind w:left="666" w:right="568"/>
      </w:pPr>
      <w:r>
        <w:rPr>
          <w:b/>
          <w:color w:val="1B1B22"/>
        </w:rPr>
        <w:t>Recognitions in Technology</w:t>
      </w:r>
      <w:r>
        <w:rPr>
          <w:color w:val="1B1B22"/>
        </w:rPr>
        <w:t>: Agile Trends Award 2024; Celent Model Risk Manager Award; The </w:t>
      </w:r>
      <w:r>
        <w:rPr>
          <w:color w:val="1B1B22"/>
          <w:spacing w:val="-2"/>
        </w:rPr>
        <w:t>Innovators</w:t>
      </w:r>
      <w:r>
        <w:rPr>
          <w:color w:val="1B1B22"/>
          <w:spacing w:val="-11"/>
        </w:rPr>
        <w:t> </w:t>
      </w:r>
      <w:r>
        <w:rPr>
          <w:color w:val="1B1B22"/>
          <w:spacing w:val="-2"/>
        </w:rPr>
        <w:t>Award</w:t>
      </w:r>
      <w:r>
        <w:rPr>
          <w:color w:val="1B1B22"/>
          <w:spacing w:val="-10"/>
        </w:rPr>
        <w:t> </w:t>
      </w:r>
      <w:r>
        <w:rPr>
          <w:color w:val="1B1B22"/>
          <w:spacing w:val="-2"/>
        </w:rPr>
        <w:t>2024</w:t>
      </w:r>
      <w:r>
        <w:rPr>
          <w:color w:val="1B1B22"/>
          <w:spacing w:val="-11"/>
        </w:rPr>
        <w:t> </w:t>
      </w:r>
      <w:r>
        <w:rPr>
          <w:color w:val="1B1B22"/>
          <w:spacing w:val="-2"/>
        </w:rPr>
        <w:t>–</w:t>
      </w:r>
      <w:r>
        <w:rPr>
          <w:color w:val="1B1B22"/>
          <w:spacing w:val="-10"/>
        </w:rPr>
        <w:t> </w:t>
      </w:r>
      <w:r>
        <w:rPr>
          <w:color w:val="1B1B22"/>
          <w:spacing w:val="-2"/>
        </w:rPr>
        <w:t>Best</w:t>
      </w:r>
      <w:r>
        <w:rPr>
          <w:color w:val="1B1B22"/>
          <w:spacing w:val="-10"/>
        </w:rPr>
        <w:t> </w:t>
      </w:r>
      <w:r>
        <w:rPr>
          <w:color w:val="1B1B22"/>
          <w:spacing w:val="-2"/>
        </w:rPr>
        <w:t>info</w:t>
      </w:r>
      <w:r>
        <w:rPr>
          <w:color w:val="1B1B22"/>
          <w:spacing w:val="-11"/>
        </w:rPr>
        <w:t> </w:t>
      </w:r>
      <w:r>
        <w:rPr>
          <w:color w:val="1B1B22"/>
          <w:spacing w:val="-2"/>
        </w:rPr>
        <w:t>Security</w:t>
      </w:r>
      <w:r>
        <w:rPr>
          <w:color w:val="1B1B22"/>
          <w:spacing w:val="-10"/>
        </w:rPr>
        <w:t> </w:t>
      </w:r>
      <w:r>
        <w:rPr>
          <w:color w:val="1B1B22"/>
          <w:spacing w:val="-2"/>
        </w:rPr>
        <w:t>&amp;</w:t>
      </w:r>
      <w:r>
        <w:rPr>
          <w:color w:val="1B1B22"/>
          <w:spacing w:val="-10"/>
        </w:rPr>
        <w:t> </w:t>
      </w:r>
      <w:r>
        <w:rPr>
          <w:color w:val="1B1B22"/>
          <w:spacing w:val="-2"/>
        </w:rPr>
        <w:t>Fraud </w:t>
      </w:r>
      <w:r>
        <w:rPr>
          <w:color w:val="1B1B22"/>
        </w:rPr>
        <w:t>Management;</w:t>
      </w:r>
      <w:r>
        <w:rPr>
          <w:color w:val="1B1B22"/>
          <w:spacing w:val="-13"/>
        </w:rPr>
        <w:t> </w:t>
      </w:r>
      <w:r>
        <w:rPr>
          <w:color w:val="1B1B22"/>
        </w:rPr>
        <w:t>Open</w:t>
      </w:r>
      <w:r>
        <w:rPr>
          <w:color w:val="1B1B22"/>
          <w:spacing w:val="-12"/>
        </w:rPr>
        <w:t> </w:t>
      </w:r>
      <w:r>
        <w:rPr>
          <w:color w:val="1B1B22"/>
        </w:rPr>
        <w:t>Finance</w:t>
      </w:r>
      <w:r>
        <w:rPr>
          <w:color w:val="1B1B22"/>
          <w:spacing w:val="-13"/>
        </w:rPr>
        <w:t> </w:t>
      </w:r>
      <w:r>
        <w:rPr>
          <w:color w:val="1B1B22"/>
        </w:rPr>
        <w:t>Maturity</w:t>
      </w:r>
      <w:r>
        <w:rPr>
          <w:color w:val="1B1B22"/>
          <w:spacing w:val="-12"/>
        </w:rPr>
        <w:t> </w:t>
      </w:r>
      <w:r>
        <w:rPr>
          <w:color w:val="1B1B22"/>
        </w:rPr>
        <w:t>Index</w:t>
      </w:r>
      <w:r>
        <w:rPr>
          <w:color w:val="1B1B22"/>
          <w:spacing w:val="-12"/>
        </w:rPr>
        <w:t> </w:t>
      </w:r>
      <w:r>
        <w:rPr>
          <w:color w:val="1B1B22"/>
        </w:rPr>
        <w:t>2024</w:t>
      </w:r>
      <w:r>
        <w:rPr>
          <w:color w:val="1B1B22"/>
          <w:spacing w:val="-13"/>
        </w:rPr>
        <w:t> </w:t>
      </w:r>
      <w:r>
        <w:rPr>
          <w:color w:val="1B1B22"/>
        </w:rPr>
        <w:t>– "Company that has or had the best Open Finance case in Brazil".</w:t>
      </w:r>
    </w:p>
    <w:p>
      <w:pPr>
        <w:pStyle w:val="Heading2"/>
        <w:spacing w:before="187"/>
        <w:ind w:left="666"/>
        <w:rPr>
          <w:b w:val="0"/>
        </w:rPr>
      </w:pPr>
      <w:r>
        <w:rPr>
          <w:b w:val="0"/>
          <w:color w:val="465EFF"/>
          <w:spacing w:val="16"/>
        </w:rPr>
        <w:t>April</w:t>
      </w:r>
    </w:p>
    <w:p>
      <w:pPr>
        <w:spacing w:line="321" w:lineRule="auto" w:before="171"/>
        <w:ind w:left="666" w:right="569" w:firstLine="0"/>
        <w:jc w:val="both"/>
        <w:rPr>
          <w:sz w:val="20"/>
        </w:rPr>
      </w:pPr>
      <w:r>
        <w:rPr>
          <w:color w:val="1B1B22"/>
          <w:sz w:val="20"/>
        </w:rPr>
        <w:t>We</w:t>
      </w:r>
      <w:r>
        <w:rPr>
          <w:color w:val="1B1B22"/>
          <w:spacing w:val="-7"/>
          <w:sz w:val="20"/>
        </w:rPr>
        <w:t> </w:t>
      </w:r>
      <w:r>
        <w:rPr>
          <w:color w:val="1B1B22"/>
          <w:sz w:val="20"/>
        </w:rPr>
        <w:t>achieved</w:t>
      </w:r>
      <w:r>
        <w:rPr>
          <w:color w:val="1B1B22"/>
          <w:spacing w:val="-6"/>
          <w:sz w:val="20"/>
        </w:rPr>
        <w:t> </w:t>
      </w:r>
      <w:r>
        <w:rPr>
          <w:b/>
          <w:color w:val="1B1B22"/>
          <w:sz w:val="20"/>
        </w:rPr>
        <w:t>1st</w:t>
      </w:r>
      <w:r>
        <w:rPr>
          <w:b/>
          <w:color w:val="1B1B22"/>
          <w:spacing w:val="-6"/>
          <w:sz w:val="20"/>
        </w:rPr>
        <w:t> </w:t>
      </w:r>
      <w:r>
        <w:rPr>
          <w:b/>
          <w:color w:val="1B1B22"/>
          <w:sz w:val="20"/>
        </w:rPr>
        <w:t>place</w:t>
      </w:r>
      <w:r>
        <w:rPr>
          <w:b/>
          <w:color w:val="1B1B22"/>
          <w:spacing w:val="-6"/>
          <w:sz w:val="20"/>
        </w:rPr>
        <w:t> </w:t>
      </w:r>
      <w:r>
        <w:rPr>
          <w:b/>
          <w:color w:val="1B1B22"/>
          <w:sz w:val="20"/>
        </w:rPr>
        <w:t>in</w:t>
      </w:r>
      <w:r>
        <w:rPr>
          <w:b/>
          <w:color w:val="1B1B22"/>
          <w:spacing w:val="-7"/>
          <w:sz w:val="20"/>
        </w:rPr>
        <w:t> </w:t>
      </w:r>
      <w:r>
        <w:rPr>
          <w:b/>
          <w:color w:val="1B1B22"/>
          <w:sz w:val="20"/>
        </w:rPr>
        <w:t>the</w:t>
      </w:r>
      <w:r>
        <w:rPr>
          <w:b/>
          <w:color w:val="1B1B22"/>
          <w:spacing w:val="-6"/>
          <w:sz w:val="20"/>
        </w:rPr>
        <w:t> </w:t>
      </w:r>
      <w:r>
        <w:rPr>
          <w:b/>
          <w:color w:val="1B1B22"/>
          <w:sz w:val="20"/>
        </w:rPr>
        <w:t>Broadcast</w:t>
      </w:r>
      <w:r>
        <w:rPr>
          <w:b/>
          <w:color w:val="1B1B22"/>
          <w:spacing w:val="-6"/>
          <w:sz w:val="20"/>
        </w:rPr>
        <w:t> </w:t>
      </w:r>
      <w:r>
        <w:rPr>
          <w:b/>
          <w:color w:val="1B1B22"/>
          <w:sz w:val="20"/>
        </w:rPr>
        <w:t>Projeções Ranking in the Top 10 Overall </w:t>
      </w:r>
      <w:r>
        <w:rPr>
          <w:color w:val="1B1B22"/>
          <w:sz w:val="20"/>
        </w:rPr>
        <w:t>for 4Q23. This ranking, which included the participation of 50 </w:t>
      </w:r>
      <w:r>
        <w:rPr>
          <w:color w:val="1B1B22"/>
          <w:spacing w:val="-2"/>
          <w:sz w:val="20"/>
        </w:rPr>
        <w:t>financial</w:t>
      </w:r>
      <w:r>
        <w:rPr>
          <w:color w:val="1B1B22"/>
          <w:spacing w:val="-10"/>
          <w:sz w:val="20"/>
        </w:rPr>
        <w:t> </w:t>
      </w:r>
      <w:r>
        <w:rPr>
          <w:color w:val="1B1B22"/>
          <w:spacing w:val="-2"/>
          <w:sz w:val="20"/>
        </w:rPr>
        <w:t>institutions,</w:t>
      </w:r>
      <w:r>
        <w:rPr>
          <w:color w:val="1B1B22"/>
          <w:spacing w:val="-11"/>
          <w:sz w:val="20"/>
        </w:rPr>
        <w:t> </w:t>
      </w:r>
      <w:r>
        <w:rPr>
          <w:color w:val="1B1B22"/>
          <w:spacing w:val="-2"/>
          <w:sz w:val="20"/>
        </w:rPr>
        <w:t>involved</w:t>
      </w:r>
      <w:r>
        <w:rPr>
          <w:color w:val="1B1B22"/>
          <w:spacing w:val="-10"/>
          <w:sz w:val="20"/>
        </w:rPr>
        <w:t> </w:t>
      </w:r>
      <w:r>
        <w:rPr>
          <w:color w:val="1B1B22"/>
          <w:spacing w:val="-2"/>
          <w:sz w:val="20"/>
        </w:rPr>
        <w:t>estimates</w:t>
      </w:r>
      <w:r>
        <w:rPr>
          <w:color w:val="1B1B22"/>
          <w:spacing w:val="-11"/>
          <w:sz w:val="20"/>
        </w:rPr>
        <w:t> </w:t>
      </w:r>
      <w:r>
        <w:rPr>
          <w:color w:val="1B1B22"/>
          <w:spacing w:val="-2"/>
          <w:sz w:val="20"/>
        </w:rPr>
        <w:t>for</w:t>
      </w:r>
      <w:r>
        <w:rPr>
          <w:color w:val="1B1B22"/>
          <w:spacing w:val="-10"/>
          <w:sz w:val="20"/>
        </w:rPr>
        <w:t> </w:t>
      </w:r>
      <w:r>
        <w:rPr>
          <w:color w:val="1B1B22"/>
          <w:spacing w:val="-2"/>
          <w:sz w:val="20"/>
        </w:rPr>
        <w:t>a</w:t>
      </w:r>
      <w:r>
        <w:rPr>
          <w:color w:val="1B1B22"/>
          <w:spacing w:val="-10"/>
          <w:sz w:val="20"/>
        </w:rPr>
        <w:t> </w:t>
      </w:r>
      <w:r>
        <w:rPr>
          <w:color w:val="1B1B22"/>
          <w:spacing w:val="-2"/>
          <w:sz w:val="20"/>
        </w:rPr>
        <w:t>range</w:t>
      </w:r>
    </w:p>
    <w:p>
      <w:pPr>
        <w:spacing w:after="0" w:line="321" w:lineRule="auto"/>
        <w:jc w:val="both"/>
        <w:rPr>
          <w:sz w:val="20"/>
        </w:rPr>
        <w:sectPr>
          <w:type w:val="continuous"/>
          <w:pgSz w:w="11910" w:h="16840"/>
          <w:pgMar w:header="152" w:footer="591" w:top="1920" w:bottom="280" w:left="0" w:right="280"/>
          <w:cols w:num="2" w:equalWidth="0">
            <w:col w:w="5601" w:space="40"/>
            <w:col w:w="5989"/>
          </w:cols>
        </w:sectPr>
      </w:pPr>
    </w:p>
    <w:p>
      <w:pPr>
        <w:pStyle w:val="BodyText"/>
        <w:ind w:left="0"/>
        <w:jc w:val="left"/>
        <w:rPr>
          <w:sz w:val="19"/>
        </w:rPr>
      </w:pPr>
    </w:p>
    <w:p>
      <w:pPr>
        <w:spacing w:after="0"/>
        <w:jc w:val="left"/>
        <w:rPr>
          <w:sz w:val="19"/>
        </w:rPr>
        <w:sectPr>
          <w:pgSz w:w="11910" w:h="16840"/>
          <w:pgMar w:header="152" w:footer="591" w:top="900" w:bottom="780" w:left="0" w:right="280"/>
        </w:sectPr>
      </w:pPr>
    </w:p>
    <w:p>
      <w:pPr>
        <w:pStyle w:val="BodyText"/>
        <w:spacing w:line="321" w:lineRule="auto" w:before="79"/>
      </w:pPr>
      <w:r>
        <w:rPr>
          <w:color w:val="1B1B22"/>
          <w:spacing w:val="-2"/>
        </w:rPr>
        <w:t>of</w:t>
      </w:r>
      <w:r>
        <w:rPr>
          <w:color w:val="1B1B22"/>
          <w:spacing w:val="-4"/>
        </w:rPr>
        <w:t> </w:t>
      </w:r>
      <w:r>
        <w:rPr>
          <w:color w:val="1B1B22"/>
          <w:spacing w:val="-2"/>
        </w:rPr>
        <w:t>economic</w:t>
      </w:r>
      <w:r>
        <w:rPr>
          <w:color w:val="1B1B22"/>
          <w:spacing w:val="-5"/>
        </w:rPr>
        <w:t> </w:t>
      </w:r>
      <w:r>
        <w:rPr>
          <w:color w:val="1B1B22"/>
          <w:spacing w:val="-2"/>
        </w:rPr>
        <w:t>indicators,</w:t>
      </w:r>
      <w:r>
        <w:rPr>
          <w:color w:val="1B1B22"/>
          <w:spacing w:val="-4"/>
        </w:rPr>
        <w:t> </w:t>
      </w:r>
      <w:r>
        <w:rPr>
          <w:color w:val="1B1B22"/>
          <w:spacing w:val="-2"/>
        </w:rPr>
        <w:t>including</w:t>
      </w:r>
      <w:r>
        <w:rPr>
          <w:color w:val="1B1B22"/>
          <w:spacing w:val="-4"/>
        </w:rPr>
        <w:t> </w:t>
      </w:r>
      <w:r>
        <w:rPr>
          <w:color w:val="1B1B22"/>
          <w:spacing w:val="-2"/>
        </w:rPr>
        <w:t>IPCA,</w:t>
      </w:r>
      <w:r>
        <w:rPr>
          <w:color w:val="1B1B22"/>
          <w:spacing w:val="-4"/>
        </w:rPr>
        <w:t> </w:t>
      </w:r>
      <w:r>
        <w:rPr>
          <w:color w:val="1B1B22"/>
          <w:spacing w:val="-2"/>
        </w:rPr>
        <w:t>IGP-M,</w:t>
      </w:r>
      <w:r>
        <w:rPr>
          <w:color w:val="1B1B22"/>
          <w:spacing w:val="-4"/>
        </w:rPr>
        <w:t> </w:t>
      </w:r>
      <w:r>
        <w:rPr>
          <w:color w:val="1B1B22"/>
          <w:spacing w:val="-2"/>
        </w:rPr>
        <w:t>Selic </w:t>
      </w:r>
      <w:r>
        <w:rPr>
          <w:color w:val="1B1B22"/>
        </w:rPr>
        <w:t>rate,</w:t>
      </w:r>
      <w:r>
        <w:rPr>
          <w:color w:val="1B1B22"/>
          <w:spacing w:val="-3"/>
        </w:rPr>
        <w:t> </w:t>
      </w:r>
      <w:r>
        <w:rPr>
          <w:color w:val="1B1B22"/>
        </w:rPr>
        <w:t>dollar,</w:t>
      </w:r>
      <w:r>
        <w:rPr>
          <w:color w:val="1B1B22"/>
          <w:spacing w:val="-4"/>
        </w:rPr>
        <w:t> </w:t>
      </w:r>
      <w:r>
        <w:rPr>
          <w:color w:val="1B1B22"/>
        </w:rPr>
        <w:t>GDP,</w:t>
      </w:r>
      <w:r>
        <w:rPr>
          <w:color w:val="1B1B22"/>
          <w:spacing w:val="-3"/>
        </w:rPr>
        <w:t> </w:t>
      </w:r>
      <w:r>
        <w:rPr>
          <w:color w:val="1B1B22"/>
        </w:rPr>
        <w:t>trade</w:t>
      </w:r>
      <w:r>
        <w:rPr>
          <w:color w:val="1B1B22"/>
          <w:spacing w:val="-3"/>
        </w:rPr>
        <w:t> </w:t>
      </w:r>
      <w:r>
        <w:rPr>
          <w:color w:val="1B1B22"/>
        </w:rPr>
        <w:t>balance</w:t>
      </w:r>
      <w:r>
        <w:rPr>
          <w:color w:val="1B1B22"/>
          <w:spacing w:val="-3"/>
        </w:rPr>
        <w:t> </w:t>
      </w:r>
      <w:r>
        <w:rPr>
          <w:color w:val="1B1B22"/>
        </w:rPr>
        <w:t>and</w:t>
      </w:r>
      <w:r>
        <w:rPr>
          <w:color w:val="1B1B22"/>
          <w:spacing w:val="-3"/>
        </w:rPr>
        <w:t> </w:t>
      </w:r>
      <w:r>
        <w:rPr>
          <w:color w:val="1B1B22"/>
        </w:rPr>
        <w:t>net</w:t>
      </w:r>
      <w:r>
        <w:rPr>
          <w:color w:val="1B1B22"/>
          <w:spacing w:val="-3"/>
        </w:rPr>
        <w:t> </w:t>
      </w:r>
      <w:r>
        <w:rPr>
          <w:color w:val="1B1B22"/>
        </w:rPr>
        <w:t>debt/GDP </w:t>
      </w:r>
      <w:r>
        <w:rPr>
          <w:color w:val="1B1B22"/>
          <w:spacing w:val="-2"/>
        </w:rPr>
        <w:t>ratio.</w:t>
      </w:r>
    </w:p>
    <w:p>
      <w:pPr>
        <w:spacing w:line="321" w:lineRule="auto" w:before="119"/>
        <w:ind w:left="850" w:right="1" w:firstLine="0"/>
        <w:jc w:val="both"/>
        <w:rPr>
          <w:sz w:val="20"/>
        </w:rPr>
      </w:pPr>
      <w:r>
        <w:rPr>
          <w:color w:val="1B1B22"/>
          <w:sz w:val="20"/>
        </w:rPr>
        <w:t>We</w:t>
      </w:r>
      <w:r>
        <w:rPr>
          <w:color w:val="1B1B22"/>
          <w:spacing w:val="-1"/>
          <w:sz w:val="20"/>
        </w:rPr>
        <w:t> </w:t>
      </w:r>
      <w:r>
        <w:rPr>
          <w:color w:val="1B1B22"/>
          <w:sz w:val="20"/>
        </w:rPr>
        <w:t>won</w:t>
      </w:r>
      <w:r>
        <w:rPr>
          <w:color w:val="1B1B22"/>
          <w:spacing w:val="-1"/>
          <w:sz w:val="20"/>
        </w:rPr>
        <w:t> </w:t>
      </w:r>
      <w:r>
        <w:rPr>
          <w:color w:val="1B1B22"/>
          <w:sz w:val="20"/>
        </w:rPr>
        <w:t>the</w:t>
      </w:r>
      <w:r>
        <w:rPr>
          <w:color w:val="1B1B22"/>
          <w:spacing w:val="-1"/>
          <w:sz w:val="20"/>
        </w:rPr>
        <w:t> </w:t>
      </w:r>
      <w:r>
        <w:rPr>
          <w:b/>
          <w:color w:val="1B1B22"/>
          <w:sz w:val="20"/>
        </w:rPr>
        <w:t>Stevie</w:t>
      </w:r>
      <w:r>
        <w:rPr>
          <w:b/>
          <w:color w:val="1B1B22"/>
          <w:spacing w:val="-4"/>
          <w:sz w:val="20"/>
        </w:rPr>
        <w:t> </w:t>
      </w:r>
      <w:r>
        <w:rPr>
          <w:b/>
          <w:color w:val="1B1B22"/>
          <w:sz w:val="20"/>
        </w:rPr>
        <w:t>Awards</w:t>
      </w:r>
      <w:r>
        <w:rPr>
          <w:b/>
          <w:color w:val="1B1B22"/>
          <w:spacing w:val="-1"/>
          <w:sz w:val="20"/>
        </w:rPr>
        <w:t> </w:t>
      </w:r>
      <w:r>
        <w:rPr>
          <w:b/>
          <w:color w:val="1B1B22"/>
          <w:sz w:val="20"/>
        </w:rPr>
        <w:t>for</w:t>
      </w:r>
      <w:r>
        <w:rPr>
          <w:b/>
          <w:color w:val="1B1B22"/>
          <w:spacing w:val="-2"/>
          <w:sz w:val="20"/>
        </w:rPr>
        <w:t> </w:t>
      </w:r>
      <w:r>
        <w:rPr>
          <w:b/>
          <w:color w:val="1B1B22"/>
          <w:sz w:val="20"/>
        </w:rPr>
        <w:t>Sales</w:t>
      </w:r>
      <w:r>
        <w:rPr>
          <w:b/>
          <w:color w:val="1B1B22"/>
          <w:spacing w:val="-2"/>
          <w:sz w:val="20"/>
        </w:rPr>
        <w:t> </w:t>
      </w:r>
      <w:r>
        <w:rPr>
          <w:b/>
          <w:color w:val="1B1B22"/>
          <w:sz w:val="20"/>
        </w:rPr>
        <w:t>&amp; Customer Service,</w:t>
      </w:r>
      <w:r>
        <w:rPr>
          <w:b/>
          <w:color w:val="1B1B22"/>
          <w:spacing w:val="-4"/>
          <w:sz w:val="20"/>
        </w:rPr>
        <w:t> </w:t>
      </w:r>
      <w:r>
        <w:rPr>
          <w:color w:val="1B1B22"/>
          <w:sz w:val="20"/>
        </w:rPr>
        <w:t>which</w:t>
      </w:r>
      <w:r>
        <w:rPr>
          <w:color w:val="1B1B22"/>
          <w:spacing w:val="-5"/>
          <w:sz w:val="20"/>
        </w:rPr>
        <w:t> </w:t>
      </w:r>
      <w:r>
        <w:rPr>
          <w:color w:val="1B1B22"/>
          <w:sz w:val="20"/>
        </w:rPr>
        <w:t>recognizes</w:t>
      </w:r>
      <w:r>
        <w:rPr>
          <w:color w:val="1B1B22"/>
          <w:spacing w:val="-6"/>
          <w:sz w:val="20"/>
        </w:rPr>
        <w:t> </w:t>
      </w:r>
      <w:r>
        <w:rPr>
          <w:color w:val="1B1B22"/>
          <w:sz w:val="20"/>
        </w:rPr>
        <w:t>customer</w:t>
      </w:r>
      <w:r>
        <w:rPr>
          <w:color w:val="1B1B22"/>
          <w:spacing w:val="-5"/>
          <w:sz w:val="20"/>
        </w:rPr>
        <w:t> </w:t>
      </w:r>
      <w:r>
        <w:rPr>
          <w:color w:val="1B1B22"/>
          <w:sz w:val="20"/>
        </w:rPr>
        <w:t>support,</w:t>
      </w:r>
      <w:r>
        <w:rPr>
          <w:color w:val="1B1B22"/>
          <w:spacing w:val="-5"/>
          <w:sz w:val="20"/>
        </w:rPr>
        <w:t> </w:t>
      </w:r>
      <w:r>
        <w:rPr>
          <w:color w:val="1B1B22"/>
          <w:sz w:val="20"/>
        </w:rPr>
        <w:t>sales </w:t>
      </w:r>
      <w:r>
        <w:rPr>
          <w:color w:val="1B1B22"/>
          <w:spacing w:val="-2"/>
          <w:sz w:val="20"/>
        </w:rPr>
        <w:t>and</w:t>
      </w:r>
      <w:r>
        <w:rPr>
          <w:color w:val="1B1B22"/>
          <w:spacing w:val="-11"/>
          <w:sz w:val="20"/>
        </w:rPr>
        <w:t> </w:t>
      </w:r>
      <w:r>
        <w:rPr>
          <w:color w:val="1B1B22"/>
          <w:spacing w:val="-2"/>
          <w:sz w:val="20"/>
        </w:rPr>
        <w:t>business</w:t>
      </w:r>
      <w:r>
        <w:rPr>
          <w:color w:val="1B1B22"/>
          <w:spacing w:val="-10"/>
          <w:sz w:val="20"/>
        </w:rPr>
        <w:t> </w:t>
      </w:r>
      <w:r>
        <w:rPr>
          <w:color w:val="1B1B22"/>
          <w:spacing w:val="-2"/>
          <w:sz w:val="20"/>
        </w:rPr>
        <w:t>development</w:t>
      </w:r>
      <w:r>
        <w:rPr>
          <w:color w:val="1B1B22"/>
          <w:spacing w:val="-11"/>
          <w:sz w:val="20"/>
        </w:rPr>
        <w:t> </w:t>
      </w:r>
      <w:r>
        <w:rPr>
          <w:color w:val="1B1B22"/>
          <w:spacing w:val="-2"/>
          <w:sz w:val="20"/>
        </w:rPr>
        <w:t>channels.</w:t>
      </w:r>
      <w:r>
        <w:rPr>
          <w:color w:val="1B1B22"/>
          <w:spacing w:val="-10"/>
          <w:sz w:val="20"/>
        </w:rPr>
        <w:t> </w:t>
      </w:r>
      <w:r>
        <w:rPr>
          <w:color w:val="1B1B22"/>
          <w:spacing w:val="-2"/>
          <w:sz w:val="20"/>
        </w:rPr>
        <w:t>We</w:t>
      </w:r>
      <w:r>
        <w:rPr>
          <w:color w:val="1B1B22"/>
          <w:spacing w:val="-10"/>
          <w:sz w:val="20"/>
        </w:rPr>
        <w:t> </w:t>
      </w:r>
      <w:r>
        <w:rPr>
          <w:color w:val="1B1B22"/>
          <w:spacing w:val="-2"/>
          <w:sz w:val="20"/>
        </w:rPr>
        <w:t>have</w:t>
      </w:r>
      <w:r>
        <w:rPr>
          <w:color w:val="1B1B22"/>
          <w:spacing w:val="-11"/>
          <w:sz w:val="20"/>
        </w:rPr>
        <w:t> </w:t>
      </w:r>
      <w:r>
        <w:rPr>
          <w:color w:val="1B1B22"/>
          <w:spacing w:val="-2"/>
          <w:sz w:val="20"/>
        </w:rPr>
        <w:t>three </w:t>
      </w:r>
      <w:r>
        <w:rPr>
          <w:color w:val="1B1B22"/>
          <w:sz w:val="20"/>
        </w:rPr>
        <w:t>finalist cases in the training, innovation and relationship categories.</w:t>
      </w:r>
    </w:p>
    <w:p>
      <w:pPr>
        <w:pStyle w:val="BodyText"/>
        <w:spacing w:line="321" w:lineRule="auto" w:before="117"/>
      </w:pPr>
      <w:r>
        <w:rPr>
          <w:color w:val="1B1B22"/>
        </w:rPr>
        <w:t>We were awarded by Celent Model Risk Manager 2024, in the category of </w:t>
      </w:r>
      <w:r>
        <w:rPr>
          <w:b/>
          <w:color w:val="1B1B22"/>
        </w:rPr>
        <w:t>combating financial crime</w:t>
      </w:r>
      <w:r>
        <w:rPr>
          <w:color w:val="1B1B22"/>
        </w:rPr>
        <w:t>, for using a technological solution to optimize operations to identify potential customers who are subject to sanctions.</w:t>
      </w:r>
    </w:p>
    <w:p>
      <w:pPr>
        <w:spacing w:line="321" w:lineRule="auto" w:before="116"/>
        <w:ind w:left="850" w:right="0" w:firstLine="40"/>
        <w:jc w:val="both"/>
        <w:rPr>
          <w:sz w:val="20"/>
        </w:rPr>
      </w:pPr>
      <w:r>
        <w:rPr>
          <w:color w:val="1B1B22"/>
          <w:spacing w:val="-2"/>
          <w:sz w:val="20"/>
        </w:rPr>
        <w:t>We</w:t>
      </w:r>
      <w:r>
        <w:rPr>
          <w:color w:val="1B1B22"/>
          <w:spacing w:val="-11"/>
          <w:sz w:val="20"/>
        </w:rPr>
        <w:t> </w:t>
      </w:r>
      <w:r>
        <w:rPr>
          <w:color w:val="1B1B22"/>
          <w:spacing w:val="-2"/>
          <w:sz w:val="20"/>
        </w:rPr>
        <w:t>were</w:t>
      </w:r>
      <w:r>
        <w:rPr>
          <w:color w:val="1B1B22"/>
          <w:spacing w:val="-10"/>
          <w:sz w:val="20"/>
        </w:rPr>
        <w:t> </w:t>
      </w:r>
      <w:r>
        <w:rPr>
          <w:color w:val="1B1B22"/>
          <w:spacing w:val="-2"/>
          <w:sz w:val="20"/>
        </w:rPr>
        <w:t>recognized</w:t>
      </w:r>
      <w:r>
        <w:rPr>
          <w:color w:val="1B1B22"/>
          <w:spacing w:val="-11"/>
          <w:sz w:val="20"/>
        </w:rPr>
        <w:t> </w:t>
      </w:r>
      <w:r>
        <w:rPr>
          <w:color w:val="1B1B22"/>
          <w:spacing w:val="-2"/>
          <w:sz w:val="20"/>
        </w:rPr>
        <w:t>by</w:t>
      </w:r>
      <w:r>
        <w:rPr>
          <w:color w:val="1B1B22"/>
          <w:spacing w:val="-10"/>
          <w:sz w:val="20"/>
        </w:rPr>
        <w:t> </w:t>
      </w:r>
      <w:r>
        <w:rPr>
          <w:color w:val="1B1B22"/>
          <w:spacing w:val="-2"/>
          <w:sz w:val="20"/>
        </w:rPr>
        <w:t>the</w:t>
      </w:r>
      <w:r>
        <w:rPr>
          <w:color w:val="1B1B22"/>
          <w:spacing w:val="-10"/>
          <w:sz w:val="20"/>
        </w:rPr>
        <w:t> </w:t>
      </w:r>
      <w:r>
        <w:rPr>
          <w:b/>
          <w:color w:val="1B1B22"/>
          <w:spacing w:val="-2"/>
          <w:sz w:val="20"/>
        </w:rPr>
        <w:t>International</w:t>
      </w:r>
      <w:r>
        <w:rPr>
          <w:b/>
          <w:color w:val="1B1B22"/>
          <w:spacing w:val="-10"/>
          <w:sz w:val="20"/>
        </w:rPr>
        <w:t> </w:t>
      </w:r>
      <w:r>
        <w:rPr>
          <w:b/>
          <w:color w:val="1B1B22"/>
          <w:spacing w:val="-2"/>
          <w:sz w:val="20"/>
        </w:rPr>
        <w:t>Business </w:t>
      </w:r>
      <w:r>
        <w:rPr>
          <w:b/>
          <w:color w:val="1B1B22"/>
          <w:sz w:val="20"/>
        </w:rPr>
        <w:t>Magazine Awards 2024 and World Business </w:t>
      </w:r>
      <w:r>
        <w:rPr>
          <w:b/>
          <w:color w:val="1B1B22"/>
          <w:spacing w:val="-4"/>
          <w:sz w:val="20"/>
        </w:rPr>
        <w:t>Outlook Awards</w:t>
      </w:r>
      <w:r>
        <w:rPr>
          <w:b/>
          <w:color w:val="1B1B22"/>
          <w:spacing w:val="1"/>
          <w:sz w:val="20"/>
        </w:rPr>
        <w:t> </w:t>
      </w:r>
      <w:r>
        <w:rPr>
          <w:b/>
          <w:color w:val="1B1B22"/>
          <w:spacing w:val="-4"/>
          <w:sz w:val="20"/>
        </w:rPr>
        <w:t>2024</w:t>
      </w:r>
      <w:r>
        <w:rPr>
          <w:color w:val="1B1B22"/>
          <w:spacing w:val="-4"/>
          <w:sz w:val="20"/>
        </w:rPr>
        <w:t>,</w:t>
      </w:r>
      <w:r>
        <w:rPr>
          <w:color w:val="1B1B22"/>
          <w:sz w:val="20"/>
        </w:rPr>
        <w:t> </w:t>
      </w:r>
      <w:r>
        <w:rPr>
          <w:color w:val="1B1B22"/>
          <w:spacing w:val="-4"/>
          <w:sz w:val="20"/>
        </w:rPr>
        <w:t>in</w:t>
      </w:r>
      <w:r>
        <w:rPr>
          <w:color w:val="1B1B22"/>
          <w:sz w:val="20"/>
        </w:rPr>
        <w:t> </w:t>
      </w:r>
      <w:r>
        <w:rPr>
          <w:color w:val="1B1B22"/>
          <w:spacing w:val="-4"/>
          <w:sz w:val="20"/>
        </w:rPr>
        <w:t>the</w:t>
      </w:r>
      <w:r>
        <w:rPr>
          <w:color w:val="1B1B22"/>
          <w:sz w:val="20"/>
        </w:rPr>
        <w:t> </w:t>
      </w:r>
      <w:r>
        <w:rPr>
          <w:color w:val="1B1B22"/>
          <w:spacing w:val="-4"/>
          <w:sz w:val="20"/>
        </w:rPr>
        <w:t>following</w:t>
      </w:r>
      <w:r>
        <w:rPr>
          <w:color w:val="1B1B22"/>
          <w:spacing w:val="1"/>
          <w:sz w:val="20"/>
        </w:rPr>
        <w:t> </w:t>
      </w:r>
      <w:r>
        <w:rPr>
          <w:color w:val="1B1B22"/>
          <w:spacing w:val="-4"/>
          <w:sz w:val="20"/>
        </w:rPr>
        <w:t>categories:</w:t>
      </w:r>
    </w:p>
    <w:p>
      <w:pPr>
        <w:pStyle w:val="ListParagraph"/>
        <w:numPr>
          <w:ilvl w:val="0"/>
          <w:numId w:val="1"/>
        </w:numPr>
        <w:tabs>
          <w:tab w:pos="968" w:val="left" w:leader="none"/>
        </w:tabs>
        <w:spacing w:line="240" w:lineRule="auto" w:before="118" w:after="0"/>
        <w:ind w:left="968" w:right="0" w:hanging="118"/>
        <w:jc w:val="both"/>
        <w:rPr>
          <w:sz w:val="20"/>
        </w:rPr>
      </w:pPr>
      <w:r>
        <w:rPr>
          <w:color w:val="1B1B22"/>
          <w:sz w:val="20"/>
        </w:rPr>
        <w:t>Best</w:t>
      </w:r>
      <w:r>
        <w:rPr>
          <w:color w:val="1B1B22"/>
          <w:spacing w:val="-5"/>
          <w:sz w:val="20"/>
        </w:rPr>
        <w:t> </w:t>
      </w:r>
      <w:r>
        <w:rPr>
          <w:color w:val="1B1B22"/>
          <w:sz w:val="20"/>
        </w:rPr>
        <w:t>Private</w:t>
      </w:r>
      <w:r>
        <w:rPr>
          <w:color w:val="1B1B22"/>
          <w:spacing w:val="-4"/>
          <w:sz w:val="20"/>
        </w:rPr>
        <w:t> </w:t>
      </w:r>
      <w:r>
        <w:rPr>
          <w:color w:val="1B1B22"/>
          <w:sz w:val="20"/>
        </w:rPr>
        <w:t>Bank</w:t>
      </w:r>
      <w:r>
        <w:rPr>
          <w:color w:val="1B1B22"/>
          <w:spacing w:val="-4"/>
          <w:sz w:val="20"/>
        </w:rPr>
        <w:t> </w:t>
      </w:r>
      <w:r>
        <w:rPr>
          <w:color w:val="1B1B22"/>
          <w:sz w:val="20"/>
        </w:rPr>
        <w:t>-</w:t>
      </w:r>
      <w:r>
        <w:rPr>
          <w:color w:val="1B1B22"/>
          <w:spacing w:val="-4"/>
          <w:sz w:val="20"/>
        </w:rPr>
        <w:t> </w:t>
      </w:r>
      <w:r>
        <w:rPr>
          <w:color w:val="1B1B22"/>
          <w:spacing w:val="-2"/>
          <w:sz w:val="20"/>
        </w:rPr>
        <w:t>Brazil</w:t>
      </w:r>
    </w:p>
    <w:p>
      <w:pPr>
        <w:pStyle w:val="ListParagraph"/>
        <w:numPr>
          <w:ilvl w:val="0"/>
          <w:numId w:val="1"/>
        </w:numPr>
        <w:tabs>
          <w:tab w:pos="961" w:val="left" w:leader="none"/>
        </w:tabs>
        <w:spacing w:line="240" w:lineRule="auto" w:before="207" w:after="0"/>
        <w:ind w:left="961" w:right="0" w:hanging="111"/>
        <w:jc w:val="both"/>
        <w:rPr>
          <w:sz w:val="20"/>
        </w:rPr>
      </w:pPr>
      <w:r>
        <w:rPr>
          <w:color w:val="1B1B22"/>
          <w:spacing w:val="-2"/>
          <w:sz w:val="20"/>
        </w:rPr>
        <w:t>Best</w:t>
      </w:r>
      <w:r>
        <w:rPr>
          <w:color w:val="1B1B22"/>
          <w:spacing w:val="-5"/>
          <w:sz w:val="20"/>
        </w:rPr>
        <w:t> </w:t>
      </w:r>
      <w:r>
        <w:rPr>
          <w:color w:val="1B1B22"/>
          <w:spacing w:val="-2"/>
          <w:sz w:val="20"/>
        </w:rPr>
        <w:t>Private</w:t>
      </w:r>
      <w:r>
        <w:rPr>
          <w:color w:val="1B1B22"/>
          <w:spacing w:val="-3"/>
          <w:sz w:val="20"/>
        </w:rPr>
        <w:t> </w:t>
      </w:r>
      <w:r>
        <w:rPr>
          <w:color w:val="1B1B22"/>
          <w:spacing w:val="-2"/>
          <w:sz w:val="20"/>
        </w:rPr>
        <w:t>Bank</w:t>
      </w:r>
      <w:r>
        <w:rPr>
          <w:color w:val="1B1B22"/>
          <w:spacing w:val="-3"/>
          <w:sz w:val="20"/>
        </w:rPr>
        <w:t> </w:t>
      </w:r>
      <w:r>
        <w:rPr>
          <w:color w:val="1B1B22"/>
          <w:spacing w:val="-2"/>
          <w:sz w:val="20"/>
        </w:rPr>
        <w:t>in</w:t>
      </w:r>
      <w:r>
        <w:rPr>
          <w:color w:val="1B1B22"/>
          <w:spacing w:val="-7"/>
          <w:sz w:val="20"/>
        </w:rPr>
        <w:t> </w:t>
      </w:r>
      <w:r>
        <w:rPr>
          <w:color w:val="1B1B22"/>
          <w:spacing w:val="-2"/>
          <w:sz w:val="20"/>
        </w:rPr>
        <w:t>Agribusiness</w:t>
      </w:r>
      <w:r>
        <w:rPr>
          <w:color w:val="1B1B22"/>
          <w:spacing w:val="-6"/>
          <w:sz w:val="20"/>
        </w:rPr>
        <w:t> </w:t>
      </w:r>
      <w:r>
        <w:rPr>
          <w:color w:val="1B1B22"/>
          <w:spacing w:val="-2"/>
          <w:sz w:val="20"/>
        </w:rPr>
        <w:t>Advisory – Brazil</w:t>
      </w:r>
    </w:p>
    <w:p>
      <w:pPr>
        <w:pStyle w:val="ListParagraph"/>
        <w:numPr>
          <w:ilvl w:val="0"/>
          <w:numId w:val="1"/>
        </w:numPr>
        <w:tabs>
          <w:tab w:pos="968" w:val="left" w:leader="none"/>
        </w:tabs>
        <w:spacing w:line="240" w:lineRule="auto" w:before="206" w:after="0"/>
        <w:ind w:left="968" w:right="0" w:hanging="118"/>
        <w:jc w:val="both"/>
        <w:rPr>
          <w:sz w:val="20"/>
        </w:rPr>
      </w:pPr>
      <w:r>
        <w:rPr>
          <w:color w:val="1B1B22"/>
          <w:sz w:val="20"/>
        </w:rPr>
        <w:t>Best</w:t>
      </w:r>
      <w:r>
        <w:rPr>
          <w:color w:val="1B1B22"/>
          <w:spacing w:val="-6"/>
          <w:sz w:val="20"/>
        </w:rPr>
        <w:t> </w:t>
      </w:r>
      <w:r>
        <w:rPr>
          <w:color w:val="1B1B22"/>
          <w:sz w:val="20"/>
        </w:rPr>
        <w:t>Private</w:t>
      </w:r>
      <w:r>
        <w:rPr>
          <w:color w:val="1B1B22"/>
          <w:spacing w:val="-6"/>
          <w:sz w:val="20"/>
        </w:rPr>
        <w:t> </w:t>
      </w:r>
      <w:r>
        <w:rPr>
          <w:color w:val="1B1B22"/>
          <w:sz w:val="20"/>
        </w:rPr>
        <w:t>Bank</w:t>
      </w:r>
      <w:r>
        <w:rPr>
          <w:color w:val="1B1B22"/>
          <w:spacing w:val="-5"/>
          <w:sz w:val="20"/>
        </w:rPr>
        <w:t> </w:t>
      </w:r>
      <w:r>
        <w:rPr>
          <w:color w:val="1B1B22"/>
          <w:sz w:val="20"/>
        </w:rPr>
        <w:t>in</w:t>
      </w:r>
      <w:r>
        <w:rPr>
          <w:color w:val="1B1B22"/>
          <w:spacing w:val="-8"/>
          <w:sz w:val="20"/>
        </w:rPr>
        <w:t> </w:t>
      </w:r>
      <w:r>
        <w:rPr>
          <w:color w:val="1B1B22"/>
          <w:sz w:val="20"/>
        </w:rPr>
        <w:t>ESG</w:t>
      </w:r>
      <w:r>
        <w:rPr>
          <w:color w:val="1B1B22"/>
          <w:spacing w:val="-5"/>
          <w:sz w:val="20"/>
        </w:rPr>
        <w:t> </w:t>
      </w:r>
      <w:r>
        <w:rPr>
          <w:color w:val="1B1B22"/>
          <w:sz w:val="20"/>
        </w:rPr>
        <w:t>Integration</w:t>
      </w:r>
      <w:r>
        <w:rPr>
          <w:color w:val="1B1B22"/>
          <w:spacing w:val="-6"/>
          <w:sz w:val="20"/>
        </w:rPr>
        <w:t> </w:t>
      </w:r>
      <w:r>
        <w:rPr>
          <w:color w:val="1B1B22"/>
          <w:sz w:val="20"/>
        </w:rPr>
        <w:t>–</w:t>
      </w:r>
      <w:r>
        <w:rPr>
          <w:color w:val="1B1B22"/>
          <w:spacing w:val="-6"/>
          <w:sz w:val="20"/>
        </w:rPr>
        <w:t> </w:t>
      </w:r>
      <w:r>
        <w:rPr>
          <w:color w:val="1B1B22"/>
          <w:spacing w:val="-2"/>
          <w:sz w:val="20"/>
        </w:rPr>
        <w:t>Brazil</w:t>
      </w:r>
    </w:p>
    <w:p>
      <w:pPr>
        <w:pStyle w:val="ListParagraph"/>
        <w:numPr>
          <w:ilvl w:val="0"/>
          <w:numId w:val="1"/>
        </w:numPr>
        <w:tabs>
          <w:tab w:pos="968" w:val="left" w:leader="none"/>
        </w:tabs>
        <w:spacing w:line="240" w:lineRule="auto" w:before="205" w:after="0"/>
        <w:ind w:left="968" w:right="0" w:hanging="118"/>
        <w:jc w:val="both"/>
        <w:rPr>
          <w:sz w:val="20"/>
        </w:rPr>
      </w:pPr>
      <w:r>
        <w:rPr>
          <w:color w:val="1B1B22"/>
          <w:sz w:val="20"/>
        </w:rPr>
        <w:t>Best</w:t>
      </w:r>
      <w:r>
        <w:rPr>
          <w:color w:val="1B1B22"/>
          <w:spacing w:val="-12"/>
          <w:sz w:val="20"/>
        </w:rPr>
        <w:t> </w:t>
      </w:r>
      <w:r>
        <w:rPr>
          <w:color w:val="1B1B22"/>
          <w:sz w:val="20"/>
        </w:rPr>
        <w:t>Private</w:t>
      </w:r>
      <w:r>
        <w:rPr>
          <w:color w:val="1B1B22"/>
          <w:spacing w:val="-8"/>
          <w:sz w:val="20"/>
        </w:rPr>
        <w:t> </w:t>
      </w:r>
      <w:r>
        <w:rPr>
          <w:color w:val="1B1B22"/>
          <w:sz w:val="20"/>
        </w:rPr>
        <w:t>Bank</w:t>
      </w:r>
      <w:r>
        <w:rPr>
          <w:color w:val="1B1B22"/>
          <w:spacing w:val="-8"/>
          <w:sz w:val="20"/>
        </w:rPr>
        <w:t> </w:t>
      </w:r>
      <w:r>
        <w:rPr>
          <w:color w:val="1B1B22"/>
          <w:sz w:val="20"/>
        </w:rPr>
        <w:t>for</w:t>
      </w:r>
      <w:r>
        <w:rPr>
          <w:color w:val="1B1B22"/>
          <w:spacing w:val="-12"/>
          <w:sz w:val="20"/>
        </w:rPr>
        <w:t> </w:t>
      </w:r>
      <w:r>
        <w:rPr>
          <w:color w:val="1B1B22"/>
          <w:sz w:val="20"/>
        </w:rPr>
        <w:t>Women</w:t>
      </w:r>
      <w:r>
        <w:rPr>
          <w:color w:val="1B1B22"/>
          <w:spacing w:val="-8"/>
          <w:sz w:val="20"/>
        </w:rPr>
        <w:t> </w:t>
      </w:r>
      <w:r>
        <w:rPr>
          <w:color w:val="1B1B22"/>
          <w:sz w:val="20"/>
        </w:rPr>
        <w:t>–</w:t>
      </w:r>
      <w:r>
        <w:rPr>
          <w:color w:val="1B1B22"/>
          <w:spacing w:val="-8"/>
          <w:sz w:val="20"/>
        </w:rPr>
        <w:t> </w:t>
      </w:r>
      <w:r>
        <w:rPr>
          <w:color w:val="1B1B22"/>
          <w:spacing w:val="-2"/>
          <w:sz w:val="20"/>
        </w:rPr>
        <w:t>Brazil</w:t>
      </w:r>
    </w:p>
    <w:p>
      <w:pPr>
        <w:pStyle w:val="ListParagraph"/>
        <w:numPr>
          <w:ilvl w:val="0"/>
          <w:numId w:val="1"/>
        </w:numPr>
        <w:tabs>
          <w:tab w:pos="968" w:val="left" w:leader="none"/>
        </w:tabs>
        <w:spacing w:line="240" w:lineRule="auto" w:before="206" w:after="0"/>
        <w:ind w:left="968" w:right="0" w:hanging="118"/>
        <w:jc w:val="both"/>
        <w:rPr>
          <w:sz w:val="20"/>
        </w:rPr>
      </w:pPr>
      <w:r>
        <w:rPr>
          <w:color w:val="1B1B22"/>
          <w:sz w:val="20"/>
        </w:rPr>
        <w:t>Best</w:t>
      </w:r>
      <w:r>
        <w:rPr>
          <w:color w:val="1B1B22"/>
          <w:spacing w:val="-7"/>
          <w:sz w:val="20"/>
        </w:rPr>
        <w:t> </w:t>
      </w:r>
      <w:r>
        <w:rPr>
          <w:color w:val="1B1B22"/>
          <w:sz w:val="20"/>
        </w:rPr>
        <w:t>Private</w:t>
      </w:r>
      <w:r>
        <w:rPr>
          <w:color w:val="1B1B22"/>
          <w:spacing w:val="-6"/>
          <w:sz w:val="20"/>
        </w:rPr>
        <w:t> </w:t>
      </w:r>
      <w:r>
        <w:rPr>
          <w:color w:val="1B1B22"/>
          <w:sz w:val="20"/>
        </w:rPr>
        <w:t>Bank</w:t>
      </w:r>
      <w:r>
        <w:rPr>
          <w:color w:val="1B1B22"/>
          <w:spacing w:val="-6"/>
          <w:sz w:val="20"/>
        </w:rPr>
        <w:t> </w:t>
      </w:r>
      <w:r>
        <w:rPr>
          <w:color w:val="1B1B22"/>
          <w:sz w:val="20"/>
        </w:rPr>
        <w:t>for</w:t>
      </w:r>
      <w:r>
        <w:rPr>
          <w:color w:val="1B1B22"/>
          <w:spacing w:val="-6"/>
          <w:sz w:val="20"/>
        </w:rPr>
        <w:t> </w:t>
      </w:r>
      <w:r>
        <w:rPr>
          <w:color w:val="1B1B22"/>
          <w:sz w:val="20"/>
        </w:rPr>
        <w:t>Succession</w:t>
      </w:r>
      <w:r>
        <w:rPr>
          <w:color w:val="1B1B22"/>
          <w:spacing w:val="-6"/>
          <w:sz w:val="20"/>
        </w:rPr>
        <w:t> </w:t>
      </w:r>
      <w:r>
        <w:rPr>
          <w:color w:val="1B1B22"/>
          <w:sz w:val="20"/>
        </w:rPr>
        <w:t>Planning</w:t>
      </w:r>
      <w:r>
        <w:rPr>
          <w:color w:val="1B1B22"/>
          <w:spacing w:val="-6"/>
          <w:sz w:val="20"/>
        </w:rPr>
        <w:t> </w:t>
      </w:r>
      <w:r>
        <w:rPr>
          <w:color w:val="1B1B22"/>
          <w:sz w:val="20"/>
        </w:rPr>
        <w:t>–</w:t>
      </w:r>
      <w:r>
        <w:rPr>
          <w:color w:val="1B1B22"/>
          <w:spacing w:val="-7"/>
          <w:sz w:val="20"/>
        </w:rPr>
        <w:t> </w:t>
      </w:r>
      <w:r>
        <w:rPr>
          <w:color w:val="1B1B22"/>
          <w:spacing w:val="-2"/>
          <w:sz w:val="20"/>
        </w:rPr>
        <w:t>Brazil</w:t>
      </w:r>
    </w:p>
    <w:p>
      <w:pPr>
        <w:pStyle w:val="ListParagraph"/>
        <w:numPr>
          <w:ilvl w:val="0"/>
          <w:numId w:val="1"/>
        </w:numPr>
        <w:tabs>
          <w:tab w:pos="987" w:val="left" w:leader="none"/>
        </w:tabs>
        <w:spacing w:line="321" w:lineRule="auto" w:before="206" w:after="0"/>
        <w:ind w:left="850" w:right="0" w:firstLine="0"/>
        <w:jc w:val="both"/>
        <w:rPr>
          <w:sz w:val="20"/>
        </w:rPr>
      </w:pPr>
      <w:r>
        <w:rPr>
          <w:color w:val="1B1B22"/>
          <w:sz w:val="20"/>
        </w:rPr>
        <w:t>Private Bank with the Highest Growth in 2024 – </w:t>
      </w:r>
      <w:r>
        <w:rPr>
          <w:color w:val="1B1B22"/>
          <w:spacing w:val="-2"/>
          <w:sz w:val="20"/>
        </w:rPr>
        <w:t>Brazil</w:t>
      </w:r>
    </w:p>
    <w:p>
      <w:pPr>
        <w:pStyle w:val="Heading2"/>
        <w:spacing w:before="111"/>
        <w:rPr>
          <w:b w:val="0"/>
        </w:rPr>
      </w:pPr>
      <w:r>
        <w:rPr>
          <w:b w:val="0"/>
          <w:color w:val="465EFF"/>
          <w:spacing w:val="8"/>
        </w:rPr>
        <w:t>May</w:t>
      </w:r>
    </w:p>
    <w:p>
      <w:pPr>
        <w:spacing w:line="321" w:lineRule="auto" w:before="249"/>
        <w:ind w:left="850" w:right="1" w:firstLine="0"/>
        <w:jc w:val="both"/>
        <w:rPr>
          <w:sz w:val="20"/>
        </w:rPr>
      </w:pPr>
      <w:r>
        <w:rPr>
          <w:color w:val="1B1B22"/>
          <w:sz w:val="20"/>
        </w:rPr>
        <w:t>Our Private Bank was recognized as </w:t>
      </w:r>
      <w:r>
        <w:rPr>
          <w:b/>
          <w:color w:val="1B1B22"/>
          <w:sz w:val="20"/>
        </w:rPr>
        <w:t>the best in Latin</w:t>
      </w:r>
      <w:r>
        <w:rPr>
          <w:b/>
          <w:color w:val="1B1B22"/>
          <w:spacing w:val="-13"/>
          <w:sz w:val="20"/>
        </w:rPr>
        <w:t> </w:t>
      </w:r>
      <w:r>
        <w:rPr>
          <w:b/>
          <w:color w:val="1B1B22"/>
          <w:sz w:val="20"/>
        </w:rPr>
        <w:t>America</w:t>
      </w:r>
      <w:r>
        <w:rPr>
          <w:b/>
          <w:color w:val="1B1B22"/>
          <w:spacing w:val="-12"/>
          <w:sz w:val="20"/>
        </w:rPr>
        <w:t> </w:t>
      </w:r>
      <w:r>
        <w:rPr>
          <w:b/>
          <w:color w:val="1B1B22"/>
          <w:sz w:val="20"/>
        </w:rPr>
        <w:t>in</w:t>
      </w:r>
      <w:r>
        <w:rPr>
          <w:b/>
          <w:color w:val="1B1B22"/>
          <w:spacing w:val="-11"/>
          <w:sz w:val="20"/>
        </w:rPr>
        <w:t> </w:t>
      </w:r>
      <w:r>
        <w:rPr>
          <w:b/>
          <w:color w:val="1B1B22"/>
          <w:sz w:val="20"/>
        </w:rPr>
        <w:t>the</w:t>
      </w:r>
      <w:r>
        <w:rPr>
          <w:b/>
          <w:color w:val="1B1B22"/>
          <w:spacing w:val="-10"/>
          <w:sz w:val="20"/>
        </w:rPr>
        <w:t> </w:t>
      </w:r>
      <w:r>
        <w:rPr>
          <w:b/>
          <w:color w:val="1B1B22"/>
          <w:sz w:val="20"/>
        </w:rPr>
        <w:t>ESG</w:t>
      </w:r>
      <w:r>
        <w:rPr>
          <w:b/>
          <w:color w:val="1B1B22"/>
          <w:spacing w:val="-13"/>
          <w:sz w:val="20"/>
        </w:rPr>
        <w:t> </w:t>
      </w:r>
      <w:r>
        <w:rPr>
          <w:b/>
          <w:color w:val="1B1B22"/>
          <w:sz w:val="20"/>
        </w:rPr>
        <w:t>Technology</w:t>
      </w:r>
      <w:r>
        <w:rPr>
          <w:b/>
          <w:color w:val="1B1B22"/>
          <w:spacing w:val="-9"/>
          <w:sz w:val="20"/>
        </w:rPr>
        <w:t> </w:t>
      </w:r>
      <w:r>
        <w:rPr>
          <w:b/>
          <w:color w:val="1B1B22"/>
          <w:sz w:val="20"/>
        </w:rPr>
        <w:t>category</w:t>
      </w:r>
      <w:r>
        <w:rPr>
          <w:b/>
          <w:color w:val="1B1B22"/>
          <w:spacing w:val="-8"/>
          <w:sz w:val="20"/>
        </w:rPr>
        <w:t> </w:t>
      </w:r>
      <w:r>
        <w:rPr>
          <w:color w:val="1B1B22"/>
          <w:sz w:val="20"/>
        </w:rPr>
        <w:t>at the PWM</w:t>
      </w:r>
      <w:r>
        <w:rPr>
          <w:color w:val="1B1B22"/>
          <w:spacing w:val="-2"/>
          <w:sz w:val="20"/>
        </w:rPr>
        <w:t> </w:t>
      </w:r>
      <w:r>
        <w:rPr>
          <w:color w:val="1B1B22"/>
          <w:sz w:val="20"/>
        </w:rPr>
        <w:t>Wealth</w:t>
      </w:r>
      <w:r>
        <w:rPr>
          <w:color w:val="1B1B22"/>
          <w:spacing w:val="-3"/>
          <w:sz w:val="20"/>
        </w:rPr>
        <w:t> </w:t>
      </w:r>
      <w:r>
        <w:rPr>
          <w:color w:val="1B1B22"/>
          <w:sz w:val="20"/>
        </w:rPr>
        <w:t>Tech Awards 2024.</w:t>
      </w:r>
    </w:p>
    <w:p>
      <w:pPr>
        <w:pStyle w:val="BodyText"/>
        <w:spacing w:line="321" w:lineRule="auto" w:before="117"/>
        <w:ind w:right="1"/>
      </w:pPr>
      <w:r>
        <w:rPr>
          <w:color w:val="1B1B22"/>
        </w:rPr>
        <w:t>In the 2024 evaluation, by MSCI ESG Rating, we maintained the “A” rating, with a score of 5.3.</w:t>
      </w:r>
    </w:p>
    <w:p>
      <w:pPr>
        <w:pStyle w:val="BodyText"/>
        <w:spacing w:line="321" w:lineRule="auto" w:before="118"/>
        <w:ind w:right="1"/>
      </w:pPr>
      <w:r>
        <w:rPr>
          <w:color w:val="1B1B22"/>
        </w:rPr>
        <w:t>We won the 11th edition of the </w:t>
      </w:r>
      <w:r>
        <w:rPr>
          <w:b/>
          <w:color w:val="1B1B22"/>
        </w:rPr>
        <w:t>Global Finance Award:</w:t>
      </w:r>
      <w:r>
        <w:rPr>
          <w:b/>
          <w:color w:val="1B1B22"/>
          <w:spacing w:val="-13"/>
        </w:rPr>
        <w:t> </w:t>
      </w:r>
      <w:r>
        <w:rPr>
          <w:b/>
          <w:color w:val="1B1B22"/>
        </w:rPr>
        <w:t>The</w:t>
      </w:r>
      <w:r>
        <w:rPr>
          <w:b/>
          <w:color w:val="1B1B22"/>
          <w:spacing w:val="-6"/>
        </w:rPr>
        <w:t> </w:t>
      </w:r>
      <w:r>
        <w:rPr>
          <w:b/>
          <w:color w:val="1B1B22"/>
        </w:rPr>
        <w:t>Innovators</w:t>
      </w:r>
      <w:r>
        <w:rPr>
          <w:b/>
          <w:color w:val="1B1B22"/>
          <w:spacing w:val="-4"/>
        </w:rPr>
        <w:t> </w:t>
      </w:r>
      <w:r>
        <w:rPr>
          <w:b/>
          <w:color w:val="1B1B22"/>
        </w:rPr>
        <w:t>2024,</w:t>
      </w:r>
      <w:r>
        <w:rPr>
          <w:b/>
          <w:color w:val="1B1B22"/>
          <w:spacing w:val="-4"/>
        </w:rPr>
        <w:t> </w:t>
      </w:r>
      <w:r>
        <w:rPr>
          <w:color w:val="1B1B22"/>
        </w:rPr>
        <w:t>being</w:t>
      </w:r>
      <w:r>
        <w:rPr>
          <w:color w:val="1B1B22"/>
          <w:spacing w:val="-5"/>
        </w:rPr>
        <w:t> </w:t>
      </w:r>
      <w:r>
        <w:rPr>
          <w:color w:val="1B1B22"/>
        </w:rPr>
        <w:t>recognized</w:t>
      </w:r>
      <w:r>
        <w:rPr>
          <w:color w:val="1B1B22"/>
          <w:spacing w:val="-5"/>
        </w:rPr>
        <w:t> </w:t>
      </w:r>
      <w:r>
        <w:rPr>
          <w:color w:val="1B1B22"/>
        </w:rPr>
        <w:t>in </w:t>
      </w:r>
      <w:r>
        <w:rPr>
          <w:color w:val="1B1B22"/>
          <w:spacing w:val="-4"/>
        </w:rPr>
        <w:t>the Most Innovative Lending Solution category.</w:t>
      </w:r>
      <w:r>
        <w:rPr>
          <w:color w:val="1B1B22"/>
          <w:spacing w:val="-9"/>
        </w:rPr>
        <w:t> </w:t>
      </w:r>
      <w:r>
        <w:rPr>
          <w:color w:val="1B1B22"/>
          <w:spacing w:val="-4"/>
        </w:rPr>
        <w:t>The </w:t>
      </w:r>
      <w:r>
        <w:rPr>
          <w:color w:val="1B1B22"/>
        </w:rPr>
        <w:t>case "Digital Compliance: Loan for Advance Payment of Income Tax Refund" won the award. Digital compliance is an initiative to develop and implement</w:t>
      </w:r>
      <w:r>
        <w:rPr>
          <w:color w:val="1B1B22"/>
          <w:spacing w:val="65"/>
          <w:w w:val="150"/>
        </w:rPr>
        <w:t> </w:t>
      </w:r>
      <w:r>
        <w:rPr>
          <w:color w:val="1B1B22"/>
        </w:rPr>
        <w:t>automated</w:t>
      </w:r>
      <w:r>
        <w:rPr>
          <w:color w:val="1B1B22"/>
          <w:spacing w:val="66"/>
          <w:w w:val="150"/>
        </w:rPr>
        <w:t> </w:t>
      </w:r>
      <w:r>
        <w:rPr>
          <w:color w:val="1B1B22"/>
        </w:rPr>
        <w:t>verification</w:t>
      </w:r>
      <w:r>
        <w:rPr>
          <w:color w:val="1B1B22"/>
          <w:spacing w:val="66"/>
          <w:w w:val="150"/>
        </w:rPr>
        <w:t> </w:t>
      </w:r>
      <w:r>
        <w:rPr>
          <w:color w:val="1B1B22"/>
        </w:rPr>
        <w:t>services</w:t>
      </w:r>
      <w:r>
        <w:rPr>
          <w:color w:val="1B1B22"/>
          <w:spacing w:val="65"/>
          <w:w w:val="150"/>
        </w:rPr>
        <w:t> </w:t>
      </w:r>
      <w:r>
        <w:rPr>
          <w:color w:val="1B1B22"/>
          <w:spacing w:val="-5"/>
        </w:rPr>
        <w:t>for</w:t>
      </w:r>
    </w:p>
    <w:p>
      <w:pPr>
        <w:pStyle w:val="BodyText"/>
        <w:spacing w:line="321" w:lineRule="auto" w:before="79"/>
        <w:ind w:left="666" w:right="568"/>
      </w:pPr>
      <w:r>
        <w:rPr/>
        <w:br w:type="column"/>
      </w:r>
      <w:r>
        <w:rPr>
          <w:color w:val="1B1B22"/>
        </w:rPr>
        <w:t>digitized</w:t>
      </w:r>
      <w:r>
        <w:rPr>
          <w:color w:val="1B1B22"/>
          <w:spacing w:val="-13"/>
        </w:rPr>
        <w:t> </w:t>
      </w:r>
      <w:r>
        <w:rPr>
          <w:color w:val="1B1B22"/>
        </w:rPr>
        <w:t>documents,</w:t>
      </w:r>
      <w:r>
        <w:rPr>
          <w:color w:val="1B1B22"/>
          <w:spacing w:val="-12"/>
        </w:rPr>
        <w:t> </w:t>
      </w:r>
      <w:r>
        <w:rPr>
          <w:color w:val="1B1B22"/>
        </w:rPr>
        <w:t>aiming</w:t>
      </w:r>
      <w:r>
        <w:rPr>
          <w:color w:val="1B1B22"/>
          <w:spacing w:val="-13"/>
        </w:rPr>
        <w:t> </w:t>
      </w:r>
      <w:r>
        <w:rPr>
          <w:color w:val="1B1B22"/>
        </w:rPr>
        <w:t>at</w:t>
      </w:r>
      <w:r>
        <w:rPr>
          <w:color w:val="1B1B22"/>
          <w:spacing w:val="-12"/>
        </w:rPr>
        <w:t> </w:t>
      </w:r>
      <w:r>
        <w:rPr>
          <w:color w:val="1B1B22"/>
        </w:rPr>
        <w:t>process</w:t>
      </w:r>
      <w:r>
        <w:rPr>
          <w:color w:val="1B1B22"/>
          <w:spacing w:val="-12"/>
        </w:rPr>
        <w:t> </w:t>
      </w:r>
      <w:r>
        <w:rPr>
          <w:color w:val="1B1B22"/>
        </w:rPr>
        <w:t>compliance and reducing the dependence on manual checks.</w:t>
      </w:r>
    </w:p>
    <w:p>
      <w:pPr>
        <w:pStyle w:val="Heading2"/>
        <w:spacing w:before="112"/>
        <w:ind w:left="666"/>
        <w:rPr>
          <w:b w:val="0"/>
        </w:rPr>
      </w:pPr>
      <w:r>
        <w:rPr>
          <w:b w:val="0"/>
          <w:color w:val="465EFF"/>
          <w:spacing w:val="13"/>
        </w:rPr>
        <w:t>June</w:t>
      </w:r>
    </w:p>
    <w:p>
      <w:pPr>
        <w:spacing w:line="321" w:lineRule="auto" w:before="248"/>
        <w:ind w:left="666" w:right="570" w:firstLine="0"/>
        <w:jc w:val="both"/>
        <w:rPr>
          <w:sz w:val="20"/>
        </w:rPr>
      </w:pPr>
      <w:r>
        <w:rPr>
          <w:color w:val="1B1B22"/>
          <w:sz w:val="20"/>
        </w:rPr>
        <w:t>We won 1st place in the Customer Service Satisfaction</w:t>
      </w:r>
      <w:r>
        <w:rPr>
          <w:color w:val="1B1B22"/>
          <w:spacing w:val="-13"/>
          <w:sz w:val="20"/>
        </w:rPr>
        <w:t> </w:t>
      </w:r>
      <w:r>
        <w:rPr>
          <w:color w:val="1B1B22"/>
          <w:sz w:val="20"/>
        </w:rPr>
        <w:t>Award</w:t>
      </w:r>
      <w:r>
        <w:rPr>
          <w:color w:val="1B1B22"/>
          <w:spacing w:val="-12"/>
          <w:sz w:val="20"/>
        </w:rPr>
        <w:t> </w:t>
      </w:r>
      <w:r>
        <w:rPr>
          <w:color w:val="1B1B22"/>
          <w:sz w:val="20"/>
        </w:rPr>
        <w:t>category,</w:t>
      </w:r>
      <w:r>
        <w:rPr>
          <w:color w:val="1B1B22"/>
          <w:spacing w:val="-13"/>
          <w:sz w:val="20"/>
        </w:rPr>
        <w:t> </w:t>
      </w:r>
      <w:r>
        <w:rPr>
          <w:color w:val="1B1B22"/>
          <w:sz w:val="20"/>
        </w:rPr>
        <w:t>BNDES</w:t>
      </w:r>
      <w:r>
        <w:rPr>
          <w:color w:val="1B1B22"/>
          <w:spacing w:val="-12"/>
          <w:sz w:val="20"/>
        </w:rPr>
        <w:t> </w:t>
      </w:r>
      <w:r>
        <w:rPr>
          <w:color w:val="1B1B22"/>
          <w:sz w:val="20"/>
        </w:rPr>
        <w:t>Recognition</w:t>
      </w:r>
      <w:r>
        <w:rPr>
          <w:color w:val="1B1B22"/>
          <w:spacing w:val="-12"/>
          <w:sz w:val="20"/>
        </w:rPr>
        <w:t> </w:t>
      </w:r>
      <w:r>
        <w:rPr>
          <w:color w:val="1B1B22"/>
          <w:sz w:val="20"/>
        </w:rPr>
        <w:t>in the</w:t>
      </w:r>
      <w:r>
        <w:rPr>
          <w:color w:val="1B1B22"/>
          <w:spacing w:val="-8"/>
          <w:sz w:val="20"/>
        </w:rPr>
        <w:t> </w:t>
      </w:r>
      <w:r>
        <w:rPr>
          <w:b/>
          <w:color w:val="1B1B22"/>
          <w:sz w:val="20"/>
        </w:rPr>
        <w:t>Outstanding</w:t>
      </w:r>
      <w:r>
        <w:rPr>
          <w:b/>
          <w:color w:val="1B1B22"/>
          <w:spacing w:val="-5"/>
          <w:sz w:val="20"/>
        </w:rPr>
        <w:t> </w:t>
      </w:r>
      <w:r>
        <w:rPr>
          <w:b/>
          <w:color w:val="1B1B22"/>
          <w:sz w:val="20"/>
        </w:rPr>
        <w:t>Financial</w:t>
      </w:r>
      <w:r>
        <w:rPr>
          <w:b/>
          <w:color w:val="1B1B22"/>
          <w:spacing w:val="-9"/>
          <w:sz w:val="20"/>
        </w:rPr>
        <w:t> </w:t>
      </w:r>
      <w:r>
        <w:rPr>
          <w:b/>
          <w:color w:val="1B1B22"/>
          <w:sz w:val="20"/>
        </w:rPr>
        <w:t>Agents</w:t>
      </w:r>
      <w:r>
        <w:rPr>
          <w:b/>
          <w:color w:val="1B1B22"/>
          <w:spacing w:val="-6"/>
          <w:sz w:val="20"/>
        </w:rPr>
        <w:t> </w:t>
      </w:r>
      <w:r>
        <w:rPr>
          <w:b/>
          <w:color w:val="1B1B22"/>
          <w:sz w:val="20"/>
        </w:rPr>
        <w:t>2023</w:t>
      </w:r>
      <w:r>
        <w:rPr>
          <w:b/>
          <w:color w:val="1B1B22"/>
          <w:spacing w:val="-5"/>
          <w:sz w:val="20"/>
        </w:rPr>
        <w:t> </w:t>
      </w:r>
      <w:r>
        <w:rPr>
          <w:color w:val="1B1B22"/>
          <w:spacing w:val="-2"/>
          <w:sz w:val="20"/>
        </w:rPr>
        <w:t>category.</w:t>
      </w:r>
    </w:p>
    <w:p>
      <w:pPr>
        <w:spacing w:line="321" w:lineRule="auto" w:before="118"/>
        <w:ind w:left="666" w:right="569" w:firstLine="0"/>
        <w:jc w:val="both"/>
        <w:rPr>
          <w:sz w:val="20"/>
        </w:rPr>
      </w:pPr>
      <w:r>
        <w:rPr>
          <w:color w:val="1B1B22"/>
          <w:sz w:val="20"/>
        </w:rPr>
        <w:t>We won the bronze award in the Smart Customer category </w:t>
      </w:r>
      <w:r>
        <w:rPr>
          <w:b/>
          <w:color w:val="1B1B22"/>
          <w:sz w:val="20"/>
        </w:rPr>
        <w:t>"Social Responsibility and Diversity", </w:t>
      </w:r>
      <w:r>
        <w:rPr>
          <w:color w:val="1B1B22"/>
          <w:sz w:val="20"/>
        </w:rPr>
        <w:t>with the case of self-declaration of people with disabilities in the BB App.</w:t>
      </w:r>
    </w:p>
    <w:p>
      <w:pPr>
        <w:pStyle w:val="BodyText"/>
        <w:spacing w:line="321" w:lineRule="auto" w:before="117"/>
        <w:ind w:left="666" w:right="568"/>
      </w:pPr>
      <w:r>
        <w:rPr>
          <w:color w:val="1B1B22"/>
        </w:rPr>
        <w:t>For the second consecutive year, we received an international</w:t>
      </w:r>
      <w:r>
        <w:rPr>
          <w:color w:val="1B1B22"/>
          <w:spacing w:val="-4"/>
        </w:rPr>
        <w:t> </w:t>
      </w:r>
      <w:r>
        <w:rPr>
          <w:color w:val="1B1B22"/>
        </w:rPr>
        <w:t>award</w:t>
      </w:r>
      <w:r>
        <w:rPr>
          <w:color w:val="1B1B22"/>
          <w:spacing w:val="-3"/>
        </w:rPr>
        <w:t> </w:t>
      </w:r>
      <w:r>
        <w:rPr>
          <w:color w:val="1B1B22"/>
        </w:rPr>
        <w:t>at</w:t>
      </w:r>
      <w:r>
        <w:rPr>
          <w:color w:val="1B1B22"/>
          <w:spacing w:val="-3"/>
        </w:rPr>
        <w:t> </w:t>
      </w:r>
      <w:r>
        <w:rPr>
          <w:color w:val="1B1B22"/>
        </w:rPr>
        <w:t>the</w:t>
      </w:r>
      <w:r>
        <w:rPr>
          <w:color w:val="1B1B22"/>
          <w:spacing w:val="-3"/>
        </w:rPr>
        <w:t> </w:t>
      </w:r>
      <w:r>
        <w:rPr>
          <w:color w:val="1B1B22"/>
        </w:rPr>
        <w:t>Nice</w:t>
      </w:r>
      <w:r>
        <w:rPr>
          <w:color w:val="1B1B22"/>
          <w:spacing w:val="-3"/>
        </w:rPr>
        <w:t> </w:t>
      </w:r>
      <w:r>
        <w:rPr>
          <w:color w:val="1B1B22"/>
        </w:rPr>
        <w:t>Interactions</w:t>
      </w:r>
      <w:r>
        <w:rPr>
          <w:color w:val="1B1B22"/>
          <w:spacing w:val="-3"/>
        </w:rPr>
        <w:t> </w:t>
      </w:r>
      <w:r>
        <w:rPr>
          <w:color w:val="1B1B22"/>
        </w:rPr>
        <w:t>event, held</w:t>
      </w:r>
      <w:r>
        <w:rPr>
          <w:color w:val="1B1B22"/>
          <w:spacing w:val="-13"/>
        </w:rPr>
        <w:t> </w:t>
      </w:r>
      <w:r>
        <w:rPr>
          <w:color w:val="1B1B22"/>
        </w:rPr>
        <w:t>in</w:t>
      </w:r>
      <w:r>
        <w:rPr>
          <w:color w:val="1B1B22"/>
          <w:spacing w:val="-12"/>
        </w:rPr>
        <w:t> </w:t>
      </w:r>
      <w:r>
        <w:rPr>
          <w:color w:val="1B1B22"/>
        </w:rPr>
        <w:t>Las</w:t>
      </w:r>
      <w:r>
        <w:rPr>
          <w:color w:val="1B1B22"/>
          <w:spacing w:val="-13"/>
        </w:rPr>
        <w:t> </w:t>
      </w:r>
      <w:r>
        <w:rPr>
          <w:color w:val="1B1B22"/>
        </w:rPr>
        <w:t>Vegas</w:t>
      </w:r>
      <w:r>
        <w:rPr>
          <w:color w:val="1B1B22"/>
          <w:spacing w:val="-12"/>
        </w:rPr>
        <w:t> </w:t>
      </w:r>
      <w:r>
        <w:rPr>
          <w:color w:val="1B1B22"/>
        </w:rPr>
        <w:t>(USA),</w:t>
      </w:r>
      <w:r>
        <w:rPr>
          <w:color w:val="1B1B22"/>
          <w:spacing w:val="-12"/>
        </w:rPr>
        <w:t> </w:t>
      </w:r>
      <w:r>
        <w:rPr>
          <w:color w:val="1B1B22"/>
        </w:rPr>
        <w:t>which</w:t>
      </w:r>
      <w:r>
        <w:rPr>
          <w:color w:val="1B1B22"/>
          <w:spacing w:val="-13"/>
        </w:rPr>
        <w:t> </w:t>
      </w:r>
      <w:r>
        <w:rPr>
          <w:color w:val="1B1B22"/>
        </w:rPr>
        <w:t>recognizes</w:t>
      </w:r>
      <w:r>
        <w:rPr>
          <w:color w:val="1B1B22"/>
          <w:spacing w:val="-12"/>
        </w:rPr>
        <w:t> </w:t>
      </w:r>
      <w:r>
        <w:rPr>
          <w:color w:val="1B1B22"/>
        </w:rPr>
        <w:t>the</w:t>
      </w:r>
      <w:r>
        <w:rPr>
          <w:color w:val="1B1B22"/>
          <w:spacing w:val="-12"/>
        </w:rPr>
        <w:t> </w:t>
      </w:r>
      <w:r>
        <w:rPr>
          <w:b/>
          <w:color w:val="1B1B22"/>
        </w:rPr>
        <w:t>main innovations and trends in customer experience</w:t>
      </w:r>
      <w:r>
        <w:rPr>
          <w:color w:val="1B1B22"/>
        </w:rPr>
        <w:t>. The winning case in the Outstanding Cloud Realization category deals with BB's pioneering </w:t>
      </w:r>
      <w:r>
        <w:rPr>
          <w:color w:val="1B1B22"/>
          <w:spacing w:val="-2"/>
        </w:rPr>
        <w:t>work</w:t>
      </w:r>
      <w:r>
        <w:rPr>
          <w:color w:val="1B1B22"/>
          <w:spacing w:val="-7"/>
        </w:rPr>
        <w:t> </w:t>
      </w:r>
      <w:r>
        <w:rPr>
          <w:color w:val="1B1B22"/>
          <w:spacing w:val="-2"/>
        </w:rPr>
        <w:t>in</w:t>
      </w:r>
      <w:r>
        <w:rPr>
          <w:color w:val="1B1B22"/>
          <w:spacing w:val="-7"/>
        </w:rPr>
        <w:t> </w:t>
      </w:r>
      <w:r>
        <w:rPr>
          <w:color w:val="1B1B22"/>
          <w:spacing w:val="-2"/>
        </w:rPr>
        <w:t>the</w:t>
      </w:r>
      <w:r>
        <w:rPr>
          <w:color w:val="1B1B22"/>
          <w:spacing w:val="-8"/>
        </w:rPr>
        <w:t> </w:t>
      </w:r>
      <w:r>
        <w:rPr>
          <w:color w:val="1B1B22"/>
          <w:spacing w:val="-2"/>
        </w:rPr>
        <w:t>adaptation</w:t>
      </w:r>
      <w:r>
        <w:rPr>
          <w:color w:val="1B1B22"/>
          <w:spacing w:val="-8"/>
        </w:rPr>
        <w:t> </w:t>
      </w:r>
      <w:r>
        <w:rPr>
          <w:color w:val="1B1B22"/>
          <w:spacing w:val="-2"/>
        </w:rPr>
        <w:t>and</w:t>
      </w:r>
      <w:r>
        <w:rPr>
          <w:color w:val="1B1B22"/>
          <w:spacing w:val="-7"/>
        </w:rPr>
        <w:t> </w:t>
      </w:r>
      <w:r>
        <w:rPr>
          <w:color w:val="1B1B22"/>
          <w:spacing w:val="-2"/>
        </w:rPr>
        <w:t>large-scale</w:t>
      </w:r>
      <w:r>
        <w:rPr>
          <w:color w:val="1B1B22"/>
          <w:spacing w:val="-8"/>
        </w:rPr>
        <w:t> </w:t>
      </w:r>
      <w:r>
        <w:rPr>
          <w:color w:val="1B1B22"/>
          <w:spacing w:val="-2"/>
        </w:rPr>
        <w:t>use</w:t>
      </w:r>
      <w:r>
        <w:rPr>
          <w:color w:val="1B1B22"/>
          <w:spacing w:val="-7"/>
        </w:rPr>
        <w:t> </w:t>
      </w:r>
      <w:r>
        <w:rPr>
          <w:color w:val="1B1B22"/>
          <w:spacing w:val="-2"/>
        </w:rPr>
        <w:t>of</w:t>
      </w:r>
      <w:r>
        <w:rPr>
          <w:color w:val="1B1B22"/>
          <w:spacing w:val="-8"/>
        </w:rPr>
        <w:t> </w:t>
      </w:r>
      <w:r>
        <w:rPr>
          <w:color w:val="1B1B22"/>
          <w:spacing w:val="-2"/>
        </w:rPr>
        <w:t>cloud </w:t>
      </w:r>
      <w:r>
        <w:rPr>
          <w:color w:val="1B1B22"/>
        </w:rPr>
        <w:t>Contact Center solutions for relationship areas.</w:t>
      </w:r>
    </w:p>
    <w:p>
      <w:pPr>
        <w:pStyle w:val="BodyText"/>
        <w:spacing w:line="321" w:lineRule="auto" w:before="115"/>
        <w:ind w:left="666" w:right="569"/>
      </w:pPr>
      <w:r>
        <w:rPr>
          <w:color w:val="1B1B22"/>
        </w:rPr>
        <w:t>For</w:t>
      </w:r>
      <w:r>
        <w:rPr>
          <w:color w:val="1B1B22"/>
          <w:spacing w:val="-6"/>
        </w:rPr>
        <w:t> </w:t>
      </w:r>
      <w:r>
        <w:rPr>
          <w:color w:val="1B1B22"/>
        </w:rPr>
        <w:t>the</w:t>
      </w:r>
      <w:r>
        <w:rPr>
          <w:color w:val="1B1B22"/>
          <w:spacing w:val="-7"/>
        </w:rPr>
        <w:t> </w:t>
      </w:r>
      <w:r>
        <w:rPr>
          <w:color w:val="1B1B22"/>
        </w:rPr>
        <w:t>eighth</w:t>
      </w:r>
      <w:r>
        <w:rPr>
          <w:color w:val="1B1B22"/>
          <w:spacing w:val="-6"/>
        </w:rPr>
        <w:t> </w:t>
      </w:r>
      <w:r>
        <w:rPr>
          <w:color w:val="1B1B22"/>
        </w:rPr>
        <w:t>consecutive</w:t>
      </w:r>
      <w:r>
        <w:rPr>
          <w:color w:val="1B1B22"/>
          <w:spacing w:val="-6"/>
        </w:rPr>
        <w:t> </w:t>
      </w:r>
      <w:r>
        <w:rPr>
          <w:color w:val="1B1B22"/>
        </w:rPr>
        <w:t>time,</w:t>
      </w:r>
      <w:r>
        <w:rPr>
          <w:color w:val="1B1B22"/>
          <w:spacing w:val="-7"/>
        </w:rPr>
        <w:t> </w:t>
      </w:r>
      <w:r>
        <w:rPr>
          <w:color w:val="1B1B22"/>
        </w:rPr>
        <w:t>we</w:t>
      </w:r>
      <w:r>
        <w:rPr>
          <w:color w:val="1B1B22"/>
          <w:spacing w:val="-8"/>
        </w:rPr>
        <w:t> </w:t>
      </w:r>
      <w:r>
        <w:rPr>
          <w:color w:val="1B1B22"/>
        </w:rPr>
        <w:t>are</w:t>
      </w:r>
      <w:r>
        <w:rPr>
          <w:color w:val="1B1B22"/>
          <w:spacing w:val="-6"/>
        </w:rPr>
        <w:t> </w:t>
      </w:r>
      <w:r>
        <w:rPr>
          <w:color w:val="1B1B22"/>
        </w:rPr>
        <w:t>in</w:t>
      </w:r>
      <w:r>
        <w:rPr>
          <w:color w:val="1B1B22"/>
          <w:spacing w:val="-7"/>
        </w:rPr>
        <w:t> </w:t>
      </w:r>
      <w:r>
        <w:rPr>
          <w:color w:val="1B1B22"/>
        </w:rPr>
        <w:t>the</w:t>
      </w:r>
      <w:r>
        <w:rPr>
          <w:color w:val="1B1B22"/>
          <w:spacing w:val="-7"/>
        </w:rPr>
        <w:t> </w:t>
      </w:r>
      <w:r>
        <w:rPr>
          <w:color w:val="1B1B22"/>
        </w:rPr>
        <w:t>best position among the 5 largest financial conglomerates in the country in the </w:t>
      </w:r>
      <w:r>
        <w:rPr>
          <w:b/>
          <w:color w:val="1B1B22"/>
        </w:rPr>
        <w:t>Bacen complaints ranking</w:t>
      </w:r>
      <w:r>
        <w:rPr>
          <w:color w:val="1B1B22"/>
        </w:rPr>
        <w:t>.</w:t>
      </w:r>
    </w:p>
    <w:p>
      <w:pPr>
        <w:pStyle w:val="Heading2"/>
        <w:spacing w:before="110"/>
        <w:ind w:left="666"/>
        <w:rPr>
          <w:b w:val="0"/>
        </w:rPr>
      </w:pPr>
      <w:r>
        <w:rPr>
          <w:b w:val="0"/>
          <w:color w:val="465EFF"/>
          <w:spacing w:val="8"/>
        </w:rPr>
        <w:t>July</w:t>
      </w:r>
    </w:p>
    <w:p>
      <w:pPr>
        <w:pStyle w:val="BodyText"/>
        <w:spacing w:line="321" w:lineRule="auto" w:before="248"/>
        <w:ind w:left="666" w:right="568"/>
      </w:pPr>
      <w:r>
        <w:rPr>
          <w:color w:val="1B1B22"/>
        </w:rPr>
        <w:t>The</w:t>
      </w:r>
      <w:r>
        <w:rPr>
          <w:color w:val="1B1B22"/>
          <w:spacing w:val="-13"/>
        </w:rPr>
        <w:t> </w:t>
      </w:r>
      <w:r>
        <w:rPr>
          <w:color w:val="1B1B22"/>
        </w:rPr>
        <w:t>AB2L</w:t>
      </w:r>
      <w:r>
        <w:rPr>
          <w:color w:val="1B1B22"/>
          <w:spacing w:val="-12"/>
        </w:rPr>
        <w:t> </w:t>
      </w:r>
      <w:r>
        <w:rPr>
          <w:color w:val="1B1B22"/>
        </w:rPr>
        <w:t>Law</w:t>
      </w:r>
      <w:r>
        <w:rPr>
          <w:color w:val="1B1B22"/>
          <w:spacing w:val="-13"/>
        </w:rPr>
        <w:t> </w:t>
      </w:r>
      <w:r>
        <w:rPr>
          <w:color w:val="1B1B22"/>
        </w:rPr>
        <w:t>tech</w:t>
      </w:r>
      <w:r>
        <w:rPr>
          <w:color w:val="1B1B22"/>
          <w:spacing w:val="-12"/>
        </w:rPr>
        <w:t> </w:t>
      </w:r>
      <w:r>
        <w:rPr>
          <w:color w:val="1B1B22"/>
        </w:rPr>
        <w:t>Experience</w:t>
      </w:r>
      <w:r>
        <w:rPr>
          <w:color w:val="1B1B22"/>
          <w:spacing w:val="-12"/>
        </w:rPr>
        <w:t> </w:t>
      </w:r>
      <w:r>
        <w:rPr>
          <w:color w:val="1B1B22"/>
        </w:rPr>
        <w:t>2024</w:t>
      </w:r>
      <w:r>
        <w:rPr>
          <w:color w:val="1B1B22"/>
          <w:spacing w:val="-13"/>
        </w:rPr>
        <w:t> </w:t>
      </w:r>
      <w:r>
        <w:rPr>
          <w:color w:val="1B1B22"/>
        </w:rPr>
        <w:t>event,</w:t>
      </w:r>
      <w:r>
        <w:rPr>
          <w:color w:val="1B1B22"/>
          <w:spacing w:val="-12"/>
        </w:rPr>
        <w:t> </w:t>
      </w:r>
      <w:r>
        <w:rPr>
          <w:color w:val="1B1B22"/>
        </w:rPr>
        <w:t>held</w:t>
      </w:r>
      <w:r>
        <w:rPr>
          <w:color w:val="1B1B22"/>
          <w:spacing w:val="-12"/>
        </w:rPr>
        <w:t> </w:t>
      </w:r>
      <w:r>
        <w:rPr>
          <w:color w:val="1B1B22"/>
        </w:rPr>
        <w:t>by the Brazilian Association of </w:t>
      </w:r>
      <w:r>
        <w:rPr>
          <w:b/>
          <w:color w:val="1B1B22"/>
        </w:rPr>
        <w:t>Law techs and Legaltechs (AB2L), </w:t>
      </w:r>
      <w:r>
        <w:rPr>
          <w:color w:val="1B1B22"/>
        </w:rPr>
        <w:t>brought together law firms and legal departments from all over Brazil. We were certified for the adoption of innovative practices in the fields of Legal Innovation, People Management, Legal Efficiency and Legal Partner for Business.</w:t>
      </w:r>
    </w:p>
    <w:p>
      <w:pPr>
        <w:pStyle w:val="Heading2"/>
        <w:spacing w:before="107"/>
        <w:ind w:left="666"/>
        <w:rPr>
          <w:b w:val="0"/>
        </w:rPr>
      </w:pPr>
      <w:r>
        <w:rPr>
          <w:b w:val="0"/>
          <w:color w:val="465EFF"/>
          <w:spacing w:val="15"/>
        </w:rPr>
        <w:t>August</w:t>
      </w:r>
    </w:p>
    <w:p>
      <w:pPr>
        <w:pStyle w:val="BodyText"/>
        <w:spacing w:line="321" w:lineRule="auto" w:before="249"/>
        <w:ind w:left="666" w:right="569"/>
      </w:pPr>
      <w:r>
        <w:rPr>
          <w:color w:val="1B1B22"/>
        </w:rPr>
        <w:t>We</w:t>
      </w:r>
      <w:r>
        <w:rPr>
          <w:color w:val="1B1B22"/>
          <w:spacing w:val="-8"/>
        </w:rPr>
        <w:t> </w:t>
      </w:r>
      <w:r>
        <w:rPr>
          <w:color w:val="1B1B22"/>
        </w:rPr>
        <w:t>were</w:t>
      </w:r>
      <w:r>
        <w:rPr>
          <w:color w:val="1B1B22"/>
          <w:spacing w:val="-8"/>
        </w:rPr>
        <w:t> </w:t>
      </w:r>
      <w:r>
        <w:rPr>
          <w:color w:val="1B1B22"/>
        </w:rPr>
        <w:t>awarded</w:t>
      </w:r>
      <w:r>
        <w:rPr>
          <w:color w:val="1B1B22"/>
          <w:spacing w:val="-8"/>
        </w:rPr>
        <w:t> </w:t>
      </w:r>
      <w:r>
        <w:rPr>
          <w:color w:val="1B1B22"/>
        </w:rPr>
        <w:t>by</w:t>
      </w:r>
      <w:r>
        <w:rPr>
          <w:color w:val="1B1B22"/>
          <w:spacing w:val="-8"/>
        </w:rPr>
        <w:t> </w:t>
      </w:r>
      <w:r>
        <w:rPr>
          <w:color w:val="1B1B22"/>
        </w:rPr>
        <w:t>the</w:t>
      </w:r>
      <w:r>
        <w:rPr>
          <w:color w:val="1B1B22"/>
          <w:spacing w:val="-8"/>
        </w:rPr>
        <w:t> </w:t>
      </w:r>
      <w:r>
        <w:rPr>
          <w:b/>
          <w:color w:val="1B1B22"/>
        </w:rPr>
        <w:t>Latin</w:t>
      </w:r>
      <w:r>
        <w:rPr>
          <w:b/>
          <w:color w:val="1B1B22"/>
          <w:spacing w:val="-11"/>
        </w:rPr>
        <w:t> </w:t>
      </w:r>
      <w:r>
        <w:rPr>
          <w:b/>
          <w:color w:val="1B1B22"/>
        </w:rPr>
        <w:t>America</w:t>
      </w:r>
      <w:r>
        <w:rPr>
          <w:b/>
          <w:color w:val="1B1B22"/>
          <w:spacing w:val="-7"/>
        </w:rPr>
        <w:t> </w:t>
      </w:r>
      <w:r>
        <w:rPr>
          <w:b/>
          <w:color w:val="1B1B22"/>
        </w:rPr>
        <w:t>Executive Team 2024</w:t>
      </w:r>
      <w:r>
        <w:rPr>
          <w:color w:val="1B1B22"/>
        </w:rPr>
        <w:t>, by Institutional Investor, among companies in the financial sector, in the financial, corporate governance and sustainability </w:t>
      </w:r>
      <w:r>
        <w:rPr>
          <w:color w:val="1B1B22"/>
          <w:spacing w:val="-2"/>
        </w:rPr>
        <w:t>categories,</w:t>
      </w:r>
      <w:r>
        <w:rPr>
          <w:color w:val="1B1B22"/>
          <w:spacing w:val="-7"/>
        </w:rPr>
        <w:t> </w:t>
      </w:r>
      <w:r>
        <w:rPr>
          <w:color w:val="1B1B22"/>
          <w:spacing w:val="-2"/>
        </w:rPr>
        <w:t>with</w:t>
      </w:r>
      <w:r>
        <w:rPr>
          <w:color w:val="1B1B22"/>
          <w:spacing w:val="-6"/>
        </w:rPr>
        <w:t> </w:t>
      </w:r>
      <w:r>
        <w:rPr>
          <w:color w:val="1B1B22"/>
          <w:spacing w:val="-2"/>
        </w:rPr>
        <w:t>emphasis</w:t>
      </w:r>
      <w:r>
        <w:rPr>
          <w:color w:val="1B1B22"/>
          <w:spacing w:val="-6"/>
        </w:rPr>
        <w:t> </w:t>
      </w:r>
      <w:r>
        <w:rPr>
          <w:color w:val="1B1B22"/>
          <w:spacing w:val="-2"/>
        </w:rPr>
        <w:t>on</w:t>
      </w:r>
      <w:r>
        <w:rPr>
          <w:color w:val="1B1B22"/>
          <w:spacing w:val="-5"/>
        </w:rPr>
        <w:t> </w:t>
      </w:r>
      <w:r>
        <w:rPr>
          <w:color w:val="1B1B22"/>
          <w:spacing w:val="-2"/>
        </w:rPr>
        <w:t>the</w:t>
      </w:r>
      <w:r>
        <w:rPr>
          <w:color w:val="1B1B22"/>
          <w:spacing w:val="-5"/>
        </w:rPr>
        <w:t> </w:t>
      </w:r>
      <w:r>
        <w:rPr>
          <w:color w:val="1B1B22"/>
          <w:spacing w:val="-2"/>
        </w:rPr>
        <w:t>Investor</w:t>
      </w:r>
      <w:r>
        <w:rPr>
          <w:color w:val="1B1B22"/>
          <w:spacing w:val="-6"/>
        </w:rPr>
        <w:t> </w:t>
      </w:r>
      <w:r>
        <w:rPr>
          <w:color w:val="1B1B22"/>
          <w:spacing w:val="-2"/>
        </w:rPr>
        <w:t>Relations </w:t>
      </w:r>
      <w:r>
        <w:rPr>
          <w:color w:val="1B1B22"/>
        </w:rPr>
        <w:t>program and the ESG program.</w:t>
      </w:r>
    </w:p>
    <w:p>
      <w:pPr>
        <w:spacing w:after="0" w:line="321" w:lineRule="auto"/>
        <w:sectPr>
          <w:type w:val="continuous"/>
          <w:pgSz w:w="11910" w:h="16840"/>
          <w:pgMar w:header="152" w:footer="591" w:top="1920" w:bottom="280" w:left="0" w:right="280"/>
          <w:cols w:num="2" w:equalWidth="0">
            <w:col w:w="5601" w:space="40"/>
            <w:col w:w="5989"/>
          </w:cols>
        </w:sectPr>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spacing w:before="246"/>
        <w:ind w:left="0"/>
        <w:jc w:val="left"/>
      </w:pPr>
    </w:p>
    <w:p>
      <w:pPr>
        <w:spacing w:after="0"/>
        <w:jc w:val="left"/>
        <w:sectPr>
          <w:pgSz w:w="11910" w:h="16840"/>
          <w:pgMar w:header="152" w:footer="591" w:top="900" w:bottom="780" w:left="0" w:right="280"/>
        </w:sectPr>
      </w:pPr>
    </w:p>
    <w:p>
      <w:pPr>
        <w:pStyle w:val="BodyText"/>
        <w:spacing w:line="321" w:lineRule="auto" w:before="78"/>
      </w:pPr>
      <w:r>
        <w:rPr>
          <w:color w:val="1B1B22"/>
        </w:rPr>
        <w:t>We had two solutions awarded at </w:t>
      </w:r>
      <w:r>
        <w:rPr>
          <w:b/>
          <w:color w:val="1B1B22"/>
        </w:rPr>
        <w:t>Agile Trends Gov</w:t>
      </w:r>
      <w:r>
        <w:rPr>
          <w:color w:val="1B1B22"/>
        </w:rPr>
        <w:t>: InovAÍ, which won the silver medal, and Simplifique, in 8th place.</w:t>
      </w:r>
    </w:p>
    <w:p>
      <w:pPr>
        <w:pStyle w:val="BodyText"/>
        <w:spacing w:line="321" w:lineRule="auto" w:before="119"/>
      </w:pPr>
      <w:r>
        <w:rPr>
          <w:color w:val="1B1B22"/>
        </w:rPr>
        <w:t>We received the Top 10 Outstanding Executives award for the solution that uses Generative AI to optimize the processing of official letters and warrants. The award is granted by the </w:t>
      </w:r>
      <w:r>
        <w:rPr>
          <w:b/>
          <w:color w:val="1B1B22"/>
        </w:rPr>
        <w:t>A.I. Executive Summit 2024</w:t>
      </w:r>
      <w:r>
        <w:rPr>
          <w:color w:val="1B1B22"/>
        </w:rPr>
        <w:t>, an initiative by 7th Experience that recognizes the best projects </w:t>
      </w:r>
      <w:r>
        <w:rPr>
          <w:color w:val="1B1B22"/>
        </w:rPr>
        <w:t>and implementations using artificial intelligence.</w:t>
      </w:r>
    </w:p>
    <w:p>
      <w:pPr>
        <w:pStyle w:val="Heading2"/>
        <w:spacing w:before="108"/>
        <w:rPr>
          <w:b w:val="0"/>
        </w:rPr>
      </w:pPr>
      <w:r>
        <w:rPr>
          <w:b w:val="0"/>
          <w:color w:val="465EFF"/>
          <w:spacing w:val="17"/>
        </w:rPr>
        <w:t>September</w:t>
      </w:r>
    </w:p>
    <w:p>
      <w:pPr>
        <w:spacing w:line="321" w:lineRule="auto" w:before="248"/>
        <w:ind w:left="850" w:right="0" w:firstLine="0"/>
        <w:jc w:val="both"/>
        <w:rPr>
          <w:sz w:val="20"/>
        </w:rPr>
      </w:pPr>
      <w:r>
        <w:rPr>
          <w:b/>
          <w:color w:val="1B1B22"/>
          <w:sz w:val="20"/>
        </w:rPr>
        <w:t>The Latin American Women Awards </w:t>
      </w:r>
      <w:r>
        <w:rPr>
          <w:color w:val="1B1B22"/>
          <w:sz w:val="20"/>
        </w:rPr>
        <w:t>recognized outstanding lawyers in Latin America in multiple categories.</w:t>
      </w:r>
      <w:r>
        <w:rPr>
          <w:color w:val="1B1B22"/>
          <w:spacing w:val="60"/>
          <w:sz w:val="20"/>
        </w:rPr>
        <w:t> </w:t>
      </w:r>
      <w:r>
        <w:rPr>
          <w:color w:val="1B1B22"/>
          <w:sz w:val="20"/>
        </w:rPr>
        <w:t>In</w:t>
      </w:r>
      <w:r>
        <w:rPr>
          <w:color w:val="1B1B22"/>
          <w:spacing w:val="63"/>
          <w:sz w:val="20"/>
        </w:rPr>
        <w:t> </w:t>
      </w:r>
      <w:r>
        <w:rPr>
          <w:color w:val="1B1B22"/>
          <w:sz w:val="20"/>
        </w:rPr>
        <w:t>the</w:t>
      </w:r>
      <w:r>
        <w:rPr>
          <w:color w:val="1B1B22"/>
          <w:spacing w:val="63"/>
          <w:sz w:val="20"/>
        </w:rPr>
        <w:t> </w:t>
      </w:r>
      <w:r>
        <w:rPr>
          <w:color w:val="1B1B22"/>
          <w:sz w:val="20"/>
        </w:rPr>
        <w:t>corporate</w:t>
      </w:r>
      <w:r>
        <w:rPr>
          <w:color w:val="1B1B22"/>
          <w:spacing w:val="64"/>
          <w:sz w:val="20"/>
        </w:rPr>
        <w:t> </w:t>
      </w:r>
      <w:r>
        <w:rPr>
          <w:color w:val="1B1B22"/>
          <w:sz w:val="20"/>
        </w:rPr>
        <w:t>Banking</w:t>
      </w:r>
      <w:r>
        <w:rPr>
          <w:color w:val="1B1B22"/>
          <w:spacing w:val="62"/>
          <w:sz w:val="20"/>
        </w:rPr>
        <w:t> </w:t>
      </w:r>
      <w:r>
        <w:rPr>
          <w:color w:val="1B1B22"/>
          <w:sz w:val="20"/>
        </w:rPr>
        <w:t>&amp;</w:t>
      </w:r>
      <w:r>
        <w:rPr>
          <w:color w:val="1B1B22"/>
          <w:spacing w:val="63"/>
          <w:sz w:val="20"/>
        </w:rPr>
        <w:t> </w:t>
      </w:r>
      <w:r>
        <w:rPr>
          <w:color w:val="1B1B22"/>
          <w:spacing w:val="-2"/>
          <w:sz w:val="20"/>
        </w:rPr>
        <w:t>Finance</w:t>
      </w:r>
    </w:p>
    <w:p>
      <w:pPr>
        <w:pStyle w:val="BodyText"/>
        <w:spacing w:line="321" w:lineRule="auto" w:before="78"/>
        <w:ind w:left="667" w:right="570"/>
      </w:pPr>
      <w:r>
        <w:rPr/>
        <w:br w:type="column"/>
      </w:r>
      <w:r>
        <w:rPr>
          <w:color w:val="1B1B22"/>
        </w:rPr>
        <w:t>category,</w:t>
      </w:r>
      <w:r>
        <w:rPr>
          <w:color w:val="1B1B22"/>
          <w:spacing w:val="-11"/>
        </w:rPr>
        <w:t> </w:t>
      </w:r>
      <w:r>
        <w:rPr>
          <w:color w:val="1B1B22"/>
        </w:rPr>
        <w:t>the</w:t>
      </w:r>
      <w:r>
        <w:rPr>
          <w:color w:val="1B1B22"/>
          <w:spacing w:val="-11"/>
        </w:rPr>
        <w:t> </w:t>
      </w:r>
      <w:r>
        <w:rPr>
          <w:color w:val="1B1B22"/>
        </w:rPr>
        <w:t>highlight</w:t>
      </w:r>
      <w:r>
        <w:rPr>
          <w:color w:val="1B1B22"/>
          <w:spacing w:val="-11"/>
        </w:rPr>
        <w:t> </w:t>
      </w:r>
      <w:r>
        <w:rPr>
          <w:color w:val="1B1B22"/>
        </w:rPr>
        <w:t>went</w:t>
      </w:r>
      <w:r>
        <w:rPr>
          <w:color w:val="1B1B22"/>
          <w:spacing w:val="-10"/>
        </w:rPr>
        <w:t> </w:t>
      </w:r>
      <w:r>
        <w:rPr>
          <w:color w:val="1B1B22"/>
        </w:rPr>
        <w:t>to</w:t>
      </w:r>
      <w:r>
        <w:rPr>
          <w:color w:val="1B1B22"/>
          <w:spacing w:val="-10"/>
        </w:rPr>
        <w:t> </w:t>
      </w:r>
      <w:r>
        <w:rPr>
          <w:color w:val="1B1B22"/>
        </w:rPr>
        <w:t>BB's</w:t>
      </w:r>
      <w:r>
        <w:rPr>
          <w:color w:val="1B1B22"/>
          <w:spacing w:val="-12"/>
        </w:rPr>
        <w:t> </w:t>
      </w:r>
      <w:r>
        <w:rPr>
          <w:color w:val="1B1B22"/>
        </w:rPr>
        <w:t>legal</w:t>
      </w:r>
      <w:r>
        <w:rPr>
          <w:color w:val="1B1B22"/>
          <w:spacing w:val="-10"/>
        </w:rPr>
        <w:t> </w:t>
      </w:r>
      <w:r>
        <w:rPr>
          <w:color w:val="1B1B22"/>
        </w:rPr>
        <w:t>director, Lucinéia Possar.</w:t>
      </w:r>
    </w:p>
    <w:p>
      <w:pPr>
        <w:pStyle w:val="BodyText"/>
        <w:spacing w:line="321" w:lineRule="auto" w:before="120"/>
        <w:ind w:left="667" w:right="568"/>
      </w:pPr>
      <w:r>
        <w:rPr>
          <w:color w:val="1B1B22"/>
          <w:spacing w:val="-2"/>
        </w:rPr>
        <w:t>We</w:t>
      </w:r>
      <w:r>
        <w:rPr>
          <w:color w:val="1B1B22"/>
          <w:spacing w:val="-11"/>
        </w:rPr>
        <w:t> </w:t>
      </w:r>
      <w:r>
        <w:rPr>
          <w:color w:val="1B1B22"/>
          <w:spacing w:val="-2"/>
        </w:rPr>
        <w:t>received</w:t>
      </w:r>
      <w:r>
        <w:rPr>
          <w:color w:val="1B1B22"/>
          <w:spacing w:val="-10"/>
        </w:rPr>
        <w:t> </w:t>
      </w:r>
      <w:r>
        <w:rPr>
          <w:color w:val="1B1B22"/>
          <w:spacing w:val="-2"/>
        </w:rPr>
        <w:t>Gold,</w:t>
      </w:r>
      <w:r>
        <w:rPr>
          <w:color w:val="1B1B22"/>
          <w:spacing w:val="-7"/>
        </w:rPr>
        <w:t> </w:t>
      </w:r>
      <w:r>
        <w:rPr>
          <w:color w:val="1B1B22"/>
          <w:spacing w:val="-2"/>
        </w:rPr>
        <w:t>Silver</w:t>
      </w:r>
      <w:r>
        <w:rPr>
          <w:color w:val="1B1B22"/>
          <w:spacing w:val="-7"/>
        </w:rPr>
        <w:t> </w:t>
      </w:r>
      <w:r>
        <w:rPr>
          <w:color w:val="1B1B22"/>
          <w:spacing w:val="-2"/>
        </w:rPr>
        <w:t>and</w:t>
      </w:r>
      <w:r>
        <w:rPr>
          <w:color w:val="1B1B22"/>
          <w:spacing w:val="-7"/>
        </w:rPr>
        <w:t> </w:t>
      </w:r>
      <w:r>
        <w:rPr>
          <w:color w:val="1B1B22"/>
          <w:spacing w:val="-2"/>
        </w:rPr>
        <w:t>Bronze</w:t>
      </w:r>
      <w:r>
        <w:rPr>
          <w:color w:val="1B1B22"/>
          <w:spacing w:val="-11"/>
        </w:rPr>
        <w:t> </w:t>
      </w:r>
      <w:r>
        <w:rPr>
          <w:color w:val="1B1B22"/>
          <w:spacing w:val="-2"/>
        </w:rPr>
        <w:t>Trophies</w:t>
      </w:r>
      <w:r>
        <w:rPr>
          <w:color w:val="1B1B22"/>
          <w:spacing w:val="-6"/>
        </w:rPr>
        <w:t> </w:t>
      </w:r>
      <w:r>
        <w:rPr>
          <w:color w:val="1B1B22"/>
          <w:spacing w:val="-2"/>
        </w:rPr>
        <w:t>in</w:t>
      </w:r>
      <w:r>
        <w:rPr>
          <w:color w:val="1B1B22"/>
          <w:spacing w:val="-7"/>
        </w:rPr>
        <w:t> </w:t>
      </w:r>
      <w:r>
        <w:rPr>
          <w:color w:val="1B1B22"/>
          <w:spacing w:val="-2"/>
        </w:rPr>
        <w:t>the </w:t>
      </w:r>
      <w:r>
        <w:rPr>
          <w:b/>
          <w:color w:val="1B1B22"/>
        </w:rPr>
        <w:t>Best Performance </w:t>
      </w:r>
      <w:r>
        <w:rPr>
          <w:color w:val="1B1B22"/>
        </w:rPr>
        <w:t>award, in categories related to Credit and Collection Management, Big Data Strategies, Data Architecture and Analytics, Customer Management, People Management and Customer Service with a focus on Digital Channels and Platforms. The award recognizes innovative practices and disruptive solutions in public and private companies related to various sectors, including Technology and Financial Innovation.</w:t>
      </w:r>
    </w:p>
    <w:p>
      <w:pPr>
        <w:pStyle w:val="BodyText"/>
        <w:spacing w:line="321" w:lineRule="auto" w:before="113"/>
        <w:ind w:left="667" w:right="559"/>
      </w:pPr>
      <w:r>
        <w:rPr>
          <w:color w:val="1B1B22"/>
          <w:spacing w:val="-2"/>
        </w:rPr>
        <w:t>We</w:t>
      </w:r>
      <w:r>
        <w:rPr>
          <w:color w:val="1B1B22"/>
          <w:spacing w:val="-11"/>
        </w:rPr>
        <w:t> </w:t>
      </w:r>
      <w:r>
        <w:rPr>
          <w:color w:val="1B1B22"/>
          <w:spacing w:val="-2"/>
        </w:rPr>
        <w:t>were</w:t>
      </w:r>
      <w:r>
        <w:rPr>
          <w:color w:val="1B1B22"/>
          <w:spacing w:val="-10"/>
        </w:rPr>
        <w:t> </w:t>
      </w:r>
      <w:r>
        <w:rPr>
          <w:color w:val="1B1B22"/>
          <w:spacing w:val="-2"/>
        </w:rPr>
        <w:t>also</w:t>
      </w:r>
      <w:r>
        <w:rPr>
          <w:color w:val="1B1B22"/>
          <w:spacing w:val="-11"/>
        </w:rPr>
        <w:t> </w:t>
      </w:r>
      <w:r>
        <w:rPr>
          <w:color w:val="1B1B22"/>
          <w:spacing w:val="-2"/>
        </w:rPr>
        <w:t>honored</w:t>
      </w:r>
      <w:r>
        <w:rPr>
          <w:color w:val="1B1B22"/>
          <w:spacing w:val="-10"/>
        </w:rPr>
        <w:t> </w:t>
      </w:r>
      <w:r>
        <w:rPr>
          <w:color w:val="1B1B22"/>
          <w:spacing w:val="-2"/>
        </w:rPr>
        <w:t>with</w:t>
      </w:r>
      <w:r>
        <w:rPr>
          <w:color w:val="1B1B22"/>
          <w:spacing w:val="-10"/>
        </w:rPr>
        <w:t> </w:t>
      </w:r>
      <w:r>
        <w:rPr>
          <w:color w:val="1B1B22"/>
          <w:spacing w:val="-2"/>
        </w:rPr>
        <w:t>5</w:t>
      </w:r>
      <w:r>
        <w:rPr>
          <w:color w:val="1B1B22"/>
          <w:spacing w:val="-11"/>
        </w:rPr>
        <w:t> </w:t>
      </w:r>
      <w:r>
        <w:rPr>
          <w:color w:val="1B1B22"/>
          <w:spacing w:val="-2"/>
        </w:rPr>
        <w:t>awards</w:t>
      </w:r>
      <w:r>
        <w:rPr>
          <w:color w:val="1B1B22"/>
          <w:spacing w:val="-10"/>
        </w:rPr>
        <w:t> </w:t>
      </w:r>
      <w:r>
        <w:rPr>
          <w:color w:val="1B1B22"/>
          <w:spacing w:val="-2"/>
        </w:rPr>
        <w:t>from</w:t>
      </w:r>
      <w:r>
        <w:rPr>
          <w:color w:val="1B1B22"/>
          <w:spacing w:val="-10"/>
        </w:rPr>
        <w:t> </w:t>
      </w:r>
      <w:r>
        <w:rPr>
          <w:color w:val="1B1B22"/>
          <w:spacing w:val="-2"/>
        </w:rPr>
        <w:t>the</w:t>
      </w:r>
      <w:r>
        <w:rPr>
          <w:color w:val="1B1B22"/>
          <w:spacing w:val="-11"/>
        </w:rPr>
        <w:t> </w:t>
      </w:r>
      <w:r>
        <w:rPr>
          <w:b/>
          <w:color w:val="1B1B22"/>
          <w:spacing w:val="-2"/>
        </w:rPr>
        <w:t>XXIV </w:t>
      </w:r>
      <w:r>
        <w:rPr>
          <w:b/>
          <w:color w:val="1B1B22"/>
        </w:rPr>
        <w:t>ABT Award</w:t>
      </w:r>
      <w:r>
        <w:rPr>
          <w:color w:val="1B1B22"/>
        </w:rPr>
        <w:t>, which recognizes the industry's best practices in customer service and relationships.</w:t>
      </w:r>
    </w:p>
    <w:p>
      <w:pPr>
        <w:spacing w:after="0" w:line="321" w:lineRule="auto"/>
        <w:sectPr>
          <w:type w:val="continuous"/>
          <w:pgSz w:w="11910" w:h="16840"/>
          <w:pgMar w:header="152" w:footer="591" w:top="1920" w:bottom="280" w:left="0" w:right="280"/>
          <w:cols w:num="2" w:equalWidth="0">
            <w:col w:w="5601" w:space="40"/>
            <w:col w:w="5989"/>
          </w:cols>
        </w:sectPr>
      </w:pPr>
    </w:p>
    <w:p>
      <w:pPr>
        <w:pStyle w:val="BodyText"/>
        <w:spacing w:before="193"/>
        <w:ind w:left="0"/>
        <w:jc w:val="left"/>
        <w:rPr>
          <w:sz w:val="44"/>
        </w:rPr>
      </w:pPr>
    </w:p>
    <w:p>
      <w:pPr>
        <w:pStyle w:val="Heading1"/>
        <w:spacing w:before="1"/>
        <w:jc w:val="both"/>
      </w:pPr>
      <w:r>
        <w:rPr>
          <w:color w:val="465EFF"/>
          <w:spacing w:val="34"/>
        </w:rPr>
        <w:t>Independent</w:t>
      </w:r>
      <w:r>
        <w:rPr>
          <w:color w:val="465EFF"/>
          <w:spacing w:val="27"/>
          <w:w w:val="150"/>
        </w:rPr>
        <w:t> </w:t>
      </w:r>
      <w:r>
        <w:rPr>
          <w:color w:val="465EFF"/>
          <w:spacing w:val="27"/>
        </w:rPr>
        <w:t>Audit</w:t>
      </w:r>
    </w:p>
    <w:p>
      <w:pPr>
        <w:pStyle w:val="BodyText"/>
        <w:spacing w:line="321" w:lineRule="auto" w:before="243"/>
        <w:ind w:right="569"/>
      </w:pPr>
      <w:r>
        <w:rPr>
          <w:color w:val="1B1B22"/>
        </w:rPr>
        <w:t>When contracting services not related to external auditing, and to avoid conflicts of interest, loss of independence or objectivity of independent auditors, we adopt procedures based on applicable legislation and standards and the best internationally accepted principles related to the topic.</w:t>
      </w:r>
      <w:r>
        <w:rPr>
          <w:color w:val="1B1B22"/>
          <w:spacing w:val="-3"/>
        </w:rPr>
        <w:t> </w:t>
      </w:r>
      <w:r>
        <w:rPr>
          <w:color w:val="1B1B22"/>
        </w:rPr>
        <w:t>These principles are as </w:t>
      </w:r>
      <w:r>
        <w:rPr>
          <w:color w:val="1B1B22"/>
          <w:spacing w:val="-2"/>
        </w:rPr>
        <w:t>follows:</w:t>
      </w:r>
      <w:r>
        <w:rPr>
          <w:color w:val="1B1B22"/>
          <w:spacing w:val="-7"/>
        </w:rPr>
        <w:t> </w:t>
      </w:r>
      <w:r>
        <w:rPr>
          <w:color w:val="1B1B22"/>
          <w:spacing w:val="-2"/>
        </w:rPr>
        <w:t>(i)</w:t>
      </w:r>
      <w:r>
        <w:rPr>
          <w:color w:val="1B1B22"/>
          <w:spacing w:val="-6"/>
        </w:rPr>
        <w:t> </w:t>
      </w:r>
      <w:r>
        <w:rPr>
          <w:color w:val="1B1B22"/>
          <w:spacing w:val="-2"/>
        </w:rPr>
        <w:t>the</w:t>
      </w:r>
      <w:r>
        <w:rPr>
          <w:color w:val="1B1B22"/>
          <w:spacing w:val="-6"/>
        </w:rPr>
        <w:t> </w:t>
      </w:r>
      <w:r>
        <w:rPr>
          <w:color w:val="1B1B22"/>
          <w:spacing w:val="-2"/>
        </w:rPr>
        <w:t>auditor</w:t>
      </w:r>
      <w:r>
        <w:rPr>
          <w:color w:val="1B1B22"/>
          <w:spacing w:val="-6"/>
        </w:rPr>
        <w:t> </w:t>
      </w:r>
      <w:r>
        <w:rPr>
          <w:color w:val="1B1B22"/>
          <w:spacing w:val="-2"/>
        </w:rPr>
        <w:t>should</w:t>
      </w:r>
      <w:r>
        <w:rPr>
          <w:color w:val="1B1B22"/>
          <w:spacing w:val="-6"/>
        </w:rPr>
        <w:t> </w:t>
      </w:r>
      <w:r>
        <w:rPr>
          <w:color w:val="1B1B22"/>
          <w:spacing w:val="-2"/>
        </w:rPr>
        <w:t>not</w:t>
      </w:r>
      <w:r>
        <w:rPr>
          <w:color w:val="1B1B22"/>
          <w:spacing w:val="-6"/>
        </w:rPr>
        <w:t> </w:t>
      </w:r>
      <w:r>
        <w:rPr>
          <w:color w:val="1B1B22"/>
          <w:spacing w:val="-2"/>
        </w:rPr>
        <w:t>audit</w:t>
      </w:r>
      <w:r>
        <w:rPr>
          <w:color w:val="1B1B22"/>
          <w:spacing w:val="-7"/>
        </w:rPr>
        <w:t> </w:t>
      </w:r>
      <w:r>
        <w:rPr>
          <w:color w:val="1B1B22"/>
          <w:spacing w:val="-2"/>
        </w:rPr>
        <w:t>his</w:t>
      </w:r>
      <w:r>
        <w:rPr>
          <w:color w:val="1B1B22"/>
          <w:spacing w:val="-7"/>
        </w:rPr>
        <w:t> </w:t>
      </w:r>
      <w:r>
        <w:rPr>
          <w:color w:val="1B1B22"/>
          <w:spacing w:val="-2"/>
        </w:rPr>
        <w:t>own</w:t>
      </w:r>
      <w:r>
        <w:rPr>
          <w:color w:val="1B1B22"/>
          <w:spacing w:val="-6"/>
        </w:rPr>
        <w:t> </w:t>
      </w:r>
      <w:r>
        <w:rPr>
          <w:color w:val="1B1B22"/>
          <w:spacing w:val="-2"/>
        </w:rPr>
        <w:t>work,</w:t>
      </w:r>
      <w:r>
        <w:rPr>
          <w:color w:val="1B1B22"/>
          <w:spacing w:val="-7"/>
        </w:rPr>
        <w:t> </w:t>
      </w:r>
      <w:r>
        <w:rPr>
          <w:color w:val="1B1B22"/>
          <w:spacing w:val="-2"/>
        </w:rPr>
        <w:t>(ii)</w:t>
      </w:r>
      <w:r>
        <w:rPr>
          <w:color w:val="1B1B22"/>
          <w:spacing w:val="-6"/>
        </w:rPr>
        <w:t> </w:t>
      </w:r>
      <w:r>
        <w:rPr>
          <w:color w:val="1B1B22"/>
          <w:spacing w:val="-2"/>
        </w:rPr>
        <w:t>the</w:t>
      </w:r>
      <w:r>
        <w:rPr>
          <w:color w:val="1B1B22"/>
          <w:spacing w:val="-6"/>
        </w:rPr>
        <w:t> </w:t>
      </w:r>
      <w:r>
        <w:rPr>
          <w:color w:val="1B1B22"/>
          <w:spacing w:val="-2"/>
        </w:rPr>
        <w:t>auditor</w:t>
      </w:r>
      <w:r>
        <w:rPr>
          <w:color w:val="1B1B22"/>
          <w:spacing w:val="-6"/>
        </w:rPr>
        <w:t> </w:t>
      </w:r>
      <w:r>
        <w:rPr>
          <w:color w:val="1B1B22"/>
          <w:spacing w:val="-2"/>
        </w:rPr>
        <w:t>should</w:t>
      </w:r>
      <w:r>
        <w:rPr>
          <w:color w:val="1B1B22"/>
          <w:spacing w:val="-6"/>
        </w:rPr>
        <w:t> </w:t>
      </w:r>
      <w:r>
        <w:rPr>
          <w:color w:val="1B1B22"/>
          <w:spacing w:val="-2"/>
        </w:rPr>
        <w:t>not</w:t>
      </w:r>
      <w:r>
        <w:rPr>
          <w:color w:val="1B1B22"/>
          <w:spacing w:val="-6"/>
        </w:rPr>
        <w:t> </w:t>
      </w:r>
      <w:r>
        <w:rPr>
          <w:color w:val="1B1B22"/>
          <w:spacing w:val="-2"/>
        </w:rPr>
        <w:t>perform</w:t>
      </w:r>
      <w:r>
        <w:rPr>
          <w:color w:val="1B1B22"/>
          <w:spacing w:val="-8"/>
        </w:rPr>
        <w:t> </w:t>
      </w:r>
      <w:r>
        <w:rPr>
          <w:color w:val="1B1B22"/>
          <w:spacing w:val="-2"/>
        </w:rPr>
        <w:t>managerial</w:t>
      </w:r>
      <w:r>
        <w:rPr>
          <w:color w:val="1B1B22"/>
          <w:spacing w:val="-6"/>
        </w:rPr>
        <w:t> </w:t>
      </w:r>
      <w:r>
        <w:rPr>
          <w:color w:val="1B1B22"/>
          <w:spacing w:val="-2"/>
        </w:rPr>
        <w:t>functions </w:t>
      </w:r>
      <w:r>
        <w:rPr>
          <w:color w:val="1B1B22"/>
        </w:rPr>
        <w:t>for his client and (iii) the auditor should not promote the client's interests. At Banco do Brasil, the hiring of services related to external auditing must be preceded by an opinion from the</w:t>
      </w:r>
      <w:r>
        <w:rPr>
          <w:color w:val="1B1B22"/>
          <w:spacing w:val="-1"/>
        </w:rPr>
        <w:t> </w:t>
      </w:r>
      <w:r>
        <w:rPr>
          <w:color w:val="1B1B22"/>
        </w:rPr>
        <w:t>Audit Committee.</w:t>
      </w:r>
    </w:p>
    <w:p>
      <w:pPr>
        <w:pStyle w:val="Heading1"/>
        <w:spacing w:line="247" w:lineRule="auto" w:before="92"/>
        <w:ind w:right="610"/>
        <w:jc w:val="both"/>
      </w:pPr>
      <w:r>
        <w:rPr>
          <w:color w:val="465EFF"/>
          <w:spacing w:val="33"/>
        </w:rPr>
        <w:t>Additional</w:t>
      </w:r>
      <w:r>
        <w:rPr>
          <w:color w:val="465EFF"/>
          <w:spacing w:val="33"/>
        </w:rPr>
        <w:t> </w:t>
      </w:r>
      <w:r>
        <w:rPr>
          <w:color w:val="465EFF"/>
          <w:spacing w:val="36"/>
        </w:rPr>
        <w:t>Clarifications</w:t>
      </w:r>
      <w:r>
        <w:rPr>
          <w:color w:val="465EFF"/>
          <w:spacing w:val="36"/>
        </w:rPr>
        <w:t> </w:t>
      </w:r>
      <w:r>
        <w:rPr>
          <w:color w:val="465EFF"/>
          <w:spacing w:val="30"/>
        </w:rPr>
        <w:t>Related</w:t>
      </w:r>
      <w:r>
        <w:rPr>
          <w:color w:val="465EFF"/>
          <w:spacing w:val="30"/>
        </w:rPr>
        <w:t> </w:t>
      </w:r>
      <w:r>
        <w:rPr>
          <w:color w:val="465EFF"/>
          <w:spacing w:val="14"/>
        </w:rPr>
        <w:t>to</w:t>
      </w:r>
      <w:r>
        <w:rPr>
          <w:color w:val="465EFF"/>
          <w:spacing w:val="14"/>
        </w:rPr>
        <w:t> </w:t>
      </w:r>
      <w:r>
        <w:rPr>
          <w:color w:val="465EFF"/>
          <w:spacing w:val="26"/>
        </w:rPr>
        <w:t>the </w:t>
      </w:r>
      <w:r>
        <w:rPr>
          <w:color w:val="465EFF"/>
          <w:spacing w:val="30"/>
        </w:rPr>
        <w:t>Bacen/Cosif</w:t>
      </w:r>
      <w:r>
        <w:rPr>
          <w:color w:val="465EFF"/>
          <w:spacing w:val="30"/>
        </w:rPr>
        <w:t> </w:t>
      </w:r>
      <w:r>
        <w:rPr>
          <w:color w:val="465EFF"/>
          <w:spacing w:val="31"/>
        </w:rPr>
        <w:t>Standard</w:t>
      </w:r>
    </w:p>
    <w:p>
      <w:pPr>
        <w:pStyle w:val="Heading2"/>
        <w:spacing w:before="130"/>
        <w:jc w:val="both"/>
        <w:rPr>
          <w:b w:val="0"/>
        </w:rPr>
      </w:pPr>
      <w:r>
        <w:rPr>
          <w:b w:val="0"/>
          <w:color w:val="465EFF"/>
          <w:spacing w:val="20"/>
        </w:rPr>
        <w:t>Securities</w:t>
      </w:r>
      <w:r>
        <w:rPr>
          <w:b w:val="0"/>
          <w:color w:val="465EFF"/>
          <w:spacing w:val="42"/>
        </w:rPr>
        <w:t> </w:t>
      </w:r>
      <w:r>
        <w:rPr>
          <w:b w:val="0"/>
          <w:color w:val="465EFF"/>
          <w:spacing w:val="15"/>
        </w:rPr>
        <w:t>and</w:t>
      </w:r>
      <w:r>
        <w:rPr>
          <w:b w:val="0"/>
          <w:color w:val="465EFF"/>
          <w:spacing w:val="42"/>
        </w:rPr>
        <w:t> </w:t>
      </w:r>
      <w:r>
        <w:rPr>
          <w:b w:val="0"/>
          <w:color w:val="465EFF"/>
          <w:spacing w:val="19"/>
        </w:rPr>
        <w:t>Information</w:t>
      </w:r>
      <w:r>
        <w:rPr>
          <w:b w:val="0"/>
          <w:color w:val="465EFF"/>
          <w:spacing w:val="41"/>
        </w:rPr>
        <w:t> </w:t>
      </w:r>
      <w:r>
        <w:rPr>
          <w:b w:val="0"/>
          <w:color w:val="465EFF"/>
          <w:spacing w:val="12"/>
        </w:rPr>
        <w:t>on</w:t>
      </w:r>
      <w:r>
        <w:rPr>
          <w:b w:val="0"/>
          <w:color w:val="465EFF"/>
          <w:spacing w:val="37"/>
        </w:rPr>
        <w:t> </w:t>
      </w:r>
      <w:r>
        <w:rPr>
          <w:b w:val="0"/>
          <w:color w:val="465EFF"/>
          <w:spacing w:val="18"/>
        </w:rPr>
        <w:t>Affiliates</w:t>
      </w:r>
      <w:r>
        <w:rPr>
          <w:b w:val="0"/>
          <w:color w:val="465EFF"/>
          <w:spacing w:val="43"/>
        </w:rPr>
        <w:t> </w:t>
      </w:r>
      <w:r>
        <w:rPr>
          <w:b w:val="0"/>
          <w:color w:val="465EFF"/>
          <w:spacing w:val="15"/>
        </w:rPr>
        <w:t>and</w:t>
      </w:r>
      <w:r>
        <w:rPr>
          <w:b w:val="0"/>
          <w:color w:val="465EFF"/>
          <w:spacing w:val="41"/>
        </w:rPr>
        <w:t> </w:t>
      </w:r>
      <w:r>
        <w:rPr>
          <w:b w:val="0"/>
          <w:color w:val="465EFF"/>
          <w:spacing w:val="19"/>
        </w:rPr>
        <w:t>Subsidiaries</w:t>
      </w:r>
    </w:p>
    <w:p>
      <w:pPr>
        <w:pStyle w:val="BodyText"/>
        <w:spacing w:line="321" w:lineRule="auto" w:before="170"/>
        <w:ind w:right="573"/>
      </w:pPr>
      <w:r>
        <w:rPr>
          <w:color w:val="1B1B22"/>
        </w:rPr>
        <w:t>In accordance with art. 8th of Circular Bacen 3,068/2001, we affirm our intention and financial capacity to maintain, until maturity, the securities classified in the “Securities Held to Maturity” category. Our financial capacity</w:t>
      </w:r>
      <w:r>
        <w:rPr>
          <w:color w:val="1B1B22"/>
          <w:spacing w:val="-2"/>
        </w:rPr>
        <w:t> </w:t>
      </w:r>
      <w:r>
        <w:rPr>
          <w:color w:val="1B1B22"/>
        </w:rPr>
        <w:t>is</w:t>
      </w:r>
      <w:r>
        <w:rPr>
          <w:color w:val="1B1B22"/>
          <w:spacing w:val="-4"/>
        </w:rPr>
        <w:t> </w:t>
      </w:r>
      <w:r>
        <w:rPr>
          <w:color w:val="1B1B22"/>
        </w:rPr>
        <w:t>supported</w:t>
      </w:r>
      <w:r>
        <w:rPr>
          <w:color w:val="1B1B22"/>
          <w:spacing w:val="-2"/>
        </w:rPr>
        <w:t> </w:t>
      </w:r>
      <w:r>
        <w:rPr>
          <w:color w:val="1B1B22"/>
        </w:rPr>
        <w:t>by</w:t>
      </w:r>
      <w:r>
        <w:rPr>
          <w:color w:val="1B1B22"/>
          <w:spacing w:val="-2"/>
        </w:rPr>
        <w:t> </w:t>
      </w:r>
      <w:r>
        <w:rPr>
          <w:color w:val="1B1B22"/>
        </w:rPr>
        <w:t>cash</w:t>
      </w:r>
      <w:r>
        <w:rPr>
          <w:color w:val="1B1B22"/>
          <w:spacing w:val="-3"/>
        </w:rPr>
        <w:t> </w:t>
      </w:r>
      <w:r>
        <w:rPr>
          <w:color w:val="1B1B22"/>
        </w:rPr>
        <w:t>flow</w:t>
      </w:r>
      <w:r>
        <w:rPr>
          <w:color w:val="1B1B22"/>
          <w:spacing w:val="-3"/>
        </w:rPr>
        <w:t> </w:t>
      </w:r>
      <w:r>
        <w:rPr>
          <w:color w:val="1B1B22"/>
        </w:rPr>
        <w:t>projections</w:t>
      </w:r>
      <w:r>
        <w:rPr>
          <w:color w:val="1B1B22"/>
          <w:spacing w:val="-3"/>
        </w:rPr>
        <w:t> </w:t>
      </w:r>
      <w:r>
        <w:rPr>
          <w:color w:val="1B1B22"/>
        </w:rPr>
        <w:t>that</w:t>
      </w:r>
      <w:r>
        <w:rPr>
          <w:color w:val="1B1B22"/>
          <w:spacing w:val="-4"/>
        </w:rPr>
        <w:t> </w:t>
      </w:r>
      <w:r>
        <w:rPr>
          <w:color w:val="1B1B22"/>
        </w:rPr>
        <w:t>do</w:t>
      </w:r>
      <w:r>
        <w:rPr>
          <w:color w:val="1B1B22"/>
          <w:spacing w:val="-2"/>
        </w:rPr>
        <w:t> </w:t>
      </w:r>
      <w:r>
        <w:rPr>
          <w:color w:val="1B1B22"/>
        </w:rPr>
        <w:t>not</w:t>
      </w:r>
      <w:r>
        <w:rPr>
          <w:color w:val="1B1B22"/>
          <w:spacing w:val="-2"/>
        </w:rPr>
        <w:t> </w:t>
      </w:r>
      <w:r>
        <w:rPr>
          <w:color w:val="1B1B22"/>
        </w:rPr>
        <w:t>consider</w:t>
      </w:r>
      <w:r>
        <w:rPr>
          <w:color w:val="1B1B22"/>
          <w:spacing w:val="-3"/>
        </w:rPr>
        <w:t> </w:t>
      </w:r>
      <w:r>
        <w:rPr>
          <w:color w:val="1B1B22"/>
        </w:rPr>
        <w:t>the</w:t>
      </w:r>
      <w:r>
        <w:rPr>
          <w:color w:val="1B1B22"/>
          <w:spacing w:val="-3"/>
        </w:rPr>
        <w:t> </w:t>
      </w:r>
      <w:r>
        <w:rPr>
          <w:color w:val="1B1B22"/>
        </w:rPr>
        <w:t>possibility</w:t>
      </w:r>
      <w:r>
        <w:rPr>
          <w:color w:val="1B1B22"/>
          <w:spacing w:val="-2"/>
        </w:rPr>
        <w:t> </w:t>
      </w:r>
      <w:r>
        <w:rPr>
          <w:color w:val="1B1B22"/>
        </w:rPr>
        <w:t>of</w:t>
      </w:r>
      <w:r>
        <w:rPr>
          <w:color w:val="1B1B22"/>
          <w:spacing w:val="-2"/>
        </w:rPr>
        <w:t> </w:t>
      </w:r>
      <w:r>
        <w:rPr>
          <w:color w:val="1B1B22"/>
        </w:rPr>
        <w:t>selling</w:t>
      </w:r>
      <w:r>
        <w:rPr>
          <w:color w:val="1B1B22"/>
          <w:spacing w:val="-2"/>
        </w:rPr>
        <w:t> </w:t>
      </w:r>
      <w:r>
        <w:rPr>
          <w:color w:val="1B1B22"/>
        </w:rPr>
        <w:t>these</w:t>
      </w:r>
      <w:r>
        <w:rPr>
          <w:color w:val="1B1B22"/>
          <w:spacing w:val="-2"/>
        </w:rPr>
        <w:t> </w:t>
      </w:r>
      <w:r>
        <w:rPr>
          <w:color w:val="1B1B22"/>
        </w:rPr>
        <w:t>securities.</w:t>
      </w:r>
    </w:p>
    <w:p>
      <w:pPr>
        <w:pStyle w:val="BodyText"/>
        <w:spacing w:line="321" w:lineRule="auto" w:before="118"/>
        <w:ind w:right="570"/>
      </w:pPr>
      <w:r>
        <w:rPr>
          <w:color w:val="1B1B22"/>
          <w:spacing w:val="-2"/>
        </w:rPr>
        <w:t>The</w:t>
      </w:r>
      <w:r>
        <w:rPr>
          <w:color w:val="1B1B22"/>
          <w:spacing w:val="-6"/>
        </w:rPr>
        <w:t> </w:t>
      </w:r>
      <w:r>
        <w:rPr>
          <w:color w:val="1B1B22"/>
          <w:spacing w:val="-2"/>
        </w:rPr>
        <w:t>breakdown</w:t>
      </w:r>
      <w:r>
        <w:rPr>
          <w:color w:val="1B1B22"/>
          <w:spacing w:val="-6"/>
        </w:rPr>
        <w:t> </w:t>
      </w:r>
      <w:r>
        <w:rPr>
          <w:color w:val="1B1B22"/>
          <w:spacing w:val="-2"/>
        </w:rPr>
        <w:t>of</w:t>
      </w:r>
      <w:r>
        <w:rPr>
          <w:color w:val="1B1B22"/>
          <w:spacing w:val="-5"/>
        </w:rPr>
        <w:t> </w:t>
      </w:r>
      <w:r>
        <w:rPr>
          <w:color w:val="1B1B22"/>
          <w:spacing w:val="-2"/>
        </w:rPr>
        <w:t>securities</w:t>
      </w:r>
      <w:r>
        <w:rPr>
          <w:color w:val="1B1B22"/>
          <w:spacing w:val="-6"/>
        </w:rPr>
        <w:t> </w:t>
      </w:r>
      <w:r>
        <w:rPr>
          <w:color w:val="1B1B22"/>
          <w:spacing w:val="-2"/>
        </w:rPr>
        <w:t>by</w:t>
      </w:r>
      <w:r>
        <w:rPr>
          <w:color w:val="1B1B22"/>
          <w:spacing w:val="-6"/>
        </w:rPr>
        <w:t> </w:t>
      </w:r>
      <w:r>
        <w:rPr>
          <w:color w:val="1B1B22"/>
          <w:spacing w:val="-2"/>
        </w:rPr>
        <w:t>category</w:t>
      </w:r>
      <w:r>
        <w:rPr>
          <w:color w:val="1B1B22"/>
          <w:spacing w:val="-5"/>
        </w:rPr>
        <w:t> </w:t>
      </w:r>
      <w:r>
        <w:rPr>
          <w:color w:val="1B1B22"/>
          <w:spacing w:val="-2"/>
        </w:rPr>
        <w:t>and</w:t>
      </w:r>
      <w:r>
        <w:rPr>
          <w:color w:val="1B1B22"/>
          <w:spacing w:val="-5"/>
        </w:rPr>
        <w:t> </w:t>
      </w:r>
      <w:r>
        <w:rPr>
          <w:color w:val="1B1B22"/>
          <w:spacing w:val="-2"/>
        </w:rPr>
        <w:t>the</w:t>
      </w:r>
      <w:r>
        <w:rPr>
          <w:color w:val="1B1B22"/>
          <w:spacing w:val="-5"/>
        </w:rPr>
        <w:t> </w:t>
      </w:r>
      <w:r>
        <w:rPr>
          <w:color w:val="1B1B22"/>
          <w:spacing w:val="-2"/>
        </w:rPr>
        <w:t>reclassification</w:t>
      </w:r>
      <w:r>
        <w:rPr>
          <w:color w:val="1B1B22"/>
          <w:spacing w:val="-6"/>
        </w:rPr>
        <w:t> </w:t>
      </w:r>
      <w:r>
        <w:rPr>
          <w:color w:val="1B1B22"/>
          <w:spacing w:val="-2"/>
        </w:rPr>
        <w:t>of</w:t>
      </w:r>
      <w:r>
        <w:rPr>
          <w:color w:val="1B1B22"/>
          <w:spacing w:val="-5"/>
        </w:rPr>
        <w:t> </w:t>
      </w:r>
      <w:r>
        <w:rPr>
          <w:color w:val="1B1B22"/>
          <w:spacing w:val="-2"/>
        </w:rPr>
        <w:t>securities</w:t>
      </w:r>
      <w:r>
        <w:rPr>
          <w:color w:val="1B1B22"/>
          <w:spacing w:val="-7"/>
        </w:rPr>
        <w:t> </w:t>
      </w:r>
      <w:r>
        <w:rPr>
          <w:color w:val="1B1B22"/>
          <w:spacing w:val="-2"/>
        </w:rPr>
        <w:t>can</w:t>
      </w:r>
      <w:r>
        <w:rPr>
          <w:color w:val="1B1B22"/>
          <w:spacing w:val="-5"/>
        </w:rPr>
        <w:t> </w:t>
      </w:r>
      <w:r>
        <w:rPr>
          <w:color w:val="1B1B22"/>
          <w:spacing w:val="-2"/>
        </w:rPr>
        <w:t>be</w:t>
      </w:r>
      <w:r>
        <w:rPr>
          <w:color w:val="1B1B22"/>
          <w:spacing w:val="-5"/>
        </w:rPr>
        <w:t> </w:t>
      </w:r>
      <w:r>
        <w:rPr>
          <w:color w:val="1B1B22"/>
          <w:spacing w:val="-2"/>
        </w:rPr>
        <w:t>found</w:t>
      </w:r>
      <w:r>
        <w:rPr>
          <w:color w:val="1B1B22"/>
          <w:spacing w:val="-6"/>
        </w:rPr>
        <w:t> </w:t>
      </w:r>
      <w:r>
        <w:rPr>
          <w:color w:val="1B1B22"/>
          <w:spacing w:val="-2"/>
        </w:rPr>
        <w:t>in</w:t>
      </w:r>
      <w:r>
        <w:rPr>
          <w:color w:val="1B1B22"/>
          <w:spacing w:val="-5"/>
        </w:rPr>
        <w:t> </w:t>
      </w:r>
      <w:r>
        <w:rPr>
          <w:color w:val="1B1B22"/>
          <w:spacing w:val="-2"/>
        </w:rPr>
        <w:t>explanatory</w:t>
      </w:r>
      <w:r>
        <w:rPr>
          <w:color w:val="1B1B22"/>
          <w:spacing w:val="-5"/>
        </w:rPr>
        <w:t> </w:t>
      </w:r>
      <w:r>
        <w:rPr>
          <w:color w:val="1B1B22"/>
          <w:spacing w:val="-2"/>
        </w:rPr>
        <w:t>note </w:t>
      </w:r>
      <w:r>
        <w:rPr>
          <w:color w:val="1B1B22"/>
        </w:rPr>
        <w:t>10 – Securities.</w:t>
      </w:r>
    </w:p>
    <w:p>
      <w:pPr>
        <w:pStyle w:val="BodyText"/>
        <w:spacing w:line="321" w:lineRule="auto" w:before="120"/>
        <w:ind w:right="567"/>
      </w:pPr>
      <w:r>
        <w:rPr>
          <w:color w:val="1B1B22"/>
          <w:spacing w:val="-2"/>
        </w:rPr>
        <w:t>In</w:t>
      </w:r>
      <w:r>
        <w:rPr>
          <w:color w:val="1B1B22"/>
          <w:spacing w:val="-7"/>
        </w:rPr>
        <w:t> </w:t>
      </w:r>
      <w:r>
        <w:rPr>
          <w:color w:val="1B1B22"/>
          <w:spacing w:val="-2"/>
        </w:rPr>
        <w:t>compliance</w:t>
      </w:r>
      <w:r>
        <w:rPr>
          <w:color w:val="1B1B22"/>
          <w:spacing w:val="-7"/>
        </w:rPr>
        <w:t> </w:t>
      </w:r>
      <w:r>
        <w:rPr>
          <w:color w:val="1B1B22"/>
          <w:spacing w:val="-2"/>
        </w:rPr>
        <w:t>with</w:t>
      </w:r>
      <w:r>
        <w:rPr>
          <w:color w:val="1B1B22"/>
          <w:spacing w:val="-8"/>
        </w:rPr>
        <w:t> </w:t>
      </w:r>
      <w:r>
        <w:rPr>
          <w:color w:val="1B1B22"/>
          <w:spacing w:val="-2"/>
        </w:rPr>
        <w:t>article</w:t>
      </w:r>
      <w:r>
        <w:rPr>
          <w:color w:val="1B1B22"/>
          <w:spacing w:val="-8"/>
        </w:rPr>
        <w:t> </w:t>
      </w:r>
      <w:r>
        <w:rPr>
          <w:color w:val="1B1B22"/>
          <w:spacing w:val="-2"/>
        </w:rPr>
        <w:t>243</w:t>
      </w:r>
      <w:r>
        <w:rPr>
          <w:color w:val="1B1B22"/>
          <w:spacing w:val="-8"/>
        </w:rPr>
        <w:t> </w:t>
      </w:r>
      <w:r>
        <w:rPr>
          <w:color w:val="1B1B22"/>
          <w:spacing w:val="-2"/>
        </w:rPr>
        <w:t>of</w:t>
      </w:r>
      <w:r>
        <w:rPr>
          <w:color w:val="1B1B22"/>
          <w:spacing w:val="-7"/>
        </w:rPr>
        <w:t> </w:t>
      </w:r>
      <w:r>
        <w:rPr>
          <w:color w:val="1B1B22"/>
          <w:spacing w:val="-2"/>
        </w:rPr>
        <w:t>Law</w:t>
      </w:r>
      <w:r>
        <w:rPr>
          <w:color w:val="1B1B22"/>
          <w:spacing w:val="-7"/>
        </w:rPr>
        <w:t> </w:t>
      </w:r>
      <w:r>
        <w:rPr>
          <w:color w:val="1B1B22"/>
          <w:spacing w:val="-2"/>
        </w:rPr>
        <w:t>6,404/1976,</w:t>
      </w:r>
      <w:r>
        <w:rPr>
          <w:color w:val="1B1B22"/>
          <w:spacing w:val="-7"/>
        </w:rPr>
        <w:t> </w:t>
      </w:r>
      <w:r>
        <w:rPr>
          <w:color w:val="1B1B22"/>
          <w:spacing w:val="-2"/>
        </w:rPr>
        <w:t>we</w:t>
      </w:r>
      <w:r>
        <w:rPr>
          <w:color w:val="1B1B22"/>
          <w:spacing w:val="-7"/>
        </w:rPr>
        <w:t> </w:t>
      </w:r>
      <w:r>
        <w:rPr>
          <w:color w:val="1B1B22"/>
          <w:spacing w:val="-2"/>
        </w:rPr>
        <w:t>inform</w:t>
      </w:r>
      <w:r>
        <w:rPr>
          <w:color w:val="1B1B22"/>
          <w:spacing w:val="-7"/>
        </w:rPr>
        <w:t> </w:t>
      </w:r>
      <w:r>
        <w:rPr>
          <w:color w:val="1B1B22"/>
          <w:spacing w:val="-2"/>
        </w:rPr>
        <w:t>that</w:t>
      </w:r>
      <w:r>
        <w:rPr>
          <w:color w:val="1B1B22"/>
          <w:spacing w:val="-8"/>
        </w:rPr>
        <w:t> </w:t>
      </w:r>
      <w:r>
        <w:rPr>
          <w:color w:val="1B1B22"/>
          <w:spacing w:val="-2"/>
        </w:rPr>
        <w:t>the</w:t>
      </w:r>
      <w:r>
        <w:rPr>
          <w:color w:val="1B1B22"/>
          <w:spacing w:val="-7"/>
        </w:rPr>
        <w:t> </w:t>
      </w:r>
      <w:r>
        <w:rPr>
          <w:color w:val="1B1B22"/>
          <w:spacing w:val="-2"/>
        </w:rPr>
        <w:t>company's</w:t>
      </w:r>
      <w:r>
        <w:rPr>
          <w:color w:val="1B1B22"/>
          <w:spacing w:val="-8"/>
        </w:rPr>
        <w:t> </w:t>
      </w:r>
      <w:r>
        <w:rPr>
          <w:color w:val="1B1B22"/>
          <w:spacing w:val="-2"/>
        </w:rPr>
        <w:t>investments</w:t>
      </w:r>
      <w:r>
        <w:rPr>
          <w:color w:val="1B1B22"/>
          <w:spacing w:val="-7"/>
        </w:rPr>
        <w:t> </w:t>
      </w:r>
      <w:r>
        <w:rPr>
          <w:color w:val="1B1B22"/>
          <w:spacing w:val="-2"/>
        </w:rPr>
        <w:t>in</w:t>
      </w:r>
      <w:r>
        <w:rPr>
          <w:color w:val="1B1B22"/>
          <w:spacing w:val="-7"/>
        </w:rPr>
        <w:t> </w:t>
      </w:r>
      <w:r>
        <w:rPr>
          <w:color w:val="1B1B22"/>
          <w:spacing w:val="-2"/>
        </w:rPr>
        <w:t>associated</w:t>
      </w:r>
      <w:r>
        <w:rPr>
          <w:color w:val="1B1B22"/>
          <w:spacing w:val="-8"/>
        </w:rPr>
        <w:t> </w:t>
      </w:r>
      <w:r>
        <w:rPr>
          <w:color w:val="1B1B22"/>
          <w:spacing w:val="-2"/>
        </w:rPr>
        <w:t>and </w:t>
      </w:r>
      <w:r>
        <w:rPr>
          <w:color w:val="1B1B22"/>
        </w:rPr>
        <w:t>controlled companies are listed in explanatory notes 2 – Presentation of Financial Statements and 14 – </w:t>
      </w:r>
      <w:r>
        <w:rPr>
          <w:color w:val="1B1B22"/>
          <w:spacing w:val="-2"/>
        </w:rPr>
        <w:t>Investments.</w:t>
      </w:r>
    </w:p>
    <w:p>
      <w:pPr>
        <w:pStyle w:val="Heading2"/>
        <w:spacing w:before="109"/>
        <w:jc w:val="both"/>
        <w:rPr>
          <w:b w:val="0"/>
        </w:rPr>
      </w:pPr>
      <w:r>
        <w:rPr>
          <w:b w:val="0"/>
          <w:color w:val="465EFF"/>
          <w:spacing w:val="20"/>
        </w:rPr>
        <w:t>Additional</w:t>
      </w:r>
      <w:r>
        <w:rPr>
          <w:b w:val="0"/>
          <w:color w:val="465EFF"/>
          <w:spacing w:val="34"/>
        </w:rPr>
        <w:t> </w:t>
      </w:r>
      <w:r>
        <w:rPr>
          <w:b w:val="0"/>
          <w:color w:val="465EFF"/>
          <w:spacing w:val="19"/>
        </w:rPr>
        <w:t>Clarifications</w:t>
      </w:r>
    </w:p>
    <w:p>
      <w:pPr>
        <w:pStyle w:val="BodyText"/>
        <w:spacing w:line="321" w:lineRule="auto" w:before="169"/>
        <w:ind w:right="568"/>
      </w:pPr>
      <w:r>
        <w:rPr>
          <w:color w:val="1B1B22"/>
          <w:spacing w:val="-2"/>
        </w:rPr>
        <w:t>We</w:t>
      </w:r>
      <w:r>
        <w:rPr>
          <w:color w:val="1B1B22"/>
          <w:spacing w:val="-10"/>
        </w:rPr>
        <w:t> </w:t>
      </w:r>
      <w:r>
        <w:rPr>
          <w:color w:val="1B1B22"/>
          <w:spacing w:val="-2"/>
        </w:rPr>
        <w:t>have</w:t>
      </w:r>
      <w:r>
        <w:rPr>
          <w:color w:val="1B1B22"/>
          <w:spacing w:val="-5"/>
        </w:rPr>
        <w:t> </w:t>
      </w:r>
      <w:r>
        <w:rPr>
          <w:color w:val="1B1B22"/>
          <w:spacing w:val="-2"/>
        </w:rPr>
        <w:t>R$1.2</w:t>
      </w:r>
      <w:r>
        <w:rPr>
          <w:color w:val="1B1B22"/>
          <w:spacing w:val="-5"/>
        </w:rPr>
        <w:t> </w:t>
      </w:r>
      <w:r>
        <w:rPr>
          <w:color w:val="1B1B22"/>
          <w:spacing w:val="-2"/>
        </w:rPr>
        <w:t>billion</w:t>
      </w:r>
      <w:r>
        <w:rPr>
          <w:color w:val="1B1B22"/>
          <w:spacing w:val="-5"/>
        </w:rPr>
        <w:t> </w:t>
      </w:r>
      <w:r>
        <w:rPr>
          <w:color w:val="1B1B22"/>
          <w:spacing w:val="-2"/>
        </w:rPr>
        <w:t>(consolidated)</w:t>
      </w:r>
      <w:r>
        <w:rPr>
          <w:color w:val="1B1B22"/>
          <w:spacing w:val="-5"/>
        </w:rPr>
        <w:t> </w:t>
      </w:r>
      <w:r>
        <w:rPr>
          <w:color w:val="1B1B22"/>
          <w:spacing w:val="-2"/>
        </w:rPr>
        <w:t>in</w:t>
      </w:r>
      <w:r>
        <w:rPr>
          <w:color w:val="1B1B22"/>
          <w:spacing w:val="-8"/>
        </w:rPr>
        <w:t> </w:t>
      </w:r>
      <w:r>
        <w:rPr>
          <w:color w:val="1B1B22"/>
          <w:spacing w:val="-2"/>
        </w:rPr>
        <w:t>unactivated</w:t>
      </w:r>
      <w:r>
        <w:rPr>
          <w:color w:val="1B1B22"/>
          <w:spacing w:val="-6"/>
        </w:rPr>
        <w:t> </w:t>
      </w:r>
      <w:r>
        <w:rPr>
          <w:color w:val="1B1B22"/>
          <w:spacing w:val="-2"/>
        </w:rPr>
        <w:t>tax</w:t>
      </w:r>
      <w:r>
        <w:rPr>
          <w:color w:val="1B1B22"/>
          <w:spacing w:val="-5"/>
        </w:rPr>
        <w:t> </w:t>
      </w:r>
      <w:r>
        <w:rPr>
          <w:color w:val="1B1B22"/>
          <w:spacing w:val="-2"/>
        </w:rPr>
        <w:t>credits,</w:t>
      </w:r>
      <w:r>
        <w:rPr>
          <w:color w:val="1B1B22"/>
          <w:spacing w:val="-7"/>
        </w:rPr>
        <w:t> </w:t>
      </w:r>
      <w:r>
        <w:rPr>
          <w:color w:val="1B1B22"/>
          <w:spacing w:val="-2"/>
        </w:rPr>
        <w:t>presented</w:t>
      </w:r>
      <w:r>
        <w:rPr>
          <w:color w:val="1B1B22"/>
          <w:spacing w:val="-5"/>
        </w:rPr>
        <w:t> </w:t>
      </w:r>
      <w:r>
        <w:rPr>
          <w:color w:val="1B1B22"/>
          <w:spacing w:val="-2"/>
        </w:rPr>
        <w:t>in</w:t>
      </w:r>
      <w:r>
        <w:rPr>
          <w:color w:val="1B1B22"/>
          <w:spacing w:val="-6"/>
        </w:rPr>
        <w:t> </w:t>
      </w:r>
      <w:r>
        <w:rPr>
          <w:color w:val="1B1B22"/>
          <w:spacing w:val="-2"/>
        </w:rPr>
        <w:t>explanatory</w:t>
      </w:r>
      <w:r>
        <w:rPr>
          <w:color w:val="1B1B22"/>
          <w:spacing w:val="-7"/>
        </w:rPr>
        <w:t> </w:t>
      </w:r>
      <w:r>
        <w:rPr>
          <w:color w:val="1B1B22"/>
          <w:spacing w:val="-2"/>
        </w:rPr>
        <w:t>note</w:t>
      </w:r>
      <w:r>
        <w:rPr>
          <w:color w:val="1B1B22"/>
          <w:spacing w:val="-7"/>
        </w:rPr>
        <w:t> </w:t>
      </w:r>
      <w:r>
        <w:rPr>
          <w:color w:val="1B1B22"/>
          <w:spacing w:val="-2"/>
        </w:rPr>
        <w:t>22</w:t>
      </w:r>
      <w:r>
        <w:rPr>
          <w:color w:val="1B1B22"/>
          <w:spacing w:val="-4"/>
        </w:rPr>
        <w:t> </w:t>
      </w:r>
      <w:r>
        <w:rPr>
          <w:color w:val="1B1B22"/>
          <w:spacing w:val="-2"/>
        </w:rPr>
        <w:t>-</w:t>
      </w:r>
      <w:r>
        <w:rPr>
          <w:color w:val="1B1B22"/>
          <w:spacing w:val="-11"/>
        </w:rPr>
        <w:t> </w:t>
      </w:r>
      <w:r>
        <w:rPr>
          <w:color w:val="1B1B22"/>
          <w:spacing w:val="-2"/>
        </w:rPr>
        <w:t>Taxes</w:t>
      </w:r>
      <w:r>
        <w:rPr>
          <w:color w:val="1B1B22"/>
          <w:spacing w:val="-6"/>
        </w:rPr>
        <w:t> </w:t>
      </w:r>
      <w:r>
        <w:rPr>
          <w:color w:val="1B1B22"/>
          <w:spacing w:val="-2"/>
        </w:rPr>
        <w:t>in</w:t>
      </w:r>
      <w:r>
        <w:rPr>
          <w:color w:val="1B1B22"/>
          <w:spacing w:val="-6"/>
        </w:rPr>
        <w:t> </w:t>
      </w:r>
      <w:r>
        <w:rPr>
          <w:color w:val="1B1B22"/>
          <w:spacing w:val="-2"/>
        </w:rPr>
        <w:t>the </w:t>
      </w:r>
      <w:r>
        <w:rPr>
          <w:color w:val="1B1B22"/>
        </w:rPr>
        <w:t>Individual</w:t>
      </w:r>
      <w:r>
        <w:rPr>
          <w:color w:val="1B1B22"/>
          <w:spacing w:val="-12"/>
        </w:rPr>
        <w:t> </w:t>
      </w:r>
      <w:r>
        <w:rPr>
          <w:color w:val="1B1B22"/>
        </w:rPr>
        <w:t>and</w:t>
      </w:r>
      <w:r>
        <w:rPr>
          <w:color w:val="1B1B22"/>
          <w:spacing w:val="-9"/>
        </w:rPr>
        <w:t> </w:t>
      </w:r>
      <w:r>
        <w:rPr>
          <w:color w:val="1B1B22"/>
        </w:rPr>
        <w:t>Consolidated</w:t>
      </w:r>
      <w:r>
        <w:rPr>
          <w:color w:val="1B1B22"/>
          <w:spacing w:val="-9"/>
        </w:rPr>
        <w:t> </w:t>
      </w:r>
      <w:r>
        <w:rPr>
          <w:color w:val="1B1B22"/>
        </w:rPr>
        <w:t>Financial</w:t>
      </w:r>
      <w:r>
        <w:rPr>
          <w:color w:val="1B1B22"/>
          <w:spacing w:val="-9"/>
        </w:rPr>
        <w:t> </w:t>
      </w:r>
      <w:r>
        <w:rPr>
          <w:color w:val="1B1B22"/>
        </w:rPr>
        <w:t>Statements</w:t>
      </w:r>
      <w:r>
        <w:rPr>
          <w:color w:val="1B1B22"/>
          <w:spacing w:val="-9"/>
        </w:rPr>
        <w:t> </w:t>
      </w:r>
      <w:r>
        <w:rPr>
          <w:color w:val="1B1B22"/>
        </w:rPr>
        <w:t>(subitem</w:t>
      </w:r>
      <w:r>
        <w:rPr>
          <w:color w:val="1B1B22"/>
          <w:spacing w:val="-9"/>
        </w:rPr>
        <w:t> </w:t>
      </w:r>
      <w:r>
        <w:rPr>
          <w:color w:val="1B1B22"/>
        </w:rPr>
        <w:t>“f”).</w:t>
      </w:r>
      <w:r>
        <w:rPr>
          <w:color w:val="1B1B22"/>
          <w:spacing w:val="-13"/>
        </w:rPr>
        <w:t> </w:t>
      </w:r>
      <w:r>
        <w:rPr>
          <w:color w:val="1B1B22"/>
        </w:rPr>
        <w:t>We</w:t>
      </w:r>
      <w:r>
        <w:rPr>
          <w:color w:val="1B1B22"/>
          <w:spacing w:val="-9"/>
        </w:rPr>
        <w:t> </w:t>
      </w:r>
      <w:r>
        <w:rPr>
          <w:color w:val="1B1B22"/>
        </w:rPr>
        <w:t>keep</w:t>
      </w:r>
      <w:r>
        <w:rPr>
          <w:color w:val="1B1B22"/>
          <w:spacing w:val="-9"/>
        </w:rPr>
        <w:t> </w:t>
      </w:r>
      <w:r>
        <w:rPr>
          <w:color w:val="1B1B22"/>
        </w:rPr>
        <w:t>recorded</w:t>
      </w:r>
      <w:r>
        <w:rPr>
          <w:color w:val="1B1B22"/>
          <w:spacing w:val="-9"/>
        </w:rPr>
        <w:t> </w:t>
      </w:r>
      <w:r>
        <w:rPr>
          <w:color w:val="1B1B22"/>
        </w:rPr>
        <w:t>in</w:t>
      </w:r>
      <w:r>
        <w:rPr>
          <w:color w:val="1B1B22"/>
          <w:spacing w:val="-9"/>
        </w:rPr>
        <w:t> </w:t>
      </w:r>
      <w:r>
        <w:rPr>
          <w:color w:val="1B1B22"/>
        </w:rPr>
        <w:t>compensation</w:t>
      </w:r>
      <w:r>
        <w:rPr>
          <w:color w:val="1B1B22"/>
          <w:spacing w:val="-9"/>
        </w:rPr>
        <w:t> </w:t>
      </w:r>
      <w:r>
        <w:rPr>
          <w:color w:val="1B1B22"/>
        </w:rPr>
        <w:t>accounts, in</w:t>
      </w:r>
      <w:r>
        <w:rPr>
          <w:color w:val="1B1B22"/>
          <w:spacing w:val="-13"/>
        </w:rPr>
        <w:t> </w:t>
      </w:r>
      <w:r>
        <w:rPr>
          <w:color w:val="1B1B22"/>
        </w:rPr>
        <w:t>accordance</w:t>
      </w:r>
      <w:r>
        <w:rPr>
          <w:color w:val="1B1B22"/>
          <w:spacing w:val="-12"/>
        </w:rPr>
        <w:t> </w:t>
      </w:r>
      <w:r>
        <w:rPr>
          <w:color w:val="1B1B22"/>
        </w:rPr>
        <w:t>with</w:t>
      </w:r>
      <w:r>
        <w:rPr>
          <w:color w:val="1B1B22"/>
          <w:spacing w:val="-13"/>
        </w:rPr>
        <w:t> </w:t>
      </w:r>
      <w:r>
        <w:rPr>
          <w:color w:val="1B1B22"/>
        </w:rPr>
        <w:t>the</w:t>
      </w:r>
      <w:r>
        <w:rPr>
          <w:color w:val="1B1B22"/>
          <w:spacing w:val="-12"/>
        </w:rPr>
        <w:t> </w:t>
      </w:r>
      <w:r>
        <w:rPr>
          <w:color w:val="1B1B22"/>
        </w:rPr>
        <w:t>rules</w:t>
      </w:r>
      <w:r>
        <w:rPr>
          <w:color w:val="1B1B22"/>
          <w:spacing w:val="-12"/>
        </w:rPr>
        <w:t> </w:t>
      </w:r>
      <w:r>
        <w:rPr>
          <w:color w:val="1B1B22"/>
        </w:rPr>
        <w:t>set</w:t>
      </w:r>
      <w:r>
        <w:rPr>
          <w:color w:val="1B1B22"/>
          <w:spacing w:val="-13"/>
        </w:rPr>
        <w:t> </w:t>
      </w:r>
      <w:r>
        <w:rPr>
          <w:color w:val="1B1B22"/>
        </w:rPr>
        <w:t>out</w:t>
      </w:r>
      <w:r>
        <w:rPr>
          <w:color w:val="1B1B22"/>
          <w:spacing w:val="-12"/>
        </w:rPr>
        <w:t> </w:t>
      </w:r>
      <w:r>
        <w:rPr>
          <w:color w:val="1B1B22"/>
        </w:rPr>
        <w:t>in</w:t>
      </w:r>
      <w:r>
        <w:rPr>
          <w:color w:val="1B1B22"/>
          <w:spacing w:val="-12"/>
        </w:rPr>
        <w:t> </w:t>
      </w:r>
      <w:r>
        <w:rPr>
          <w:color w:val="1B1B22"/>
        </w:rPr>
        <w:t>the</w:t>
      </w:r>
      <w:r>
        <w:rPr>
          <w:color w:val="1B1B22"/>
          <w:spacing w:val="-13"/>
        </w:rPr>
        <w:t> </w:t>
      </w:r>
      <w:r>
        <w:rPr>
          <w:color w:val="1B1B22"/>
        </w:rPr>
        <w:t>Financial</w:t>
      </w:r>
      <w:r>
        <w:rPr>
          <w:color w:val="1B1B22"/>
          <w:spacing w:val="-12"/>
        </w:rPr>
        <w:t> </w:t>
      </w:r>
      <w:r>
        <w:rPr>
          <w:color w:val="1B1B22"/>
        </w:rPr>
        <w:t>Institutions</w:t>
      </w:r>
      <w:r>
        <w:rPr>
          <w:color w:val="1B1B22"/>
          <w:spacing w:val="-12"/>
        </w:rPr>
        <w:t> </w:t>
      </w:r>
      <w:r>
        <w:rPr>
          <w:color w:val="1B1B22"/>
        </w:rPr>
        <w:t>Accounting</w:t>
      </w:r>
      <w:r>
        <w:rPr>
          <w:color w:val="1B1B22"/>
          <w:spacing w:val="-13"/>
        </w:rPr>
        <w:t> </w:t>
      </w:r>
      <w:r>
        <w:rPr>
          <w:color w:val="1B1B22"/>
        </w:rPr>
        <w:t>Plan</w:t>
      </w:r>
      <w:r>
        <w:rPr>
          <w:color w:val="1B1B22"/>
          <w:spacing w:val="-12"/>
        </w:rPr>
        <w:t> </w:t>
      </w:r>
      <w:r>
        <w:rPr>
          <w:color w:val="1B1B22"/>
        </w:rPr>
        <w:t>(Cosif),</w:t>
      </w:r>
      <w:r>
        <w:rPr>
          <w:color w:val="1B1B22"/>
          <w:spacing w:val="-12"/>
        </w:rPr>
        <w:t> </w:t>
      </w:r>
      <w:r>
        <w:rPr>
          <w:color w:val="1B1B22"/>
        </w:rPr>
        <w:t>the</w:t>
      </w:r>
      <w:r>
        <w:rPr>
          <w:color w:val="1B1B22"/>
          <w:spacing w:val="-13"/>
        </w:rPr>
        <w:t> </w:t>
      </w:r>
      <w:r>
        <w:rPr>
          <w:color w:val="1B1B22"/>
        </w:rPr>
        <w:t>amount</w:t>
      </w:r>
      <w:r>
        <w:rPr>
          <w:color w:val="1B1B22"/>
          <w:spacing w:val="-12"/>
        </w:rPr>
        <w:t> </w:t>
      </w:r>
      <w:r>
        <w:rPr>
          <w:color w:val="1B1B22"/>
        </w:rPr>
        <w:t>of</w:t>
      </w:r>
      <w:r>
        <w:rPr>
          <w:color w:val="1B1B22"/>
          <w:spacing w:val="-12"/>
        </w:rPr>
        <w:t> </w:t>
      </w:r>
      <w:r>
        <w:rPr>
          <w:color w:val="1B1B22"/>
        </w:rPr>
        <w:t>R$20.4 billion</w:t>
      </w:r>
      <w:r>
        <w:rPr>
          <w:color w:val="1B1B22"/>
          <w:spacing w:val="-12"/>
        </w:rPr>
        <w:t> </w:t>
      </w:r>
      <w:r>
        <w:rPr>
          <w:color w:val="1B1B22"/>
        </w:rPr>
        <w:t>arising</w:t>
      </w:r>
      <w:r>
        <w:rPr>
          <w:color w:val="1B1B22"/>
          <w:spacing w:val="-11"/>
        </w:rPr>
        <w:t> </w:t>
      </w:r>
      <w:r>
        <w:rPr>
          <w:color w:val="1B1B22"/>
        </w:rPr>
        <w:t>from</w:t>
      </w:r>
      <w:r>
        <w:rPr>
          <w:color w:val="1B1B22"/>
          <w:spacing w:val="-11"/>
        </w:rPr>
        <w:t> </w:t>
      </w:r>
      <w:r>
        <w:rPr>
          <w:color w:val="1B1B22"/>
        </w:rPr>
        <w:t>co-obligations</w:t>
      </w:r>
      <w:r>
        <w:rPr>
          <w:color w:val="1B1B22"/>
          <w:spacing w:val="-12"/>
        </w:rPr>
        <w:t> </w:t>
      </w:r>
      <w:r>
        <w:rPr>
          <w:color w:val="1B1B22"/>
        </w:rPr>
        <w:t>and</w:t>
      </w:r>
      <w:r>
        <w:rPr>
          <w:color w:val="1B1B22"/>
          <w:spacing w:val="-11"/>
        </w:rPr>
        <w:t> </w:t>
      </w:r>
      <w:r>
        <w:rPr>
          <w:color w:val="1B1B22"/>
        </w:rPr>
        <w:t>risks</w:t>
      </w:r>
      <w:r>
        <w:rPr>
          <w:color w:val="1B1B22"/>
          <w:spacing w:val="-12"/>
        </w:rPr>
        <w:t> </w:t>
      </w:r>
      <w:r>
        <w:rPr>
          <w:color w:val="1B1B22"/>
        </w:rPr>
        <w:t>in</w:t>
      </w:r>
      <w:r>
        <w:rPr>
          <w:color w:val="1B1B22"/>
          <w:spacing w:val="-11"/>
        </w:rPr>
        <w:t> </w:t>
      </w:r>
      <w:r>
        <w:rPr>
          <w:color w:val="1B1B22"/>
        </w:rPr>
        <w:t>guarantees</w:t>
      </w:r>
      <w:r>
        <w:rPr>
          <w:color w:val="1B1B22"/>
          <w:spacing w:val="-11"/>
        </w:rPr>
        <w:t> </w:t>
      </w:r>
      <w:r>
        <w:rPr>
          <w:color w:val="1B1B22"/>
        </w:rPr>
        <w:t>provided</w:t>
      </w:r>
      <w:r>
        <w:rPr>
          <w:color w:val="1B1B22"/>
          <w:spacing w:val="-11"/>
        </w:rPr>
        <w:t> </w:t>
      </w:r>
      <w:r>
        <w:rPr>
          <w:color w:val="1B1B22"/>
        </w:rPr>
        <w:t>to</w:t>
      </w:r>
      <w:r>
        <w:rPr>
          <w:color w:val="1B1B22"/>
          <w:spacing w:val="-12"/>
        </w:rPr>
        <w:t> </w:t>
      </w:r>
      <w:r>
        <w:rPr>
          <w:color w:val="1B1B22"/>
        </w:rPr>
        <w:t>customers</w:t>
      </w:r>
      <w:r>
        <w:rPr>
          <w:color w:val="1B1B22"/>
          <w:spacing w:val="-12"/>
        </w:rPr>
        <w:t> </w:t>
      </w:r>
      <w:r>
        <w:rPr>
          <w:color w:val="1B1B22"/>
        </w:rPr>
        <w:t>and</w:t>
      </w:r>
      <w:r>
        <w:rPr>
          <w:color w:val="1B1B22"/>
          <w:spacing w:val="-11"/>
        </w:rPr>
        <w:t> </w:t>
      </w:r>
      <w:r>
        <w:rPr>
          <w:color w:val="1B1B22"/>
        </w:rPr>
        <w:t>companies</w:t>
      </w:r>
      <w:r>
        <w:rPr>
          <w:color w:val="1B1B22"/>
          <w:spacing w:val="-12"/>
        </w:rPr>
        <w:t> </w:t>
      </w:r>
      <w:r>
        <w:rPr>
          <w:color w:val="1B1B22"/>
        </w:rPr>
        <w:t>belonging</w:t>
      </w:r>
      <w:r>
        <w:rPr>
          <w:color w:val="1B1B22"/>
          <w:spacing w:val="-12"/>
        </w:rPr>
        <w:t> </w:t>
      </w:r>
      <w:r>
        <w:rPr>
          <w:color w:val="1B1B22"/>
        </w:rPr>
        <w:t>to the Banco do Brasil Conglomerate.</w:t>
      </w:r>
    </w:p>
    <w:p>
      <w:pPr>
        <w:pStyle w:val="BodyText"/>
        <w:spacing w:line="321" w:lineRule="auto" w:before="117"/>
        <w:ind w:right="570"/>
      </w:pPr>
      <w:r>
        <w:rPr>
          <w:color w:val="1B1B22"/>
        </w:rPr>
        <w:t>We</w:t>
      </w:r>
      <w:r>
        <w:rPr>
          <w:color w:val="1B1B22"/>
          <w:spacing w:val="-13"/>
        </w:rPr>
        <w:t> </w:t>
      </w:r>
      <w:r>
        <w:rPr>
          <w:color w:val="1B1B22"/>
        </w:rPr>
        <w:t>annually</w:t>
      </w:r>
      <w:r>
        <w:rPr>
          <w:color w:val="1B1B22"/>
          <w:spacing w:val="-12"/>
        </w:rPr>
        <w:t> </w:t>
      </w:r>
      <w:r>
        <w:rPr>
          <w:color w:val="1B1B22"/>
        </w:rPr>
        <w:t>publish</w:t>
      </w:r>
      <w:r>
        <w:rPr>
          <w:color w:val="1B1B22"/>
          <w:spacing w:val="-12"/>
        </w:rPr>
        <w:t> </w:t>
      </w:r>
      <w:r>
        <w:rPr>
          <w:color w:val="1B1B22"/>
        </w:rPr>
        <w:t>the</w:t>
      </w:r>
      <w:r>
        <w:rPr>
          <w:color w:val="1B1B22"/>
          <w:spacing w:val="-12"/>
        </w:rPr>
        <w:t> </w:t>
      </w:r>
      <w:r>
        <w:rPr>
          <w:color w:val="1B1B22"/>
        </w:rPr>
        <w:t>investments</w:t>
      </w:r>
      <w:r>
        <w:rPr>
          <w:color w:val="1B1B22"/>
          <w:spacing w:val="-13"/>
        </w:rPr>
        <w:t> </w:t>
      </w:r>
      <w:r>
        <w:rPr>
          <w:color w:val="1B1B22"/>
        </w:rPr>
        <w:t>made</w:t>
      </w:r>
      <w:r>
        <w:rPr>
          <w:color w:val="1B1B22"/>
          <w:spacing w:val="-12"/>
        </w:rPr>
        <w:t> </w:t>
      </w:r>
      <w:r>
        <w:rPr>
          <w:color w:val="1B1B22"/>
        </w:rPr>
        <w:t>as</w:t>
      </w:r>
      <w:r>
        <w:rPr>
          <w:color w:val="1B1B22"/>
          <w:spacing w:val="-11"/>
        </w:rPr>
        <w:t> </w:t>
      </w:r>
      <w:r>
        <w:rPr>
          <w:color w:val="1B1B22"/>
        </w:rPr>
        <w:t>a</w:t>
      </w:r>
      <w:r>
        <w:rPr>
          <w:color w:val="1B1B22"/>
          <w:spacing w:val="-12"/>
        </w:rPr>
        <w:t> </w:t>
      </w:r>
      <w:r>
        <w:rPr>
          <w:color w:val="1B1B22"/>
        </w:rPr>
        <w:t>result</w:t>
      </w:r>
      <w:r>
        <w:rPr>
          <w:color w:val="1B1B22"/>
          <w:spacing w:val="-12"/>
        </w:rPr>
        <w:t> </w:t>
      </w:r>
      <w:r>
        <w:rPr>
          <w:color w:val="1B1B22"/>
        </w:rPr>
        <w:t>of</w:t>
      </w:r>
      <w:r>
        <w:rPr>
          <w:color w:val="1B1B22"/>
          <w:spacing w:val="-12"/>
        </w:rPr>
        <w:t> </w:t>
      </w:r>
      <w:r>
        <w:rPr>
          <w:color w:val="1B1B22"/>
        </w:rPr>
        <w:t>the</w:t>
      </w:r>
      <w:r>
        <w:rPr>
          <w:color w:val="1B1B22"/>
          <w:spacing w:val="-12"/>
        </w:rPr>
        <w:t> </w:t>
      </w:r>
      <w:r>
        <w:rPr>
          <w:color w:val="1B1B22"/>
        </w:rPr>
        <w:t>exercise</w:t>
      </w:r>
      <w:r>
        <w:rPr>
          <w:color w:val="1B1B22"/>
          <w:spacing w:val="-12"/>
        </w:rPr>
        <w:t> </w:t>
      </w:r>
      <w:r>
        <w:rPr>
          <w:color w:val="1B1B22"/>
        </w:rPr>
        <w:t>of</w:t>
      </w:r>
      <w:r>
        <w:rPr>
          <w:color w:val="1B1B22"/>
          <w:spacing w:val="-12"/>
        </w:rPr>
        <w:t> </w:t>
      </w:r>
      <w:r>
        <w:rPr>
          <w:color w:val="1B1B22"/>
        </w:rPr>
        <w:t>public</w:t>
      </w:r>
      <w:r>
        <w:rPr>
          <w:color w:val="1B1B22"/>
          <w:spacing w:val="-12"/>
        </w:rPr>
        <w:t> </w:t>
      </w:r>
      <w:r>
        <w:rPr>
          <w:color w:val="1B1B22"/>
        </w:rPr>
        <w:t>policies</w:t>
      </w:r>
      <w:r>
        <w:rPr>
          <w:color w:val="1B1B22"/>
          <w:spacing w:val="-13"/>
        </w:rPr>
        <w:t> </w:t>
      </w:r>
      <w:r>
        <w:rPr>
          <w:color w:val="1B1B22"/>
        </w:rPr>
        <w:t>in</w:t>
      </w:r>
      <w:r>
        <w:rPr>
          <w:color w:val="1B1B22"/>
          <w:spacing w:val="-11"/>
        </w:rPr>
        <w:t> </w:t>
      </w:r>
      <w:r>
        <w:rPr>
          <w:color w:val="1B1B22"/>
        </w:rPr>
        <w:t>our</w:t>
      </w:r>
      <w:r>
        <w:rPr>
          <w:color w:val="1B1B22"/>
          <w:spacing w:val="-13"/>
        </w:rPr>
        <w:t> </w:t>
      </w:r>
      <w:r>
        <w:rPr>
          <w:color w:val="1B1B22"/>
        </w:rPr>
        <w:t>Annual</w:t>
      </w:r>
      <w:r>
        <w:rPr>
          <w:color w:val="1B1B22"/>
          <w:spacing w:val="-11"/>
        </w:rPr>
        <w:t> </w:t>
      </w:r>
      <w:r>
        <w:rPr>
          <w:color w:val="1B1B22"/>
        </w:rPr>
        <w:t>Letter</w:t>
      </w:r>
      <w:r>
        <w:rPr>
          <w:color w:val="1B1B22"/>
          <w:spacing w:val="-12"/>
        </w:rPr>
        <w:t> </w:t>
      </w:r>
      <w:r>
        <w:rPr>
          <w:color w:val="1B1B22"/>
        </w:rPr>
        <w:t>on Public Policies and Corporate Governance, available on our website (ri.bb.com.br).</w:t>
      </w:r>
    </w:p>
    <w:p>
      <w:pPr>
        <w:pStyle w:val="BodyText"/>
        <w:spacing w:line="321" w:lineRule="auto" w:before="119"/>
        <w:ind w:right="572"/>
      </w:pPr>
      <w:r>
        <w:rPr>
          <w:color w:val="1B1B22"/>
        </w:rPr>
        <w:t>Banco</w:t>
      </w:r>
      <w:r>
        <w:rPr>
          <w:color w:val="1B1B22"/>
          <w:spacing w:val="-2"/>
        </w:rPr>
        <w:t> </w:t>
      </w:r>
      <w:r>
        <w:rPr>
          <w:color w:val="1B1B22"/>
        </w:rPr>
        <w:t>do</w:t>
      </w:r>
      <w:r>
        <w:rPr>
          <w:color w:val="1B1B22"/>
          <w:spacing w:val="-2"/>
        </w:rPr>
        <w:t> </w:t>
      </w:r>
      <w:r>
        <w:rPr>
          <w:color w:val="1B1B22"/>
        </w:rPr>
        <w:t>Brasil,</w:t>
      </w:r>
      <w:r>
        <w:rPr>
          <w:color w:val="1B1B22"/>
          <w:spacing w:val="-3"/>
        </w:rPr>
        <w:t> </w:t>
      </w:r>
      <w:r>
        <w:rPr>
          <w:color w:val="1B1B22"/>
        </w:rPr>
        <w:t>its</w:t>
      </w:r>
      <w:r>
        <w:rPr>
          <w:color w:val="1B1B22"/>
          <w:spacing w:val="-3"/>
        </w:rPr>
        <w:t> </w:t>
      </w:r>
      <w:r>
        <w:rPr>
          <w:color w:val="1B1B22"/>
        </w:rPr>
        <w:t>shareholders,</w:t>
      </w:r>
      <w:r>
        <w:rPr>
          <w:color w:val="1B1B22"/>
          <w:spacing w:val="-3"/>
        </w:rPr>
        <w:t> </w:t>
      </w:r>
      <w:r>
        <w:rPr>
          <w:color w:val="1B1B22"/>
        </w:rPr>
        <w:t>administrators</w:t>
      </w:r>
      <w:r>
        <w:rPr>
          <w:color w:val="1B1B22"/>
          <w:spacing w:val="-4"/>
        </w:rPr>
        <w:t> </w:t>
      </w:r>
      <w:r>
        <w:rPr>
          <w:color w:val="1B1B22"/>
        </w:rPr>
        <w:t>and</w:t>
      </w:r>
      <w:r>
        <w:rPr>
          <w:color w:val="1B1B22"/>
          <w:spacing w:val="-3"/>
        </w:rPr>
        <w:t> </w:t>
      </w:r>
      <w:r>
        <w:rPr>
          <w:color w:val="1B1B22"/>
        </w:rPr>
        <w:t>members</w:t>
      </w:r>
      <w:r>
        <w:rPr>
          <w:color w:val="1B1B22"/>
          <w:spacing w:val="-3"/>
        </w:rPr>
        <w:t> </w:t>
      </w:r>
      <w:r>
        <w:rPr>
          <w:color w:val="1B1B22"/>
        </w:rPr>
        <w:t>of</w:t>
      </w:r>
      <w:r>
        <w:rPr>
          <w:color w:val="1B1B22"/>
          <w:spacing w:val="-3"/>
        </w:rPr>
        <w:t> </w:t>
      </w:r>
      <w:r>
        <w:rPr>
          <w:color w:val="1B1B22"/>
        </w:rPr>
        <w:t>the</w:t>
      </w:r>
      <w:r>
        <w:rPr>
          <w:color w:val="1B1B22"/>
          <w:spacing w:val="-2"/>
        </w:rPr>
        <w:t> </w:t>
      </w:r>
      <w:r>
        <w:rPr>
          <w:color w:val="1B1B22"/>
        </w:rPr>
        <w:t>Fiscal</w:t>
      </w:r>
      <w:r>
        <w:rPr>
          <w:color w:val="1B1B22"/>
          <w:spacing w:val="-2"/>
        </w:rPr>
        <w:t> </w:t>
      </w:r>
      <w:r>
        <w:rPr>
          <w:color w:val="1B1B22"/>
        </w:rPr>
        <w:t>Council</w:t>
      </w:r>
      <w:r>
        <w:rPr>
          <w:color w:val="1B1B22"/>
          <w:spacing w:val="-3"/>
        </w:rPr>
        <w:t> </w:t>
      </w:r>
      <w:r>
        <w:rPr>
          <w:color w:val="1B1B22"/>
        </w:rPr>
        <w:t>undertake</w:t>
      </w:r>
      <w:r>
        <w:rPr>
          <w:color w:val="1B1B22"/>
          <w:spacing w:val="-4"/>
        </w:rPr>
        <w:t> </w:t>
      </w:r>
      <w:r>
        <w:rPr>
          <w:color w:val="1B1B22"/>
        </w:rPr>
        <w:t>to</w:t>
      </w:r>
      <w:r>
        <w:rPr>
          <w:color w:val="1B1B22"/>
          <w:spacing w:val="-2"/>
        </w:rPr>
        <w:t> </w:t>
      </w:r>
      <w:r>
        <w:rPr>
          <w:color w:val="1B1B22"/>
        </w:rPr>
        <w:t>resolve</w:t>
      </w:r>
      <w:r>
        <w:rPr>
          <w:color w:val="1B1B22"/>
          <w:spacing w:val="-3"/>
        </w:rPr>
        <w:t> </w:t>
      </w:r>
      <w:r>
        <w:rPr>
          <w:color w:val="1B1B22"/>
        </w:rPr>
        <w:t>any and all disputes or controversies related to the Novo Mercado Listing Regulations through the B3 Market Arbitration</w:t>
      </w:r>
      <w:r>
        <w:rPr>
          <w:color w:val="1B1B22"/>
          <w:spacing w:val="-8"/>
        </w:rPr>
        <w:t> </w:t>
      </w:r>
      <w:r>
        <w:rPr>
          <w:color w:val="1B1B22"/>
        </w:rPr>
        <w:t>Chamber,</w:t>
      </w:r>
      <w:r>
        <w:rPr>
          <w:color w:val="1B1B22"/>
          <w:spacing w:val="-8"/>
        </w:rPr>
        <w:t> </w:t>
      </w:r>
      <w:r>
        <w:rPr>
          <w:color w:val="1B1B22"/>
        </w:rPr>
        <w:t>in</w:t>
      </w:r>
      <w:r>
        <w:rPr>
          <w:color w:val="1B1B22"/>
          <w:spacing w:val="-9"/>
        </w:rPr>
        <w:t> </w:t>
      </w:r>
      <w:r>
        <w:rPr>
          <w:color w:val="1B1B22"/>
        </w:rPr>
        <w:t>accordance</w:t>
      </w:r>
      <w:r>
        <w:rPr>
          <w:color w:val="1B1B22"/>
          <w:spacing w:val="-9"/>
        </w:rPr>
        <w:t> </w:t>
      </w:r>
      <w:r>
        <w:rPr>
          <w:color w:val="1B1B22"/>
        </w:rPr>
        <w:t>with</w:t>
      </w:r>
      <w:r>
        <w:rPr>
          <w:color w:val="1B1B22"/>
          <w:spacing w:val="-7"/>
        </w:rPr>
        <w:t> </w:t>
      </w:r>
      <w:r>
        <w:rPr>
          <w:color w:val="1B1B22"/>
        </w:rPr>
        <w:t>the</w:t>
      </w:r>
      <w:r>
        <w:rPr>
          <w:color w:val="1B1B22"/>
          <w:spacing w:val="-9"/>
        </w:rPr>
        <w:t> </w:t>
      </w:r>
      <w:r>
        <w:rPr>
          <w:color w:val="1B1B22"/>
        </w:rPr>
        <w:t>arbitration</w:t>
      </w:r>
      <w:r>
        <w:rPr>
          <w:color w:val="1B1B22"/>
          <w:spacing w:val="-7"/>
        </w:rPr>
        <w:t> </w:t>
      </w:r>
      <w:r>
        <w:rPr>
          <w:color w:val="1B1B22"/>
        </w:rPr>
        <w:t>clause</w:t>
      </w:r>
      <w:r>
        <w:rPr>
          <w:color w:val="1B1B22"/>
          <w:spacing w:val="-9"/>
        </w:rPr>
        <w:t> </w:t>
      </w:r>
      <w:r>
        <w:rPr>
          <w:color w:val="1B1B22"/>
        </w:rPr>
        <w:t>contained</w:t>
      </w:r>
      <w:r>
        <w:rPr>
          <w:color w:val="1B1B22"/>
          <w:spacing w:val="-7"/>
        </w:rPr>
        <w:t> </w:t>
      </w:r>
      <w:r>
        <w:rPr>
          <w:color w:val="1B1B22"/>
        </w:rPr>
        <w:t>in</w:t>
      </w:r>
      <w:r>
        <w:rPr>
          <w:color w:val="1B1B22"/>
          <w:spacing w:val="-9"/>
        </w:rPr>
        <w:t> </w:t>
      </w:r>
      <w:r>
        <w:rPr>
          <w:color w:val="1B1B22"/>
        </w:rPr>
        <w:t>the</w:t>
      </w:r>
      <w:r>
        <w:rPr>
          <w:color w:val="1B1B22"/>
          <w:spacing w:val="-8"/>
        </w:rPr>
        <w:t> </w:t>
      </w:r>
      <w:r>
        <w:rPr>
          <w:color w:val="1B1B22"/>
        </w:rPr>
        <w:t>Bylaws</w:t>
      </w:r>
      <w:r>
        <w:rPr>
          <w:color w:val="1B1B22"/>
          <w:spacing w:val="-8"/>
        </w:rPr>
        <w:t> </w:t>
      </w:r>
      <w:r>
        <w:rPr>
          <w:color w:val="1B1B22"/>
        </w:rPr>
        <w:t>Banco</w:t>
      </w:r>
      <w:r>
        <w:rPr>
          <w:color w:val="1B1B22"/>
          <w:spacing w:val="-9"/>
        </w:rPr>
        <w:t> </w:t>
      </w:r>
      <w:r>
        <w:rPr>
          <w:color w:val="1B1B22"/>
        </w:rPr>
        <w:t>do</w:t>
      </w:r>
      <w:r>
        <w:rPr>
          <w:color w:val="1B1B22"/>
          <w:spacing w:val="-7"/>
        </w:rPr>
        <w:t> </w:t>
      </w:r>
      <w:r>
        <w:rPr>
          <w:color w:val="1B1B22"/>
        </w:rPr>
        <w:t>Brasil</w:t>
      </w:r>
      <w:r>
        <w:rPr>
          <w:color w:val="1B1B22"/>
          <w:spacing w:val="-9"/>
        </w:rPr>
        <w:t> </w:t>
      </w:r>
      <w:r>
        <w:rPr>
          <w:color w:val="1B1B22"/>
          <w:spacing w:val="-2"/>
        </w:rPr>
        <w:t>Social.</w:t>
      </w:r>
    </w:p>
    <w:p>
      <w:pPr>
        <w:pStyle w:val="BodyText"/>
        <w:spacing w:line="321" w:lineRule="auto" w:before="119"/>
        <w:ind w:right="570"/>
      </w:pPr>
      <w:r>
        <w:rPr>
          <w:color w:val="1B1B22"/>
        </w:rPr>
        <w:t>This Management Report was prepared based on the Individual and Consolidated Financial Statements prepared</w:t>
      </w:r>
      <w:r>
        <w:rPr>
          <w:color w:val="1B1B22"/>
          <w:spacing w:val="-8"/>
        </w:rPr>
        <w:t> </w:t>
      </w:r>
      <w:r>
        <w:rPr>
          <w:color w:val="1B1B22"/>
        </w:rPr>
        <w:t>in</w:t>
      </w:r>
      <w:r>
        <w:rPr>
          <w:color w:val="1B1B22"/>
          <w:spacing w:val="-8"/>
        </w:rPr>
        <w:t> </w:t>
      </w:r>
      <w:r>
        <w:rPr>
          <w:color w:val="1B1B22"/>
        </w:rPr>
        <w:t>the</w:t>
      </w:r>
      <w:r>
        <w:rPr>
          <w:color w:val="1B1B22"/>
          <w:spacing w:val="-11"/>
        </w:rPr>
        <w:t> </w:t>
      </w:r>
      <w:r>
        <w:rPr>
          <w:color w:val="1B1B22"/>
        </w:rPr>
        <w:t>Accounting</w:t>
      </w:r>
      <w:r>
        <w:rPr>
          <w:color w:val="1B1B22"/>
          <w:spacing w:val="-8"/>
        </w:rPr>
        <w:t> </w:t>
      </w:r>
      <w:r>
        <w:rPr>
          <w:color w:val="1B1B22"/>
        </w:rPr>
        <w:t>Standard</w:t>
      </w:r>
      <w:r>
        <w:rPr>
          <w:color w:val="1B1B22"/>
          <w:spacing w:val="-8"/>
        </w:rPr>
        <w:t> </w:t>
      </w:r>
      <w:r>
        <w:rPr>
          <w:color w:val="1B1B22"/>
        </w:rPr>
        <w:t>of</w:t>
      </w:r>
      <w:r>
        <w:rPr>
          <w:color w:val="1B1B22"/>
          <w:spacing w:val="-8"/>
        </w:rPr>
        <w:t> </w:t>
      </w:r>
      <w:r>
        <w:rPr>
          <w:color w:val="1B1B22"/>
        </w:rPr>
        <w:t>Institutions</w:t>
      </w:r>
      <w:r>
        <w:rPr>
          <w:color w:val="1B1B22"/>
          <w:spacing w:val="-9"/>
        </w:rPr>
        <w:t> </w:t>
      </w:r>
      <w:r>
        <w:rPr>
          <w:color w:val="1B1B22"/>
        </w:rPr>
        <w:t>Regulated</w:t>
      </w:r>
      <w:r>
        <w:rPr>
          <w:color w:val="1B1B22"/>
          <w:spacing w:val="-7"/>
        </w:rPr>
        <w:t> </w:t>
      </w:r>
      <w:r>
        <w:rPr>
          <w:color w:val="1B1B22"/>
        </w:rPr>
        <w:t>by</w:t>
      </w:r>
      <w:r>
        <w:rPr>
          <w:color w:val="1B1B22"/>
          <w:spacing w:val="-7"/>
        </w:rPr>
        <w:t> </w:t>
      </w:r>
      <w:r>
        <w:rPr>
          <w:color w:val="1B1B22"/>
        </w:rPr>
        <w:t>the</w:t>
      </w:r>
      <w:r>
        <w:rPr>
          <w:color w:val="1B1B22"/>
          <w:spacing w:val="-7"/>
        </w:rPr>
        <w:t> </w:t>
      </w:r>
      <w:r>
        <w:rPr>
          <w:color w:val="1B1B22"/>
        </w:rPr>
        <w:t>Central</w:t>
      </w:r>
      <w:r>
        <w:rPr>
          <w:color w:val="1B1B22"/>
          <w:spacing w:val="-8"/>
        </w:rPr>
        <w:t> </w:t>
      </w:r>
      <w:r>
        <w:rPr>
          <w:color w:val="1B1B22"/>
        </w:rPr>
        <w:t>Bank</w:t>
      </w:r>
      <w:r>
        <w:rPr>
          <w:color w:val="1B1B22"/>
          <w:spacing w:val="-9"/>
        </w:rPr>
        <w:t> </w:t>
      </w:r>
      <w:r>
        <w:rPr>
          <w:color w:val="1B1B22"/>
        </w:rPr>
        <w:t>of</w:t>
      </w:r>
      <w:r>
        <w:rPr>
          <w:color w:val="1B1B22"/>
          <w:spacing w:val="-9"/>
        </w:rPr>
        <w:t> </w:t>
      </w:r>
      <w:r>
        <w:rPr>
          <w:color w:val="1B1B22"/>
        </w:rPr>
        <w:t>Brazil</w:t>
      </w:r>
      <w:r>
        <w:rPr>
          <w:color w:val="1B1B22"/>
          <w:spacing w:val="-7"/>
        </w:rPr>
        <w:t> </w:t>
      </w:r>
      <w:r>
        <w:rPr>
          <w:color w:val="1B1B22"/>
        </w:rPr>
        <w:t>(Cosif).</w:t>
      </w:r>
      <w:r>
        <w:rPr>
          <w:color w:val="1B1B22"/>
          <w:spacing w:val="-7"/>
        </w:rPr>
        <w:t> </w:t>
      </w:r>
      <w:r>
        <w:rPr>
          <w:color w:val="1B1B22"/>
        </w:rPr>
        <w:t>For</w:t>
      </w:r>
      <w:r>
        <w:rPr>
          <w:color w:val="1B1B22"/>
          <w:spacing w:val="-8"/>
        </w:rPr>
        <w:t> </w:t>
      </w:r>
      <w:r>
        <w:rPr>
          <w:color w:val="1B1B22"/>
        </w:rPr>
        <w:t>more information, the Reference Form, the Performance Analysis report and the Institutional Presentation are available on the Investor Relations website (ri.bb.com.br). Relations website (ri.bb.com.br).</w:t>
      </w:r>
    </w:p>
    <w:sectPr>
      <w:pgSz w:w="11910" w:h="16840"/>
      <w:pgMar w:header="152" w:footer="591" w:top="900" w:bottom="780" w:left="0" w:right="2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BancoDoBrasil Textos">
    <w:altName w:val="BancoDoBrasil Textos"/>
    <w:charset w:val="0"/>
    <w:family w:val="auto"/>
    <w:pitch w:val="variable"/>
  </w:font>
  <w:font w:name="BancoDoBrasil Textos Light">
    <w:altName w:val="BancoDoBrasil Textos Light"/>
    <w:charset w:val="0"/>
    <w:family w:val="auto"/>
    <w:pitch w:val="variable"/>
  </w:font>
  <w:font w:name="BancoDoBrasil Textos Medium">
    <w:altName w:val="BancoDoBrasil Textos Medium"/>
    <w:charset w:val="0"/>
    <w:family w:val="auto"/>
    <w:pitch w:val="variable"/>
  </w:font>
  <w:font w:name="BancoDoBrasil Titulos">
    <w:altName w:val="BancoDoBrasil Titulos"/>
    <w:charset w:val="0"/>
    <w:family w:val="auto"/>
    <w:pitch w:val="variable"/>
  </w:font>
  <w:font w:name="BancoDoBrasil Titulos Light">
    <w:altName w:val="BancoDoBrasil Titulos Light"/>
    <w:charset w:val="0"/>
    <w:family w:val="auto"/>
    <w:pitch w:val="variable"/>
  </w:font>
  <w:font w:name="BancoDoBrasil Titulos Medium">
    <w:altName w:val="BancoDoBrasil Titulos Medium"/>
    <w:charset w:val="0"/>
    <w:family w:val="auto"/>
    <w:pitch w:val="variable"/>
  </w:font>
  <w:font w:name="BancoDoBrasil Titulos ExtraBold">
    <w:altName w:val="BancoDoBrasil Titulos ExtraBold"/>
    <w:charset w:val="0"/>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mc:AlternateContent>
        <mc:Choice Requires="wps">
          <w:drawing>
            <wp:anchor distT="0" distB="0" distL="0" distR="0" allowOverlap="1" layoutInCell="1" locked="0" behindDoc="1" simplePos="0" relativeHeight="487270400">
              <wp:simplePos x="0" y="0"/>
              <wp:positionH relativeFrom="page">
                <wp:posOffset>5334</wp:posOffset>
              </wp:positionH>
              <wp:positionV relativeFrom="page">
                <wp:posOffset>10153650</wp:posOffset>
              </wp:positionV>
              <wp:extent cx="7556500" cy="539750"/>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7556500" cy="539750"/>
                      </a:xfrm>
                      <a:custGeom>
                        <a:avLst/>
                        <a:gdLst/>
                        <a:ahLst/>
                        <a:cxnLst/>
                        <a:rect l="l" t="t" r="r" b="b"/>
                        <a:pathLst>
                          <a:path w="7556500" h="539750">
                            <a:moveTo>
                              <a:pt x="7555992" y="0"/>
                            </a:moveTo>
                            <a:lnTo>
                              <a:pt x="7025386" y="0"/>
                            </a:lnTo>
                            <a:lnTo>
                              <a:pt x="6485890" y="0"/>
                            </a:lnTo>
                            <a:lnTo>
                              <a:pt x="539496" y="0"/>
                            </a:lnTo>
                            <a:lnTo>
                              <a:pt x="0" y="0"/>
                            </a:lnTo>
                            <a:lnTo>
                              <a:pt x="0" y="539496"/>
                            </a:lnTo>
                            <a:lnTo>
                              <a:pt x="539496" y="539496"/>
                            </a:lnTo>
                            <a:lnTo>
                              <a:pt x="6485890" y="539496"/>
                            </a:lnTo>
                            <a:lnTo>
                              <a:pt x="7025386" y="539496"/>
                            </a:lnTo>
                            <a:lnTo>
                              <a:pt x="7555992" y="539496"/>
                            </a:lnTo>
                            <a:lnTo>
                              <a:pt x="7555992" y="0"/>
                            </a:lnTo>
                            <a:close/>
                          </a:path>
                        </a:pathLst>
                      </a:custGeom>
                      <a:solidFill>
                        <a:srgbClr val="FBFB2F"/>
                      </a:solidFill>
                    </wps:spPr>
                    <wps:bodyPr wrap="square" lIns="0" tIns="0" rIns="0" bIns="0" rtlCol="0">
                      <a:prstTxWarp prst="textNoShape">
                        <a:avLst/>
                      </a:prstTxWarp>
                      <a:noAutofit/>
                    </wps:bodyPr>
                  </wps:wsp>
                </a:graphicData>
              </a:graphic>
            </wp:anchor>
          </w:drawing>
        </mc:Choice>
        <mc:Fallback>
          <w:pict>
            <v:shape style="position:absolute;margin-left:.42pt;margin-top:799.5pt;width:595pt;height:42.5pt;mso-position-horizontal-relative:page;mso-position-vertical-relative:page;z-index:-16046080" id="docshape11" coordorigin="8,15990" coordsize="11900,850" path="m11908,15990l11072,15990,10222,15990,858,15990,8,15990,8,16840,858,16840,10222,16840,11072,16840,11908,16840,11908,15990xe" filled="true" fillcolor="#fbfb2f" stroked="false">
              <v:path arrowok="t"/>
              <v:fill type="solid"/>
              <w10:wrap type="none"/>
            </v:shape>
          </w:pict>
        </mc:Fallback>
      </mc:AlternateContent>
    </w:r>
    <w:r>
      <w:rPr/>
      <mc:AlternateContent>
        <mc:Choice Requires="wps">
          <w:drawing>
            <wp:anchor distT="0" distB="0" distL="0" distR="0" allowOverlap="1" layoutInCell="1" locked="0" behindDoc="1" simplePos="0" relativeHeight="487270912">
              <wp:simplePos x="0" y="0"/>
              <wp:positionH relativeFrom="page">
                <wp:posOffset>532130</wp:posOffset>
              </wp:positionH>
              <wp:positionV relativeFrom="page">
                <wp:posOffset>10339595</wp:posOffset>
              </wp:positionV>
              <wp:extent cx="2813050" cy="16891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2813050" cy="168910"/>
                      </a:xfrm>
                      <a:prstGeom prst="rect">
                        <a:avLst/>
                      </a:prstGeom>
                    </wps:spPr>
                    <wps:txbx>
                      <w:txbxContent>
                        <w:p>
                          <w:pPr>
                            <w:pStyle w:val="BodyText"/>
                            <w:spacing w:line="253" w:lineRule="exact"/>
                            <w:ind w:left="20"/>
                            <w:jc w:val="left"/>
                            <w:rPr>
                              <w:rFonts w:ascii="BancoDoBrasil Titulos Light"/>
                              <w:b w:val="0"/>
                            </w:rPr>
                          </w:pPr>
                          <w:r>
                            <w:rPr>
                              <w:rFonts w:ascii="BancoDoBrasil Titulos Medium"/>
                              <w:b w:val="0"/>
                              <w:color w:val="465EFF"/>
                              <w:spacing w:val="15"/>
                            </w:rPr>
                            <w:t>Banco</w:t>
                          </w:r>
                          <w:r>
                            <w:rPr>
                              <w:rFonts w:ascii="BancoDoBrasil Titulos Medium"/>
                              <w:b w:val="0"/>
                              <w:color w:val="465EFF"/>
                              <w:spacing w:val="41"/>
                            </w:rPr>
                            <w:t> </w:t>
                          </w:r>
                          <w:r>
                            <w:rPr>
                              <w:rFonts w:ascii="BancoDoBrasil Titulos Medium"/>
                              <w:b w:val="0"/>
                              <w:color w:val="465EFF"/>
                              <w:spacing w:val="9"/>
                            </w:rPr>
                            <w:t>do</w:t>
                          </w:r>
                          <w:r>
                            <w:rPr>
                              <w:rFonts w:ascii="BancoDoBrasil Titulos Medium"/>
                              <w:b w:val="0"/>
                              <w:color w:val="465EFF"/>
                              <w:spacing w:val="40"/>
                            </w:rPr>
                            <w:t> </w:t>
                          </w:r>
                          <w:r>
                            <w:rPr>
                              <w:rFonts w:ascii="BancoDoBrasil Titulos Medium"/>
                              <w:b w:val="0"/>
                              <w:color w:val="465EFF"/>
                              <w:spacing w:val="15"/>
                            </w:rPr>
                            <w:t>Brasil</w:t>
                          </w:r>
                          <w:r>
                            <w:rPr>
                              <w:rFonts w:ascii="BancoDoBrasil Titulos Medium"/>
                              <w:b w:val="0"/>
                              <w:color w:val="465EFF"/>
                              <w:spacing w:val="43"/>
                            </w:rPr>
                            <w:t> </w:t>
                          </w:r>
                          <w:r>
                            <w:rPr>
                              <w:rFonts w:ascii="BancoDoBrasil Titulos Medium"/>
                              <w:b w:val="0"/>
                              <w:color w:val="465EFF"/>
                            </w:rPr>
                            <w:t>S.</w:t>
                          </w:r>
                          <w:r>
                            <w:rPr>
                              <w:rFonts w:ascii="BancoDoBrasil Titulos Medium"/>
                              <w:b w:val="0"/>
                              <w:color w:val="465EFF"/>
                              <w:spacing w:val="-29"/>
                            </w:rPr>
                            <w:t> </w:t>
                          </w:r>
                          <w:r>
                            <w:rPr>
                              <w:rFonts w:ascii="BancoDoBrasil Titulos Medium"/>
                              <w:b w:val="0"/>
                              <w:color w:val="465EFF"/>
                              <w:spacing w:val="10"/>
                            </w:rPr>
                            <w:t>A.</w:t>
                          </w:r>
                          <w:r>
                            <w:rPr>
                              <w:rFonts w:ascii="BancoDoBrasil Titulos Medium"/>
                              <w:b w:val="0"/>
                              <w:color w:val="465EFF"/>
                              <w:spacing w:val="47"/>
                            </w:rPr>
                            <w:t> </w:t>
                          </w:r>
                          <w:r>
                            <w:rPr>
                              <w:rFonts w:ascii="BancoDoBrasil Titulos Medium"/>
                              <w:b w:val="0"/>
                              <w:color w:val="465EFF"/>
                            </w:rPr>
                            <w:t>|</w:t>
                          </w:r>
                          <w:r>
                            <w:rPr>
                              <w:rFonts w:ascii="BancoDoBrasil Titulos Medium"/>
                              <w:b w:val="0"/>
                              <w:color w:val="465EFF"/>
                              <w:spacing w:val="42"/>
                            </w:rPr>
                            <w:t> </w:t>
                          </w:r>
                          <w:r>
                            <w:rPr>
                              <w:rFonts w:ascii="BancoDoBrasil Titulos Light"/>
                              <w:b w:val="0"/>
                              <w:color w:val="465EFF"/>
                              <w:spacing w:val="15"/>
                            </w:rPr>
                            <w:t>Investor</w:t>
                          </w:r>
                          <w:r>
                            <w:rPr>
                              <w:rFonts w:ascii="BancoDoBrasil Titulos Light"/>
                              <w:b w:val="0"/>
                              <w:color w:val="465EFF"/>
                              <w:spacing w:val="41"/>
                            </w:rPr>
                            <w:t> </w:t>
                          </w:r>
                          <w:r>
                            <w:rPr>
                              <w:rFonts w:ascii="BancoDoBrasil Titulos Light"/>
                              <w:b w:val="0"/>
                              <w:color w:val="465EFF"/>
                              <w:spacing w:val="14"/>
                            </w:rPr>
                            <w:t>Relations</w:t>
                          </w:r>
                        </w:p>
                      </w:txbxContent>
                    </wps:txbx>
                    <wps:bodyPr wrap="square" lIns="0" tIns="0" rIns="0" bIns="0" rtlCol="0">
                      <a:noAutofit/>
                    </wps:bodyPr>
                  </wps:wsp>
                </a:graphicData>
              </a:graphic>
            </wp:anchor>
          </w:drawing>
        </mc:Choice>
        <mc:Fallback>
          <w:pict>
            <v:shape style="position:absolute;margin-left:41.900002pt;margin-top:814.141357pt;width:221.5pt;height:13.3pt;mso-position-horizontal-relative:page;mso-position-vertical-relative:page;z-index:-16045568" type="#_x0000_t202" id="docshape12" filled="false" stroked="false">
              <v:textbox inset="0,0,0,0">
                <w:txbxContent>
                  <w:p>
                    <w:pPr>
                      <w:pStyle w:val="BodyText"/>
                      <w:spacing w:line="253" w:lineRule="exact"/>
                      <w:ind w:left="20"/>
                      <w:jc w:val="left"/>
                      <w:rPr>
                        <w:rFonts w:ascii="BancoDoBrasil Titulos Light"/>
                        <w:b w:val="0"/>
                      </w:rPr>
                    </w:pPr>
                    <w:r>
                      <w:rPr>
                        <w:rFonts w:ascii="BancoDoBrasil Titulos Medium"/>
                        <w:b w:val="0"/>
                        <w:color w:val="465EFF"/>
                        <w:spacing w:val="15"/>
                      </w:rPr>
                      <w:t>Banco</w:t>
                    </w:r>
                    <w:r>
                      <w:rPr>
                        <w:rFonts w:ascii="BancoDoBrasil Titulos Medium"/>
                        <w:b w:val="0"/>
                        <w:color w:val="465EFF"/>
                        <w:spacing w:val="41"/>
                      </w:rPr>
                      <w:t> </w:t>
                    </w:r>
                    <w:r>
                      <w:rPr>
                        <w:rFonts w:ascii="BancoDoBrasil Titulos Medium"/>
                        <w:b w:val="0"/>
                        <w:color w:val="465EFF"/>
                        <w:spacing w:val="9"/>
                      </w:rPr>
                      <w:t>do</w:t>
                    </w:r>
                    <w:r>
                      <w:rPr>
                        <w:rFonts w:ascii="BancoDoBrasil Titulos Medium"/>
                        <w:b w:val="0"/>
                        <w:color w:val="465EFF"/>
                        <w:spacing w:val="40"/>
                      </w:rPr>
                      <w:t> </w:t>
                    </w:r>
                    <w:r>
                      <w:rPr>
                        <w:rFonts w:ascii="BancoDoBrasil Titulos Medium"/>
                        <w:b w:val="0"/>
                        <w:color w:val="465EFF"/>
                        <w:spacing w:val="15"/>
                      </w:rPr>
                      <w:t>Brasil</w:t>
                    </w:r>
                    <w:r>
                      <w:rPr>
                        <w:rFonts w:ascii="BancoDoBrasil Titulos Medium"/>
                        <w:b w:val="0"/>
                        <w:color w:val="465EFF"/>
                        <w:spacing w:val="43"/>
                      </w:rPr>
                      <w:t> </w:t>
                    </w:r>
                    <w:r>
                      <w:rPr>
                        <w:rFonts w:ascii="BancoDoBrasil Titulos Medium"/>
                        <w:b w:val="0"/>
                        <w:color w:val="465EFF"/>
                      </w:rPr>
                      <w:t>S.</w:t>
                    </w:r>
                    <w:r>
                      <w:rPr>
                        <w:rFonts w:ascii="BancoDoBrasil Titulos Medium"/>
                        <w:b w:val="0"/>
                        <w:color w:val="465EFF"/>
                        <w:spacing w:val="-29"/>
                      </w:rPr>
                      <w:t> </w:t>
                    </w:r>
                    <w:r>
                      <w:rPr>
                        <w:rFonts w:ascii="BancoDoBrasil Titulos Medium"/>
                        <w:b w:val="0"/>
                        <w:color w:val="465EFF"/>
                        <w:spacing w:val="10"/>
                      </w:rPr>
                      <w:t>A.</w:t>
                    </w:r>
                    <w:r>
                      <w:rPr>
                        <w:rFonts w:ascii="BancoDoBrasil Titulos Medium"/>
                        <w:b w:val="0"/>
                        <w:color w:val="465EFF"/>
                        <w:spacing w:val="47"/>
                      </w:rPr>
                      <w:t> </w:t>
                    </w:r>
                    <w:r>
                      <w:rPr>
                        <w:rFonts w:ascii="BancoDoBrasil Titulos Medium"/>
                        <w:b w:val="0"/>
                        <w:color w:val="465EFF"/>
                      </w:rPr>
                      <w:t>|</w:t>
                    </w:r>
                    <w:r>
                      <w:rPr>
                        <w:rFonts w:ascii="BancoDoBrasil Titulos Medium"/>
                        <w:b w:val="0"/>
                        <w:color w:val="465EFF"/>
                        <w:spacing w:val="42"/>
                      </w:rPr>
                      <w:t> </w:t>
                    </w:r>
                    <w:r>
                      <w:rPr>
                        <w:rFonts w:ascii="BancoDoBrasil Titulos Light"/>
                        <w:b w:val="0"/>
                        <w:color w:val="465EFF"/>
                        <w:spacing w:val="15"/>
                      </w:rPr>
                      <w:t>Investor</w:t>
                    </w:r>
                    <w:r>
                      <w:rPr>
                        <w:rFonts w:ascii="BancoDoBrasil Titulos Light"/>
                        <w:b w:val="0"/>
                        <w:color w:val="465EFF"/>
                        <w:spacing w:val="41"/>
                      </w:rPr>
                      <w:t> </w:t>
                    </w:r>
                    <w:r>
                      <w:rPr>
                        <w:rFonts w:ascii="BancoDoBrasil Titulos Light"/>
                        <w:b w:val="0"/>
                        <w:color w:val="465EFF"/>
                        <w:spacing w:val="14"/>
                      </w:rPr>
                      <w:t>Relations</w:t>
                    </w:r>
                  </w:p>
                </w:txbxContent>
              </v:textbox>
              <w10:wrap type="none"/>
            </v:shape>
          </w:pict>
        </mc:Fallback>
      </mc:AlternateContent>
    </w:r>
    <w:r>
      <w:rPr/>
      <mc:AlternateContent>
        <mc:Choice Requires="wps">
          <w:drawing>
            <wp:anchor distT="0" distB="0" distL="0" distR="0" allowOverlap="1" layoutInCell="1" locked="0" behindDoc="1" simplePos="0" relativeHeight="487271424">
              <wp:simplePos x="0" y="0"/>
              <wp:positionH relativeFrom="page">
                <wp:posOffset>6903466</wp:posOffset>
              </wp:positionH>
              <wp:positionV relativeFrom="page">
                <wp:posOffset>10339595</wp:posOffset>
              </wp:positionV>
              <wp:extent cx="165100" cy="16891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165100" cy="168910"/>
                      </a:xfrm>
                      <a:prstGeom prst="rect">
                        <a:avLst/>
                      </a:prstGeom>
                    </wps:spPr>
                    <wps:txbx>
                      <w:txbxContent>
                        <w:p>
                          <w:pPr>
                            <w:pStyle w:val="BodyText"/>
                            <w:spacing w:line="253" w:lineRule="exact"/>
                            <w:ind w:left="60"/>
                            <w:jc w:val="left"/>
                            <w:rPr>
                              <w:rFonts w:ascii="BancoDoBrasil Titulos Medium"/>
                              <w:b w:val="0"/>
                            </w:rPr>
                          </w:pPr>
                          <w:r>
                            <w:rPr>
                              <w:rFonts w:ascii="BancoDoBrasil Titulos Medium"/>
                              <w:b w:val="0"/>
                              <w:color w:val="465EFF"/>
                              <w:spacing w:val="-10"/>
                            </w:rPr>
                            <w:fldChar w:fldCharType="begin"/>
                          </w:r>
                          <w:r>
                            <w:rPr>
                              <w:rFonts w:ascii="BancoDoBrasil Titulos Medium"/>
                              <w:b w:val="0"/>
                              <w:color w:val="465EFF"/>
                              <w:spacing w:val="-10"/>
                            </w:rPr>
                            <w:instrText> PAGE </w:instrText>
                          </w:r>
                          <w:r>
                            <w:rPr>
                              <w:rFonts w:ascii="BancoDoBrasil Titulos Medium"/>
                              <w:b w:val="0"/>
                              <w:color w:val="465EFF"/>
                              <w:spacing w:val="-10"/>
                            </w:rPr>
                            <w:fldChar w:fldCharType="separate"/>
                          </w:r>
                          <w:r>
                            <w:rPr>
                              <w:rFonts w:ascii="BancoDoBrasil Titulos Medium"/>
                              <w:b w:val="0"/>
                              <w:color w:val="465EFF"/>
                              <w:spacing w:val="-10"/>
                            </w:rPr>
                            <w:t>2</w:t>
                          </w:r>
                          <w:r>
                            <w:rPr>
                              <w:rFonts w:ascii="BancoDoBrasil Titulos Medium"/>
                              <w:b w:val="0"/>
                              <w:color w:val="465EFF"/>
                              <w:spacing w:val="-10"/>
                            </w:rPr>
                            <w:fldChar w:fldCharType="end"/>
                          </w:r>
                        </w:p>
                      </w:txbxContent>
                    </wps:txbx>
                    <wps:bodyPr wrap="square" lIns="0" tIns="0" rIns="0" bIns="0" rtlCol="0">
                      <a:noAutofit/>
                    </wps:bodyPr>
                  </wps:wsp>
                </a:graphicData>
              </a:graphic>
            </wp:anchor>
          </w:drawing>
        </mc:Choice>
        <mc:Fallback>
          <w:pict>
            <v:shape style="position:absolute;margin-left:543.580017pt;margin-top:814.141357pt;width:13pt;height:13.3pt;mso-position-horizontal-relative:page;mso-position-vertical-relative:page;z-index:-16045056" type="#_x0000_t202" id="docshape13" filled="false" stroked="false">
              <v:textbox inset="0,0,0,0">
                <w:txbxContent>
                  <w:p>
                    <w:pPr>
                      <w:pStyle w:val="BodyText"/>
                      <w:spacing w:line="253" w:lineRule="exact"/>
                      <w:ind w:left="60"/>
                      <w:jc w:val="left"/>
                      <w:rPr>
                        <w:rFonts w:ascii="BancoDoBrasil Titulos Medium"/>
                        <w:b w:val="0"/>
                      </w:rPr>
                    </w:pPr>
                    <w:r>
                      <w:rPr>
                        <w:rFonts w:ascii="BancoDoBrasil Titulos Medium"/>
                        <w:b w:val="0"/>
                        <w:color w:val="465EFF"/>
                        <w:spacing w:val="-10"/>
                      </w:rPr>
                      <w:fldChar w:fldCharType="begin"/>
                    </w:r>
                    <w:r>
                      <w:rPr>
                        <w:rFonts w:ascii="BancoDoBrasil Titulos Medium"/>
                        <w:b w:val="0"/>
                        <w:color w:val="465EFF"/>
                        <w:spacing w:val="-10"/>
                      </w:rPr>
                      <w:instrText> PAGE </w:instrText>
                    </w:r>
                    <w:r>
                      <w:rPr>
                        <w:rFonts w:ascii="BancoDoBrasil Titulos Medium"/>
                        <w:b w:val="0"/>
                        <w:color w:val="465EFF"/>
                        <w:spacing w:val="-10"/>
                      </w:rPr>
                      <w:fldChar w:fldCharType="separate"/>
                    </w:r>
                    <w:r>
                      <w:rPr>
                        <w:rFonts w:ascii="BancoDoBrasil Titulos Medium"/>
                        <w:b w:val="0"/>
                        <w:color w:val="465EFF"/>
                        <w:spacing w:val="-10"/>
                      </w:rPr>
                      <w:t>2</w:t>
                    </w:r>
                    <w:r>
                      <w:rPr>
                        <w:rFonts w:ascii="BancoDoBrasil Titulos Medium"/>
                        <w:b w:val="0"/>
                        <w:color w:val="465EFF"/>
                        <w:spacing w:val="-10"/>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mc:AlternateContent>
        <mc:Choice Requires="wps">
          <w:drawing>
            <wp:anchor distT="0" distB="0" distL="0" distR="0" allowOverlap="1" layoutInCell="1" locked="0" behindDoc="1" simplePos="0" relativeHeight="487273472">
              <wp:simplePos x="0" y="0"/>
              <wp:positionH relativeFrom="page">
                <wp:posOffset>5334</wp:posOffset>
              </wp:positionH>
              <wp:positionV relativeFrom="page">
                <wp:posOffset>10139946</wp:posOffset>
              </wp:positionV>
              <wp:extent cx="7556500" cy="539750"/>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7556500" cy="539750"/>
                      </a:xfrm>
                      <a:custGeom>
                        <a:avLst/>
                        <a:gdLst/>
                        <a:ahLst/>
                        <a:cxnLst/>
                        <a:rect l="l" t="t" r="r" b="b"/>
                        <a:pathLst>
                          <a:path w="7556500" h="539750">
                            <a:moveTo>
                              <a:pt x="6486639" y="0"/>
                            </a:moveTo>
                            <a:lnTo>
                              <a:pt x="539496" y="0"/>
                            </a:lnTo>
                            <a:lnTo>
                              <a:pt x="0" y="0"/>
                            </a:lnTo>
                            <a:lnTo>
                              <a:pt x="0" y="539483"/>
                            </a:lnTo>
                            <a:lnTo>
                              <a:pt x="539496" y="539483"/>
                            </a:lnTo>
                            <a:lnTo>
                              <a:pt x="6486639" y="539483"/>
                            </a:lnTo>
                            <a:lnTo>
                              <a:pt x="6486639" y="0"/>
                            </a:lnTo>
                            <a:close/>
                          </a:path>
                          <a:path w="7556500" h="539750">
                            <a:moveTo>
                              <a:pt x="7555992" y="0"/>
                            </a:moveTo>
                            <a:lnTo>
                              <a:pt x="7026148" y="0"/>
                            </a:lnTo>
                            <a:lnTo>
                              <a:pt x="6486652" y="0"/>
                            </a:lnTo>
                            <a:lnTo>
                              <a:pt x="6486652" y="539483"/>
                            </a:lnTo>
                            <a:lnTo>
                              <a:pt x="7026148" y="539483"/>
                            </a:lnTo>
                            <a:lnTo>
                              <a:pt x="7555992" y="539483"/>
                            </a:lnTo>
                            <a:lnTo>
                              <a:pt x="7555992" y="0"/>
                            </a:lnTo>
                            <a:close/>
                          </a:path>
                        </a:pathLst>
                      </a:custGeom>
                      <a:solidFill>
                        <a:srgbClr val="FBFB2F"/>
                      </a:solidFill>
                    </wps:spPr>
                    <wps:bodyPr wrap="square" lIns="0" tIns="0" rIns="0" bIns="0" rtlCol="0">
                      <a:prstTxWarp prst="textNoShape">
                        <a:avLst/>
                      </a:prstTxWarp>
                      <a:noAutofit/>
                    </wps:bodyPr>
                  </wps:wsp>
                </a:graphicData>
              </a:graphic>
            </wp:anchor>
          </w:drawing>
        </mc:Choice>
        <mc:Fallback>
          <w:pict>
            <v:shape style="position:absolute;margin-left:.42pt;margin-top:798.420959pt;width:595pt;height:42.5pt;mso-position-horizontal-relative:page;mso-position-vertical-relative:page;z-index:-16043008" id="docshape24" coordorigin="8,15968" coordsize="11900,850" path="m10224,15968l858,15968,8,15968,8,16818,858,16818,10224,16818,10224,15968xm11908,15968l11073,15968,10224,15968,10224,16818,11073,16818,11908,16818,11908,15968xe" filled="true" fillcolor="#fbfb2f" stroked="false">
              <v:path arrowok="t"/>
              <v:fill type="solid"/>
              <w10:wrap type="none"/>
            </v:shape>
          </w:pict>
        </mc:Fallback>
      </mc:AlternateContent>
    </w:r>
    <w:r>
      <w:rPr/>
      <mc:AlternateContent>
        <mc:Choice Requires="wps">
          <w:drawing>
            <wp:anchor distT="0" distB="0" distL="0" distR="0" allowOverlap="1" layoutInCell="1" locked="0" behindDoc="1" simplePos="0" relativeHeight="487273984">
              <wp:simplePos x="0" y="0"/>
              <wp:positionH relativeFrom="page">
                <wp:posOffset>532130</wp:posOffset>
              </wp:positionH>
              <wp:positionV relativeFrom="page">
                <wp:posOffset>10326641</wp:posOffset>
              </wp:positionV>
              <wp:extent cx="2813050" cy="168910"/>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2813050" cy="168910"/>
                      </a:xfrm>
                      <a:prstGeom prst="rect">
                        <a:avLst/>
                      </a:prstGeom>
                    </wps:spPr>
                    <wps:txbx>
                      <w:txbxContent>
                        <w:p>
                          <w:pPr>
                            <w:pStyle w:val="BodyText"/>
                            <w:spacing w:line="253" w:lineRule="exact"/>
                            <w:ind w:left="20"/>
                            <w:jc w:val="left"/>
                            <w:rPr>
                              <w:rFonts w:ascii="BancoDoBrasil Titulos Light"/>
                              <w:b w:val="0"/>
                            </w:rPr>
                          </w:pPr>
                          <w:r>
                            <w:rPr>
                              <w:rFonts w:ascii="BancoDoBrasil Titulos Medium"/>
                              <w:b w:val="0"/>
                              <w:color w:val="465EFF"/>
                              <w:spacing w:val="15"/>
                            </w:rPr>
                            <w:t>Banco</w:t>
                          </w:r>
                          <w:r>
                            <w:rPr>
                              <w:rFonts w:ascii="BancoDoBrasil Titulos Medium"/>
                              <w:b w:val="0"/>
                              <w:color w:val="465EFF"/>
                              <w:spacing w:val="41"/>
                            </w:rPr>
                            <w:t> </w:t>
                          </w:r>
                          <w:r>
                            <w:rPr>
                              <w:rFonts w:ascii="BancoDoBrasil Titulos Medium"/>
                              <w:b w:val="0"/>
                              <w:color w:val="465EFF"/>
                              <w:spacing w:val="9"/>
                            </w:rPr>
                            <w:t>do</w:t>
                          </w:r>
                          <w:r>
                            <w:rPr>
                              <w:rFonts w:ascii="BancoDoBrasil Titulos Medium"/>
                              <w:b w:val="0"/>
                              <w:color w:val="465EFF"/>
                              <w:spacing w:val="40"/>
                            </w:rPr>
                            <w:t> </w:t>
                          </w:r>
                          <w:r>
                            <w:rPr>
                              <w:rFonts w:ascii="BancoDoBrasil Titulos Medium"/>
                              <w:b w:val="0"/>
                              <w:color w:val="465EFF"/>
                              <w:spacing w:val="15"/>
                            </w:rPr>
                            <w:t>Brasil</w:t>
                          </w:r>
                          <w:r>
                            <w:rPr>
                              <w:rFonts w:ascii="BancoDoBrasil Titulos Medium"/>
                              <w:b w:val="0"/>
                              <w:color w:val="465EFF"/>
                              <w:spacing w:val="43"/>
                            </w:rPr>
                            <w:t> </w:t>
                          </w:r>
                          <w:r>
                            <w:rPr>
                              <w:rFonts w:ascii="BancoDoBrasil Titulos Medium"/>
                              <w:b w:val="0"/>
                              <w:color w:val="465EFF"/>
                            </w:rPr>
                            <w:t>S.</w:t>
                          </w:r>
                          <w:r>
                            <w:rPr>
                              <w:rFonts w:ascii="BancoDoBrasil Titulos Medium"/>
                              <w:b w:val="0"/>
                              <w:color w:val="465EFF"/>
                              <w:spacing w:val="-29"/>
                            </w:rPr>
                            <w:t> </w:t>
                          </w:r>
                          <w:r>
                            <w:rPr>
                              <w:rFonts w:ascii="BancoDoBrasil Titulos Medium"/>
                              <w:b w:val="0"/>
                              <w:color w:val="465EFF"/>
                              <w:spacing w:val="10"/>
                            </w:rPr>
                            <w:t>A.</w:t>
                          </w:r>
                          <w:r>
                            <w:rPr>
                              <w:rFonts w:ascii="BancoDoBrasil Titulos Medium"/>
                              <w:b w:val="0"/>
                              <w:color w:val="465EFF"/>
                              <w:spacing w:val="47"/>
                            </w:rPr>
                            <w:t> </w:t>
                          </w:r>
                          <w:r>
                            <w:rPr>
                              <w:rFonts w:ascii="BancoDoBrasil Titulos Medium"/>
                              <w:b w:val="0"/>
                              <w:color w:val="465EFF"/>
                            </w:rPr>
                            <w:t>|</w:t>
                          </w:r>
                          <w:r>
                            <w:rPr>
                              <w:rFonts w:ascii="BancoDoBrasil Titulos Medium"/>
                              <w:b w:val="0"/>
                              <w:color w:val="465EFF"/>
                              <w:spacing w:val="42"/>
                            </w:rPr>
                            <w:t> </w:t>
                          </w:r>
                          <w:r>
                            <w:rPr>
                              <w:rFonts w:ascii="BancoDoBrasil Titulos Light"/>
                              <w:b w:val="0"/>
                              <w:color w:val="465EFF"/>
                              <w:spacing w:val="15"/>
                            </w:rPr>
                            <w:t>Investor</w:t>
                          </w:r>
                          <w:r>
                            <w:rPr>
                              <w:rFonts w:ascii="BancoDoBrasil Titulos Light"/>
                              <w:b w:val="0"/>
                              <w:color w:val="465EFF"/>
                              <w:spacing w:val="41"/>
                            </w:rPr>
                            <w:t> </w:t>
                          </w:r>
                          <w:r>
                            <w:rPr>
                              <w:rFonts w:ascii="BancoDoBrasil Titulos Light"/>
                              <w:b w:val="0"/>
                              <w:color w:val="465EFF"/>
                              <w:spacing w:val="14"/>
                            </w:rPr>
                            <w:t>Relations</w:t>
                          </w:r>
                        </w:p>
                      </w:txbxContent>
                    </wps:txbx>
                    <wps:bodyPr wrap="square" lIns="0" tIns="0" rIns="0" bIns="0" rtlCol="0">
                      <a:noAutofit/>
                    </wps:bodyPr>
                  </wps:wsp>
                </a:graphicData>
              </a:graphic>
            </wp:anchor>
          </w:drawing>
        </mc:Choice>
        <mc:Fallback>
          <w:pict>
            <v:shape style="position:absolute;margin-left:41.900002pt;margin-top:813.121399pt;width:221.5pt;height:13.3pt;mso-position-horizontal-relative:page;mso-position-vertical-relative:page;z-index:-16042496" type="#_x0000_t202" id="docshape25" filled="false" stroked="false">
              <v:textbox inset="0,0,0,0">
                <w:txbxContent>
                  <w:p>
                    <w:pPr>
                      <w:pStyle w:val="BodyText"/>
                      <w:spacing w:line="253" w:lineRule="exact"/>
                      <w:ind w:left="20"/>
                      <w:jc w:val="left"/>
                      <w:rPr>
                        <w:rFonts w:ascii="BancoDoBrasil Titulos Light"/>
                        <w:b w:val="0"/>
                      </w:rPr>
                    </w:pPr>
                    <w:r>
                      <w:rPr>
                        <w:rFonts w:ascii="BancoDoBrasil Titulos Medium"/>
                        <w:b w:val="0"/>
                        <w:color w:val="465EFF"/>
                        <w:spacing w:val="15"/>
                      </w:rPr>
                      <w:t>Banco</w:t>
                    </w:r>
                    <w:r>
                      <w:rPr>
                        <w:rFonts w:ascii="BancoDoBrasil Titulos Medium"/>
                        <w:b w:val="0"/>
                        <w:color w:val="465EFF"/>
                        <w:spacing w:val="41"/>
                      </w:rPr>
                      <w:t> </w:t>
                    </w:r>
                    <w:r>
                      <w:rPr>
                        <w:rFonts w:ascii="BancoDoBrasil Titulos Medium"/>
                        <w:b w:val="0"/>
                        <w:color w:val="465EFF"/>
                        <w:spacing w:val="9"/>
                      </w:rPr>
                      <w:t>do</w:t>
                    </w:r>
                    <w:r>
                      <w:rPr>
                        <w:rFonts w:ascii="BancoDoBrasil Titulos Medium"/>
                        <w:b w:val="0"/>
                        <w:color w:val="465EFF"/>
                        <w:spacing w:val="40"/>
                      </w:rPr>
                      <w:t> </w:t>
                    </w:r>
                    <w:r>
                      <w:rPr>
                        <w:rFonts w:ascii="BancoDoBrasil Titulos Medium"/>
                        <w:b w:val="0"/>
                        <w:color w:val="465EFF"/>
                        <w:spacing w:val="15"/>
                      </w:rPr>
                      <w:t>Brasil</w:t>
                    </w:r>
                    <w:r>
                      <w:rPr>
                        <w:rFonts w:ascii="BancoDoBrasil Titulos Medium"/>
                        <w:b w:val="0"/>
                        <w:color w:val="465EFF"/>
                        <w:spacing w:val="43"/>
                      </w:rPr>
                      <w:t> </w:t>
                    </w:r>
                    <w:r>
                      <w:rPr>
                        <w:rFonts w:ascii="BancoDoBrasil Titulos Medium"/>
                        <w:b w:val="0"/>
                        <w:color w:val="465EFF"/>
                      </w:rPr>
                      <w:t>S.</w:t>
                    </w:r>
                    <w:r>
                      <w:rPr>
                        <w:rFonts w:ascii="BancoDoBrasil Titulos Medium"/>
                        <w:b w:val="0"/>
                        <w:color w:val="465EFF"/>
                        <w:spacing w:val="-29"/>
                      </w:rPr>
                      <w:t> </w:t>
                    </w:r>
                    <w:r>
                      <w:rPr>
                        <w:rFonts w:ascii="BancoDoBrasil Titulos Medium"/>
                        <w:b w:val="0"/>
                        <w:color w:val="465EFF"/>
                        <w:spacing w:val="10"/>
                      </w:rPr>
                      <w:t>A.</w:t>
                    </w:r>
                    <w:r>
                      <w:rPr>
                        <w:rFonts w:ascii="BancoDoBrasil Titulos Medium"/>
                        <w:b w:val="0"/>
                        <w:color w:val="465EFF"/>
                        <w:spacing w:val="47"/>
                      </w:rPr>
                      <w:t> </w:t>
                    </w:r>
                    <w:r>
                      <w:rPr>
                        <w:rFonts w:ascii="BancoDoBrasil Titulos Medium"/>
                        <w:b w:val="0"/>
                        <w:color w:val="465EFF"/>
                      </w:rPr>
                      <w:t>|</w:t>
                    </w:r>
                    <w:r>
                      <w:rPr>
                        <w:rFonts w:ascii="BancoDoBrasil Titulos Medium"/>
                        <w:b w:val="0"/>
                        <w:color w:val="465EFF"/>
                        <w:spacing w:val="42"/>
                      </w:rPr>
                      <w:t> </w:t>
                    </w:r>
                    <w:r>
                      <w:rPr>
                        <w:rFonts w:ascii="BancoDoBrasil Titulos Light"/>
                        <w:b w:val="0"/>
                        <w:color w:val="465EFF"/>
                        <w:spacing w:val="15"/>
                      </w:rPr>
                      <w:t>Investor</w:t>
                    </w:r>
                    <w:r>
                      <w:rPr>
                        <w:rFonts w:ascii="BancoDoBrasil Titulos Light"/>
                        <w:b w:val="0"/>
                        <w:color w:val="465EFF"/>
                        <w:spacing w:val="41"/>
                      </w:rPr>
                      <w:t> </w:t>
                    </w:r>
                    <w:r>
                      <w:rPr>
                        <w:rFonts w:ascii="BancoDoBrasil Titulos Light"/>
                        <w:b w:val="0"/>
                        <w:color w:val="465EFF"/>
                        <w:spacing w:val="14"/>
                      </w:rPr>
                      <w:t>Relations</w:t>
                    </w:r>
                  </w:p>
                </w:txbxContent>
              </v:textbox>
              <w10:wrap type="none"/>
            </v:shape>
          </w:pict>
        </mc:Fallback>
      </mc:AlternateContent>
    </w:r>
    <w:r>
      <w:rPr/>
      <mc:AlternateContent>
        <mc:Choice Requires="wps">
          <w:drawing>
            <wp:anchor distT="0" distB="0" distL="0" distR="0" allowOverlap="1" layoutInCell="1" locked="0" behindDoc="1" simplePos="0" relativeHeight="487274496">
              <wp:simplePos x="0" y="0"/>
              <wp:positionH relativeFrom="page">
                <wp:posOffset>6896607</wp:posOffset>
              </wp:positionH>
              <wp:positionV relativeFrom="page">
                <wp:posOffset>10326641</wp:posOffset>
              </wp:positionV>
              <wp:extent cx="172720" cy="168910"/>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172720" cy="168910"/>
                      </a:xfrm>
                      <a:prstGeom prst="rect">
                        <a:avLst/>
                      </a:prstGeom>
                    </wps:spPr>
                    <wps:txbx>
                      <w:txbxContent>
                        <w:p>
                          <w:pPr>
                            <w:pStyle w:val="BodyText"/>
                            <w:spacing w:line="253" w:lineRule="exact"/>
                            <w:ind w:left="60"/>
                            <w:jc w:val="left"/>
                            <w:rPr>
                              <w:rFonts w:ascii="BancoDoBrasil Titulos Medium"/>
                              <w:b w:val="0"/>
                            </w:rPr>
                          </w:pPr>
                          <w:r>
                            <w:rPr>
                              <w:rFonts w:ascii="BancoDoBrasil Titulos Medium"/>
                              <w:b w:val="0"/>
                              <w:color w:val="465EFF"/>
                              <w:spacing w:val="-10"/>
                            </w:rPr>
                            <w:fldChar w:fldCharType="begin"/>
                          </w:r>
                          <w:r>
                            <w:rPr>
                              <w:rFonts w:ascii="BancoDoBrasil Titulos Medium"/>
                              <w:b w:val="0"/>
                              <w:color w:val="465EFF"/>
                              <w:spacing w:val="-10"/>
                            </w:rPr>
                            <w:instrText> PAGE </w:instrText>
                          </w:r>
                          <w:r>
                            <w:rPr>
                              <w:rFonts w:ascii="BancoDoBrasil Titulos Medium"/>
                              <w:b w:val="0"/>
                              <w:color w:val="465EFF"/>
                              <w:spacing w:val="-10"/>
                            </w:rPr>
                            <w:fldChar w:fldCharType="separate"/>
                          </w:r>
                          <w:r>
                            <w:rPr>
                              <w:rFonts w:ascii="BancoDoBrasil Titulos Medium"/>
                              <w:b w:val="0"/>
                              <w:color w:val="465EFF"/>
                              <w:spacing w:val="-10"/>
                            </w:rPr>
                            <w:t>4</w:t>
                          </w:r>
                          <w:r>
                            <w:rPr>
                              <w:rFonts w:ascii="BancoDoBrasil Titulos Medium"/>
                              <w:b w:val="0"/>
                              <w:color w:val="465EFF"/>
                              <w:spacing w:val="-10"/>
                            </w:rPr>
                            <w:fldChar w:fldCharType="end"/>
                          </w:r>
                        </w:p>
                      </w:txbxContent>
                    </wps:txbx>
                    <wps:bodyPr wrap="square" lIns="0" tIns="0" rIns="0" bIns="0" rtlCol="0">
                      <a:noAutofit/>
                    </wps:bodyPr>
                  </wps:wsp>
                </a:graphicData>
              </a:graphic>
            </wp:anchor>
          </w:drawing>
        </mc:Choice>
        <mc:Fallback>
          <w:pict>
            <v:shape style="position:absolute;margin-left:543.039978pt;margin-top:813.121399pt;width:13.6pt;height:13.3pt;mso-position-horizontal-relative:page;mso-position-vertical-relative:page;z-index:-16041984" type="#_x0000_t202" id="docshape26" filled="false" stroked="false">
              <v:textbox inset="0,0,0,0">
                <w:txbxContent>
                  <w:p>
                    <w:pPr>
                      <w:pStyle w:val="BodyText"/>
                      <w:spacing w:line="253" w:lineRule="exact"/>
                      <w:ind w:left="60"/>
                      <w:jc w:val="left"/>
                      <w:rPr>
                        <w:rFonts w:ascii="BancoDoBrasil Titulos Medium"/>
                        <w:b w:val="0"/>
                      </w:rPr>
                    </w:pPr>
                    <w:r>
                      <w:rPr>
                        <w:rFonts w:ascii="BancoDoBrasil Titulos Medium"/>
                        <w:b w:val="0"/>
                        <w:color w:val="465EFF"/>
                        <w:spacing w:val="-10"/>
                      </w:rPr>
                      <w:fldChar w:fldCharType="begin"/>
                    </w:r>
                    <w:r>
                      <w:rPr>
                        <w:rFonts w:ascii="BancoDoBrasil Titulos Medium"/>
                        <w:b w:val="0"/>
                        <w:color w:val="465EFF"/>
                        <w:spacing w:val="-10"/>
                      </w:rPr>
                      <w:instrText> PAGE </w:instrText>
                    </w:r>
                    <w:r>
                      <w:rPr>
                        <w:rFonts w:ascii="BancoDoBrasil Titulos Medium"/>
                        <w:b w:val="0"/>
                        <w:color w:val="465EFF"/>
                        <w:spacing w:val="-10"/>
                      </w:rPr>
                      <w:fldChar w:fldCharType="separate"/>
                    </w:r>
                    <w:r>
                      <w:rPr>
                        <w:rFonts w:ascii="BancoDoBrasil Titulos Medium"/>
                        <w:b w:val="0"/>
                        <w:color w:val="465EFF"/>
                        <w:spacing w:val="-10"/>
                      </w:rPr>
                      <w:t>4</w:t>
                    </w:r>
                    <w:r>
                      <w:rPr>
                        <w:rFonts w:ascii="BancoDoBrasil Titulos Medium"/>
                        <w:b w:val="0"/>
                        <w:color w:val="465EFF"/>
                        <w:spacing w:val="-10"/>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mc:AlternateContent>
        <mc:Choice Requires="wps">
          <w:drawing>
            <wp:anchor distT="0" distB="0" distL="0" distR="0" allowOverlap="1" layoutInCell="1" locked="0" behindDoc="1" simplePos="0" relativeHeight="487276544">
              <wp:simplePos x="0" y="0"/>
              <wp:positionH relativeFrom="page">
                <wp:posOffset>5334</wp:posOffset>
              </wp:positionH>
              <wp:positionV relativeFrom="page">
                <wp:posOffset>10139946</wp:posOffset>
              </wp:positionV>
              <wp:extent cx="7556500" cy="539750"/>
              <wp:effectExtent l="0" t="0" r="0" b="0"/>
              <wp:wrapNone/>
              <wp:docPr id="31" name="Graphic 31"/>
              <wp:cNvGraphicFramePr>
                <a:graphicFrameLocks/>
              </wp:cNvGraphicFramePr>
              <a:graphic>
                <a:graphicData uri="http://schemas.microsoft.com/office/word/2010/wordprocessingShape">
                  <wps:wsp>
                    <wps:cNvPr id="31" name="Graphic 31"/>
                    <wps:cNvSpPr/>
                    <wps:spPr>
                      <a:xfrm>
                        <a:off x="0" y="0"/>
                        <a:ext cx="7556500" cy="539750"/>
                      </a:xfrm>
                      <a:custGeom>
                        <a:avLst/>
                        <a:gdLst/>
                        <a:ahLst/>
                        <a:cxnLst/>
                        <a:rect l="l" t="t" r="r" b="b"/>
                        <a:pathLst>
                          <a:path w="7556500" h="539750">
                            <a:moveTo>
                              <a:pt x="7555992" y="0"/>
                            </a:moveTo>
                            <a:lnTo>
                              <a:pt x="7025386" y="0"/>
                            </a:lnTo>
                            <a:lnTo>
                              <a:pt x="6485890" y="0"/>
                            </a:lnTo>
                            <a:lnTo>
                              <a:pt x="539496" y="0"/>
                            </a:lnTo>
                            <a:lnTo>
                              <a:pt x="0" y="0"/>
                            </a:lnTo>
                            <a:lnTo>
                              <a:pt x="0" y="539483"/>
                            </a:lnTo>
                            <a:lnTo>
                              <a:pt x="539496" y="539483"/>
                            </a:lnTo>
                            <a:lnTo>
                              <a:pt x="6485890" y="539483"/>
                            </a:lnTo>
                            <a:lnTo>
                              <a:pt x="7025386" y="539483"/>
                            </a:lnTo>
                            <a:lnTo>
                              <a:pt x="7555992" y="539483"/>
                            </a:lnTo>
                            <a:lnTo>
                              <a:pt x="7555992" y="0"/>
                            </a:lnTo>
                            <a:close/>
                          </a:path>
                        </a:pathLst>
                      </a:custGeom>
                      <a:solidFill>
                        <a:srgbClr val="FBFB2F"/>
                      </a:solidFill>
                    </wps:spPr>
                    <wps:bodyPr wrap="square" lIns="0" tIns="0" rIns="0" bIns="0" rtlCol="0">
                      <a:prstTxWarp prst="textNoShape">
                        <a:avLst/>
                      </a:prstTxWarp>
                      <a:noAutofit/>
                    </wps:bodyPr>
                  </wps:wsp>
                </a:graphicData>
              </a:graphic>
            </wp:anchor>
          </w:drawing>
        </mc:Choice>
        <mc:Fallback>
          <w:pict>
            <v:shape style="position:absolute;margin-left:.42pt;margin-top:798.420959pt;width:595pt;height:42.5pt;mso-position-horizontal-relative:page;mso-position-vertical-relative:page;z-index:-16039936" id="docshape31" coordorigin="8,15968" coordsize="11900,850" path="m11908,15968l11072,15968,10222,15968,858,15968,8,15968,8,16818,858,16818,10222,16818,11072,16818,11908,16818,11908,15968xe" filled="true" fillcolor="#fbfb2f" stroked="false">
              <v:path arrowok="t"/>
              <v:fill type="solid"/>
              <w10:wrap type="none"/>
            </v:shape>
          </w:pict>
        </mc:Fallback>
      </mc:AlternateContent>
    </w:r>
    <w:r>
      <w:rPr/>
      <mc:AlternateContent>
        <mc:Choice Requires="wps">
          <w:drawing>
            <wp:anchor distT="0" distB="0" distL="0" distR="0" allowOverlap="1" layoutInCell="1" locked="0" behindDoc="1" simplePos="0" relativeHeight="487277056">
              <wp:simplePos x="0" y="0"/>
              <wp:positionH relativeFrom="page">
                <wp:posOffset>532130</wp:posOffset>
              </wp:positionH>
              <wp:positionV relativeFrom="page">
                <wp:posOffset>10326641</wp:posOffset>
              </wp:positionV>
              <wp:extent cx="2813050" cy="168910"/>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2813050" cy="168910"/>
                      </a:xfrm>
                      <a:prstGeom prst="rect">
                        <a:avLst/>
                      </a:prstGeom>
                    </wps:spPr>
                    <wps:txbx>
                      <w:txbxContent>
                        <w:p>
                          <w:pPr>
                            <w:pStyle w:val="BodyText"/>
                            <w:spacing w:line="253" w:lineRule="exact"/>
                            <w:ind w:left="20"/>
                            <w:jc w:val="left"/>
                            <w:rPr>
                              <w:rFonts w:ascii="BancoDoBrasil Titulos Light"/>
                              <w:b w:val="0"/>
                            </w:rPr>
                          </w:pPr>
                          <w:r>
                            <w:rPr>
                              <w:rFonts w:ascii="BancoDoBrasil Titulos Medium"/>
                              <w:b w:val="0"/>
                              <w:color w:val="465EFF"/>
                              <w:spacing w:val="15"/>
                            </w:rPr>
                            <w:t>Banco</w:t>
                          </w:r>
                          <w:r>
                            <w:rPr>
                              <w:rFonts w:ascii="BancoDoBrasil Titulos Medium"/>
                              <w:b w:val="0"/>
                              <w:color w:val="465EFF"/>
                              <w:spacing w:val="41"/>
                            </w:rPr>
                            <w:t> </w:t>
                          </w:r>
                          <w:r>
                            <w:rPr>
                              <w:rFonts w:ascii="BancoDoBrasil Titulos Medium"/>
                              <w:b w:val="0"/>
                              <w:color w:val="465EFF"/>
                              <w:spacing w:val="9"/>
                            </w:rPr>
                            <w:t>do</w:t>
                          </w:r>
                          <w:r>
                            <w:rPr>
                              <w:rFonts w:ascii="BancoDoBrasil Titulos Medium"/>
                              <w:b w:val="0"/>
                              <w:color w:val="465EFF"/>
                              <w:spacing w:val="40"/>
                            </w:rPr>
                            <w:t> </w:t>
                          </w:r>
                          <w:r>
                            <w:rPr>
                              <w:rFonts w:ascii="BancoDoBrasil Titulos Medium"/>
                              <w:b w:val="0"/>
                              <w:color w:val="465EFF"/>
                              <w:spacing w:val="15"/>
                            </w:rPr>
                            <w:t>Brasil</w:t>
                          </w:r>
                          <w:r>
                            <w:rPr>
                              <w:rFonts w:ascii="BancoDoBrasil Titulos Medium"/>
                              <w:b w:val="0"/>
                              <w:color w:val="465EFF"/>
                              <w:spacing w:val="43"/>
                            </w:rPr>
                            <w:t> </w:t>
                          </w:r>
                          <w:r>
                            <w:rPr>
                              <w:rFonts w:ascii="BancoDoBrasil Titulos Medium"/>
                              <w:b w:val="0"/>
                              <w:color w:val="465EFF"/>
                            </w:rPr>
                            <w:t>S.</w:t>
                          </w:r>
                          <w:r>
                            <w:rPr>
                              <w:rFonts w:ascii="BancoDoBrasil Titulos Medium"/>
                              <w:b w:val="0"/>
                              <w:color w:val="465EFF"/>
                              <w:spacing w:val="-29"/>
                            </w:rPr>
                            <w:t> </w:t>
                          </w:r>
                          <w:r>
                            <w:rPr>
                              <w:rFonts w:ascii="BancoDoBrasil Titulos Medium"/>
                              <w:b w:val="0"/>
                              <w:color w:val="465EFF"/>
                              <w:spacing w:val="10"/>
                            </w:rPr>
                            <w:t>A.</w:t>
                          </w:r>
                          <w:r>
                            <w:rPr>
                              <w:rFonts w:ascii="BancoDoBrasil Titulos Medium"/>
                              <w:b w:val="0"/>
                              <w:color w:val="465EFF"/>
                              <w:spacing w:val="47"/>
                            </w:rPr>
                            <w:t> </w:t>
                          </w:r>
                          <w:r>
                            <w:rPr>
                              <w:rFonts w:ascii="BancoDoBrasil Titulos Medium"/>
                              <w:b w:val="0"/>
                              <w:color w:val="465EFF"/>
                            </w:rPr>
                            <w:t>|</w:t>
                          </w:r>
                          <w:r>
                            <w:rPr>
                              <w:rFonts w:ascii="BancoDoBrasil Titulos Medium"/>
                              <w:b w:val="0"/>
                              <w:color w:val="465EFF"/>
                              <w:spacing w:val="42"/>
                            </w:rPr>
                            <w:t> </w:t>
                          </w:r>
                          <w:r>
                            <w:rPr>
                              <w:rFonts w:ascii="BancoDoBrasil Titulos Light"/>
                              <w:b w:val="0"/>
                              <w:color w:val="465EFF"/>
                              <w:spacing w:val="15"/>
                            </w:rPr>
                            <w:t>Investor</w:t>
                          </w:r>
                          <w:r>
                            <w:rPr>
                              <w:rFonts w:ascii="BancoDoBrasil Titulos Light"/>
                              <w:b w:val="0"/>
                              <w:color w:val="465EFF"/>
                              <w:spacing w:val="41"/>
                            </w:rPr>
                            <w:t> </w:t>
                          </w:r>
                          <w:r>
                            <w:rPr>
                              <w:rFonts w:ascii="BancoDoBrasil Titulos Light"/>
                              <w:b w:val="0"/>
                              <w:color w:val="465EFF"/>
                              <w:spacing w:val="14"/>
                            </w:rPr>
                            <w:t>Relations</w:t>
                          </w:r>
                        </w:p>
                      </w:txbxContent>
                    </wps:txbx>
                    <wps:bodyPr wrap="square" lIns="0" tIns="0" rIns="0" bIns="0" rtlCol="0">
                      <a:noAutofit/>
                    </wps:bodyPr>
                  </wps:wsp>
                </a:graphicData>
              </a:graphic>
            </wp:anchor>
          </w:drawing>
        </mc:Choice>
        <mc:Fallback>
          <w:pict>
            <v:shape style="position:absolute;margin-left:41.900002pt;margin-top:813.121399pt;width:221.5pt;height:13.3pt;mso-position-horizontal-relative:page;mso-position-vertical-relative:page;z-index:-16039424" type="#_x0000_t202" id="docshape32" filled="false" stroked="false">
              <v:textbox inset="0,0,0,0">
                <w:txbxContent>
                  <w:p>
                    <w:pPr>
                      <w:pStyle w:val="BodyText"/>
                      <w:spacing w:line="253" w:lineRule="exact"/>
                      <w:ind w:left="20"/>
                      <w:jc w:val="left"/>
                      <w:rPr>
                        <w:rFonts w:ascii="BancoDoBrasil Titulos Light"/>
                        <w:b w:val="0"/>
                      </w:rPr>
                    </w:pPr>
                    <w:r>
                      <w:rPr>
                        <w:rFonts w:ascii="BancoDoBrasil Titulos Medium"/>
                        <w:b w:val="0"/>
                        <w:color w:val="465EFF"/>
                        <w:spacing w:val="15"/>
                      </w:rPr>
                      <w:t>Banco</w:t>
                    </w:r>
                    <w:r>
                      <w:rPr>
                        <w:rFonts w:ascii="BancoDoBrasil Titulos Medium"/>
                        <w:b w:val="0"/>
                        <w:color w:val="465EFF"/>
                        <w:spacing w:val="41"/>
                      </w:rPr>
                      <w:t> </w:t>
                    </w:r>
                    <w:r>
                      <w:rPr>
                        <w:rFonts w:ascii="BancoDoBrasil Titulos Medium"/>
                        <w:b w:val="0"/>
                        <w:color w:val="465EFF"/>
                        <w:spacing w:val="9"/>
                      </w:rPr>
                      <w:t>do</w:t>
                    </w:r>
                    <w:r>
                      <w:rPr>
                        <w:rFonts w:ascii="BancoDoBrasil Titulos Medium"/>
                        <w:b w:val="0"/>
                        <w:color w:val="465EFF"/>
                        <w:spacing w:val="40"/>
                      </w:rPr>
                      <w:t> </w:t>
                    </w:r>
                    <w:r>
                      <w:rPr>
                        <w:rFonts w:ascii="BancoDoBrasil Titulos Medium"/>
                        <w:b w:val="0"/>
                        <w:color w:val="465EFF"/>
                        <w:spacing w:val="15"/>
                      </w:rPr>
                      <w:t>Brasil</w:t>
                    </w:r>
                    <w:r>
                      <w:rPr>
                        <w:rFonts w:ascii="BancoDoBrasil Titulos Medium"/>
                        <w:b w:val="0"/>
                        <w:color w:val="465EFF"/>
                        <w:spacing w:val="43"/>
                      </w:rPr>
                      <w:t> </w:t>
                    </w:r>
                    <w:r>
                      <w:rPr>
                        <w:rFonts w:ascii="BancoDoBrasil Titulos Medium"/>
                        <w:b w:val="0"/>
                        <w:color w:val="465EFF"/>
                      </w:rPr>
                      <w:t>S.</w:t>
                    </w:r>
                    <w:r>
                      <w:rPr>
                        <w:rFonts w:ascii="BancoDoBrasil Titulos Medium"/>
                        <w:b w:val="0"/>
                        <w:color w:val="465EFF"/>
                        <w:spacing w:val="-29"/>
                      </w:rPr>
                      <w:t> </w:t>
                    </w:r>
                    <w:r>
                      <w:rPr>
                        <w:rFonts w:ascii="BancoDoBrasil Titulos Medium"/>
                        <w:b w:val="0"/>
                        <w:color w:val="465EFF"/>
                        <w:spacing w:val="10"/>
                      </w:rPr>
                      <w:t>A.</w:t>
                    </w:r>
                    <w:r>
                      <w:rPr>
                        <w:rFonts w:ascii="BancoDoBrasil Titulos Medium"/>
                        <w:b w:val="0"/>
                        <w:color w:val="465EFF"/>
                        <w:spacing w:val="47"/>
                      </w:rPr>
                      <w:t> </w:t>
                    </w:r>
                    <w:r>
                      <w:rPr>
                        <w:rFonts w:ascii="BancoDoBrasil Titulos Medium"/>
                        <w:b w:val="0"/>
                        <w:color w:val="465EFF"/>
                      </w:rPr>
                      <w:t>|</w:t>
                    </w:r>
                    <w:r>
                      <w:rPr>
                        <w:rFonts w:ascii="BancoDoBrasil Titulos Medium"/>
                        <w:b w:val="0"/>
                        <w:color w:val="465EFF"/>
                        <w:spacing w:val="42"/>
                      </w:rPr>
                      <w:t> </w:t>
                    </w:r>
                    <w:r>
                      <w:rPr>
                        <w:rFonts w:ascii="BancoDoBrasil Titulos Light"/>
                        <w:b w:val="0"/>
                        <w:color w:val="465EFF"/>
                        <w:spacing w:val="15"/>
                      </w:rPr>
                      <w:t>Investor</w:t>
                    </w:r>
                    <w:r>
                      <w:rPr>
                        <w:rFonts w:ascii="BancoDoBrasil Titulos Light"/>
                        <w:b w:val="0"/>
                        <w:color w:val="465EFF"/>
                        <w:spacing w:val="41"/>
                      </w:rPr>
                      <w:t> </w:t>
                    </w:r>
                    <w:r>
                      <w:rPr>
                        <w:rFonts w:ascii="BancoDoBrasil Titulos Light"/>
                        <w:b w:val="0"/>
                        <w:color w:val="465EFF"/>
                        <w:spacing w:val="14"/>
                      </w:rPr>
                      <w:t>Relations</w:t>
                    </w:r>
                  </w:p>
                </w:txbxContent>
              </v:textbox>
              <w10:wrap type="none"/>
            </v:shape>
          </w:pict>
        </mc:Fallback>
      </mc:AlternateContent>
    </w:r>
    <w:r>
      <w:rPr/>
      <mc:AlternateContent>
        <mc:Choice Requires="wps">
          <w:drawing>
            <wp:anchor distT="0" distB="0" distL="0" distR="0" allowOverlap="1" layoutInCell="1" locked="0" behindDoc="1" simplePos="0" relativeHeight="487277568">
              <wp:simplePos x="0" y="0"/>
              <wp:positionH relativeFrom="page">
                <wp:posOffset>6845807</wp:posOffset>
              </wp:positionH>
              <wp:positionV relativeFrom="page">
                <wp:posOffset>10326641</wp:posOffset>
              </wp:positionV>
              <wp:extent cx="235585" cy="168910"/>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235585" cy="168910"/>
                      </a:xfrm>
                      <a:prstGeom prst="rect">
                        <a:avLst/>
                      </a:prstGeom>
                    </wps:spPr>
                    <wps:txbx>
                      <w:txbxContent>
                        <w:p>
                          <w:pPr>
                            <w:pStyle w:val="BodyText"/>
                            <w:spacing w:line="253" w:lineRule="exact"/>
                            <w:ind w:left="20"/>
                            <w:jc w:val="left"/>
                            <w:rPr>
                              <w:rFonts w:ascii="BancoDoBrasil Titulos Medium"/>
                              <w:b w:val="0"/>
                            </w:rPr>
                          </w:pPr>
                          <w:r>
                            <w:rPr>
                              <w:rFonts w:ascii="BancoDoBrasil Titulos Medium"/>
                              <w:b w:val="0"/>
                              <w:color w:val="465EFF"/>
                              <w:spacing w:val="-5"/>
                            </w:rPr>
                            <w:fldChar w:fldCharType="begin"/>
                          </w:r>
                          <w:r>
                            <w:rPr>
                              <w:rFonts w:ascii="BancoDoBrasil Titulos Medium"/>
                              <w:b w:val="0"/>
                              <w:color w:val="465EFF"/>
                              <w:spacing w:val="-5"/>
                            </w:rPr>
                            <w:instrText> PAGE </w:instrText>
                          </w:r>
                          <w:r>
                            <w:rPr>
                              <w:rFonts w:ascii="BancoDoBrasil Titulos Medium"/>
                              <w:b w:val="0"/>
                              <w:color w:val="465EFF"/>
                              <w:spacing w:val="-5"/>
                            </w:rPr>
                            <w:fldChar w:fldCharType="separate"/>
                          </w:r>
                          <w:r>
                            <w:rPr>
                              <w:rFonts w:ascii="BancoDoBrasil Titulos Medium"/>
                              <w:b w:val="0"/>
                              <w:color w:val="465EFF"/>
                              <w:spacing w:val="-5"/>
                            </w:rPr>
                            <w:t>10</w:t>
                          </w:r>
                          <w:r>
                            <w:rPr>
                              <w:rFonts w:ascii="BancoDoBrasil Titulos Medium"/>
                              <w:b w:val="0"/>
                              <w:color w:val="465EFF"/>
                              <w:spacing w:val="-5"/>
                            </w:rPr>
                            <w:fldChar w:fldCharType="end"/>
                          </w:r>
                          <w:r>
                            <w:rPr>
                              <w:rFonts w:ascii="BancoDoBrasil Titulos Medium"/>
                              <w:b w:val="0"/>
                              <w:color w:val="465EFF"/>
                              <w:spacing w:val="-5"/>
                            </w:rPr>
                            <w:t> </w:t>
                          </w:r>
                        </w:p>
                      </w:txbxContent>
                    </wps:txbx>
                    <wps:bodyPr wrap="square" lIns="0" tIns="0" rIns="0" bIns="0" rtlCol="0">
                      <a:noAutofit/>
                    </wps:bodyPr>
                  </wps:wsp>
                </a:graphicData>
              </a:graphic>
            </wp:anchor>
          </w:drawing>
        </mc:Choice>
        <mc:Fallback>
          <w:pict>
            <v:shape style="position:absolute;margin-left:539.039978pt;margin-top:813.121399pt;width:18.55pt;height:13.3pt;mso-position-horizontal-relative:page;mso-position-vertical-relative:page;z-index:-16038912" type="#_x0000_t202" id="docshape33" filled="false" stroked="false">
              <v:textbox inset="0,0,0,0">
                <w:txbxContent>
                  <w:p>
                    <w:pPr>
                      <w:pStyle w:val="BodyText"/>
                      <w:spacing w:line="253" w:lineRule="exact"/>
                      <w:ind w:left="20"/>
                      <w:jc w:val="left"/>
                      <w:rPr>
                        <w:rFonts w:ascii="BancoDoBrasil Titulos Medium"/>
                        <w:b w:val="0"/>
                      </w:rPr>
                    </w:pPr>
                    <w:r>
                      <w:rPr>
                        <w:rFonts w:ascii="BancoDoBrasil Titulos Medium"/>
                        <w:b w:val="0"/>
                        <w:color w:val="465EFF"/>
                        <w:spacing w:val="-5"/>
                      </w:rPr>
                      <w:fldChar w:fldCharType="begin"/>
                    </w:r>
                    <w:r>
                      <w:rPr>
                        <w:rFonts w:ascii="BancoDoBrasil Titulos Medium"/>
                        <w:b w:val="0"/>
                        <w:color w:val="465EFF"/>
                        <w:spacing w:val="-5"/>
                      </w:rPr>
                      <w:instrText> PAGE </w:instrText>
                    </w:r>
                    <w:r>
                      <w:rPr>
                        <w:rFonts w:ascii="BancoDoBrasil Titulos Medium"/>
                        <w:b w:val="0"/>
                        <w:color w:val="465EFF"/>
                        <w:spacing w:val="-5"/>
                      </w:rPr>
                      <w:fldChar w:fldCharType="separate"/>
                    </w:r>
                    <w:r>
                      <w:rPr>
                        <w:rFonts w:ascii="BancoDoBrasil Titulos Medium"/>
                        <w:b w:val="0"/>
                        <w:color w:val="465EFF"/>
                        <w:spacing w:val="-5"/>
                      </w:rPr>
                      <w:t>10</w:t>
                    </w:r>
                    <w:r>
                      <w:rPr>
                        <w:rFonts w:ascii="BancoDoBrasil Titulos Medium"/>
                        <w:b w:val="0"/>
                        <w:color w:val="465EFF"/>
                        <w:spacing w:val="-5"/>
                      </w:rPr>
                      <w:fldChar w:fldCharType="end"/>
                    </w:r>
                    <w:r>
                      <w:rPr>
                        <w:rFonts w:ascii="BancoDoBrasil Titulos Medium"/>
                        <w:b w:val="0"/>
                        <w:color w:val="465EFF"/>
                        <w:spacing w:val="-5"/>
                      </w:rPr>
                      <w:t> </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mc:AlternateContent>
        <mc:Choice Requires="wps">
          <w:drawing>
            <wp:anchor distT="0" distB="0" distL="0" distR="0" allowOverlap="1" layoutInCell="1" locked="0" behindDoc="1" simplePos="0" relativeHeight="487268864">
              <wp:simplePos x="0" y="0"/>
              <wp:positionH relativeFrom="page">
                <wp:posOffset>6659333</wp:posOffset>
              </wp:positionH>
              <wp:positionV relativeFrom="page">
                <wp:posOffset>96684</wp:posOffset>
              </wp:positionV>
              <wp:extent cx="353695" cy="346710"/>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353695" cy="346710"/>
                      </a:xfrm>
                      <a:custGeom>
                        <a:avLst/>
                        <a:gdLst/>
                        <a:ahLst/>
                        <a:cxnLst/>
                        <a:rect l="l" t="t" r="r" b="b"/>
                        <a:pathLst>
                          <a:path w="353695" h="346710">
                            <a:moveTo>
                              <a:pt x="71589" y="300037"/>
                            </a:moveTo>
                            <a:lnTo>
                              <a:pt x="35026" y="275412"/>
                            </a:lnTo>
                            <a:lnTo>
                              <a:pt x="0" y="297573"/>
                            </a:lnTo>
                            <a:lnTo>
                              <a:pt x="0" y="346227"/>
                            </a:lnTo>
                            <a:lnTo>
                              <a:pt x="71589" y="300037"/>
                            </a:lnTo>
                            <a:close/>
                          </a:path>
                          <a:path w="353695" h="346710">
                            <a:moveTo>
                              <a:pt x="350710" y="230085"/>
                            </a:moveTo>
                            <a:lnTo>
                              <a:pt x="278091" y="181330"/>
                            </a:lnTo>
                            <a:lnTo>
                              <a:pt x="192138" y="239445"/>
                            </a:lnTo>
                            <a:lnTo>
                              <a:pt x="228193" y="263779"/>
                            </a:lnTo>
                            <a:lnTo>
                              <a:pt x="180759" y="296583"/>
                            </a:lnTo>
                            <a:lnTo>
                              <a:pt x="76530" y="226644"/>
                            </a:lnTo>
                            <a:lnTo>
                              <a:pt x="245478" y="117309"/>
                            </a:lnTo>
                            <a:lnTo>
                              <a:pt x="207937" y="92671"/>
                            </a:lnTo>
                            <a:lnTo>
                              <a:pt x="0" y="230085"/>
                            </a:lnTo>
                            <a:lnTo>
                              <a:pt x="176631" y="346227"/>
                            </a:lnTo>
                            <a:lnTo>
                              <a:pt x="350710" y="230085"/>
                            </a:lnTo>
                            <a:close/>
                          </a:path>
                          <a:path w="353695" h="346710">
                            <a:moveTo>
                              <a:pt x="350710" y="115328"/>
                            </a:moveTo>
                            <a:lnTo>
                              <a:pt x="176631" y="0"/>
                            </a:lnTo>
                            <a:lnTo>
                              <a:pt x="0" y="113360"/>
                            </a:lnTo>
                            <a:lnTo>
                              <a:pt x="74053" y="162610"/>
                            </a:lnTo>
                            <a:lnTo>
                              <a:pt x="159029" y="105981"/>
                            </a:lnTo>
                            <a:lnTo>
                              <a:pt x="123469" y="80365"/>
                            </a:lnTo>
                            <a:lnTo>
                              <a:pt x="171869" y="48348"/>
                            </a:lnTo>
                            <a:lnTo>
                              <a:pt x="274129" y="116814"/>
                            </a:lnTo>
                            <a:lnTo>
                              <a:pt x="108140" y="228612"/>
                            </a:lnTo>
                            <a:lnTo>
                              <a:pt x="143230" y="252260"/>
                            </a:lnTo>
                            <a:lnTo>
                              <a:pt x="350710" y="115328"/>
                            </a:lnTo>
                            <a:close/>
                          </a:path>
                          <a:path w="353695" h="346710">
                            <a:moveTo>
                              <a:pt x="353275" y="0"/>
                            </a:moveTo>
                            <a:lnTo>
                              <a:pt x="282041" y="45389"/>
                            </a:lnTo>
                            <a:lnTo>
                              <a:pt x="320090" y="71996"/>
                            </a:lnTo>
                            <a:lnTo>
                              <a:pt x="353275" y="50330"/>
                            </a:lnTo>
                            <a:lnTo>
                              <a:pt x="353275" y="0"/>
                            </a:lnTo>
                            <a:close/>
                          </a:path>
                        </a:pathLst>
                      </a:custGeom>
                      <a:solidFill>
                        <a:srgbClr val="465EFF"/>
                      </a:solidFill>
                    </wps:spPr>
                    <wps:bodyPr wrap="square" lIns="0" tIns="0" rIns="0" bIns="0" rtlCol="0">
                      <a:prstTxWarp prst="textNoShape">
                        <a:avLst/>
                      </a:prstTxWarp>
                      <a:noAutofit/>
                    </wps:bodyPr>
                  </wps:wsp>
                </a:graphicData>
              </a:graphic>
            </wp:anchor>
          </w:drawing>
        </mc:Choice>
        <mc:Fallback>
          <w:pict>
            <v:shape style="position:absolute;margin-left:524.356995pt;margin-top:7.612941pt;width:27.85pt;height:27.3pt;mso-position-horizontal-relative:page;mso-position-vertical-relative:page;z-index:-16047616" id="docshape8" coordorigin="10487,152" coordsize="557,546" path="m10600,625l10542,586,10487,621,10487,697,10600,625xm11039,515l10925,438,10790,529,10846,568,10772,619,10608,509,10874,337,10815,298,10487,515,10765,697,11039,515xm11039,334l10765,152,10487,331,10604,408,10738,319,10682,279,10758,228,10919,336,10657,512,10713,550,11039,334xm11043,152l10931,224,10991,266,11043,232,11043,152xe" filled="true" fillcolor="#465eff" stroked="false">
              <v:path arrowok="t"/>
              <v:fill type="solid"/>
              <w10:wrap type="none"/>
            </v:shape>
          </w:pict>
        </mc:Fallback>
      </mc:AlternateContent>
    </w:r>
    <w:r>
      <w:rPr/>
      <mc:AlternateContent>
        <mc:Choice Requires="wps">
          <w:drawing>
            <wp:anchor distT="0" distB="0" distL="0" distR="0" allowOverlap="1" layoutInCell="1" locked="0" behindDoc="1" simplePos="0" relativeHeight="487269376">
              <wp:simplePos x="0" y="0"/>
              <wp:positionH relativeFrom="page">
                <wp:posOffset>0</wp:posOffset>
              </wp:positionH>
              <wp:positionV relativeFrom="page">
                <wp:posOffset>539495</wp:posOffset>
              </wp:positionV>
              <wp:extent cx="7561580" cy="3810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7561580" cy="38100"/>
                      </a:xfrm>
                      <a:custGeom>
                        <a:avLst/>
                        <a:gdLst/>
                        <a:ahLst/>
                        <a:cxnLst/>
                        <a:rect l="l" t="t" r="r" b="b"/>
                        <a:pathLst>
                          <a:path w="7561580" h="38100">
                            <a:moveTo>
                              <a:pt x="7561326" y="0"/>
                            </a:moveTo>
                            <a:lnTo>
                              <a:pt x="7561326" y="0"/>
                            </a:lnTo>
                            <a:lnTo>
                              <a:pt x="0" y="0"/>
                            </a:lnTo>
                            <a:lnTo>
                              <a:pt x="0" y="38100"/>
                            </a:lnTo>
                            <a:lnTo>
                              <a:pt x="7561326" y="38100"/>
                            </a:lnTo>
                            <a:lnTo>
                              <a:pt x="7561326" y="0"/>
                            </a:lnTo>
                            <a:close/>
                          </a:path>
                        </a:pathLst>
                      </a:custGeom>
                      <a:solidFill>
                        <a:srgbClr val="FCF429"/>
                      </a:solidFill>
                    </wps:spPr>
                    <wps:bodyPr wrap="square" lIns="0" tIns="0" rIns="0" bIns="0" rtlCol="0">
                      <a:prstTxWarp prst="textNoShape">
                        <a:avLst/>
                      </a:prstTxWarp>
                      <a:noAutofit/>
                    </wps:bodyPr>
                  </wps:wsp>
                </a:graphicData>
              </a:graphic>
            </wp:anchor>
          </w:drawing>
        </mc:Choice>
        <mc:Fallback>
          <w:pict>
            <v:rect style="position:absolute;margin-left:0pt;margin-top:42.479942pt;width:595.380028pt;height:3.0pt;mso-position-horizontal-relative:page;mso-position-vertical-relative:page;z-index:-16047104" id="docshape9" filled="true" fillcolor="#fcf429" stroked="false">
              <v:fill type="solid"/>
              <w10:wrap type="none"/>
            </v:rect>
          </w:pict>
        </mc:Fallback>
      </mc:AlternateContent>
    </w:r>
    <w:r>
      <w:rPr/>
      <mc:AlternateContent>
        <mc:Choice Requires="wps">
          <w:drawing>
            <wp:anchor distT="0" distB="0" distL="0" distR="0" allowOverlap="1" layoutInCell="1" locked="0" behindDoc="1" simplePos="0" relativeHeight="487269888">
              <wp:simplePos x="0" y="0"/>
              <wp:positionH relativeFrom="page">
                <wp:posOffset>524509</wp:posOffset>
              </wp:positionH>
              <wp:positionV relativeFrom="page">
                <wp:posOffset>186707</wp:posOffset>
              </wp:positionV>
              <wp:extent cx="2024380" cy="16891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2024380" cy="168910"/>
                      </a:xfrm>
                      <a:prstGeom prst="rect">
                        <a:avLst/>
                      </a:prstGeom>
                    </wps:spPr>
                    <wps:txbx>
                      <w:txbxContent>
                        <w:p>
                          <w:pPr>
                            <w:pStyle w:val="BodyText"/>
                            <w:spacing w:line="253" w:lineRule="exact"/>
                            <w:ind w:left="20"/>
                            <w:jc w:val="left"/>
                            <w:rPr>
                              <w:rFonts w:ascii="BancoDoBrasil Textos Medium"/>
                              <w:b w:val="0"/>
                            </w:rPr>
                          </w:pPr>
                          <w:r>
                            <w:rPr>
                              <w:rFonts w:ascii="BancoDoBrasil Textos Medium"/>
                              <w:b w:val="0"/>
                              <w:color w:val="465EFF"/>
                              <w:spacing w:val="16"/>
                            </w:rPr>
                            <w:t>Management</w:t>
                          </w:r>
                          <w:r>
                            <w:rPr>
                              <w:rFonts w:ascii="BancoDoBrasil Textos Medium"/>
                              <w:b w:val="0"/>
                              <w:color w:val="465EFF"/>
                              <w:spacing w:val="42"/>
                            </w:rPr>
                            <w:t> </w:t>
                          </w:r>
                          <w:r>
                            <w:rPr>
                              <w:rFonts w:ascii="BancoDoBrasil Textos Medium"/>
                              <w:b w:val="0"/>
                              <w:color w:val="465EFF"/>
                              <w:spacing w:val="15"/>
                            </w:rPr>
                            <w:t>Report</w:t>
                          </w:r>
                          <w:r>
                            <w:rPr>
                              <w:rFonts w:ascii="BancoDoBrasil Textos Medium"/>
                              <w:b w:val="0"/>
                              <w:color w:val="465EFF"/>
                              <w:spacing w:val="45"/>
                            </w:rPr>
                            <w:t> </w:t>
                          </w:r>
                          <w:r>
                            <w:rPr>
                              <w:rFonts w:ascii="BancoDoBrasil Textos Light"/>
                              <w:b w:val="0"/>
                              <w:color w:val="465EFF"/>
                            </w:rPr>
                            <w:t>|</w:t>
                          </w:r>
                          <w:r>
                            <w:rPr>
                              <w:rFonts w:ascii="BancoDoBrasil Textos Light"/>
                              <w:b w:val="0"/>
                              <w:color w:val="465EFF"/>
                              <w:spacing w:val="44"/>
                            </w:rPr>
                            <w:t> </w:t>
                          </w:r>
                          <w:r>
                            <w:rPr>
                              <w:rFonts w:ascii="BancoDoBrasil Textos Medium"/>
                              <w:b w:val="0"/>
                              <w:color w:val="465EFF"/>
                              <w:spacing w:val="9"/>
                            </w:rPr>
                            <w:t>9M</w:t>
                          </w:r>
                          <w:r>
                            <w:rPr>
                              <w:rFonts w:ascii="BancoDoBrasil Textos Medium"/>
                              <w:b w:val="0"/>
                              <w:color w:val="465EFF"/>
                              <w:spacing w:val="-29"/>
                            </w:rPr>
                            <w:t> </w:t>
                          </w:r>
                          <w:r>
                            <w:rPr>
                              <w:rFonts w:ascii="BancoDoBrasil Textos Medium"/>
                              <w:b w:val="0"/>
                              <w:color w:val="465EFF"/>
                              <w:spacing w:val="10"/>
                            </w:rPr>
                            <w:t>24</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1.299999pt;margin-top:14.701381pt;width:159.4pt;height:13.3pt;mso-position-horizontal-relative:page;mso-position-vertical-relative:page;z-index:-16046592" type="#_x0000_t202" id="docshape10" filled="false" stroked="false">
              <v:textbox inset="0,0,0,0">
                <w:txbxContent>
                  <w:p>
                    <w:pPr>
                      <w:pStyle w:val="BodyText"/>
                      <w:spacing w:line="253" w:lineRule="exact"/>
                      <w:ind w:left="20"/>
                      <w:jc w:val="left"/>
                      <w:rPr>
                        <w:rFonts w:ascii="BancoDoBrasil Textos Medium"/>
                        <w:b w:val="0"/>
                      </w:rPr>
                    </w:pPr>
                    <w:r>
                      <w:rPr>
                        <w:rFonts w:ascii="BancoDoBrasil Textos Medium"/>
                        <w:b w:val="0"/>
                        <w:color w:val="465EFF"/>
                        <w:spacing w:val="16"/>
                      </w:rPr>
                      <w:t>Management</w:t>
                    </w:r>
                    <w:r>
                      <w:rPr>
                        <w:rFonts w:ascii="BancoDoBrasil Textos Medium"/>
                        <w:b w:val="0"/>
                        <w:color w:val="465EFF"/>
                        <w:spacing w:val="42"/>
                      </w:rPr>
                      <w:t> </w:t>
                    </w:r>
                    <w:r>
                      <w:rPr>
                        <w:rFonts w:ascii="BancoDoBrasil Textos Medium"/>
                        <w:b w:val="0"/>
                        <w:color w:val="465EFF"/>
                        <w:spacing w:val="15"/>
                      </w:rPr>
                      <w:t>Report</w:t>
                    </w:r>
                    <w:r>
                      <w:rPr>
                        <w:rFonts w:ascii="BancoDoBrasil Textos Medium"/>
                        <w:b w:val="0"/>
                        <w:color w:val="465EFF"/>
                        <w:spacing w:val="45"/>
                      </w:rPr>
                      <w:t> </w:t>
                    </w:r>
                    <w:r>
                      <w:rPr>
                        <w:rFonts w:ascii="BancoDoBrasil Textos Light"/>
                        <w:b w:val="0"/>
                        <w:color w:val="465EFF"/>
                      </w:rPr>
                      <w:t>|</w:t>
                    </w:r>
                    <w:r>
                      <w:rPr>
                        <w:rFonts w:ascii="BancoDoBrasil Textos Light"/>
                        <w:b w:val="0"/>
                        <w:color w:val="465EFF"/>
                        <w:spacing w:val="44"/>
                      </w:rPr>
                      <w:t> </w:t>
                    </w:r>
                    <w:r>
                      <w:rPr>
                        <w:rFonts w:ascii="BancoDoBrasil Textos Medium"/>
                        <w:b w:val="0"/>
                        <w:color w:val="465EFF"/>
                        <w:spacing w:val="9"/>
                      </w:rPr>
                      <w:t>9M</w:t>
                    </w:r>
                    <w:r>
                      <w:rPr>
                        <w:rFonts w:ascii="BancoDoBrasil Textos Medium"/>
                        <w:b w:val="0"/>
                        <w:color w:val="465EFF"/>
                        <w:spacing w:val="-29"/>
                      </w:rPr>
                      <w:t> </w:t>
                    </w:r>
                    <w:r>
                      <w:rPr>
                        <w:rFonts w:ascii="BancoDoBrasil Textos Medium"/>
                        <w:b w:val="0"/>
                        <w:color w:val="465EFF"/>
                        <w:spacing w:val="10"/>
                      </w:rPr>
                      <w:t>24</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mc:AlternateContent>
        <mc:Choice Requires="wps">
          <w:drawing>
            <wp:anchor distT="0" distB="0" distL="0" distR="0" allowOverlap="1" layoutInCell="1" locked="0" behindDoc="1" simplePos="0" relativeHeight="487271936">
              <wp:simplePos x="0" y="0"/>
              <wp:positionH relativeFrom="page">
                <wp:posOffset>6659333</wp:posOffset>
              </wp:positionH>
              <wp:positionV relativeFrom="page">
                <wp:posOffset>96684</wp:posOffset>
              </wp:positionV>
              <wp:extent cx="353695" cy="346710"/>
              <wp:effectExtent l="0" t="0" r="0" b="0"/>
              <wp:wrapNone/>
              <wp:docPr id="21" name="Graphic 21"/>
              <wp:cNvGraphicFramePr>
                <a:graphicFrameLocks/>
              </wp:cNvGraphicFramePr>
              <a:graphic>
                <a:graphicData uri="http://schemas.microsoft.com/office/word/2010/wordprocessingShape">
                  <wps:wsp>
                    <wps:cNvPr id="21" name="Graphic 21"/>
                    <wps:cNvSpPr/>
                    <wps:spPr>
                      <a:xfrm>
                        <a:off x="0" y="0"/>
                        <a:ext cx="353695" cy="346710"/>
                      </a:xfrm>
                      <a:custGeom>
                        <a:avLst/>
                        <a:gdLst/>
                        <a:ahLst/>
                        <a:cxnLst/>
                        <a:rect l="l" t="t" r="r" b="b"/>
                        <a:pathLst>
                          <a:path w="353695" h="346710">
                            <a:moveTo>
                              <a:pt x="71589" y="300037"/>
                            </a:moveTo>
                            <a:lnTo>
                              <a:pt x="35026" y="275412"/>
                            </a:lnTo>
                            <a:lnTo>
                              <a:pt x="0" y="297573"/>
                            </a:lnTo>
                            <a:lnTo>
                              <a:pt x="0" y="346227"/>
                            </a:lnTo>
                            <a:lnTo>
                              <a:pt x="71589" y="300037"/>
                            </a:lnTo>
                            <a:close/>
                          </a:path>
                          <a:path w="353695" h="346710">
                            <a:moveTo>
                              <a:pt x="350710" y="230085"/>
                            </a:moveTo>
                            <a:lnTo>
                              <a:pt x="278091" y="181330"/>
                            </a:lnTo>
                            <a:lnTo>
                              <a:pt x="192138" y="239445"/>
                            </a:lnTo>
                            <a:lnTo>
                              <a:pt x="228193" y="263779"/>
                            </a:lnTo>
                            <a:lnTo>
                              <a:pt x="180759" y="296583"/>
                            </a:lnTo>
                            <a:lnTo>
                              <a:pt x="76530" y="226644"/>
                            </a:lnTo>
                            <a:lnTo>
                              <a:pt x="245478" y="117309"/>
                            </a:lnTo>
                            <a:lnTo>
                              <a:pt x="207937" y="92671"/>
                            </a:lnTo>
                            <a:lnTo>
                              <a:pt x="0" y="230085"/>
                            </a:lnTo>
                            <a:lnTo>
                              <a:pt x="176631" y="346227"/>
                            </a:lnTo>
                            <a:lnTo>
                              <a:pt x="350710" y="230085"/>
                            </a:lnTo>
                            <a:close/>
                          </a:path>
                          <a:path w="353695" h="346710">
                            <a:moveTo>
                              <a:pt x="350710" y="115328"/>
                            </a:moveTo>
                            <a:lnTo>
                              <a:pt x="176631" y="0"/>
                            </a:lnTo>
                            <a:lnTo>
                              <a:pt x="0" y="113360"/>
                            </a:lnTo>
                            <a:lnTo>
                              <a:pt x="74053" y="162610"/>
                            </a:lnTo>
                            <a:lnTo>
                              <a:pt x="159029" y="105981"/>
                            </a:lnTo>
                            <a:lnTo>
                              <a:pt x="123469" y="80365"/>
                            </a:lnTo>
                            <a:lnTo>
                              <a:pt x="171869" y="48348"/>
                            </a:lnTo>
                            <a:lnTo>
                              <a:pt x="274129" y="116814"/>
                            </a:lnTo>
                            <a:lnTo>
                              <a:pt x="108140" y="228612"/>
                            </a:lnTo>
                            <a:lnTo>
                              <a:pt x="143230" y="252260"/>
                            </a:lnTo>
                            <a:lnTo>
                              <a:pt x="350710" y="115328"/>
                            </a:lnTo>
                            <a:close/>
                          </a:path>
                          <a:path w="353695" h="346710">
                            <a:moveTo>
                              <a:pt x="353275" y="0"/>
                            </a:moveTo>
                            <a:lnTo>
                              <a:pt x="282041" y="45389"/>
                            </a:lnTo>
                            <a:lnTo>
                              <a:pt x="320090" y="71996"/>
                            </a:lnTo>
                            <a:lnTo>
                              <a:pt x="353275" y="50330"/>
                            </a:lnTo>
                            <a:lnTo>
                              <a:pt x="353275" y="0"/>
                            </a:lnTo>
                            <a:close/>
                          </a:path>
                        </a:pathLst>
                      </a:custGeom>
                      <a:solidFill>
                        <a:srgbClr val="465EFF"/>
                      </a:solidFill>
                    </wps:spPr>
                    <wps:bodyPr wrap="square" lIns="0" tIns="0" rIns="0" bIns="0" rtlCol="0">
                      <a:prstTxWarp prst="textNoShape">
                        <a:avLst/>
                      </a:prstTxWarp>
                      <a:noAutofit/>
                    </wps:bodyPr>
                  </wps:wsp>
                </a:graphicData>
              </a:graphic>
            </wp:anchor>
          </w:drawing>
        </mc:Choice>
        <mc:Fallback>
          <w:pict>
            <v:shape style="position:absolute;margin-left:524.356995pt;margin-top:7.612941pt;width:27.85pt;height:27.3pt;mso-position-horizontal-relative:page;mso-position-vertical-relative:page;z-index:-16044544" id="docshape21" coordorigin="10487,152" coordsize="557,546" path="m10600,625l10542,586,10487,621,10487,697,10600,625xm11039,515l10925,438,10790,529,10846,568,10772,619,10608,509,10874,337,10815,298,10487,515,10765,697,11039,515xm11039,334l10765,152,10487,331,10604,408,10738,319,10682,279,10758,228,10919,336,10657,512,10713,550,11039,334xm11043,152l10931,224,10991,266,11043,232,11043,152xe" filled="true" fillcolor="#465eff" stroked="false">
              <v:path arrowok="t"/>
              <v:fill type="solid"/>
              <w10:wrap type="none"/>
            </v:shape>
          </w:pict>
        </mc:Fallback>
      </mc:AlternateContent>
    </w:r>
    <w:r>
      <w:rPr/>
      <mc:AlternateContent>
        <mc:Choice Requires="wps">
          <w:drawing>
            <wp:anchor distT="0" distB="0" distL="0" distR="0" allowOverlap="1" layoutInCell="1" locked="0" behindDoc="1" simplePos="0" relativeHeight="487272448">
              <wp:simplePos x="0" y="0"/>
              <wp:positionH relativeFrom="page">
                <wp:posOffset>0</wp:posOffset>
              </wp:positionH>
              <wp:positionV relativeFrom="page">
                <wp:posOffset>539495</wp:posOffset>
              </wp:positionV>
              <wp:extent cx="7561580" cy="38100"/>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7561580" cy="38100"/>
                      </a:xfrm>
                      <a:custGeom>
                        <a:avLst/>
                        <a:gdLst/>
                        <a:ahLst/>
                        <a:cxnLst/>
                        <a:rect l="l" t="t" r="r" b="b"/>
                        <a:pathLst>
                          <a:path w="7561580" h="38100">
                            <a:moveTo>
                              <a:pt x="7561326" y="0"/>
                            </a:moveTo>
                            <a:lnTo>
                              <a:pt x="7561326" y="0"/>
                            </a:lnTo>
                            <a:lnTo>
                              <a:pt x="0" y="0"/>
                            </a:lnTo>
                            <a:lnTo>
                              <a:pt x="0" y="38100"/>
                            </a:lnTo>
                            <a:lnTo>
                              <a:pt x="7561326" y="38100"/>
                            </a:lnTo>
                            <a:lnTo>
                              <a:pt x="7561326" y="0"/>
                            </a:lnTo>
                            <a:close/>
                          </a:path>
                        </a:pathLst>
                      </a:custGeom>
                      <a:solidFill>
                        <a:srgbClr val="FCF429"/>
                      </a:solidFill>
                    </wps:spPr>
                    <wps:bodyPr wrap="square" lIns="0" tIns="0" rIns="0" bIns="0" rtlCol="0">
                      <a:prstTxWarp prst="textNoShape">
                        <a:avLst/>
                      </a:prstTxWarp>
                      <a:noAutofit/>
                    </wps:bodyPr>
                  </wps:wsp>
                </a:graphicData>
              </a:graphic>
            </wp:anchor>
          </w:drawing>
        </mc:Choice>
        <mc:Fallback>
          <w:pict>
            <v:rect style="position:absolute;margin-left:0pt;margin-top:42.479942pt;width:595.380028pt;height:3.0pt;mso-position-horizontal-relative:page;mso-position-vertical-relative:page;z-index:-16044032" id="docshape22" filled="true" fillcolor="#fcf429" stroked="false">
              <v:fill type="solid"/>
              <w10:wrap type="none"/>
            </v:rect>
          </w:pict>
        </mc:Fallback>
      </mc:AlternateContent>
    </w:r>
    <w:r>
      <w:rPr/>
      <mc:AlternateContent>
        <mc:Choice Requires="wps">
          <w:drawing>
            <wp:anchor distT="0" distB="0" distL="0" distR="0" allowOverlap="1" layoutInCell="1" locked="0" behindDoc="1" simplePos="0" relativeHeight="487272960">
              <wp:simplePos x="0" y="0"/>
              <wp:positionH relativeFrom="page">
                <wp:posOffset>524509</wp:posOffset>
              </wp:positionH>
              <wp:positionV relativeFrom="page">
                <wp:posOffset>186707</wp:posOffset>
              </wp:positionV>
              <wp:extent cx="1985010" cy="168910"/>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1985010" cy="168910"/>
                      </a:xfrm>
                      <a:prstGeom prst="rect">
                        <a:avLst/>
                      </a:prstGeom>
                    </wps:spPr>
                    <wps:txbx>
                      <w:txbxContent>
                        <w:p>
                          <w:pPr>
                            <w:pStyle w:val="BodyText"/>
                            <w:spacing w:line="253" w:lineRule="exact"/>
                            <w:ind w:left="20"/>
                            <w:jc w:val="left"/>
                            <w:rPr>
                              <w:rFonts w:ascii="BancoDoBrasil Textos Medium"/>
                              <w:b w:val="0"/>
                            </w:rPr>
                          </w:pPr>
                          <w:r>
                            <w:rPr>
                              <w:rFonts w:ascii="BancoDoBrasil Textos Medium"/>
                              <w:b w:val="0"/>
                              <w:color w:val="465EFF"/>
                              <w:spacing w:val="16"/>
                            </w:rPr>
                            <w:t>Management</w:t>
                          </w:r>
                          <w:r>
                            <w:rPr>
                              <w:rFonts w:ascii="BancoDoBrasil Textos Medium"/>
                              <w:b w:val="0"/>
                              <w:color w:val="465EFF"/>
                              <w:spacing w:val="41"/>
                            </w:rPr>
                            <w:t> </w:t>
                          </w:r>
                          <w:r>
                            <w:rPr>
                              <w:rFonts w:ascii="BancoDoBrasil Textos Medium"/>
                              <w:b w:val="0"/>
                              <w:color w:val="465EFF"/>
                              <w:spacing w:val="15"/>
                            </w:rPr>
                            <w:t>Report</w:t>
                          </w:r>
                          <w:r>
                            <w:rPr>
                              <w:rFonts w:ascii="BancoDoBrasil Textos Medium"/>
                              <w:b w:val="0"/>
                              <w:color w:val="465EFF"/>
                              <w:spacing w:val="45"/>
                            </w:rPr>
                            <w:t> </w:t>
                          </w:r>
                          <w:r>
                            <w:rPr>
                              <w:rFonts w:ascii="BancoDoBrasil Textos Light"/>
                              <w:b w:val="0"/>
                              <w:color w:val="465EFF"/>
                            </w:rPr>
                            <w:t>|</w:t>
                          </w:r>
                          <w:r>
                            <w:rPr>
                              <w:rFonts w:ascii="BancoDoBrasil Textos Light"/>
                              <w:b w:val="0"/>
                              <w:color w:val="465EFF"/>
                              <w:spacing w:val="43"/>
                            </w:rPr>
                            <w:t> </w:t>
                          </w:r>
                          <w:r>
                            <w:rPr>
                              <w:rFonts w:ascii="BancoDoBrasil Textos Medium"/>
                              <w:b w:val="0"/>
                              <w:color w:val="465EFF"/>
                            </w:rPr>
                            <w:t>1</w:t>
                          </w:r>
                          <w:r>
                            <w:rPr>
                              <w:rFonts w:ascii="BancoDoBrasil Textos Medium"/>
                              <w:b w:val="0"/>
                              <w:color w:val="465EFF"/>
                              <w:spacing w:val="-29"/>
                            </w:rPr>
                            <w:t> </w:t>
                          </w:r>
                          <w:r>
                            <w:rPr>
                              <w:rFonts w:ascii="BancoDoBrasil Textos Medium"/>
                              <w:b w:val="0"/>
                              <w:color w:val="465EFF"/>
                            </w:rPr>
                            <w:t>H</w:t>
                          </w:r>
                          <w:r>
                            <w:rPr>
                              <w:rFonts w:ascii="BancoDoBrasil Textos Medium"/>
                              <w:b w:val="0"/>
                              <w:color w:val="465EFF"/>
                              <w:spacing w:val="-29"/>
                            </w:rPr>
                            <w:t> </w:t>
                          </w:r>
                          <w:r>
                            <w:rPr>
                              <w:rFonts w:ascii="BancoDoBrasil Textos Medium"/>
                              <w:b w:val="0"/>
                              <w:color w:val="465EFF"/>
                              <w:spacing w:val="10"/>
                            </w:rPr>
                            <w:t>24</w:t>
                          </w:r>
                        </w:p>
                      </w:txbxContent>
                    </wps:txbx>
                    <wps:bodyPr wrap="square" lIns="0" tIns="0" rIns="0" bIns="0" rtlCol="0">
                      <a:noAutofit/>
                    </wps:bodyPr>
                  </wps:wsp>
                </a:graphicData>
              </a:graphic>
            </wp:anchor>
          </w:drawing>
        </mc:Choice>
        <mc:Fallback>
          <w:pict>
            <v:shape style="position:absolute;margin-left:41.299999pt;margin-top:14.701381pt;width:156.3pt;height:13.3pt;mso-position-horizontal-relative:page;mso-position-vertical-relative:page;z-index:-16043520" type="#_x0000_t202" id="docshape23" filled="false" stroked="false">
              <v:textbox inset="0,0,0,0">
                <w:txbxContent>
                  <w:p>
                    <w:pPr>
                      <w:pStyle w:val="BodyText"/>
                      <w:spacing w:line="253" w:lineRule="exact"/>
                      <w:ind w:left="20"/>
                      <w:jc w:val="left"/>
                      <w:rPr>
                        <w:rFonts w:ascii="BancoDoBrasil Textos Medium"/>
                        <w:b w:val="0"/>
                      </w:rPr>
                    </w:pPr>
                    <w:r>
                      <w:rPr>
                        <w:rFonts w:ascii="BancoDoBrasil Textos Medium"/>
                        <w:b w:val="0"/>
                        <w:color w:val="465EFF"/>
                        <w:spacing w:val="16"/>
                      </w:rPr>
                      <w:t>Management</w:t>
                    </w:r>
                    <w:r>
                      <w:rPr>
                        <w:rFonts w:ascii="BancoDoBrasil Textos Medium"/>
                        <w:b w:val="0"/>
                        <w:color w:val="465EFF"/>
                        <w:spacing w:val="41"/>
                      </w:rPr>
                      <w:t> </w:t>
                    </w:r>
                    <w:r>
                      <w:rPr>
                        <w:rFonts w:ascii="BancoDoBrasil Textos Medium"/>
                        <w:b w:val="0"/>
                        <w:color w:val="465EFF"/>
                        <w:spacing w:val="15"/>
                      </w:rPr>
                      <w:t>Report</w:t>
                    </w:r>
                    <w:r>
                      <w:rPr>
                        <w:rFonts w:ascii="BancoDoBrasil Textos Medium"/>
                        <w:b w:val="0"/>
                        <w:color w:val="465EFF"/>
                        <w:spacing w:val="45"/>
                      </w:rPr>
                      <w:t> </w:t>
                    </w:r>
                    <w:r>
                      <w:rPr>
                        <w:rFonts w:ascii="BancoDoBrasil Textos Light"/>
                        <w:b w:val="0"/>
                        <w:color w:val="465EFF"/>
                      </w:rPr>
                      <w:t>|</w:t>
                    </w:r>
                    <w:r>
                      <w:rPr>
                        <w:rFonts w:ascii="BancoDoBrasil Textos Light"/>
                        <w:b w:val="0"/>
                        <w:color w:val="465EFF"/>
                        <w:spacing w:val="43"/>
                      </w:rPr>
                      <w:t> </w:t>
                    </w:r>
                    <w:r>
                      <w:rPr>
                        <w:rFonts w:ascii="BancoDoBrasil Textos Medium"/>
                        <w:b w:val="0"/>
                        <w:color w:val="465EFF"/>
                      </w:rPr>
                      <w:t>1</w:t>
                    </w:r>
                    <w:r>
                      <w:rPr>
                        <w:rFonts w:ascii="BancoDoBrasil Textos Medium"/>
                        <w:b w:val="0"/>
                        <w:color w:val="465EFF"/>
                        <w:spacing w:val="-29"/>
                      </w:rPr>
                      <w:t> </w:t>
                    </w:r>
                    <w:r>
                      <w:rPr>
                        <w:rFonts w:ascii="BancoDoBrasil Textos Medium"/>
                        <w:b w:val="0"/>
                        <w:color w:val="465EFF"/>
                      </w:rPr>
                      <w:t>H</w:t>
                    </w:r>
                    <w:r>
                      <w:rPr>
                        <w:rFonts w:ascii="BancoDoBrasil Textos Medium"/>
                        <w:b w:val="0"/>
                        <w:color w:val="465EFF"/>
                        <w:spacing w:val="-29"/>
                      </w:rPr>
                      <w:t> </w:t>
                    </w:r>
                    <w:r>
                      <w:rPr>
                        <w:rFonts w:ascii="BancoDoBrasil Textos Medium"/>
                        <w:b w:val="0"/>
                        <w:color w:val="465EFF"/>
                        <w:spacing w:val="10"/>
                      </w:rPr>
                      <w:t>24</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mc:AlternateContent>
        <mc:Choice Requires="wps">
          <w:drawing>
            <wp:anchor distT="0" distB="0" distL="0" distR="0" allowOverlap="1" layoutInCell="1" locked="0" behindDoc="1" simplePos="0" relativeHeight="487275008">
              <wp:simplePos x="0" y="0"/>
              <wp:positionH relativeFrom="page">
                <wp:posOffset>6659333</wp:posOffset>
              </wp:positionH>
              <wp:positionV relativeFrom="page">
                <wp:posOffset>96684</wp:posOffset>
              </wp:positionV>
              <wp:extent cx="353695" cy="346710"/>
              <wp:effectExtent l="0" t="0" r="0" b="0"/>
              <wp:wrapNone/>
              <wp:docPr id="28" name="Graphic 28"/>
              <wp:cNvGraphicFramePr>
                <a:graphicFrameLocks/>
              </wp:cNvGraphicFramePr>
              <a:graphic>
                <a:graphicData uri="http://schemas.microsoft.com/office/word/2010/wordprocessingShape">
                  <wps:wsp>
                    <wps:cNvPr id="28" name="Graphic 28"/>
                    <wps:cNvSpPr/>
                    <wps:spPr>
                      <a:xfrm>
                        <a:off x="0" y="0"/>
                        <a:ext cx="353695" cy="346710"/>
                      </a:xfrm>
                      <a:custGeom>
                        <a:avLst/>
                        <a:gdLst/>
                        <a:ahLst/>
                        <a:cxnLst/>
                        <a:rect l="l" t="t" r="r" b="b"/>
                        <a:pathLst>
                          <a:path w="353695" h="346710">
                            <a:moveTo>
                              <a:pt x="71589" y="300037"/>
                            </a:moveTo>
                            <a:lnTo>
                              <a:pt x="35026" y="275412"/>
                            </a:lnTo>
                            <a:lnTo>
                              <a:pt x="0" y="297573"/>
                            </a:lnTo>
                            <a:lnTo>
                              <a:pt x="0" y="346227"/>
                            </a:lnTo>
                            <a:lnTo>
                              <a:pt x="71589" y="300037"/>
                            </a:lnTo>
                            <a:close/>
                          </a:path>
                          <a:path w="353695" h="346710">
                            <a:moveTo>
                              <a:pt x="350710" y="230085"/>
                            </a:moveTo>
                            <a:lnTo>
                              <a:pt x="278091" y="181330"/>
                            </a:lnTo>
                            <a:lnTo>
                              <a:pt x="192138" y="239445"/>
                            </a:lnTo>
                            <a:lnTo>
                              <a:pt x="228193" y="263779"/>
                            </a:lnTo>
                            <a:lnTo>
                              <a:pt x="180759" y="296583"/>
                            </a:lnTo>
                            <a:lnTo>
                              <a:pt x="76530" y="226644"/>
                            </a:lnTo>
                            <a:lnTo>
                              <a:pt x="245478" y="117309"/>
                            </a:lnTo>
                            <a:lnTo>
                              <a:pt x="207937" y="92671"/>
                            </a:lnTo>
                            <a:lnTo>
                              <a:pt x="0" y="230085"/>
                            </a:lnTo>
                            <a:lnTo>
                              <a:pt x="176631" y="346227"/>
                            </a:lnTo>
                            <a:lnTo>
                              <a:pt x="350710" y="230085"/>
                            </a:lnTo>
                            <a:close/>
                          </a:path>
                          <a:path w="353695" h="346710">
                            <a:moveTo>
                              <a:pt x="350710" y="115328"/>
                            </a:moveTo>
                            <a:lnTo>
                              <a:pt x="176631" y="0"/>
                            </a:lnTo>
                            <a:lnTo>
                              <a:pt x="0" y="113360"/>
                            </a:lnTo>
                            <a:lnTo>
                              <a:pt x="74053" y="162610"/>
                            </a:lnTo>
                            <a:lnTo>
                              <a:pt x="159029" y="105981"/>
                            </a:lnTo>
                            <a:lnTo>
                              <a:pt x="123469" y="80365"/>
                            </a:lnTo>
                            <a:lnTo>
                              <a:pt x="171869" y="48348"/>
                            </a:lnTo>
                            <a:lnTo>
                              <a:pt x="274129" y="116814"/>
                            </a:lnTo>
                            <a:lnTo>
                              <a:pt x="108140" y="228612"/>
                            </a:lnTo>
                            <a:lnTo>
                              <a:pt x="143230" y="252260"/>
                            </a:lnTo>
                            <a:lnTo>
                              <a:pt x="350710" y="115328"/>
                            </a:lnTo>
                            <a:close/>
                          </a:path>
                          <a:path w="353695" h="346710">
                            <a:moveTo>
                              <a:pt x="353275" y="0"/>
                            </a:moveTo>
                            <a:lnTo>
                              <a:pt x="282041" y="45389"/>
                            </a:lnTo>
                            <a:lnTo>
                              <a:pt x="320090" y="71996"/>
                            </a:lnTo>
                            <a:lnTo>
                              <a:pt x="353275" y="50330"/>
                            </a:lnTo>
                            <a:lnTo>
                              <a:pt x="353275" y="0"/>
                            </a:lnTo>
                            <a:close/>
                          </a:path>
                        </a:pathLst>
                      </a:custGeom>
                      <a:solidFill>
                        <a:srgbClr val="465EFF"/>
                      </a:solidFill>
                    </wps:spPr>
                    <wps:bodyPr wrap="square" lIns="0" tIns="0" rIns="0" bIns="0" rtlCol="0">
                      <a:prstTxWarp prst="textNoShape">
                        <a:avLst/>
                      </a:prstTxWarp>
                      <a:noAutofit/>
                    </wps:bodyPr>
                  </wps:wsp>
                </a:graphicData>
              </a:graphic>
            </wp:anchor>
          </w:drawing>
        </mc:Choice>
        <mc:Fallback>
          <w:pict>
            <v:shape style="position:absolute;margin-left:524.356995pt;margin-top:7.612941pt;width:27.85pt;height:27.3pt;mso-position-horizontal-relative:page;mso-position-vertical-relative:page;z-index:-16041472" id="docshape28" coordorigin="10487,152" coordsize="557,546" path="m10600,625l10542,586,10487,621,10487,697,10600,625xm11039,515l10925,438,10790,529,10846,568,10772,619,10608,509,10874,337,10815,298,10487,515,10765,697,11039,515xm11039,334l10765,152,10487,331,10604,408,10738,319,10682,279,10758,228,10919,336,10657,512,10713,550,11039,334xm11043,152l10931,224,10991,266,11043,232,11043,152xe" filled="true" fillcolor="#465eff" stroked="false">
              <v:path arrowok="t"/>
              <v:fill type="solid"/>
              <w10:wrap type="none"/>
            </v:shape>
          </w:pict>
        </mc:Fallback>
      </mc:AlternateContent>
    </w:r>
    <w:r>
      <w:rPr/>
      <mc:AlternateContent>
        <mc:Choice Requires="wps">
          <w:drawing>
            <wp:anchor distT="0" distB="0" distL="0" distR="0" allowOverlap="1" layoutInCell="1" locked="0" behindDoc="1" simplePos="0" relativeHeight="487275520">
              <wp:simplePos x="0" y="0"/>
              <wp:positionH relativeFrom="page">
                <wp:posOffset>0</wp:posOffset>
              </wp:positionH>
              <wp:positionV relativeFrom="page">
                <wp:posOffset>539495</wp:posOffset>
              </wp:positionV>
              <wp:extent cx="7561580" cy="38100"/>
              <wp:effectExtent l="0" t="0" r="0" b="0"/>
              <wp:wrapNone/>
              <wp:docPr id="29" name="Graphic 29"/>
              <wp:cNvGraphicFramePr>
                <a:graphicFrameLocks/>
              </wp:cNvGraphicFramePr>
              <a:graphic>
                <a:graphicData uri="http://schemas.microsoft.com/office/word/2010/wordprocessingShape">
                  <wps:wsp>
                    <wps:cNvPr id="29" name="Graphic 29"/>
                    <wps:cNvSpPr/>
                    <wps:spPr>
                      <a:xfrm>
                        <a:off x="0" y="0"/>
                        <a:ext cx="7561580" cy="38100"/>
                      </a:xfrm>
                      <a:custGeom>
                        <a:avLst/>
                        <a:gdLst/>
                        <a:ahLst/>
                        <a:cxnLst/>
                        <a:rect l="l" t="t" r="r" b="b"/>
                        <a:pathLst>
                          <a:path w="7561580" h="38100">
                            <a:moveTo>
                              <a:pt x="7561326" y="0"/>
                            </a:moveTo>
                            <a:lnTo>
                              <a:pt x="7561326" y="0"/>
                            </a:lnTo>
                            <a:lnTo>
                              <a:pt x="0" y="0"/>
                            </a:lnTo>
                            <a:lnTo>
                              <a:pt x="0" y="38100"/>
                            </a:lnTo>
                            <a:lnTo>
                              <a:pt x="7561326" y="38100"/>
                            </a:lnTo>
                            <a:lnTo>
                              <a:pt x="7561326" y="0"/>
                            </a:lnTo>
                            <a:close/>
                          </a:path>
                        </a:pathLst>
                      </a:custGeom>
                      <a:solidFill>
                        <a:srgbClr val="FCF429"/>
                      </a:solidFill>
                    </wps:spPr>
                    <wps:bodyPr wrap="square" lIns="0" tIns="0" rIns="0" bIns="0" rtlCol="0">
                      <a:prstTxWarp prst="textNoShape">
                        <a:avLst/>
                      </a:prstTxWarp>
                      <a:noAutofit/>
                    </wps:bodyPr>
                  </wps:wsp>
                </a:graphicData>
              </a:graphic>
            </wp:anchor>
          </w:drawing>
        </mc:Choice>
        <mc:Fallback>
          <w:pict>
            <v:rect style="position:absolute;margin-left:0pt;margin-top:42.479942pt;width:595.380028pt;height:3.0pt;mso-position-horizontal-relative:page;mso-position-vertical-relative:page;z-index:-16040960" id="docshape29" filled="true" fillcolor="#fcf429" stroked="false">
              <v:fill type="solid"/>
              <w10:wrap type="none"/>
            </v:rect>
          </w:pict>
        </mc:Fallback>
      </mc:AlternateContent>
    </w:r>
    <w:r>
      <w:rPr/>
      <mc:AlternateContent>
        <mc:Choice Requires="wps">
          <w:drawing>
            <wp:anchor distT="0" distB="0" distL="0" distR="0" allowOverlap="1" layoutInCell="1" locked="0" behindDoc="1" simplePos="0" relativeHeight="487276032">
              <wp:simplePos x="0" y="0"/>
              <wp:positionH relativeFrom="page">
                <wp:posOffset>524509</wp:posOffset>
              </wp:positionH>
              <wp:positionV relativeFrom="page">
                <wp:posOffset>186707</wp:posOffset>
              </wp:positionV>
              <wp:extent cx="2024380" cy="168910"/>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2024380" cy="168910"/>
                      </a:xfrm>
                      <a:prstGeom prst="rect">
                        <a:avLst/>
                      </a:prstGeom>
                    </wps:spPr>
                    <wps:txbx>
                      <w:txbxContent>
                        <w:p>
                          <w:pPr>
                            <w:pStyle w:val="BodyText"/>
                            <w:spacing w:line="253" w:lineRule="exact"/>
                            <w:ind w:left="20"/>
                            <w:jc w:val="left"/>
                            <w:rPr>
                              <w:rFonts w:ascii="BancoDoBrasil Textos Medium"/>
                              <w:b w:val="0"/>
                            </w:rPr>
                          </w:pPr>
                          <w:r>
                            <w:rPr>
                              <w:rFonts w:ascii="BancoDoBrasil Textos Medium"/>
                              <w:b w:val="0"/>
                              <w:color w:val="465EFF"/>
                              <w:spacing w:val="16"/>
                            </w:rPr>
                            <w:t>Management</w:t>
                          </w:r>
                          <w:r>
                            <w:rPr>
                              <w:rFonts w:ascii="BancoDoBrasil Textos Medium"/>
                              <w:b w:val="0"/>
                              <w:color w:val="465EFF"/>
                              <w:spacing w:val="42"/>
                            </w:rPr>
                            <w:t> </w:t>
                          </w:r>
                          <w:r>
                            <w:rPr>
                              <w:rFonts w:ascii="BancoDoBrasil Textos Medium"/>
                              <w:b w:val="0"/>
                              <w:color w:val="465EFF"/>
                              <w:spacing w:val="15"/>
                            </w:rPr>
                            <w:t>Report</w:t>
                          </w:r>
                          <w:r>
                            <w:rPr>
                              <w:rFonts w:ascii="BancoDoBrasil Textos Medium"/>
                              <w:b w:val="0"/>
                              <w:color w:val="465EFF"/>
                              <w:spacing w:val="45"/>
                            </w:rPr>
                            <w:t> </w:t>
                          </w:r>
                          <w:r>
                            <w:rPr>
                              <w:rFonts w:ascii="BancoDoBrasil Textos Light"/>
                              <w:b w:val="0"/>
                              <w:color w:val="465EFF"/>
                            </w:rPr>
                            <w:t>|</w:t>
                          </w:r>
                          <w:r>
                            <w:rPr>
                              <w:rFonts w:ascii="BancoDoBrasil Textos Light"/>
                              <w:b w:val="0"/>
                              <w:color w:val="465EFF"/>
                              <w:spacing w:val="44"/>
                            </w:rPr>
                            <w:t> </w:t>
                          </w:r>
                          <w:r>
                            <w:rPr>
                              <w:rFonts w:ascii="BancoDoBrasil Textos Medium"/>
                              <w:b w:val="0"/>
                              <w:color w:val="465EFF"/>
                              <w:spacing w:val="9"/>
                            </w:rPr>
                            <w:t>9M</w:t>
                          </w:r>
                          <w:r>
                            <w:rPr>
                              <w:rFonts w:ascii="BancoDoBrasil Textos Medium"/>
                              <w:b w:val="0"/>
                              <w:color w:val="465EFF"/>
                              <w:spacing w:val="-29"/>
                            </w:rPr>
                            <w:t> </w:t>
                          </w:r>
                          <w:r>
                            <w:rPr>
                              <w:rFonts w:ascii="BancoDoBrasil Textos Medium"/>
                              <w:b w:val="0"/>
                              <w:color w:val="465EFF"/>
                              <w:spacing w:val="10"/>
                            </w:rPr>
                            <w:t>24</w:t>
                          </w:r>
                        </w:p>
                      </w:txbxContent>
                    </wps:txbx>
                    <wps:bodyPr wrap="square" lIns="0" tIns="0" rIns="0" bIns="0" rtlCol="0">
                      <a:noAutofit/>
                    </wps:bodyPr>
                  </wps:wsp>
                </a:graphicData>
              </a:graphic>
            </wp:anchor>
          </w:drawing>
        </mc:Choice>
        <mc:Fallback>
          <w:pict>
            <v:shape style="position:absolute;margin-left:41.299999pt;margin-top:14.701381pt;width:159.4pt;height:13.3pt;mso-position-horizontal-relative:page;mso-position-vertical-relative:page;z-index:-16040448" type="#_x0000_t202" id="docshape30" filled="false" stroked="false">
              <v:textbox inset="0,0,0,0">
                <w:txbxContent>
                  <w:p>
                    <w:pPr>
                      <w:pStyle w:val="BodyText"/>
                      <w:spacing w:line="253" w:lineRule="exact"/>
                      <w:ind w:left="20"/>
                      <w:jc w:val="left"/>
                      <w:rPr>
                        <w:rFonts w:ascii="BancoDoBrasil Textos Medium"/>
                        <w:b w:val="0"/>
                      </w:rPr>
                    </w:pPr>
                    <w:r>
                      <w:rPr>
                        <w:rFonts w:ascii="BancoDoBrasil Textos Medium"/>
                        <w:b w:val="0"/>
                        <w:color w:val="465EFF"/>
                        <w:spacing w:val="16"/>
                      </w:rPr>
                      <w:t>Management</w:t>
                    </w:r>
                    <w:r>
                      <w:rPr>
                        <w:rFonts w:ascii="BancoDoBrasil Textos Medium"/>
                        <w:b w:val="0"/>
                        <w:color w:val="465EFF"/>
                        <w:spacing w:val="42"/>
                      </w:rPr>
                      <w:t> </w:t>
                    </w:r>
                    <w:r>
                      <w:rPr>
                        <w:rFonts w:ascii="BancoDoBrasil Textos Medium"/>
                        <w:b w:val="0"/>
                        <w:color w:val="465EFF"/>
                        <w:spacing w:val="15"/>
                      </w:rPr>
                      <w:t>Report</w:t>
                    </w:r>
                    <w:r>
                      <w:rPr>
                        <w:rFonts w:ascii="BancoDoBrasil Textos Medium"/>
                        <w:b w:val="0"/>
                        <w:color w:val="465EFF"/>
                        <w:spacing w:val="45"/>
                      </w:rPr>
                      <w:t> </w:t>
                    </w:r>
                    <w:r>
                      <w:rPr>
                        <w:rFonts w:ascii="BancoDoBrasil Textos Light"/>
                        <w:b w:val="0"/>
                        <w:color w:val="465EFF"/>
                      </w:rPr>
                      <w:t>|</w:t>
                    </w:r>
                    <w:r>
                      <w:rPr>
                        <w:rFonts w:ascii="BancoDoBrasil Textos Light"/>
                        <w:b w:val="0"/>
                        <w:color w:val="465EFF"/>
                        <w:spacing w:val="44"/>
                      </w:rPr>
                      <w:t> </w:t>
                    </w:r>
                    <w:r>
                      <w:rPr>
                        <w:rFonts w:ascii="BancoDoBrasil Textos Medium"/>
                        <w:b w:val="0"/>
                        <w:color w:val="465EFF"/>
                        <w:spacing w:val="9"/>
                      </w:rPr>
                      <w:t>9M</w:t>
                    </w:r>
                    <w:r>
                      <w:rPr>
                        <w:rFonts w:ascii="BancoDoBrasil Textos Medium"/>
                        <w:b w:val="0"/>
                        <w:color w:val="465EFF"/>
                        <w:spacing w:val="-29"/>
                      </w:rPr>
                      <w:t> </w:t>
                    </w:r>
                    <w:r>
                      <w:rPr>
                        <w:rFonts w:ascii="BancoDoBrasil Textos Medium"/>
                        <w:b w:val="0"/>
                        <w:color w:val="465EFF"/>
                        <w:spacing w:val="10"/>
                      </w:rPr>
                      <w:t>24</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50" w:hanging="119"/>
      </w:pPr>
      <w:rPr>
        <w:rFonts w:hint="default" w:ascii="BancoDoBrasil Textos" w:hAnsi="BancoDoBrasil Textos" w:eastAsia="BancoDoBrasil Textos" w:cs="BancoDoBrasil Textos"/>
        <w:b w:val="0"/>
        <w:bCs w:val="0"/>
        <w:i w:val="0"/>
        <w:iCs w:val="0"/>
        <w:color w:val="1B1B22"/>
        <w:spacing w:val="0"/>
        <w:w w:val="100"/>
        <w:sz w:val="20"/>
        <w:szCs w:val="20"/>
        <w:lang w:val="en-US" w:eastAsia="en-US" w:bidi="ar-SA"/>
      </w:rPr>
    </w:lvl>
    <w:lvl w:ilvl="1">
      <w:start w:val="0"/>
      <w:numFmt w:val="bullet"/>
      <w:lvlText w:val="•"/>
      <w:lvlJc w:val="left"/>
      <w:pPr>
        <w:ind w:left="1334" w:hanging="119"/>
      </w:pPr>
      <w:rPr>
        <w:rFonts w:hint="default"/>
        <w:lang w:val="en-US" w:eastAsia="en-US" w:bidi="ar-SA"/>
      </w:rPr>
    </w:lvl>
    <w:lvl w:ilvl="2">
      <w:start w:val="0"/>
      <w:numFmt w:val="bullet"/>
      <w:lvlText w:val="•"/>
      <w:lvlJc w:val="left"/>
      <w:pPr>
        <w:ind w:left="1808" w:hanging="119"/>
      </w:pPr>
      <w:rPr>
        <w:rFonts w:hint="default"/>
        <w:lang w:val="en-US" w:eastAsia="en-US" w:bidi="ar-SA"/>
      </w:rPr>
    </w:lvl>
    <w:lvl w:ilvl="3">
      <w:start w:val="0"/>
      <w:numFmt w:val="bullet"/>
      <w:lvlText w:val="•"/>
      <w:lvlJc w:val="left"/>
      <w:pPr>
        <w:ind w:left="2282" w:hanging="119"/>
      </w:pPr>
      <w:rPr>
        <w:rFonts w:hint="default"/>
        <w:lang w:val="en-US" w:eastAsia="en-US" w:bidi="ar-SA"/>
      </w:rPr>
    </w:lvl>
    <w:lvl w:ilvl="4">
      <w:start w:val="0"/>
      <w:numFmt w:val="bullet"/>
      <w:lvlText w:val="•"/>
      <w:lvlJc w:val="left"/>
      <w:pPr>
        <w:ind w:left="2756" w:hanging="119"/>
      </w:pPr>
      <w:rPr>
        <w:rFonts w:hint="default"/>
        <w:lang w:val="en-US" w:eastAsia="en-US" w:bidi="ar-SA"/>
      </w:rPr>
    </w:lvl>
    <w:lvl w:ilvl="5">
      <w:start w:val="0"/>
      <w:numFmt w:val="bullet"/>
      <w:lvlText w:val="•"/>
      <w:lvlJc w:val="left"/>
      <w:pPr>
        <w:ind w:left="3230" w:hanging="119"/>
      </w:pPr>
      <w:rPr>
        <w:rFonts w:hint="default"/>
        <w:lang w:val="en-US" w:eastAsia="en-US" w:bidi="ar-SA"/>
      </w:rPr>
    </w:lvl>
    <w:lvl w:ilvl="6">
      <w:start w:val="0"/>
      <w:numFmt w:val="bullet"/>
      <w:lvlText w:val="•"/>
      <w:lvlJc w:val="left"/>
      <w:pPr>
        <w:ind w:left="3704" w:hanging="119"/>
      </w:pPr>
      <w:rPr>
        <w:rFonts w:hint="default"/>
        <w:lang w:val="en-US" w:eastAsia="en-US" w:bidi="ar-SA"/>
      </w:rPr>
    </w:lvl>
    <w:lvl w:ilvl="7">
      <w:start w:val="0"/>
      <w:numFmt w:val="bullet"/>
      <w:lvlText w:val="•"/>
      <w:lvlJc w:val="left"/>
      <w:pPr>
        <w:ind w:left="4178" w:hanging="119"/>
      </w:pPr>
      <w:rPr>
        <w:rFonts w:hint="default"/>
        <w:lang w:val="en-US" w:eastAsia="en-US" w:bidi="ar-SA"/>
      </w:rPr>
    </w:lvl>
    <w:lvl w:ilvl="8">
      <w:start w:val="0"/>
      <w:numFmt w:val="bullet"/>
      <w:lvlText w:val="•"/>
      <w:lvlJc w:val="left"/>
      <w:pPr>
        <w:ind w:left="4652" w:hanging="119"/>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BancoDoBrasil Textos" w:hAnsi="BancoDoBrasil Textos" w:eastAsia="BancoDoBrasil Textos" w:cs="BancoDoBrasil Textos"/>
      <w:lang w:val="en-US" w:eastAsia="en-US" w:bidi="ar-SA"/>
    </w:rPr>
  </w:style>
  <w:style w:styleId="BodyText" w:type="paragraph">
    <w:name w:val="Body Text"/>
    <w:basedOn w:val="Normal"/>
    <w:uiPriority w:val="1"/>
    <w:qFormat/>
    <w:pPr>
      <w:ind w:left="850"/>
      <w:jc w:val="both"/>
    </w:pPr>
    <w:rPr>
      <w:rFonts w:ascii="BancoDoBrasil Textos" w:hAnsi="BancoDoBrasil Textos" w:eastAsia="BancoDoBrasil Textos" w:cs="BancoDoBrasil Textos"/>
      <w:sz w:val="20"/>
      <w:szCs w:val="20"/>
      <w:lang w:val="en-US" w:eastAsia="en-US" w:bidi="ar-SA"/>
    </w:rPr>
  </w:style>
  <w:style w:styleId="Heading1" w:type="paragraph">
    <w:name w:val="Heading 1"/>
    <w:basedOn w:val="Normal"/>
    <w:uiPriority w:val="1"/>
    <w:qFormat/>
    <w:pPr>
      <w:ind w:left="850"/>
      <w:outlineLvl w:val="1"/>
    </w:pPr>
    <w:rPr>
      <w:rFonts w:ascii="BancoDoBrasil Titulos" w:hAnsi="BancoDoBrasil Titulos" w:eastAsia="BancoDoBrasil Titulos" w:cs="BancoDoBrasil Titulos"/>
      <w:sz w:val="44"/>
      <w:szCs w:val="44"/>
      <w:lang w:val="en-US" w:eastAsia="en-US" w:bidi="ar-SA"/>
    </w:rPr>
  </w:style>
  <w:style w:styleId="Heading2" w:type="paragraph">
    <w:name w:val="Heading 2"/>
    <w:basedOn w:val="Normal"/>
    <w:uiPriority w:val="1"/>
    <w:qFormat/>
    <w:pPr>
      <w:ind w:left="850"/>
      <w:outlineLvl w:val="2"/>
    </w:pPr>
    <w:rPr>
      <w:rFonts w:ascii="BancoDoBrasil Textos Medium" w:hAnsi="BancoDoBrasil Textos Medium" w:eastAsia="BancoDoBrasil Textos Medium" w:cs="BancoDoBrasil Textos Medium"/>
      <w:sz w:val="28"/>
      <w:szCs w:val="28"/>
      <w:lang w:val="en-US" w:eastAsia="en-US" w:bidi="ar-SA"/>
    </w:rPr>
  </w:style>
  <w:style w:styleId="Title" w:type="paragraph">
    <w:name w:val="Title"/>
    <w:basedOn w:val="Normal"/>
    <w:uiPriority w:val="1"/>
    <w:qFormat/>
    <w:pPr>
      <w:spacing w:before="1" w:line="1470" w:lineRule="exact"/>
      <w:ind w:left="2014"/>
    </w:pPr>
    <w:rPr>
      <w:rFonts w:ascii="BancoDoBrasil Titulos" w:hAnsi="BancoDoBrasil Titulos" w:eastAsia="BancoDoBrasil Titulos" w:cs="BancoDoBrasil Titulos"/>
      <w:b/>
      <w:bCs/>
      <w:sz w:val="120"/>
      <w:szCs w:val="120"/>
      <w:lang w:val="en-US" w:eastAsia="en-US" w:bidi="ar-SA"/>
    </w:rPr>
  </w:style>
  <w:style w:styleId="ListParagraph" w:type="paragraph">
    <w:name w:val="List Paragraph"/>
    <w:basedOn w:val="Normal"/>
    <w:uiPriority w:val="1"/>
    <w:qFormat/>
    <w:pPr>
      <w:spacing w:before="206"/>
      <w:ind w:left="968" w:hanging="118"/>
      <w:jc w:val="both"/>
    </w:pPr>
    <w:rPr>
      <w:rFonts w:ascii="BancoDoBrasil Textos" w:hAnsi="BancoDoBrasil Textos" w:eastAsia="BancoDoBrasil Textos" w:cs="BancoDoBrasil Textos"/>
      <w:lang w:val="en-US" w:eastAsia="en-US" w:bidi="ar-SA"/>
    </w:rPr>
  </w:style>
  <w:style w:styleId="TableParagraph" w:type="paragraph">
    <w:name w:val="Table Paragraph"/>
    <w:basedOn w:val="Normal"/>
    <w:uiPriority w:val="1"/>
    <w:qFormat/>
    <w:pPr>
      <w:spacing w:before="189"/>
    </w:pPr>
    <w:rPr>
      <w:rFonts w:ascii="BancoDoBrasil Textos Light" w:hAnsi="BancoDoBrasil Textos Light" w:eastAsia="BancoDoBrasil Textos Light" w:cs="BancoDoBrasil Textos Light"/>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eader" Target="header2.xml"/><Relationship Id="rId9" Type="http://schemas.openxmlformats.org/officeDocument/2006/relationships/footer" Target="footer2.xml"/><Relationship Id="rId10" Type="http://schemas.openxmlformats.org/officeDocument/2006/relationships/header" Target="header3.xml"/><Relationship Id="rId11" Type="http://schemas.openxmlformats.org/officeDocument/2006/relationships/footer" Target="footer3.xml"/><Relationship Id="rId12" Type="http://schemas.openxmlformats.org/officeDocument/2006/relationships/image" Target="media/image2.jpeg"/><Relationship Id="rId13" Type="http://schemas.openxmlformats.org/officeDocument/2006/relationships/image" Target="media/image3.jpeg"/><Relationship Id="rId14" Type="http://schemas.openxmlformats.org/officeDocument/2006/relationships/image" Target="media/image4.jpeg"/><Relationship Id="rId15" Type="http://schemas.openxmlformats.org/officeDocument/2006/relationships/image" Target="media/image5.jpeg"/><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Luiz Fernando de Almeida</dc:creator>
  <dcterms:created xsi:type="dcterms:W3CDTF">2024-11-13T18:17:33Z</dcterms:created>
  <dcterms:modified xsi:type="dcterms:W3CDTF">2024-11-13T18:17:33Z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2024-11-12T00:00:00Z</vt:filetime>
  </property>
  <property fmtid="{D5CDD505-2E9C-101B-9397-08002B2CF9AE}" pid="3" name="Creator">
    <vt:lpwstr>Microsoft® Word para Microsoft 365</vt:lpwstr>
  </property>
  <property fmtid="{D5CDD505-2E9C-101B-9397-08002B2CF9AE}" pid="4" name="LastSaved">
    <vt:filetime>2024-11-13T00:00:00Z</vt:filetime>
  </property>
  <property fmtid="{D5CDD505-2E9C-101B-9397-08002B2CF9AE}" pid="5" name="MSIP_Label_40881dc9-f7f2-41de-a334-ceff3dc15b31_ContentBits">
    <vt:lpwstr>1</vt:lpwstr>
  </property>
  <property fmtid="{D5CDD505-2E9C-101B-9397-08002B2CF9AE}" pid="6" name="MSIP_Label_40881dc9-f7f2-41de-a334-ceff3dc15b31_Enabled">
    <vt:lpwstr>true</vt:lpwstr>
  </property>
  <property fmtid="{D5CDD505-2E9C-101B-9397-08002B2CF9AE}" pid="7" name="MSIP_Label_40881dc9-f7f2-41de-a334-ceff3dc15b31_Method">
    <vt:lpwstr>Standard</vt:lpwstr>
  </property>
  <property fmtid="{D5CDD505-2E9C-101B-9397-08002B2CF9AE}" pid="8" name="MSIP_Label_40881dc9-f7f2-41de-a334-ceff3dc15b31_Name">
    <vt:lpwstr>40881dc9-f7f2-41de-a334-ceff3dc15b31</vt:lpwstr>
  </property>
  <property fmtid="{D5CDD505-2E9C-101B-9397-08002B2CF9AE}" pid="9" name="MSIP_Label_40881dc9-f7f2-41de-a334-ceff3dc15b31_SiteId">
    <vt:lpwstr>ea0c2907-38d2-4181-8750-b0b190b60443</vt:lpwstr>
  </property>
  <property fmtid="{D5CDD505-2E9C-101B-9397-08002B2CF9AE}" pid="10" name="Producer">
    <vt:lpwstr>Microsoft® Word para Microsoft 365</vt:lpwstr>
  </property>
</Properties>
</file>