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Hyperlink"/>
          <w:rFonts w:eastAsia="Times New Roman" w:cs="Times New Roman"/>
          <w:b w:val="0"/>
          <w:bCs w:val="0"/>
          <w:noProof w:val="0"/>
          <w:color w:val="023160" w:themeColor="hyperlink" w:themeShade="80"/>
          <w:kern w:val="20"/>
          <w:sz w:val="20"/>
          <w:szCs w:val="24"/>
          <w:u w:val="none"/>
          <w:lang w:eastAsia="en-GB"/>
        </w:rPr>
        <w:id w:val="1128744166"/>
        <w:docPartObj>
          <w:docPartGallery w:val="Table of Contents"/>
          <w:docPartUnique/>
        </w:docPartObj>
      </w:sdtPr>
      <w:sdtEndPr>
        <w:rPr>
          <w:rStyle w:val="Hyperlink"/>
        </w:rPr>
      </w:sdtEndPr>
      <w:sdtContent>
        <w:p w14:paraId="4C241219" w14:textId="575A581B" w:rsidR="00B46591" w:rsidRDefault="00B46591" w:rsidP="00904B54">
          <w:pPr>
            <w:pStyle w:val="Sumrio1"/>
            <w:spacing w:line="0" w:lineRule="atLeast"/>
            <w:jc w:val="center"/>
            <w:rPr>
              <w:rStyle w:val="Hyperlink"/>
              <w:rFonts w:eastAsia="Times New Roman" w:cs="Times New Roman"/>
              <w:b w:val="0"/>
              <w:bCs w:val="0"/>
              <w:noProof w:val="0"/>
              <w:color w:val="023160" w:themeColor="hyperlink" w:themeShade="80"/>
              <w:kern w:val="20"/>
              <w:sz w:val="20"/>
              <w:szCs w:val="24"/>
              <w:u w:val="none"/>
              <w:lang w:eastAsia="en-GB"/>
            </w:rPr>
          </w:pPr>
          <w:r>
            <w:rPr>
              <w:rStyle w:val="Hyperlink"/>
              <w:rFonts w:eastAsia="Times New Roman" w:cs="Times New Roman"/>
              <w:b w:val="0"/>
              <w:bCs w:val="0"/>
              <w:color w:val="023160" w:themeColor="hyperlink" w:themeShade="80"/>
              <w:kern w:val="20"/>
              <w:sz w:val="20"/>
              <w:szCs w:val="24"/>
              <w:u w:val="none"/>
              <w:lang w:eastAsia="en-GB"/>
            </w:rPr>
            <w:drawing>
              <wp:anchor distT="0" distB="0" distL="114300" distR="114300" simplePos="0" relativeHeight="251647488" behindDoc="0" locked="0" layoutInCell="1" allowOverlap="1" wp14:anchorId="688C56AE" wp14:editId="10CA87A2">
                <wp:simplePos x="0" y="0"/>
                <wp:positionH relativeFrom="column">
                  <wp:posOffset>-689610</wp:posOffset>
                </wp:positionH>
                <wp:positionV relativeFrom="paragraph">
                  <wp:posOffset>-720090</wp:posOffset>
                </wp:positionV>
                <wp:extent cx="7506970" cy="10624820"/>
                <wp:effectExtent l="0" t="0" r="0" b="508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6970" cy="10624820"/>
                        </a:xfrm>
                        <a:prstGeom prst="rect">
                          <a:avLst/>
                        </a:prstGeom>
                        <a:noFill/>
                      </pic:spPr>
                    </pic:pic>
                  </a:graphicData>
                </a:graphic>
                <wp14:sizeRelH relativeFrom="page">
                  <wp14:pctWidth>0</wp14:pctWidth>
                </wp14:sizeRelH>
                <wp14:sizeRelV relativeFrom="page">
                  <wp14:pctHeight>0</wp14:pctHeight>
                </wp14:sizeRelV>
              </wp:anchor>
            </w:drawing>
          </w:r>
        </w:p>
        <w:p w14:paraId="5C231647" w14:textId="4FE06778" w:rsidR="00904B54" w:rsidRPr="00B84B0C" w:rsidRDefault="00C97E22" w:rsidP="00904B54">
          <w:pPr>
            <w:pStyle w:val="Sumrio1"/>
            <w:spacing w:line="0" w:lineRule="atLeast"/>
            <w:jc w:val="center"/>
            <w:rPr>
              <w:rStyle w:val="Hyperlink"/>
              <w:color w:val="023160" w:themeColor="hyperlink" w:themeShade="80"/>
              <w:u w:val="none"/>
            </w:rPr>
          </w:pPr>
          <w:r w:rsidRPr="00B84B0C">
            <w:rPr>
              <w:rStyle w:val="Hyperlink"/>
              <w:color w:val="023160" w:themeColor="hyperlink" w:themeShade="80"/>
              <w:u w:val="none"/>
            </w:rPr>
            <w:lastRenderedPageBreak/>
            <w:t>INDEX</w:t>
          </w:r>
        </w:p>
        <w:p w14:paraId="5908EAE6" w14:textId="05A8E273"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STATEMENT OF INCOME</w:t>
          </w:r>
          <w:r w:rsidRPr="00E72E05">
            <w:rPr>
              <w:webHidden/>
              <w:u w:val="none"/>
            </w:rPr>
            <w:tab/>
          </w:r>
          <w:r w:rsidR="005D5136">
            <w:rPr>
              <w:webHidden/>
              <w:u w:val="none"/>
            </w:rPr>
            <w:t>4</w:t>
          </w:r>
        </w:p>
        <w:p w14:paraId="4628684C" w14:textId="07A6B322"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STATEMENT OF COMPREHENSIVE INCOME</w:t>
          </w:r>
          <w:r w:rsidRPr="00E72E05">
            <w:rPr>
              <w:webHidden/>
              <w:u w:val="none"/>
            </w:rPr>
            <w:tab/>
          </w:r>
          <w:r w:rsidR="005D5136">
            <w:rPr>
              <w:webHidden/>
              <w:u w:val="none"/>
            </w:rPr>
            <w:t>4</w:t>
          </w:r>
        </w:p>
        <w:p w14:paraId="17361749" w14:textId="69BBB0CE"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BALANCE SHEET</w:t>
          </w:r>
          <w:r w:rsidRPr="00E72E05">
            <w:rPr>
              <w:webHidden/>
              <w:u w:val="none"/>
            </w:rPr>
            <w:tab/>
          </w:r>
          <w:r w:rsidR="005D5136">
            <w:rPr>
              <w:webHidden/>
              <w:u w:val="none"/>
            </w:rPr>
            <w:t>5</w:t>
          </w:r>
        </w:p>
        <w:p w14:paraId="1127FFAC" w14:textId="51553550"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STATEMENT OF CASH FLOWS</w:t>
          </w:r>
          <w:r w:rsidRPr="00E72E05">
            <w:rPr>
              <w:webHidden/>
              <w:u w:val="none"/>
            </w:rPr>
            <w:tab/>
          </w:r>
          <w:r w:rsidR="005D5136">
            <w:rPr>
              <w:webHidden/>
              <w:u w:val="none"/>
            </w:rPr>
            <w:t>6</w:t>
          </w:r>
        </w:p>
        <w:p w14:paraId="46882D25" w14:textId="273D0703"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STATEMENT OF CHANGES IN EQUITY</w:t>
          </w:r>
          <w:r w:rsidRPr="00E72E05">
            <w:rPr>
              <w:webHidden/>
              <w:u w:val="none"/>
            </w:rPr>
            <w:tab/>
          </w:r>
          <w:r w:rsidR="005D5136">
            <w:rPr>
              <w:webHidden/>
              <w:u w:val="none"/>
            </w:rPr>
            <w:t>7</w:t>
          </w:r>
        </w:p>
        <w:p w14:paraId="7138BF1A" w14:textId="1A3FCA3B"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STATEMENT OF VALUE ADDED</w:t>
          </w:r>
          <w:r w:rsidRPr="00E72E05">
            <w:rPr>
              <w:webHidden/>
              <w:u w:val="none"/>
            </w:rPr>
            <w:tab/>
          </w:r>
          <w:r w:rsidR="005D5136">
            <w:rPr>
              <w:webHidden/>
              <w:u w:val="none"/>
            </w:rPr>
            <w:t>8</w:t>
          </w:r>
        </w:p>
        <w:p w14:paraId="29084068" w14:textId="254A28ED"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NOTES EXPLANATORY TO THE FINANCIAL STATEMENTS</w:t>
          </w:r>
          <w:r w:rsidRPr="00E72E05">
            <w:rPr>
              <w:webHidden/>
              <w:u w:val="none"/>
            </w:rPr>
            <w:tab/>
          </w:r>
          <w:r w:rsidR="005D5136">
            <w:rPr>
              <w:webHidden/>
              <w:u w:val="none"/>
            </w:rPr>
            <w:t>9</w:t>
          </w:r>
        </w:p>
        <w:p w14:paraId="3C9BA847" w14:textId="7B5F5D2F"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1 – OPERATIONS</w:t>
          </w:r>
          <w:r w:rsidRPr="00E72E05">
            <w:rPr>
              <w:webHidden/>
              <w:u w:val="none"/>
            </w:rPr>
            <w:tab/>
          </w:r>
          <w:r w:rsidR="005D5136">
            <w:rPr>
              <w:webHidden/>
              <w:u w:val="none"/>
            </w:rPr>
            <w:t>9</w:t>
          </w:r>
        </w:p>
        <w:p w14:paraId="3A93851C" w14:textId="2563A401"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caps/>
            </w:rPr>
            <w:t>2 – ACQUISITIONS, DISPOSALS AND CORPORATE RESTRUCTURINGS</w:t>
          </w:r>
          <w:r w:rsidRPr="00E72E05">
            <w:rPr>
              <w:webHidden/>
              <w:u w:val="none"/>
            </w:rPr>
            <w:tab/>
          </w:r>
          <w:r w:rsidR="005D5136">
            <w:rPr>
              <w:webHidden/>
              <w:u w:val="none"/>
            </w:rPr>
            <w:t>10</w:t>
          </w:r>
        </w:p>
        <w:p w14:paraId="48664A6E" w14:textId="4DB49125"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3 – PRESENTATION OF FINANCIAL STATEMENTS</w:t>
          </w:r>
          <w:r w:rsidRPr="00E72E05">
            <w:rPr>
              <w:webHidden/>
              <w:u w:val="none"/>
            </w:rPr>
            <w:tab/>
          </w:r>
          <w:r w:rsidR="005D5136">
            <w:rPr>
              <w:webHidden/>
              <w:u w:val="none"/>
            </w:rPr>
            <w:t>11</w:t>
          </w:r>
        </w:p>
        <w:p w14:paraId="17422DD6" w14:textId="33B9AE07"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4 – DESCRIPTION OF SIGNIFICANT ACCOUNTING POLICIES</w:t>
          </w:r>
          <w:r w:rsidRPr="00E72E05">
            <w:rPr>
              <w:webHidden/>
              <w:u w:val="none"/>
            </w:rPr>
            <w:tab/>
          </w:r>
          <w:r w:rsidR="005D5136">
            <w:rPr>
              <w:webHidden/>
              <w:u w:val="none"/>
            </w:rPr>
            <w:t>12</w:t>
          </w:r>
        </w:p>
        <w:p w14:paraId="60E53658" w14:textId="41B63776"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5 – RISK MANAGEMENT</w:t>
          </w:r>
          <w:r w:rsidRPr="00E72E05">
            <w:rPr>
              <w:webHidden/>
              <w:u w:val="none"/>
            </w:rPr>
            <w:tab/>
          </w:r>
          <w:r w:rsidR="005D5136">
            <w:rPr>
              <w:webHidden/>
              <w:u w:val="none"/>
            </w:rPr>
            <w:t>17</w:t>
          </w:r>
        </w:p>
        <w:p w14:paraId="5462B25F" w14:textId="5075B0D1"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6 – SEGMENT INFORMATION</w:t>
          </w:r>
          <w:r w:rsidRPr="00E72E05">
            <w:rPr>
              <w:webHidden/>
              <w:u w:val="none"/>
            </w:rPr>
            <w:tab/>
          </w:r>
          <w:r w:rsidR="005D5136">
            <w:rPr>
              <w:webHidden/>
              <w:u w:val="none"/>
            </w:rPr>
            <w:t>23</w:t>
          </w:r>
        </w:p>
        <w:p w14:paraId="6961CFA2" w14:textId="0DD183E7"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7 – CASH AND CASH EQUIVALENTS</w:t>
          </w:r>
          <w:r w:rsidRPr="00E72E05">
            <w:rPr>
              <w:webHidden/>
              <w:u w:val="none"/>
            </w:rPr>
            <w:tab/>
          </w:r>
          <w:r w:rsidR="005D5136">
            <w:rPr>
              <w:webHidden/>
              <w:u w:val="none"/>
            </w:rPr>
            <w:t>26</w:t>
          </w:r>
        </w:p>
        <w:p w14:paraId="686773FC" w14:textId="2BDC7C98"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8 – FINANCIAL INSTRUMENTS</w:t>
          </w:r>
          <w:r w:rsidRPr="00E72E05">
            <w:rPr>
              <w:webHidden/>
              <w:u w:val="none"/>
            </w:rPr>
            <w:tab/>
          </w:r>
          <w:r w:rsidR="005D5136">
            <w:rPr>
              <w:webHidden/>
              <w:u w:val="none"/>
            </w:rPr>
            <w:t>27</w:t>
          </w:r>
        </w:p>
        <w:p w14:paraId="63D9673B" w14:textId="11A85F4C"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9 – INVESTMENTS IN ASSOCIATES</w:t>
          </w:r>
          <w:r w:rsidRPr="00E72E05">
            <w:rPr>
              <w:webHidden/>
              <w:u w:val="none"/>
            </w:rPr>
            <w:tab/>
          </w:r>
          <w:r w:rsidR="005D5136">
            <w:rPr>
              <w:webHidden/>
              <w:u w:val="none"/>
            </w:rPr>
            <w:t>29</w:t>
          </w:r>
        </w:p>
        <w:p w14:paraId="265A36B9" w14:textId="590A4E5E"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10 – INTANGIBLE ASSET</w:t>
          </w:r>
          <w:r w:rsidRPr="00E72E05">
            <w:rPr>
              <w:webHidden/>
              <w:u w:val="none"/>
            </w:rPr>
            <w:tab/>
          </w:r>
          <w:r w:rsidR="005D5136">
            <w:rPr>
              <w:webHidden/>
              <w:u w:val="none"/>
            </w:rPr>
            <w:t>38</w:t>
          </w:r>
        </w:p>
        <w:p w14:paraId="6DF22D72" w14:textId="3DE4B309"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11 – DIVIDENDS / INTEREST ON EQUITY CAPITAL RECEIVABLE</w:t>
          </w:r>
          <w:r w:rsidRPr="00E72E05">
            <w:rPr>
              <w:webHidden/>
              <w:u w:val="none"/>
            </w:rPr>
            <w:tab/>
          </w:r>
          <w:r w:rsidR="005D5136">
            <w:rPr>
              <w:webHidden/>
              <w:u w:val="none"/>
            </w:rPr>
            <w:t>38</w:t>
          </w:r>
        </w:p>
        <w:p w14:paraId="7EC6713C" w14:textId="70DD2396"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12 – TAXES</w:t>
          </w:r>
          <w:r w:rsidRPr="00E72E05">
            <w:rPr>
              <w:webHidden/>
              <w:u w:val="none"/>
            </w:rPr>
            <w:tab/>
          </w:r>
          <w:r w:rsidR="005D5136">
            <w:rPr>
              <w:webHidden/>
              <w:u w:val="none"/>
            </w:rPr>
            <w:t>39</w:t>
          </w:r>
        </w:p>
        <w:p w14:paraId="1DF310B2" w14:textId="66BC9A90"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13 – COMMISSIONS RECEIVABLE</w:t>
          </w:r>
          <w:r w:rsidRPr="00E72E05">
            <w:rPr>
              <w:webHidden/>
              <w:u w:val="none"/>
            </w:rPr>
            <w:tab/>
          </w:r>
          <w:r w:rsidR="005D5136">
            <w:rPr>
              <w:webHidden/>
              <w:u w:val="none"/>
            </w:rPr>
            <w:t>41</w:t>
          </w:r>
        </w:p>
        <w:p w14:paraId="10D446EC" w14:textId="4832AF4C"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14 – OTHER ASSETS</w:t>
          </w:r>
          <w:r w:rsidRPr="00E72E05">
            <w:rPr>
              <w:webHidden/>
              <w:u w:val="none"/>
            </w:rPr>
            <w:tab/>
          </w:r>
          <w:r w:rsidR="005D5136">
            <w:rPr>
              <w:webHidden/>
              <w:u w:val="none"/>
            </w:rPr>
            <w:t>41</w:t>
          </w:r>
        </w:p>
        <w:p w14:paraId="3AB17F70" w14:textId="544D485A"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lang w:val="en-US"/>
            </w:rPr>
            <w:t>15 – CORPORATE AND STATUTORY OBLIGATIONS</w:t>
          </w:r>
          <w:r w:rsidRPr="00E72E05">
            <w:rPr>
              <w:webHidden/>
              <w:u w:val="none"/>
            </w:rPr>
            <w:tab/>
          </w:r>
          <w:r w:rsidR="005D5136">
            <w:rPr>
              <w:webHidden/>
              <w:u w:val="none"/>
            </w:rPr>
            <w:t>42</w:t>
          </w:r>
        </w:p>
        <w:p w14:paraId="4672ABE7" w14:textId="1657E8A8"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16 – PROVISIONS AND CONTINGENT LIABILITIES</w:t>
          </w:r>
          <w:r w:rsidRPr="00E72E05">
            <w:rPr>
              <w:webHidden/>
              <w:u w:val="none"/>
            </w:rPr>
            <w:tab/>
          </w:r>
          <w:r w:rsidR="005D5136">
            <w:rPr>
              <w:webHidden/>
              <w:u w:val="none"/>
            </w:rPr>
            <w:t>42</w:t>
          </w:r>
        </w:p>
        <w:p w14:paraId="383989F2" w14:textId="12FDEDC2"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17 – UNEARDED COMMISSIONS</w:t>
          </w:r>
          <w:r w:rsidRPr="00E72E05">
            <w:rPr>
              <w:webHidden/>
              <w:u w:val="none"/>
            </w:rPr>
            <w:tab/>
          </w:r>
          <w:r w:rsidR="005D5136">
            <w:rPr>
              <w:webHidden/>
              <w:u w:val="none"/>
            </w:rPr>
            <w:t>44</w:t>
          </w:r>
        </w:p>
        <w:p w14:paraId="126DD844" w14:textId="0E502DD9"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18 – OTHER LIABILITIES</w:t>
          </w:r>
          <w:r w:rsidRPr="00E72E05">
            <w:rPr>
              <w:webHidden/>
              <w:u w:val="none"/>
            </w:rPr>
            <w:tab/>
          </w:r>
          <w:r w:rsidR="005D5136">
            <w:rPr>
              <w:webHidden/>
              <w:u w:val="none"/>
            </w:rPr>
            <w:t>44</w:t>
          </w:r>
        </w:p>
        <w:p w14:paraId="1B0E69E5" w14:textId="13D635B8"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19 – EQUITY</w:t>
          </w:r>
          <w:r w:rsidRPr="00E72E05">
            <w:rPr>
              <w:webHidden/>
              <w:u w:val="none"/>
            </w:rPr>
            <w:tab/>
          </w:r>
          <w:r w:rsidR="005D5136">
            <w:rPr>
              <w:webHidden/>
              <w:u w:val="none"/>
            </w:rPr>
            <w:t>45</w:t>
          </w:r>
        </w:p>
        <w:p w14:paraId="13012AB8" w14:textId="307926CF"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20 – FINANCIAL RESULT</w:t>
          </w:r>
          <w:r w:rsidRPr="00E72E05">
            <w:rPr>
              <w:webHidden/>
              <w:u w:val="none"/>
            </w:rPr>
            <w:tab/>
          </w:r>
          <w:r w:rsidR="005D5136">
            <w:rPr>
              <w:webHidden/>
              <w:u w:val="none"/>
            </w:rPr>
            <w:t>48</w:t>
          </w:r>
        </w:p>
        <w:p w14:paraId="2ED094FC" w14:textId="0635B385"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21 – PERSONNEL EXPENSES</w:t>
          </w:r>
          <w:r w:rsidRPr="00E72E05">
            <w:rPr>
              <w:webHidden/>
              <w:u w:val="none"/>
            </w:rPr>
            <w:tab/>
          </w:r>
          <w:r w:rsidR="005D5136">
            <w:rPr>
              <w:webHidden/>
              <w:u w:val="none"/>
            </w:rPr>
            <w:t>48</w:t>
          </w:r>
        </w:p>
        <w:p w14:paraId="12F04D9C" w14:textId="08755278"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22 – ADMINISTRATIVE EXPENSES AND SALES</w:t>
          </w:r>
          <w:r w:rsidRPr="00E72E05">
            <w:rPr>
              <w:webHidden/>
              <w:u w:val="none"/>
            </w:rPr>
            <w:tab/>
          </w:r>
          <w:r w:rsidR="005D5136">
            <w:rPr>
              <w:webHidden/>
              <w:u w:val="none"/>
            </w:rPr>
            <w:t>49</w:t>
          </w:r>
        </w:p>
        <w:p w14:paraId="27DE06C8" w14:textId="7B44D7B0"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23 – COSTS OF SERVICES PROVIDED</w:t>
          </w:r>
          <w:r w:rsidRPr="00E72E05">
            <w:rPr>
              <w:webHidden/>
              <w:u w:val="none"/>
            </w:rPr>
            <w:tab/>
          </w:r>
          <w:r w:rsidR="005D5136">
            <w:rPr>
              <w:webHidden/>
              <w:u w:val="none"/>
            </w:rPr>
            <w:t>49</w:t>
          </w:r>
        </w:p>
        <w:p w14:paraId="0BB6E779" w14:textId="5EFB85FD"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24 – OTHER INCOME AND EXPENSE</w:t>
          </w:r>
          <w:r w:rsidRPr="00E72E05">
            <w:rPr>
              <w:webHidden/>
              <w:u w:val="none"/>
            </w:rPr>
            <w:tab/>
          </w:r>
          <w:r w:rsidR="005D5136">
            <w:rPr>
              <w:webHidden/>
              <w:u w:val="none"/>
            </w:rPr>
            <w:t>49</w:t>
          </w:r>
        </w:p>
        <w:p w14:paraId="02DAC502" w14:textId="48E151CD"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25 – COMMISSIONS INCOME</w:t>
          </w:r>
          <w:r w:rsidRPr="00E72E05">
            <w:rPr>
              <w:webHidden/>
              <w:u w:val="none"/>
            </w:rPr>
            <w:tab/>
          </w:r>
          <w:r w:rsidR="005D5136">
            <w:rPr>
              <w:webHidden/>
              <w:u w:val="none"/>
            </w:rPr>
            <w:t>50</w:t>
          </w:r>
        </w:p>
        <w:p w14:paraId="1DC48C1C" w14:textId="47F6EF8A"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t>26 – RELATED PARTY TRANSACTIONS</w:t>
          </w:r>
          <w:r w:rsidRPr="00E72E05">
            <w:rPr>
              <w:webHidden/>
              <w:u w:val="none"/>
            </w:rPr>
            <w:tab/>
          </w:r>
          <w:r w:rsidR="005D5136">
            <w:rPr>
              <w:webHidden/>
              <w:u w:val="none"/>
            </w:rPr>
            <w:t>50</w:t>
          </w:r>
        </w:p>
        <w:p w14:paraId="183FD25D" w14:textId="66C9C4C0" w:rsidR="00E72E05" w:rsidRPr="00E72E05" w:rsidRDefault="00E72E05">
          <w:pPr>
            <w:pStyle w:val="Sumrio1"/>
            <w:rPr>
              <w:rFonts w:asciiTheme="minorHAnsi" w:eastAsiaTheme="minorEastAsia" w:hAnsiTheme="minorHAnsi" w:cstheme="minorBidi"/>
              <w:b w:val="0"/>
              <w:bCs w:val="0"/>
              <w:color w:val="auto"/>
              <w:sz w:val="22"/>
              <w:szCs w:val="22"/>
              <w:u w:val="none"/>
              <w:lang w:eastAsia="pt-BR"/>
            </w:rPr>
          </w:pPr>
          <w:r w:rsidRPr="00B46591">
            <w:rPr>
              <w:caps/>
              <w:lang w:val="en-US"/>
            </w:rPr>
            <w:t xml:space="preserve">27 – </w:t>
          </w:r>
          <w:r w:rsidRPr="00B46591">
            <w:rPr>
              <w:caps/>
              <w:kern w:val="20"/>
              <w:lang w:val="en-US"/>
            </w:rPr>
            <w:t>Subsequent Event</w:t>
          </w:r>
          <w:r w:rsidRPr="00E72E05">
            <w:rPr>
              <w:webHidden/>
              <w:u w:val="none"/>
            </w:rPr>
            <w:tab/>
          </w:r>
          <w:r w:rsidR="005D5136">
            <w:rPr>
              <w:webHidden/>
              <w:u w:val="none"/>
            </w:rPr>
            <w:t>52</w:t>
          </w:r>
        </w:p>
        <w:p w14:paraId="0BE029EA" w14:textId="2F3E5753" w:rsidR="00904B54" w:rsidRPr="00E72E05" w:rsidRDefault="00904B54" w:rsidP="00904B54">
          <w:pPr>
            <w:pStyle w:val="Sumrio1"/>
            <w:spacing w:line="0" w:lineRule="atLeast"/>
            <w:jc w:val="both"/>
            <w:rPr>
              <w:rStyle w:val="Hyperlink"/>
              <w:color w:val="023160" w:themeColor="hyperlink" w:themeShade="80"/>
              <w:sz w:val="8"/>
              <w:szCs w:val="8"/>
              <w:u w:val="none"/>
            </w:rPr>
          </w:pPr>
        </w:p>
        <w:p w14:paraId="6DCA5519" w14:textId="649CE527" w:rsidR="008E3797" w:rsidRPr="00E72E05" w:rsidRDefault="008E3797" w:rsidP="008E3797">
          <w:pPr>
            <w:pStyle w:val="Body"/>
            <w:spacing w:after="120" w:line="240" w:lineRule="auto"/>
            <w:jc w:val="left"/>
            <w:rPr>
              <w:rStyle w:val="Hyperlink"/>
              <w:rFonts w:eastAsiaTheme="minorHAnsi" w:cs="Arial"/>
              <w:b/>
              <w:bCs/>
              <w:noProof/>
              <w:color w:val="023160" w:themeColor="hyperlink" w:themeShade="80"/>
              <w:kern w:val="0"/>
              <w:sz w:val="18"/>
              <w:szCs w:val="18"/>
              <w:u w:val="none"/>
              <w:lang w:eastAsia="en-US"/>
            </w:rPr>
          </w:pPr>
          <w:r w:rsidRPr="00E72E05">
            <w:rPr>
              <w:rStyle w:val="Hyperlink"/>
              <w:rFonts w:eastAsiaTheme="minorHAnsi" w:cs="Arial"/>
              <w:b/>
              <w:bCs/>
              <w:noProof/>
              <w:color w:val="023160" w:themeColor="hyperlink" w:themeShade="80"/>
              <w:kern w:val="0"/>
              <w:sz w:val="18"/>
              <w:szCs w:val="18"/>
              <w:u w:val="none"/>
              <w:lang w:eastAsia="en-US"/>
            </w:rPr>
            <w:t>REPORT OF INDEPENDENT AUDITORS FOR FINANCIAL STATEMENTS</w:t>
          </w:r>
        </w:p>
        <w:p w14:paraId="062F9A98" w14:textId="62EED1DD" w:rsidR="008E3797" w:rsidRPr="00E72E05" w:rsidRDefault="008E3797" w:rsidP="008E3797">
          <w:pPr>
            <w:pStyle w:val="Body"/>
            <w:spacing w:after="120" w:line="240" w:lineRule="auto"/>
            <w:jc w:val="left"/>
            <w:rPr>
              <w:rStyle w:val="Hyperlink"/>
              <w:rFonts w:eastAsiaTheme="minorHAnsi" w:cs="Arial"/>
              <w:b/>
              <w:bCs/>
              <w:noProof/>
              <w:color w:val="023160" w:themeColor="hyperlink" w:themeShade="80"/>
              <w:kern w:val="0"/>
              <w:sz w:val="18"/>
              <w:szCs w:val="18"/>
              <w:u w:val="none"/>
              <w:lang w:eastAsia="en-US"/>
            </w:rPr>
          </w:pPr>
          <w:r w:rsidRPr="00E72E05">
            <w:rPr>
              <w:rStyle w:val="Hyperlink"/>
              <w:rFonts w:eastAsiaTheme="minorHAnsi" w:cs="Arial"/>
              <w:b/>
              <w:bCs/>
              <w:noProof/>
              <w:color w:val="023160" w:themeColor="hyperlink" w:themeShade="80"/>
              <w:kern w:val="0"/>
              <w:sz w:val="18"/>
              <w:szCs w:val="18"/>
              <w:u w:val="none"/>
              <w:lang w:eastAsia="en-US"/>
            </w:rPr>
            <w:t>DECLARATION OF THE MEMBERS OF THE EXECUTIVE BOARD ABOUT THE FINANCIAL STATEMENST</w:t>
          </w:r>
        </w:p>
        <w:p w14:paraId="3B6AA697" w14:textId="4F4C3158" w:rsidR="00C97E22" w:rsidRPr="00E72E05" w:rsidRDefault="008E3797" w:rsidP="008E3797">
          <w:pPr>
            <w:pStyle w:val="Body"/>
            <w:spacing w:after="120" w:line="240" w:lineRule="auto"/>
            <w:jc w:val="left"/>
            <w:rPr>
              <w:rStyle w:val="Hyperlink"/>
              <w:rFonts w:eastAsiaTheme="minorHAnsi" w:cs="Arial"/>
              <w:b/>
              <w:bCs/>
              <w:noProof/>
              <w:color w:val="023160" w:themeColor="hyperlink" w:themeShade="80"/>
              <w:kern w:val="0"/>
              <w:sz w:val="18"/>
              <w:szCs w:val="18"/>
              <w:u w:val="none"/>
              <w:lang w:eastAsia="en-US"/>
            </w:rPr>
          </w:pPr>
          <w:r w:rsidRPr="00E72E05">
            <w:rPr>
              <w:rStyle w:val="Hyperlink"/>
              <w:rFonts w:eastAsiaTheme="minorHAnsi" w:cs="Arial"/>
              <w:b/>
              <w:bCs/>
              <w:noProof/>
              <w:color w:val="023160" w:themeColor="hyperlink" w:themeShade="80"/>
              <w:kern w:val="0"/>
              <w:sz w:val="18"/>
              <w:szCs w:val="18"/>
              <w:u w:val="none"/>
              <w:lang w:eastAsia="en-US"/>
            </w:rPr>
            <w:t>S</w:t>
          </w:r>
          <w:r w:rsidR="00C97E22" w:rsidRPr="00E72E05">
            <w:rPr>
              <w:rStyle w:val="Hyperlink"/>
              <w:rFonts w:eastAsiaTheme="minorHAnsi" w:cs="Arial"/>
              <w:b/>
              <w:bCs/>
              <w:noProof/>
              <w:color w:val="023160" w:themeColor="hyperlink" w:themeShade="80"/>
              <w:kern w:val="0"/>
              <w:sz w:val="18"/>
              <w:szCs w:val="18"/>
              <w:u w:val="none"/>
              <w:lang w:eastAsia="en-US"/>
            </w:rPr>
            <w:t>TATEMENT OF THE MEMBERS OF THE EXECUTIVE BOARD ON THE REPORT OF THE INDEPENDENT AUDITORS</w:t>
          </w:r>
        </w:p>
        <w:p w14:paraId="6B4A6C18" w14:textId="1EAB24EA" w:rsidR="008E3797" w:rsidRPr="00E72E05" w:rsidRDefault="00C97E22" w:rsidP="008E3797">
          <w:pPr>
            <w:pStyle w:val="Body"/>
            <w:spacing w:after="120" w:line="240" w:lineRule="auto"/>
            <w:jc w:val="left"/>
            <w:rPr>
              <w:rStyle w:val="Hyperlink"/>
              <w:rFonts w:eastAsiaTheme="minorHAnsi" w:cs="Arial"/>
              <w:b/>
              <w:bCs/>
              <w:noProof/>
              <w:color w:val="023160" w:themeColor="hyperlink" w:themeShade="80"/>
              <w:kern w:val="0"/>
              <w:sz w:val="18"/>
              <w:szCs w:val="18"/>
              <w:u w:val="none"/>
              <w:lang w:eastAsia="en-US"/>
            </w:rPr>
          </w:pPr>
          <w:r w:rsidRPr="00E72E05">
            <w:rPr>
              <w:rStyle w:val="Hyperlink"/>
              <w:rFonts w:cs="Arial"/>
              <w:b/>
              <w:bCs/>
              <w:noProof/>
              <w:color w:val="023160" w:themeColor="hyperlink" w:themeShade="80"/>
              <w:szCs w:val="18"/>
              <w:u w:val="none"/>
            </w:rPr>
            <w:t>MEMBERS OF THE MANAGEMENT BODIES</w:t>
          </w:r>
        </w:p>
      </w:sdtContent>
    </w:sdt>
    <w:p w14:paraId="64FACB8D" w14:textId="00F4ED9C" w:rsidR="00904B54" w:rsidRPr="00B84B0C" w:rsidRDefault="00904B54" w:rsidP="00904B54">
      <w:pPr>
        <w:tabs>
          <w:tab w:val="left" w:pos="6495"/>
        </w:tabs>
        <w:rPr>
          <w:rFonts w:cs="Arial"/>
          <w:lang w:eastAsia="pt-BR"/>
        </w:rPr>
        <w:sectPr w:rsidR="00904B54" w:rsidRPr="00B84B0C" w:rsidSect="00C91206">
          <w:headerReference w:type="default" r:id="rId9"/>
          <w:footerReference w:type="default" r:id="rId10"/>
          <w:type w:val="oddPage"/>
          <w:pgSz w:w="11906" w:h="16838"/>
          <w:pgMar w:top="1134" w:right="1134" w:bottom="1134" w:left="1134" w:header="709" w:footer="709" w:gutter="0"/>
          <w:pgNumType w:start="0"/>
          <w:cols w:space="708"/>
          <w:docGrid w:linePitch="360"/>
        </w:sectPr>
      </w:pPr>
      <w:r w:rsidRPr="00B84B0C">
        <w:rPr>
          <w:rFonts w:cs="Arial"/>
          <w:b/>
          <w:bCs/>
          <w:noProof/>
          <w:color w:val="1F4E79" w:themeColor="accent1" w:themeShade="80"/>
          <w:szCs w:val="18"/>
          <w:lang w:eastAsia="pt-BR"/>
        </w:rPr>
        <mc:AlternateContent>
          <mc:Choice Requires="wps">
            <w:drawing>
              <wp:anchor distT="0" distB="0" distL="114300" distR="114300" simplePos="0" relativeHeight="251646464" behindDoc="0" locked="0" layoutInCell="1" allowOverlap="1" wp14:anchorId="045FD44A" wp14:editId="591A2E2E">
                <wp:simplePos x="0" y="0"/>
                <wp:positionH relativeFrom="page">
                  <wp:posOffset>-190500</wp:posOffset>
                </wp:positionH>
                <wp:positionV relativeFrom="paragraph">
                  <wp:posOffset>1393190</wp:posOffset>
                </wp:positionV>
                <wp:extent cx="10691446" cy="52754"/>
                <wp:effectExtent l="0" t="0" r="0" b="4445"/>
                <wp:wrapNone/>
                <wp:docPr id="241" name="Retângulo 14"/>
                <wp:cNvGraphicFramePr/>
                <a:graphic xmlns:a="http://schemas.openxmlformats.org/drawingml/2006/main">
                  <a:graphicData uri="http://schemas.microsoft.com/office/word/2010/wordprocessingShape">
                    <wps:wsp>
                      <wps:cNvSpPr/>
                      <wps:spPr>
                        <a:xfrm flipV="1">
                          <a:off x="0" y="0"/>
                          <a:ext cx="10691446" cy="52754"/>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4639E48" id="Retângulo 14" o:spid="_x0000_s1026" style="position:absolute;margin-left:-15pt;margin-top:109.7pt;width:841.85pt;height:4.15pt;flip:y;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" fillcolor="#f9dd16" stroked="f" strokeweight="1pt">
                <w10:wrap anchorx="page"/>
              </v:rect>
            </w:pict>
          </mc:Fallback>
        </mc:AlternateContent>
      </w:r>
      <w:r w:rsidRPr="00B84B0C">
        <w:rPr>
          <w:rFonts w:eastAsiaTheme="minorEastAsia" w:cs="Arial"/>
          <w:noProof/>
          <w:color w:val="1F4E79" w:themeColor="accent1" w:themeShade="80"/>
          <w:sz w:val="20"/>
          <w:szCs w:val="20"/>
          <w:lang w:eastAsia="pt-BR"/>
        </w:rPr>
        <w:tab/>
      </w:r>
      <w:r w:rsidRPr="00B84B0C">
        <w:rPr>
          <w:rFonts w:cs="Arial"/>
          <w:lang w:eastAsia="pt-BR"/>
        </w:rPr>
        <w:tab/>
      </w:r>
    </w:p>
    <w:p w14:paraId="6D8ADE70" w14:textId="0C9F08BC" w:rsidR="002D143C" w:rsidRPr="00B84B0C" w:rsidRDefault="002D143C">
      <w:pPr>
        <w:rPr>
          <w:rFonts w:cs="Arial"/>
          <w:b/>
          <w:bCs/>
        </w:rPr>
      </w:pPr>
    </w:p>
    <w:p w14:paraId="31CED78A" w14:textId="040DEEB5" w:rsidR="00592EB1" w:rsidRPr="00B84B0C" w:rsidRDefault="004B42E8" w:rsidP="00592EB1">
      <w:pPr>
        <w:pStyle w:val="03-SubttulodeNota"/>
        <w:spacing w:line="276" w:lineRule="auto"/>
        <w:rPr>
          <w:rFonts w:cs="Arial"/>
          <w:color w:val="1F4E79" w:themeColor="accent1" w:themeShade="80"/>
        </w:rPr>
      </w:pPr>
      <w:r w:rsidRPr="00B84B0C">
        <w:rPr>
          <w:rFonts w:cs="Arial"/>
          <w:color w:val="1F4E79" w:themeColor="accent1" w:themeShade="80"/>
        </w:rPr>
        <w:t>M</w:t>
      </w:r>
      <w:r w:rsidR="0002562E" w:rsidRPr="00B84B0C">
        <w:rPr>
          <w:rFonts w:cs="Arial"/>
          <w:color w:val="1F4E79" w:themeColor="accent1" w:themeShade="80"/>
        </w:rPr>
        <w:t>ANAGEMENT COMMENTS ON PERFORMANCE</w:t>
      </w:r>
    </w:p>
    <w:p w14:paraId="437B0FC9" w14:textId="77777777" w:rsidR="00237ECE" w:rsidRPr="00B84B0C" w:rsidRDefault="00237ECE" w:rsidP="00237ECE">
      <w:pPr>
        <w:pStyle w:val="03-SubttulodeNota"/>
        <w:spacing w:line="276" w:lineRule="auto"/>
        <w:rPr>
          <w:rFonts w:cs="Arial"/>
          <w:color w:val="1F4E79" w:themeColor="accent1" w:themeShade="80"/>
          <w:sz w:val="18"/>
          <w:szCs w:val="18"/>
        </w:rPr>
      </w:pPr>
      <w:proofErr w:type="spellStart"/>
      <w:r w:rsidRPr="00B84B0C">
        <w:rPr>
          <w:rFonts w:cs="Arial"/>
          <w:color w:val="1F4E79" w:themeColor="accent1" w:themeShade="80"/>
          <w:sz w:val="18"/>
          <w:szCs w:val="18"/>
        </w:rPr>
        <w:t>Dear</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Shareholders</w:t>
      </w:r>
      <w:proofErr w:type="spellEnd"/>
      <w:r w:rsidRPr="00B84B0C">
        <w:rPr>
          <w:rFonts w:cs="Arial"/>
          <w:color w:val="1F4E79" w:themeColor="accent1" w:themeShade="80"/>
          <w:sz w:val="18"/>
          <w:szCs w:val="18"/>
        </w:rPr>
        <w:t>,</w:t>
      </w:r>
    </w:p>
    <w:p w14:paraId="63196770" w14:textId="77777777" w:rsidR="00237ECE" w:rsidRPr="00B84B0C" w:rsidRDefault="00237ECE" w:rsidP="00237ECE">
      <w:pPr>
        <w:spacing w:after="0" w:line="240" w:lineRule="auto"/>
        <w:jc w:val="both"/>
        <w:rPr>
          <w:rFonts w:eastAsia="Times New Roman" w:cs="Arial"/>
          <w:szCs w:val="18"/>
          <w:lang w:eastAsia="pt-BR"/>
        </w:rPr>
      </w:pPr>
    </w:p>
    <w:p w14:paraId="60A21039" w14:textId="77777777" w:rsidR="00237ECE" w:rsidRPr="00B84B0C" w:rsidRDefault="00237ECE" w:rsidP="00237ECE">
      <w:pPr>
        <w:spacing w:after="0"/>
        <w:jc w:val="both"/>
        <w:rPr>
          <w:rFonts w:eastAsia="Times New Roman" w:cs="Arial"/>
          <w:szCs w:val="18"/>
          <w:lang w:eastAsia="pt-BR"/>
        </w:rPr>
      </w:pPr>
      <w:r w:rsidRPr="00B84B0C">
        <w:rPr>
          <w:rFonts w:eastAsia="Times New Roman" w:cs="Arial"/>
          <w:szCs w:val="18"/>
          <w:lang w:eastAsia="pt-BR"/>
        </w:rPr>
        <w:t xml:space="preserve">BB Seguridade Participações S.A. (“BB Seguridade” ou “Companhia”) </w:t>
      </w:r>
      <w:proofErr w:type="spellStart"/>
      <w:r w:rsidRPr="00B84B0C">
        <w:rPr>
          <w:rFonts w:eastAsia="Times New Roman" w:cs="Arial"/>
          <w:szCs w:val="18"/>
          <w:lang w:eastAsia="pt-BR"/>
        </w:rPr>
        <w:t>reported</w:t>
      </w:r>
      <w:proofErr w:type="spellEnd"/>
      <w:r w:rsidRPr="00B84B0C">
        <w:rPr>
          <w:rFonts w:eastAsia="Times New Roman" w:cs="Arial"/>
          <w:szCs w:val="18"/>
          <w:lang w:eastAsia="pt-BR"/>
        </w:rPr>
        <w:t xml:space="preserve"> a net income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R$882.7 </w:t>
      </w:r>
      <w:proofErr w:type="spellStart"/>
      <w:r w:rsidRPr="00B84B0C">
        <w:rPr>
          <w:rFonts w:eastAsia="Times New Roman" w:cs="Arial"/>
          <w:szCs w:val="18"/>
          <w:lang w:eastAsia="pt-BR"/>
        </w:rPr>
        <w:t>million</w:t>
      </w:r>
      <w:proofErr w:type="spellEnd"/>
      <w:r w:rsidRPr="00B84B0C">
        <w:rPr>
          <w:rFonts w:eastAsia="Times New Roman" w:cs="Arial"/>
          <w:szCs w:val="18"/>
          <w:lang w:eastAsia="pt-BR"/>
        </w:rPr>
        <w:t xml:space="preserve"> in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first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quarter</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2020, </w:t>
      </w:r>
      <w:proofErr w:type="spellStart"/>
      <w:r w:rsidRPr="00B84B0C">
        <w:rPr>
          <w:rFonts w:eastAsia="Times New Roman" w:cs="Arial"/>
          <w:szCs w:val="18"/>
          <w:lang w:eastAsia="pt-BR"/>
        </w:rPr>
        <w:t>down</w:t>
      </w:r>
      <w:proofErr w:type="spellEnd"/>
      <w:r w:rsidRPr="00B84B0C">
        <w:rPr>
          <w:rFonts w:eastAsia="Times New Roman" w:cs="Arial"/>
          <w:szCs w:val="18"/>
          <w:lang w:eastAsia="pt-BR"/>
        </w:rPr>
        <w:t xml:space="preserve"> 12.9% </w:t>
      </w:r>
      <w:proofErr w:type="spellStart"/>
      <w:r w:rsidRPr="00B84B0C">
        <w:rPr>
          <w:rFonts w:eastAsia="Times New Roman" w:cs="Arial"/>
          <w:szCs w:val="18"/>
          <w:lang w:eastAsia="pt-BR"/>
        </w:rPr>
        <w:t>YoY</w:t>
      </w:r>
      <w:proofErr w:type="spellEnd"/>
      <w:r w:rsidRPr="00B84B0C">
        <w:rPr>
          <w:rFonts w:eastAsia="Times New Roman" w:cs="Arial"/>
          <w:szCs w:val="18"/>
          <w:lang w:eastAsia="pt-BR"/>
        </w:rPr>
        <w:t>.</w:t>
      </w:r>
    </w:p>
    <w:p w14:paraId="4455410F" w14:textId="77777777" w:rsidR="00237ECE" w:rsidRPr="00B84B0C" w:rsidRDefault="00237ECE" w:rsidP="00237ECE">
      <w:pPr>
        <w:spacing w:after="0"/>
        <w:jc w:val="both"/>
        <w:rPr>
          <w:rFonts w:eastAsia="Times New Roman" w:cs="Arial"/>
          <w:szCs w:val="18"/>
          <w:lang w:eastAsia="pt-BR"/>
        </w:rPr>
      </w:pPr>
    </w:p>
    <w:p w14:paraId="15ADBAF0" w14:textId="77777777" w:rsidR="00237ECE" w:rsidRPr="00B84B0C" w:rsidRDefault="00237ECE" w:rsidP="00237ECE">
      <w:pPr>
        <w:spacing w:after="0"/>
        <w:jc w:val="both"/>
        <w:rPr>
          <w:rFonts w:eastAsia="Times New Roman" w:cs="Arial"/>
          <w:szCs w:val="18"/>
          <w:lang w:eastAsia="pt-BR"/>
        </w:rPr>
      </w:pPr>
      <w:r w:rsidRPr="00B84B0C">
        <w:rPr>
          <w:rFonts w:eastAsia="Times New Roman" w:cs="Arial"/>
          <w:szCs w:val="18"/>
          <w:lang w:eastAsia="pt-BR"/>
        </w:rPr>
        <w:t xml:space="preserve">The </w:t>
      </w:r>
      <w:proofErr w:type="spellStart"/>
      <w:r w:rsidRPr="00B84B0C">
        <w:rPr>
          <w:rFonts w:eastAsia="Times New Roman" w:cs="Arial"/>
          <w:szCs w:val="18"/>
          <w:lang w:eastAsia="pt-BR"/>
        </w:rPr>
        <w:t>loss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Brasilprev</w:t>
      </w:r>
      <w:proofErr w:type="spellEnd"/>
      <w:r w:rsidRPr="00B84B0C">
        <w:rPr>
          <w:rFonts w:eastAsia="Times New Roman" w:cs="Arial"/>
          <w:szCs w:val="18"/>
          <w:lang w:eastAsia="pt-BR"/>
        </w:rPr>
        <w:t xml:space="preserve"> net </w:t>
      </w:r>
      <w:proofErr w:type="spellStart"/>
      <w:r w:rsidRPr="00B84B0C">
        <w:rPr>
          <w:rFonts w:eastAsia="Times New Roman" w:cs="Arial"/>
          <w:szCs w:val="18"/>
          <w:lang w:eastAsia="pt-BR"/>
        </w:rPr>
        <w:t>investment</w:t>
      </w:r>
      <w:proofErr w:type="spellEnd"/>
      <w:r w:rsidRPr="00B84B0C">
        <w:rPr>
          <w:rFonts w:eastAsia="Times New Roman" w:cs="Arial"/>
          <w:szCs w:val="18"/>
          <w:lang w:eastAsia="pt-BR"/>
        </w:rPr>
        <w:t xml:space="preserve"> income, </w:t>
      </w:r>
      <w:proofErr w:type="spellStart"/>
      <w:r w:rsidRPr="00B84B0C">
        <w:rPr>
          <w:rFonts w:eastAsia="Times New Roman" w:cs="Arial"/>
          <w:szCs w:val="18"/>
          <w:lang w:eastAsia="pt-BR"/>
        </w:rPr>
        <w:t>driven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by</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time </w:t>
      </w:r>
      <w:proofErr w:type="spellStart"/>
      <w:r w:rsidRPr="00B84B0C">
        <w:rPr>
          <w:rFonts w:eastAsia="Times New Roman" w:cs="Arial"/>
          <w:szCs w:val="18"/>
          <w:lang w:eastAsia="pt-BR"/>
        </w:rPr>
        <w:t>mismatch</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interest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accrual</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period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assets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and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liabilities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related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to</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defined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benefit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pension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plans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and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divestment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from</w:t>
      </w:r>
      <w:proofErr w:type="spellEnd"/>
      <w:r w:rsidRPr="00B84B0C">
        <w:rPr>
          <w:rFonts w:eastAsia="Times New Roman" w:cs="Arial"/>
          <w:szCs w:val="18"/>
          <w:lang w:eastAsia="pt-BR"/>
        </w:rPr>
        <w:t xml:space="preserve"> IRB Brasil RE, </w:t>
      </w:r>
      <w:proofErr w:type="spellStart"/>
      <w:r w:rsidRPr="00B84B0C">
        <w:rPr>
          <w:rFonts w:eastAsia="Times New Roman" w:cs="Arial"/>
          <w:szCs w:val="18"/>
          <w:lang w:eastAsia="pt-BR"/>
        </w:rPr>
        <w:t>which</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had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contributed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with</w:t>
      </w:r>
      <w:proofErr w:type="spellEnd"/>
      <w:r w:rsidRPr="00B84B0C">
        <w:rPr>
          <w:rFonts w:eastAsia="Times New Roman" w:cs="Arial"/>
          <w:szCs w:val="18"/>
          <w:lang w:eastAsia="pt-BR"/>
        </w:rPr>
        <w:t xml:space="preserve"> R$49.4 </w:t>
      </w:r>
      <w:proofErr w:type="spellStart"/>
      <w:r w:rsidRPr="00B84B0C">
        <w:rPr>
          <w:rFonts w:eastAsia="Times New Roman" w:cs="Arial"/>
          <w:szCs w:val="18"/>
          <w:lang w:eastAsia="pt-BR"/>
        </w:rPr>
        <w:t>million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to</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equity</w:t>
      </w:r>
      <w:proofErr w:type="spellEnd"/>
      <w:r w:rsidRPr="00B84B0C">
        <w:rPr>
          <w:rFonts w:eastAsia="Times New Roman" w:cs="Arial"/>
          <w:szCs w:val="18"/>
          <w:lang w:eastAsia="pt-BR"/>
        </w:rPr>
        <w:t xml:space="preserve"> income in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1Q19, </w:t>
      </w:r>
      <w:proofErr w:type="spellStart"/>
      <w:r w:rsidRPr="00B84B0C">
        <w:rPr>
          <w:rFonts w:eastAsia="Times New Roman" w:cs="Arial"/>
          <w:szCs w:val="18"/>
          <w:lang w:eastAsia="pt-BR"/>
        </w:rPr>
        <w:t>were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main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reasons</w:t>
      </w:r>
      <w:proofErr w:type="spellEnd"/>
      <w:r w:rsidRPr="00B84B0C">
        <w:rPr>
          <w:rFonts w:eastAsia="Times New Roman" w:cs="Arial"/>
          <w:szCs w:val="18"/>
          <w:lang w:eastAsia="pt-BR"/>
        </w:rPr>
        <w:t xml:space="preserve"> for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earnings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drop</w:t>
      </w:r>
      <w:proofErr w:type="spellEnd"/>
      <w:r w:rsidRPr="00B84B0C">
        <w:rPr>
          <w:rFonts w:eastAsia="Times New Roman" w:cs="Arial"/>
          <w:szCs w:val="18"/>
          <w:lang w:eastAsia="pt-BR"/>
        </w:rPr>
        <w:t>.</w:t>
      </w:r>
    </w:p>
    <w:p w14:paraId="44E93E89" w14:textId="77777777" w:rsidR="00237ECE" w:rsidRPr="00B84B0C" w:rsidRDefault="00237ECE" w:rsidP="00237ECE">
      <w:pPr>
        <w:spacing w:after="0"/>
        <w:jc w:val="both"/>
        <w:rPr>
          <w:rFonts w:eastAsia="Times New Roman" w:cs="Arial"/>
          <w:szCs w:val="18"/>
          <w:lang w:eastAsia="pt-BR"/>
        </w:rPr>
      </w:pPr>
    </w:p>
    <w:p w14:paraId="4310F432" w14:textId="77777777" w:rsidR="00237ECE" w:rsidRPr="00B84B0C" w:rsidRDefault="00237ECE" w:rsidP="00237ECE">
      <w:pPr>
        <w:spacing w:after="0"/>
        <w:jc w:val="both"/>
        <w:rPr>
          <w:rFonts w:eastAsia="Times New Roman" w:cs="Arial"/>
          <w:szCs w:val="18"/>
          <w:lang w:eastAsia="pt-BR"/>
        </w:rPr>
      </w:pPr>
      <w:proofErr w:type="spellStart"/>
      <w:r w:rsidRPr="00B84B0C">
        <w:rPr>
          <w:rFonts w:eastAsia="Times New Roman" w:cs="Arial"/>
          <w:szCs w:val="18"/>
          <w:lang w:eastAsia="pt-BR"/>
        </w:rPr>
        <w:t>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other</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hand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increase</w:t>
      </w:r>
      <w:proofErr w:type="spellEnd"/>
      <w:r w:rsidRPr="00B84B0C">
        <w:rPr>
          <w:rFonts w:eastAsia="Times New Roman" w:cs="Arial"/>
          <w:szCs w:val="18"/>
          <w:lang w:eastAsia="pt-BR"/>
        </w:rPr>
        <w:t xml:space="preserve"> in </w:t>
      </w:r>
      <w:proofErr w:type="spellStart"/>
      <w:r w:rsidRPr="00B84B0C">
        <w:rPr>
          <w:rFonts w:eastAsia="Times New Roman" w:cs="Arial"/>
          <w:szCs w:val="18"/>
          <w:lang w:eastAsia="pt-BR"/>
        </w:rPr>
        <w:t>pension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plans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inflows</w:t>
      </w:r>
      <w:proofErr w:type="spellEnd"/>
      <w:r w:rsidRPr="00B84B0C">
        <w:rPr>
          <w:rFonts w:eastAsia="Times New Roman" w:cs="Arial"/>
          <w:szCs w:val="18"/>
          <w:lang w:eastAsia="pt-BR"/>
        </w:rPr>
        <w:t xml:space="preserve">, +25.0% </w:t>
      </w:r>
      <w:proofErr w:type="spellStart"/>
      <w:r w:rsidRPr="00B84B0C">
        <w:rPr>
          <w:rFonts w:eastAsia="Times New Roman" w:cs="Arial"/>
          <w:szCs w:val="18"/>
          <w:lang w:eastAsia="pt-BR"/>
        </w:rPr>
        <w:t>YoY</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and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growth</w:t>
      </w:r>
      <w:proofErr w:type="spellEnd"/>
      <w:r w:rsidRPr="00B84B0C">
        <w:rPr>
          <w:rFonts w:eastAsia="Times New Roman" w:cs="Arial"/>
          <w:szCs w:val="18"/>
          <w:lang w:eastAsia="pt-BR"/>
        </w:rPr>
        <w:t xml:space="preserve"> in </w:t>
      </w:r>
      <w:proofErr w:type="spellStart"/>
      <w:r w:rsidRPr="00B84B0C">
        <w:rPr>
          <w:rFonts w:eastAsia="Times New Roman" w:cs="Arial"/>
          <w:szCs w:val="18"/>
          <w:lang w:eastAsia="pt-BR"/>
        </w:rPr>
        <w:t>premiums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written</w:t>
      </w:r>
      <w:proofErr w:type="spellEnd"/>
      <w:r w:rsidRPr="00B84B0C">
        <w:rPr>
          <w:rFonts w:eastAsia="Times New Roman" w:cs="Arial"/>
          <w:szCs w:val="18"/>
          <w:lang w:eastAsia="pt-BR"/>
        </w:rPr>
        <w:t xml:space="preserve">, +15.9% </w:t>
      </w:r>
      <w:proofErr w:type="spellStart"/>
      <w:r w:rsidRPr="00B84B0C">
        <w:rPr>
          <w:rFonts w:eastAsia="Times New Roman" w:cs="Arial"/>
          <w:szCs w:val="18"/>
          <w:lang w:eastAsia="pt-BR"/>
        </w:rPr>
        <w:t>YoY</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propelled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by</w:t>
      </w:r>
      <w:proofErr w:type="spellEnd"/>
      <w:r w:rsidRPr="00B84B0C">
        <w:rPr>
          <w:rFonts w:eastAsia="Times New Roman" w:cs="Arial"/>
          <w:szCs w:val="18"/>
          <w:lang w:eastAsia="pt-BR"/>
        </w:rPr>
        <w:t xml:space="preserve"> rural </w:t>
      </w:r>
      <w:proofErr w:type="spellStart"/>
      <w:r w:rsidRPr="00B84B0C">
        <w:rPr>
          <w:rFonts w:eastAsia="Times New Roman" w:cs="Arial"/>
          <w:szCs w:val="18"/>
          <w:lang w:eastAsia="pt-BR"/>
        </w:rPr>
        <w:t>and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credit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life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drove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brokerage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revenues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up</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These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effects</w:t>
      </w:r>
      <w:proofErr w:type="spellEnd"/>
      <w:r w:rsidRPr="00B84B0C">
        <w:rPr>
          <w:rFonts w:eastAsia="Times New Roman" w:cs="Arial"/>
          <w:szCs w:val="18"/>
          <w:lang w:eastAsia="pt-BR"/>
        </w:rPr>
        <w:t xml:space="preserve">, in </w:t>
      </w:r>
      <w:proofErr w:type="spellStart"/>
      <w:r w:rsidRPr="00B84B0C">
        <w:rPr>
          <w:rFonts w:eastAsia="Times New Roman" w:cs="Arial"/>
          <w:szCs w:val="18"/>
          <w:lang w:eastAsia="pt-BR"/>
        </w:rPr>
        <w:t>addition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to</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lower</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loss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ratio</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and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increase</w:t>
      </w:r>
      <w:proofErr w:type="spellEnd"/>
      <w:r w:rsidRPr="00B84B0C">
        <w:rPr>
          <w:rFonts w:eastAsia="Times New Roman" w:cs="Arial"/>
          <w:szCs w:val="18"/>
          <w:lang w:eastAsia="pt-BR"/>
        </w:rPr>
        <w:t xml:space="preserve"> in </w:t>
      </w:r>
      <w:proofErr w:type="spellStart"/>
      <w:r w:rsidRPr="00B84B0C">
        <w:rPr>
          <w:rFonts w:eastAsia="Times New Roman" w:cs="Arial"/>
          <w:szCs w:val="18"/>
          <w:lang w:eastAsia="pt-BR"/>
        </w:rPr>
        <w:t>earned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premiums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Brasilseg</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reduced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negative </w:t>
      </w:r>
      <w:proofErr w:type="spellStart"/>
      <w:r w:rsidRPr="00B84B0C">
        <w:rPr>
          <w:rFonts w:eastAsia="Times New Roman" w:cs="Arial"/>
          <w:szCs w:val="18"/>
          <w:lang w:eastAsia="pt-BR"/>
        </w:rPr>
        <w:t>impact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on</w:t>
      </w:r>
      <w:proofErr w:type="spellEnd"/>
      <w:r w:rsidRPr="00B84B0C">
        <w:rPr>
          <w:rFonts w:eastAsia="Times New Roman" w:cs="Arial"/>
          <w:szCs w:val="18"/>
          <w:lang w:eastAsia="pt-BR"/>
        </w:rPr>
        <w:t xml:space="preserve"> net income.</w:t>
      </w:r>
    </w:p>
    <w:p w14:paraId="7C75079D" w14:textId="77777777" w:rsidR="00237ECE" w:rsidRPr="00B84B0C" w:rsidRDefault="00237ECE" w:rsidP="00237ECE">
      <w:pPr>
        <w:spacing w:after="0"/>
        <w:jc w:val="both"/>
        <w:rPr>
          <w:rFonts w:eastAsia="Times New Roman" w:cs="Arial"/>
          <w:szCs w:val="18"/>
          <w:lang w:eastAsia="pt-BR"/>
        </w:rPr>
      </w:pPr>
    </w:p>
    <w:p w14:paraId="30B20FFE" w14:textId="77777777" w:rsidR="00237ECE" w:rsidRPr="00B84B0C" w:rsidRDefault="00237ECE" w:rsidP="00237ECE">
      <w:pPr>
        <w:spacing w:after="0"/>
        <w:jc w:val="both"/>
        <w:rPr>
          <w:rFonts w:eastAsia="Times New Roman" w:cs="Arial"/>
          <w:szCs w:val="18"/>
          <w:lang w:eastAsia="pt-BR"/>
        </w:rPr>
      </w:pPr>
      <w:r w:rsidRPr="00B84B0C">
        <w:rPr>
          <w:rFonts w:eastAsia="Times New Roman" w:cs="Arial"/>
          <w:szCs w:val="18"/>
          <w:lang w:eastAsia="pt-BR"/>
        </w:rPr>
        <w:t xml:space="preserve">The </w:t>
      </w:r>
      <w:proofErr w:type="spellStart"/>
      <w:r w:rsidRPr="00B84B0C">
        <w:rPr>
          <w:rFonts w:eastAsia="Times New Roman" w:cs="Arial"/>
          <w:szCs w:val="18"/>
          <w:lang w:eastAsia="pt-BR"/>
        </w:rPr>
        <w:t>aforementioned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effects</w:t>
      </w:r>
      <w:proofErr w:type="spellEnd"/>
      <w:r w:rsidRPr="00B84B0C">
        <w:rPr>
          <w:rFonts w:eastAsia="Times New Roman" w:cs="Arial"/>
          <w:szCs w:val="18"/>
          <w:lang w:eastAsia="pt-BR"/>
        </w:rPr>
        <w:t xml:space="preserve"> led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13.4% </w:t>
      </w:r>
      <w:proofErr w:type="spellStart"/>
      <w:r w:rsidRPr="00B84B0C">
        <w:rPr>
          <w:rFonts w:eastAsia="Times New Roman" w:cs="Arial"/>
          <w:szCs w:val="18"/>
          <w:lang w:eastAsia="pt-BR"/>
        </w:rPr>
        <w:t>decrease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equity</w:t>
      </w:r>
      <w:proofErr w:type="spellEnd"/>
      <w:r w:rsidRPr="00B84B0C">
        <w:rPr>
          <w:rFonts w:eastAsia="Times New Roman" w:cs="Arial"/>
          <w:szCs w:val="18"/>
          <w:lang w:eastAsia="pt-BR"/>
        </w:rPr>
        <w:t xml:space="preserve"> income, as </w:t>
      </w:r>
      <w:proofErr w:type="spellStart"/>
      <w:r w:rsidRPr="00B84B0C">
        <w:rPr>
          <w:rFonts w:eastAsia="Times New Roman" w:cs="Arial"/>
          <w:szCs w:val="18"/>
          <w:lang w:eastAsia="pt-BR"/>
        </w:rPr>
        <w:t>detailed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below</w:t>
      </w:r>
      <w:proofErr w:type="spellEnd"/>
      <w:r w:rsidRPr="00B84B0C">
        <w:rPr>
          <w:rFonts w:eastAsia="Times New Roman" w:cs="Arial"/>
          <w:szCs w:val="18"/>
          <w:lang w:eastAsia="pt-BR"/>
        </w:rPr>
        <w:t xml:space="preserve">: </w:t>
      </w:r>
    </w:p>
    <w:p w14:paraId="69615EEB" w14:textId="366B42AE" w:rsidR="00237ECE" w:rsidRPr="00B84B0C" w:rsidRDefault="00237ECE" w:rsidP="00237ECE">
      <w:pPr>
        <w:pStyle w:val="01-TtulodeNota"/>
        <w:rPr>
          <w:rFonts w:cs="Arial"/>
          <w:b w:val="0"/>
          <w:sz w:val="14"/>
        </w:rPr>
      </w:pPr>
      <w:proofErr w:type="spellStart"/>
      <w:r w:rsidRPr="00B84B0C">
        <w:rPr>
          <w:rFonts w:cs="Arial"/>
          <w:b w:val="0"/>
          <w:sz w:val="14"/>
          <w:szCs w:val="14"/>
        </w:rPr>
        <w:t>Table</w:t>
      </w:r>
      <w:proofErr w:type="spellEnd"/>
      <w:r w:rsidRPr="00B84B0C">
        <w:rPr>
          <w:rFonts w:cs="Arial"/>
          <w:b w:val="0"/>
          <w:sz w:val="14"/>
          <w:szCs w:val="14"/>
        </w:rPr>
        <w:t xml:space="preserve"> </w:t>
      </w:r>
      <w:r w:rsidR="005D5136">
        <w:rPr>
          <w:rFonts w:cs="Arial"/>
          <w:b w:val="0"/>
          <w:noProof/>
          <w:sz w:val="14"/>
          <w:szCs w:val="14"/>
        </w:rPr>
        <w:t>1</w:t>
      </w:r>
      <w:r w:rsidRPr="00B84B0C">
        <w:rPr>
          <w:rFonts w:cs="Arial"/>
          <w:b w:val="0"/>
          <w:sz w:val="14"/>
        </w:rPr>
        <w:t xml:space="preserve"> – </w:t>
      </w:r>
      <w:proofErr w:type="spellStart"/>
      <w:r w:rsidRPr="00B84B0C">
        <w:rPr>
          <w:rFonts w:cs="Arial"/>
          <w:b w:val="0"/>
          <w:sz w:val="14"/>
        </w:rPr>
        <w:t>Equity</w:t>
      </w:r>
      <w:proofErr w:type="spellEnd"/>
      <w:r w:rsidRPr="00B84B0C">
        <w:rPr>
          <w:rFonts w:cs="Arial"/>
          <w:b w:val="0"/>
          <w:sz w:val="14"/>
        </w:rPr>
        <w:t xml:space="preserve"> Income</w:t>
      </w:r>
    </w:p>
    <w:tbl>
      <w:tblPr>
        <w:tblStyle w:val="TabeladeLista6Colorida-nfase53"/>
        <w:tblW w:w="9639" w:type="dxa"/>
        <w:tblLook w:val="04A0" w:firstRow="1" w:lastRow="0" w:firstColumn="1" w:lastColumn="0" w:noHBand="0" w:noVBand="1"/>
      </w:tblPr>
      <w:tblGrid>
        <w:gridCol w:w="4066"/>
        <w:gridCol w:w="1860"/>
        <w:gridCol w:w="1860"/>
        <w:gridCol w:w="1853"/>
      </w:tblGrid>
      <w:tr w:rsidR="00237ECE" w:rsidRPr="00B84B0C" w14:paraId="0DB11E7B" w14:textId="77777777" w:rsidTr="003E3C21">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8EAADB" w:themeColor="accent5" w:themeTint="99"/>
              <w:bottom w:val="nil"/>
            </w:tcBorders>
            <w:shd w:val="clear" w:color="auto" w:fill="D9E2F3" w:themeFill="accent5" w:themeFillTint="33"/>
            <w:vAlign w:val="center"/>
          </w:tcPr>
          <w:p w14:paraId="57834299" w14:textId="77777777" w:rsidR="00237ECE" w:rsidRPr="00B84B0C" w:rsidRDefault="00237ECE" w:rsidP="003E3C21">
            <w:pPr>
              <w:pStyle w:val="08-Tabelageral"/>
              <w:jc w:val="left"/>
              <w:rPr>
                <w:rFonts w:cs="Arial"/>
              </w:rPr>
            </w:pPr>
          </w:p>
        </w:tc>
        <w:tc>
          <w:tcPr>
            <w:tcW w:w="3720" w:type="dxa"/>
            <w:gridSpan w:val="2"/>
            <w:tcBorders>
              <w:top w:val="single" w:sz="2" w:space="0" w:color="8EAADB" w:themeColor="accent5" w:themeTint="99"/>
              <w:bottom w:val="nil"/>
            </w:tcBorders>
            <w:shd w:val="clear" w:color="auto" w:fill="D9E2F3" w:themeFill="accent5" w:themeFillTint="33"/>
            <w:vAlign w:val="center"/>
          </w:tcPr>
          <w:p w14:paraId="619ED0A1" w14:textId="77777777" w:rsidR="00237ECE" w:rsidRPr="00B84B0C" w:rsidRDefault="00237ECE" w:rsidP="003E3C21">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Parent</w:t>
            </w:r>
            <w:proofErr w:type="spellEnd"/>
          </w:p>
        </w:tc>
        <w:tc>
          <w:tcPr>
            <w:tcW w:w="1853" w:type="dxa"/>
            <w:vMerge w:val="restart"/>
            <w:tcBorders>
              <w:top w:val="single" w:sz="2" w:space="0" w:color="8EAADB" w:themeColor="accent5" w:themeTint="99"/>
            </w:tcBorders>
            <w:shd w:val="clear" w:color="auto" w:fill="D9E2F3" w:themeFill="accent5" w:themeFillTint="33"/>
            <w:vAlign w:val="center"/>
          </w:tcPr>
          <w:p w14:paraId="24B6A3A8" w14:textId="77777777" w:rsidR="00237ECE" w:rsidRPr="00B84B0C" w:rsidRDefault="00237ECE" w:rsidP="003E3C21">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proofErr w:type="gramStart"/>
            <w:r w:rsidRPr="00B84B0C">
              <w:rPr>
                <w:rFonts w:cs="Arial"/>
              </w:rPr>
              <w:t>Chg</w:t>
            </w:r>
            <w:proofErr w:type="spellEnd"/>
            <w:r w:rsidRPr="00B84B0C">
              <w:rPr>
                <w:rFonts w:cs="Arial"/>
              </w:rPr>
              <w:t>.%</w:t>
            </w:r>
            <w:proofErr w:type="gramEnd"/>
          </w:p>
        </w:tc>
      </w:tr>
      <w:tr w:rsidR="00237ECE" w:rsidRPr="00B84B0C" w14:paraId="61175E86" w14:textId="77777777" w:rsidTr="003E3C21">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bottom w:val="single" w:sz="2" w:space="0" w:color="8EAADB" w:themeColor="accent5" w:themeTint="99"/>
            </w:tcBorders>
          </w:tcPr>
          <w:p w14:paraId="5EEAFBDF" w14:textId="77777777" w:rsidR="00237ECE" w:rsidRPr="00B84B0C" w:rsidRDefault="00237ECE" w:rsidP="003E3C21">
            <w:pPr>
              <w:pStyle w:val="08-Tabelageral"/>
              <w:jc w:val="left"/>
              <w:rPr>
                <w:rFonts w:cs="Arial"/>
                <w:bCs w:val="0"/>
                <w:szCs w:val="14"/>
              </w:rPr>
            </w:pPr>
          </w:p>
        </w:tc>
        <w:tc>
          <w:tcPr>
            <w:tcW w:w="1860" w:type="dxa"/>
            <w:tcBorders>
              <w:top w:val="nil"/>
              <w:bottom w:val="single" w:sz="2" w:space="0" w:color="8EAADB" w:themeColor="accent5" w:themeTint="99"/>
            </w:tcBorders>
            <w:vAlign w:val="center"/>
          </w:tcPr>
          <w:p w14:paraId="77CD73C6" w14:textId="77777777" w:rsidR="00237ECE" w:rsidRPr="00B84B0C" w:rsidRDefault="00237ECE" w:rsidP="003E3C21">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1Q20</w:t>
            </w:r>
          </w:p>
        </w:tc>
        <w:tc>
          <w:tcPr>
            <w:tcW w:w="1860" w:type="dxa"/>
            <w:tcBorders>
              <w:top w:val="nil"/>
              <w:bottom w:val="single" w:sz="2" w:space="0" w:color="8EAADB" w:themeColor="accent5" w:themeTint="99"/>
            </w:tcBorders>
            <w:vAlign w:val="center"/>
          </w:tcPr>
          <w:p w14:paraId="1FDF6400" w14:textId="77777777" w:rsidR="00237ECE" w:rsidRPr="00B84B0C" w:rsidRDefault="00237ECE" w:rsidP="003E3C21">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1TQ19</w:t>
            </w:r>
          </w:p>
        </w:tc>
        <w:tc>
          <w:tcPr>
            <w:tcW w:w="1853" w:type="dxa"/>
            <w:vMerge/>
            <w:tcBorders>
              <w:bottom w:val="single" w:sz="2" w:space="0" w:color="8EAADB" w:themeColor="accent5" w:themeTint="99"/>
            </w:tcBorders>
            <w:vAlign w:val="center"/>
          </w:tcPr>
          <w:p w14:paraId="580C0B39"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r>
      <w:tr w:rsidR="00237ECE" w:rsidRPr="00B84B0C" w14:paraId="2F854AC1" w14:textId="77777777" w:rsidTr="003E3C21">
        <w:trPr>
          <w:trHeight w:hRule="exact" w:val="298"/>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8EAADB" w:themeColor="accent5" w:themeTint="99"/>
              <w:bottom w:val="nil"/>
            </w:tcBorders>
          </w:tcPr>
          <w:p w14:paraId="58922C32" w14:textId="77777777" w:rsidR="00237ECE" w:rsidRPr="00B84B0C" w:rsidRDefault="00237ECE" w:rsidP="003E3C21">
            <w:pPr>
              <w:pStyle w:val="08-Tabelageral"/>
              <w:jc w:val="left"/>
              <w:rPr>
                <w:rFonts w:cs="Arial"/>
                <w:snapToGrid w:val="0"/>
              </w:rPr>
            </w:pPr>
            <w:proofErr w:type="spellStart"/>
            <w:r w:rsidRPr="00B84B0C">
              <w:rPr>
                <w:rFonts w:cs="Arial"/>
              </w:rPr>
              <w:t>Equity</w:t>
            </w:r>
            <w:proofErr w:type="spellEnd"/>
            <w:r w:rsidRPr="00B84B0C">
              <w:rPr>
                <w:rFonts w:cs="Arial"/>
              </w:rPr>
              <w:t xml:space="preserve"> Income</w:t>
            </w:r>
          </w:p>
        </w:tc>
        <w:tc>
          <w:tcPr>
            <w:tcW w:w="1860" w:type="dxa"/>
            <w:tcBorders>
              <w:top w:val="single" w:sz="2" w:space="0" w:color="8EAADB" w:themeColor="accent5" w:themeTint="99"/>
              <w:bottom w:val="nil"/>
            </w:tcBorders>
            <w:vAlign w:val="center"/>
          </w:tcPr>
          <w:p w14:paraId="7AB65B1E"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B84B0C">
              <w:rPr>
                <w:rFonts w:cs="Arial"/>
                <w:b/>
                <w:bCs/>
                <w:color w:val="auto"/>
                <w:szCs w:val="14"/>
              </w:rPr>
              <w:t>868,229</w:t>
            </w:r>
          </w:p>
        </w:tc>
        <w:tc>
          <w:tcPr>
            <w:tcW w:w="1860" w:type="dxa"/>
            <w:tcBorders>
              <w:top w:val="single" w:sz="2" w:space="0" w:color="8EAADB" w:themeColor="accent5" w:themeTint="99"/>
              <w:bottom w:val="nil"/>
            </w:tcBorders>
            <w:vAlign w:val="center"/>
          </w:tcPr>
          <w:p w14:paraId="40D28FC0"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bCs/>
                <w:color w:val="000000"/>
                <w:szCs w:val="14"/>
              </w:rPr>
              <w:t>1,002,039</w:t>
            </w:r>
          </w:p>
        </w:tc>
        <w:tc>
          <w:tcPr>
            <w:tcW w:w="1853" w:type="dxa"/>
            <w:tcBorders>
              <w:top w:val="single" w:sz="2" w:space="0" w:color="8EAADB" w:themeColor="accent5" w:themeTint="99"/>
              <w:bottom w:val="nil"/>
            </w:tcBorders>
            <w:vAlign w:val="center"/>
          </w:tcPr>
          <w:p w14:paraId="68E18A58"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B84B0C">
              <w:rPr>
                <w:rFonts w:cs="Arial"/>
                <w:b/>
                <w:bCs/>
                <w:color w:val="auto"/>
                <w:szCs w:val="14"/>
              </w:rPr>
              <w:t>(13.4)</w:t>
            </w:r>
          </w:p>
        </w:tc>
      </w:tr>
      <w:tr w:rsidR="00237ECE" w:rsidRPr="00B84B0C" w14:paraId="4A7D7800" w14:textId="77777777" w:rsidTr="003E3C21">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bottom w:val="nil"/>
            </w:tcBorders>
          </w:tcPr>
          <w:p w14:paraId="2791A076" w14:textId="77777777" w:rsidR="00237ECE" w:rsidRPr="00B84B0C" w:rsidRDefault="00237ECE" w:rsidP="003E3C21">
            <w:pPr>
              <w:pStyle w:val="08-Tabelageral"/>
              <w:ind w:left="113"/>
              <w:jc w:val="left"/>
              <w:rPr>
                <w:rFonts w:cs="Arial"/>
                <w:b w:val="0"/>
                <w:snapToGrid w:val="0"/>
              </w:rPr>
            </w:pPr>
            <w:r w:rsidRPr="00B84B0C">
              <w:rPr>
                <w:rFonts w:cs="Arial"/>
                <w:b w:val="0"/>
              </w:rPr>
              <w:t>BB MAPFRE Participações S.A. (</w:t>
            </w:r>
            <w:proofErr w:type="spellStart"/>
            <w:r w:rsidRPr="00B84B0C">
              <w:rPr>
                <w:rFonts w:cs="Arial"/>
                <w:b w:val="0"/>
              </w:rPr>
              <w:t>Brasilseg</w:t>
            </w:r>
            <w:proofErr w:type="spellEnd"/>
            <w:r w:rsidRPr="00B84B0C">
              <w:rPr>
                <w:rFonts w:cs="Arial"/>
                <w:b w:val="0"/>
              </w:rPr>
              <w:t>)</w:t>
            </w:r>
          </w:p>
        </w:tc>
        <w:tc>
          <w:tcPr>
            <w:tcW w:w="1860" w:type="dxa"/>
            <w:tcBorders>
              <w:top w:val="nil"/>
              <w:bottom w:val="nil"/>
            </w:tcBorders>
            <w:vAlign w:val="center"/>
          </w:tcPr>
          <w:p w14:paraId="18C59A3F"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84B0C">
              <w:rPr>
                <w:rFonts w:cs="Arial"/>
                <w:szCs w:val="14"/>
              </w:rPr>
              <w:t>242,768</w:t>
            </w:r>
          </w:p>
        </w:tc>
        <w:tc>
          <w:tcPr>
            <w:tcW w:w="1860" w:type="dxa"/>
            <w:tcBorders>
              <w:top w:val="nil"/>
              <w:bottom w:val="nil"/>
            </w:tcBorders>
            <w:vAlign w:val="center"/>
          </w:tcPr>
          <w:p w14:paraId="6FBB3262"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226,211</w:t>
            </w:r>
          </w:p>
        </w:tc>
        <w:tc>
          <w:tcPr>
            <w:tcW w:w="1853" w:type="dxa"/>
            <w:tcBorders>
              <w:top w:val="nil"/>
              <w:bottom w:val="nil"/>
            </w:tcBorders>
            <w:vAlign w:val="center"/>
          </w:tcPr>
          <w:p w14:paraId="7B88CF16"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84B0C">
              <w:rPr>
                <w:rFonts w:cs="Arial"/>
                <w:color w:val="auto"/>
                <w:szCs w:val="14"/>
              </w:rPr>
              <w:t>7.3</w:t>
            </w:r>
          </w:p>
        </w:tc>
      </w:tr>
      <w:tr w:rsidR="00237ECE" w:rsidRPr="00B84B0C" w14:paraId="033A0E85" w14:textId="77777777" w:rsidTr="003E3C21">
        <w:trPr>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bottom w:val="nil"/>
            </w:tcBorders>
          </w:tcPr>
          <w:p w14:paraId="4A717F53" w14:textId="77777777" w:rsidR="00237ECE" w:rsidRPr="00B84B0C" w:rsidRDefault="00237ECE" w:rsidP="003E3C21">
            <w:pPr>
              <w:pStyle w:val="08-Tabelageral"/>
              <w:ind w:left="113"/>
              <w:jc w:val="left"/>
              <w:rPr>
                <w:rFonts w:cs="Arial"/>
                <w:b w:val="0"/>
                <w:snapToGrid w:val="0"/>
              </w:rPr>
            </w:pPr>
            <w:proofErr w:type="spellStart"/>
            <w:r w:rsidRPr="00B84B0C">
              <w:rPr>
                <w:rFonts w:cs="Arial"/>
                <w:b w:val="0"/>
              </w:rPr>
              <w:t>Brasilprev</w:t>
            </w:r>
            <w:proofErr w:type="spellEnd"/>
            <w:r w:rsidRPr="00B84B0C">
              <w:rPr>
                <w:rFonts w:cs="Arial"/>
                <w:b w:val="0"/>
              </w:rPr>
              <w:t xml:space="preserve"> Seguros e Previdência S.A.</w:t>
            </w:r>
          </w:p>
        </w:tc>
        <w:tc>
          <w:tcPr>
            <w:tcW w:w="1860" w:type="dxa"/>
            <w:tcBorders>
              <w:top w:val="nil"/>
              <w:bottom w:val="nil"/>
            </w:tcBorders>
            <w:vAlign w:val="center"/>
          </w:tcPr>
          <w:p w14:paraId="7F2E7F7F"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B84B0C">
              <w:rPr>
                <w:rFonts w:cs="Arial"/>
              </w:rPr>
              <w:t>121,198</w:t>
            </w:r>
          </w:p>
        </w:tc>
        <w:tc>
          <w:tcPr>
            <w:tcW w:w="1860" w:type="dxa"/>
            <w:tcBorders>
              <w:top w:val="nil"/>
              <w:bottom w:val="nil"/>
            </w:tcBorders>
            <w:vAlign w:val="center"/>
          </w:tcPr>
          <w:p w14:paraId="35DE1E01"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286,534</w:t>
            </w:r>
          </w:p>
        </w:tc>
        <w:tc>
          <w:tcPr>
            <w:tcW w:w="1853" w:type="dxa"/>
            <w:tcBorders>
              <w:top w:val="nil"/>
              <w:bottom w:val="nil"/>
            </w:tcBorders>
            <w:vAlign w:val="center"/>
          </w:tcPr>
          <w:p w14:paraId="2531D160"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B84B0C">
              <w:rPr>
                <w:rFonts w:cs="Arial"/>
                <w:color w:val="auto"/>
                <w:szCs w:val="14"/>
              </w:rPr>
              <w:t>(57.7)</w:t>
            </w:r>
          </w:p>
        </w:tc>
      </w:tr>
      <w:tr w:rsidR="00237ECE" w:rsidRPr="00B84B0C" w14:paraId="77A914D1" w14:textId="77777777" w:rsidTr="003E3C21">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bottom w:val="nil"/>
            </w:tcBorders>
          </w:tcPr>
          <w:p w14:paraId="654BB218" w14:textId="77777777" w:rsidR="00237ECE" w:rsidRPr="00B84B0C" w:rsidRDefault="00237ECE" w:rsidP="003E3C21">
            <w:pPr>
              <w:pStyle w:val="08-Tabelageral"/>
              <w:ind w:left="113"/>
              <w:jc w:val="left"/>
              <w:rPr>
                <w:rFonts w:cs="Arial"/>
                <w:b w:val="0"/>
                <w:snapToGrid w:val="0"/>
              </w:rPr>
            </w:pPr>
            <w:proofErr w:type="spellStart"/>
            <w:r w:rsidRPr="00B84B0C">
              <w:rPr>
                <w:rFonts w:cs="Arial"/>
                <w:b w:val="0"/>
              </w:rPr>
              <w:t>Brasilcap</w:t>
            </w:r>
            <w:proofErr w:type="spellEnd"/>
            <w:r w:rsidRPr="00B84B0C">
              <w:rPr>
                <w:rFonts w:cs="Arial"/>
                <w:b w:val="0"/>
              </w:rPr>
              <w:t xml:space="preserve"> Capitalização S.A.</w:t>
            </w:r>
          </w:p>
        </w:tc>
        <w:tc>
          <w:tcPr>
            <w:tcW w:w="1860" w:type="dxa"/>
            <w:tcBorders>
              <w:top w:val="nil"/>
              <w:bottom w:val="nil"/>
            </w:tcBorders>
            <w:vAlign w:val="center"/>
          </w:tcPr>
          <w:p w14:paraId="23FC4240"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84B0C">
              <w:rPr>
                <w:rFonts w:cs="Arial"/>
                <w:szCs w:val="14"/>
              </w:rPr>
              <w:t>25,247</w:t>
            </w:r>
          </w:p>
        </w:tc>
        <w:tc>
          <w:tcPr>
            <w:tcW w:w="1860" w:type="dxa"/>
            <w:tcBorders>
              <w:top w:val="nil"/>
              <w:bottom w:val="nil"/>
            </w:tcBorders>
            <w:vAlign w:val="center"/>
          </w:tcPr>
          <w:p w14:paraId="1F866193"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21,411</w:t>
            </w:r>
          </w:p>
        </w:tc>
        <w:tc>
          <w:tcPr>
            <w:tcW w:w="1853" w:type="dxa"/>
            <w:tcBorders>
              <w:top w:val="nil"/>
              <w:bottom w:val="nil"/>
            </w:tcBorders>
            <w:vAlign w:val="center"/>
          </w:tcPr>
          <w:p w14:paraId="015A1375"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84B0C">
              <w:rPr>
                <w:rFonts w:cs="Arial"/>
                <w:color w:val="auto"/>
                <w:szCs w:val="14"/>
              </w:rPr>
              <w:t>17.9</w:t>
            </w:r>
          </w:p>
        </w:tc>
      </w:tr>
      <w:tr w:rsidR="00237ECE" w:rsidRPr="00B84B0C" w14:paraId="67F0D58F" w14:textId="77777777" w:rsidTr="003E3C21">
        <w:trPr>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bottom w:val="nil"/>
            </w:tcBorders>
          </w:tcPr>
          <w:p w14:paraId="2C90814D" w14:textId="77777777" w:rsidR="00237ECE" w:rsidRPr="00B84B0C" w:rsidRDefault="00237ECE" w:rsidP="003E3C21">
            <w:pPr>
              <w:pStyle w:val="08-Tabelageral"/>
              <w:ind w:left="113"/>
              <w:jc w:val="left"/>
              <w:rPr>
                <w:rFonts w:cs="Arial"/>
                <w:b w:val="0"/>
                <w:snapToGrid w:val="0"/>
                <w:vertAlign w:val="superscript"/>
              </w:rPr>
            </w:pPr>
            <w:r w:rsidRPr="00B84B0C">
              <w:rPr>
                <w:rFonts w:cs="Arial"/>
                <w:b w:val="0"/>
              </w:rPr>
              <w:t>IRB Brasil Resseguros S.A.¹</w:t>
            </w:r>
          </w:p>
        </w:tc>
        <w:tc>
          <w:tcPr>
            <w:tcW w:w="1860" w:type="dxa"/>
            <w:tcBorders>
              <w:top w:val="nil"/>
              <w:bottom w:val="nil"/>
            </w:tcBorders>
            <w:vAlign w:val="center"/>
          </w:tcPr>
          <w:p w14:paraId="3EBD313A"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B84B0C">
              <w:rPr>
                <w:rFonts w:cs="Arial"/>
                <w:color w:val="auto"/>
                <w:szCs w:val="14"/>
              </w:rPr>
              <w:t>-</w:t>
            </w:r>
          </w:p>
        </w:tc>
        <w:tc>
          <w:tcPr>
            <w:tcW w:w="1860" w:type="dxa"/>
            <w:tcBorders>
              <w:top w:val="nil"/>
              <w:bottom w:val="nil"/>
            </w:tcBorders>
            <w:vAlign w:val="center"/>
          </w:tcPr>
          <w:p w14:paraId="7B165821"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49,443</w:t>
            </w:r>
          </w:p>
        </w:tc>
        <w:tc>
          <w:tcPr>
            <w:tcW w:w="1853" w:type="dxa"/>
            <w:tcBorders>
              <w:top w:val="nil"/>
              <w:bottom w:val="nil"/>
            </w:tcBorders>
            <w:vAlign w:val="center"/>
          </w:tcPr>
          <w:p w14:paraId="233FF6EE"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B84B0C">
              <w:rPr>
                <w:rFonts w:cs="Arial"/>
                <w:color w:val="auto"/>
                <w:szCs w:val="14"/>
              </w:rPr>
              <w:t>-</w:t>
            </w:r>
          </w:p>
        </w:tc>
      </w:tr>
      <w:tr w:rsidR="00237ECE" w:rsidRPr="00B84B0C" w14:paraId="46FB9445" w14:textId="77777777" w:rsidTr="003E3C21">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bottom w:val="nil"/>
            </w:tcBorders>
          </w:tcPr>
          <w:p w14:paraId="1D3DCBA2" w14:textId="77777777" w:rsidR="00237ECE" w:rsidRPr="00B84B0C" w:rsidRDefault="00237ECE" w:rsidP="003E3C21">
            <w:pPr>
              <w:pStyle w:val="08-Tabelageral"/>
              <w:ind w:left="113"/>
              <w:jc w:val="left"/>
              <w:rPr>
                <w:rFonts w:cs="Arial"/>
                <w:b w:val="0"/>
                <w:snapToGrid w:val="0"/>
              </w:rPr>
            </w:pPr>
            <w:proofErr w:type="spellStart"/>
            <w:r w:rsidRPr="00B84B0C">
              <w:rPr>
                <w:rFonts w:cs="Arial"/>
                <w:b w:val="0"/>
              </w:rPr>
              <w:t>Brasildental</w:t>
            </w:r>
            <w:proofErr w:type="spellEnd"/>
            <w:r w:rsidRPr="00B84B0C">
              <w:rPr>
                <w:rFonts w:cs="Arial"/>
                <w:b w:val="0"/>
              </w:rPr>
              <w:t xml:space="preserve"> Operadora de Planos Odontológicos S.A.</w:t>
            </w:r>
          </w:p>
        </w:tc>
        <w:tc>
          <w:tcPr>
            <w:tcW w:w="1860" w:type="dxa"/>
            <w:tcBorders>
              <w:top w:val="nil"/>
              <w:bottom w:val="nil"/>
            </w:tcBorders>
            <w:vAlign w:val="center"/>
          </w:tcPr>
          <w:p w14:paraId="66B9C2EB"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84B0C">
              <w:rPr>
                <w:rFonts w:cs="Arial"/>
                <w:szCs w:val="14"/>
              </w:rPr>
              <w:t>4,632</w:t>
            </w:r>
          </w:p>
        </w:tc>
        <w:tc>
          <w:tcPr>
            <w:tcW w:w="1860" w:type="dxa"/>
            <w:tcBorders>
              <w:top w:val="nil"/>
              <w:bottom w:val="nil"/>
            </w:tcBorders>
            <w:vAlign w:val="center"/>
          </w:tcPr>
          <w:p w14:paraId="7F778CA1"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4,609</w:t>
            </w:r>
          </w:p>
        </w:tc>
        <w:tc>
          <w:tcPr>
            <w:tcW w:w="1853" w:type="dxa"/>
            <w:tcBorders>
              <w:top w:val="nil"/>
              <w:bottom w:val="nil"/>
            </w:tcBorders>
            <w:vAlign w:val="center"/>
          </w:tcPr>
          <w:p w14:paraId="285B05D5"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84B0C">
              <w:rPr>
                <w:rFonts w:cs="Arial"/>
                <w:color w:val="auto"/>
                <w:szCs w:val="14"/>
              </w:rPr>
              <w:t>0.5</w:t>
            </w:r>
          </w:p>
        </w:tc>
      </w:tr>
      <w:tr w:rsidR="00237ECE" w:rsidRPr="00B84B0C" w14:paraId="4E445B48" w14:textId="77777777" w:rsidTr="003E3C21">
        <w:trPr>
          <w:trHeight w:hRule="exact" w:val="266"/>
        </w:trPr>
        <w:tc>
          <w:tcPr>
            <w:cnfStyle w:val="001000000000" w:firstRow="0" w:lastRow="0" w:firstColumn="1" w:lastColumn="0" w:oddVBand="0" w:evenVBand="0" w:oddHBand="0" w:evenHBand="0" w:firstRowFirstColumn="0" w:firstRowLastColumn="0" w:lastRowFirstColumn="0" w:lastRowLastColumn="0"/>
            <w:tcW w:w="4066" w:type="dxa"/>
            <w:tcBorders>
              <w:top w:val="nil"/>
              <w:bottom w:val="nil"/>
            </w:tcBorders>
          </w:tcPr>
          <w:p w14:paraId="3C73F761" w14:textId="77777777" w:rsidR="00237ECE" w:rsidRPr="00B84B0C" w:rsidRDefault="00237ECE" w:rsidP="003E3C21">
            <w:pPr>
              <w:pStyle w:val="08-Tabelageral"/>
              <w:ind w:left="113"/>
              <w:jc w:val="left"/>
              <w:rPr>
                <w:rFonts w:cs="Arial"/>
                <w:b w:val="0"/>
              </w:rPr>
            </w:pPr>
            <w:r w:rsidRPr="00B84B0C">
              <w:rPr>
                <w:rFonts w:cs="Arial"/>
                <w:b w:val="0"/>
              </w:rPr>
              <w:t>BB Corretora de Seguros e Administradora de Bens S.A.</w:t>
            </w:r>
          </w:p>
        </w:tc>
        <w:tc>
          <w:tcPr>
            <w:tcW w:w="1860" w:type="dxa"/>
            <w:tcBorders>
              <w:top w:val="nil"/>
              <w:bottom w:val="nil"/>
            </w:tcBorders>
            <w:vAlign w:val="center"/>
          </w:tcPr>
          <w:p w14:paraId="47E615AF"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B84B0C">
              <w:rPr>
                <w:rFonts w:cs="Arial"/>
              </w:rPr>
              <w:t>478,132</w:t>
            </w:r>
          </w:p>
        </w:tc>
        <w:tc>
          <w:tcPr>
            <w:tcW w:w="1860" w:type="dxa"/>
            <w:tcBorders>
              <w:top w:val="nil"/>
              <w:bottom w:val="nil"/>
            </w:tcBorders>
            <w:vAlign w:val="center"/>
          </w:tcPr>
          <w:p w14:paraId="60DAC56C"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415,623</w:t>
            </w:r>
          </w:p>
        </w:tc>
        <w:tc>
          <w:tcPr>
            <w:tcW w:w="1853" w:type="dxa"/>
            <w:tcBorders>
              <w:top w:val="nil"/>
              <w:bottom w:val="nil"/>
            </w:tcBorders>
            <w:vAlign w:val="center"/>
          </w:tcPr>
          <w:p w14:paraId="43D49AD3" w14:textId="77777777" w:rsidR="00237ECE" w:rsidRPr="00B84B0C" w:rsidRDefault="00237ECE" w:rsidP="003E3C21">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B84B0C">
              <w:rPr>
                <w:rFonts w:cs="Arial"/>
                <w:color w:val="auto"/>
                <w:szCs w:val="14"/>
              </w:rPr>
              <w:t>15.0</w:t>
            </w:r>
          </w:p>
        </w:tc>
      </w:tr>
      <w:tr w:rsidR="00237ECE" w:rsidRPr="00B84B0C" w14:paraId="077405A6" w14:textId="77777777" w:rsidTr="003E3C21">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bottom w:val="single" w:sz="4" w:space="0" w:color="8EAADB" w:themeColor="accent5" w:themeTint="99"/>
            </w:tcBorders>
          </w:tcPr>
          <w:p w14:paraId="2F6EAFB3" w14:textId="77777777" w:rsidR="00237ECE" w:rsidRPr="00B84B0C" w:rsidRDefault="00237ECE" w:rsidP="003E3C21">
            <w:pPr>
              <w:pStyle w:val="08-Tabelageral"/>
              <w:ind w:left="113"/>
              <w:jc w:val="left"/>
              <w:rPr>
                <w:rFonts w:cs="Arial"/>
                <w:b w:val="0"/>
              </w:rPr>
            </w:pPr>
            <w:r w:rsidRPr="00B84B0C">
              <w:rPr>
                <w:rFonts w:cs="Arial"/>
                <w:b w:val="0"/>
              </w:rPr>
              <w:t>Outros</w:t>
            </w:r>
          </w:p>
        </w:tc>
        <w:tc>
          <w:tcPr>
            <w:tcW w:w="1860" w:type="dxa"/>
            <w:tcBorders>
              <w:top w:val="nil"/>
              <w:bottom w:val="single" w:sz="4" w:space="0" w:color="8EAADB" w:themeColor="accent5" w:themeTint="99"/>
            </w:tcBorders>
            <w:vAlign w:val="center"/>
          </w:tcPr>
          <w:p w14:paraId="44573800"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rPr>
            </w:pPr>
            <w:r w:rsidRPr="00B84B0C">
              <w:rPr>
                <w:rFonts w:cs="Arial"/>
                <w:color w:val="auto"/>
                <w:szCs w:val="14"/>
              </w:rPr>
              <w:t>(3,748)</w:t>
            </w:r>
          </w:p>
        </w:tc>
        <w:tc>
          <w:tcPr>
            <w:tcW w:w="1860" w:type="dxa"/>
            <w:tcBorders>
              <w:top w:val="nil"/>
              <w:bottom w:val="single" w:sz="4" w:space="0" w:color="8EAADB" w:themeColor="accent5" w:themeTint="99"/>
            </w:tcBorders>
            <w:vAlign w:val="center"/>
          </w:tcPr>
          <w:p w14:paraId="610C26E6"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color w:val="000000"/>
                <w:szCs w:val="14"/>
              </w:rPr>
              <w:t>(1,792)</w:t>
            </w:r>
          </w:p>
        </w:tc>
        <w:tc>
          <w:tcPr>
            <w:tcW w:w="1853" w:type="dxa"/>
            <w:tcBorders>
              <w:top w:val="nil"/>
              <w:bottom w:val="single" w:sz="4" w:space="0" w:color="8EAADB" w:themeColor="accent5" w:themeTint="99"/>
            </w:tcBorders>
            <w:vAlign w:val="center"/>
          </w:tcPr>
          <w:p w14:paraId="2A3D29A9" w14:textId="77777777" w:rsidR="00237ECE" w:rsidRPr="00B84B0C" w:rsidRDefault="00237ECE" w:rsidP="003E3C21">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84B0C">
              <w:rPr>
                <w:rFonts w:cs="Arial"/>
                <w:color w:val="auto"/>
                <w:szCs w:val="14"/>
              </w:rPr>
              <w:t>109.2</w:t>
            </w:r>
          </w:p>
        </w:tc>
      </w:tr>
    </w:tbl>
    <w:p w14:paraId="09096F33" w14:textId="77777777" w:rsidR="00237ECE" w:rsidRPr="00B84B0C" w:rsidRDefault="00237ECE" w:rsidP="00237ECE">
      <w:pPr>
        <w:spacing w:after="0"/>
        <w:rPr>
          <w:rFonts w:eastAsia="Times New Roman" w:cs="Arial"/>
          <w:sz w:val="20"/>
          <w:szCs w:val="20"/>
          <w:lang w:eastAsia="pt-BR"/>
        </w:rPr>
      </w:pPr>
      <w:r w:rsidRPr="00B84B0C">
        <w:rPr>
          <w:rFonts w:eastAsia="Times New Roman" w:cs="Arial"/>
          <w:sz w:val="14"/>
          <w:szCs w:val="20"/>
          <w:lang w:eastAsia="pt-BR"/>
        </w:rPr>
        <w:t xml:space="preserve">¹In July 2019, </w:t>
      </w:r>
      <w:proofErr w:type="spellStart"/>
      <w:r w:rsidRPr="00B84B0C">
        <w:rPr>
          <w:rFonts w:eastAsia="Times New Roman" w:cs="Arial"/>
          <w:sz w:val="14"/>
          <w:szCs w:val="20"/>
          <w:lang w:eastAsia="pt-BR"/>
        </w:rPr>
        <w:t>the</w:t>
      </w:r>
      <w:proofErr w:type="spellEnd"/>
      <w:r w:rsidRPr="00B84B0C">
        <w:rPr>
          <w:rFonts w:eastAsia="Times New Roman" w:cs="Arial"/>
          <w:sz w:val="14"/>
          <w:szCs w:val="20"/>
          <w:lang w:eastAsia="pt-BR"/>
        </w:rPr>
        <w:t xml:space="preserve"> </w:t>
      </w:r>
      <w:proofErr w:type="spellStart"/>
      <w:r w:rsidRPr="00B84B0C">
        <w:rPr>
          <w:rFonts w:eastAsia="Times New Roman" w:cs="Arial"/>
          <w:sz w:val="14"/>
          <w:szCs w:val="20"/>
          <w:lang w:eastAsia="pt-BR"/>
        </w:rPr>
        <w:t>company</w:t>
      </w:r>
      <w:proofErr w:type="spellEnd"/>
      <w:r w:rsidRPr="00B84B0C">
        <w:rPr>
          <w:rFonts w:eastAsia="Times New Roman" w:cs="Arial"/>
          <w:sz w:val="14"/>
          <w:szCs w:val="20"/>
          <w:lang w:eastAsia="pt-BR"/>
        </w:rPr>
        <w:t xml:space="preserve"> </w:t>
      </w:r>
      <w:proofErr w:type="spellStart"/>
      <w:r w:rsidRPr="00B84B0C">
        <w:rPr>
          <w:rFonts w:eastAsia="Times New Roman" w:cs="Arial"/>
          <w:sz w:val="14"/>
          <w:szCs w:val="20"/>
          <w:lang w:eastAsia="pt-BR"/>
        </w:rPr>
        <w:t>concluded</w:t>
      </w:r>
      <w:proofErr w:type="spellEnd"/>
      <w:r w:rsidRPr="00B84B0C">
        <w:rPr>
          <w:rFonts w:eastAsia="Times New Roman" w:cs="Arial"/>
          <w:sz w:val="14"/>
          <w:szCs w:val="20"/>
          <w:lang w:eastAsia="pt-BR"/>
        </w:rPr>
        <w:t xml:space="preserve"> </w:t>
      </w:r>
      <w:proofErr w:type="spellStart"/>
      <w:r w:rsidRPr="00B84B0C">
        <w:rPr>
          <w:rFonts w:eastAsia="Times New Roman" w:cs="Arial"/>
          <w:sz w:val="14"/>
          <w:szCs w:val="20"/>
          <w:lang w:eastAsia="pt-BR"/>
        </w:rPr>
        <w:t>the</w:t>
      </w:r>
      <w:proofErr w:type="spellEnd"/>
      <w:r w:rsidRPr="00B84B0C">
        <w:rPr>
          <w:rFonts w:eastAsia="Times New Roman" w:cs="Arial"/>
          <w:sz w:val="14"/>
          <w:szCs w:val="20"/>
          <w:lang w:eastAsia="pt-BR"/>
        </w:rPr>
        <w:t xml:space="preserve"> </w:t>
      </w:r>
      <w:proofErr w:type="spellStart"/>
      <w:r w:rsidRPr="00B84B0C">
        <w:rPr>
          <w:rFonts w:eastAsia="Times New Roman" w:cs="Arial"/>
          <w:sz w:val="14"/>
          <w:szCs w:val="20"/>
          <w:lang w:eastAsia="pt-BR"/>
        </w:rPr>
        <w:t>divestiment</w:t>
      </w:r>
      <w:proofErr w:type="spellEnd"/>
      <w:r w:rsidRPr="00B84B0C">
        <w:rPr>
          <w:rFonts w:eastAsia="Times New Roman" w:cs="Arial"/>
          <w:sz w:val="14"/>
          <w:szCs w:val="20"/>
          <w:lang w:eastAsia="pt-BR"/>
        </w:rPr>
        <w:t xml:space="preserve"> </w:t>
      </w:r>
      <w:proofErr w:type="spellStart"/>
      <w:r w:rsidRPr="00B84B0C">
        <w:rPr>
          <w:rFonts w:eastAsia="Times New Roman" w:cs="Arial"/>
          <w:sz w:val="14"/>
          <w:szCs w:val="20"/>
          <w:lang w:eastAsia="pt-BR"/>
        </w:rPr>
        <w:t>of</w:t>
      </w:r>
      <w:proofErr w:type="spellEnd"/>
      <w:r w:rsidRPr="00B84B0C">
        <w:rPr>
          <w:rFonts w:eastAsia="Times New Roman" w:cs="Arial"/>
          <w:sz w:val="14"/>
          <w:szCs w:val="20"/>
          <w:lang w:eastAsia="pt-BR"/>
        </w:rPr>
        <w:t xml:space="preserve"> IRB Brasil Resseguros S.A. </w:t>
      </w:r>
      <w:proofErr w:type="spellStart"/>
      <w:r w:rsidRPr="00B84B0C">
        <w:rPr>
          <w:rFonts w:eastAsia="Times New Roman" w:cs="Arial"/>
          <w:sz w:val="14"/>
          <w:szCs w:val="20"/>
          <w:lang w:eastAsia="pt-BR"/>
        </w:rPr>
        <w:t>through</w:t>
      </w:r>
      <w:proofErr w:type="spellEnd"/>
      <w:r w:rsidRPr="00B84B0C">
        <w:rPr>
          <w:rFonts w:eastAsia="Times New Roman" w:cs="Arial"/>
          <w:sz w:val="14"/>
          <w:szCs w:val="20"/>
          <w:lang w:eastAsia="pt-BR"/>
        </w:rPr>
        <w:t xml:space="preserve"> a </w:t>
      </w:r>
      <w:proofErr w:type="spellStart"/>
      <w:r w:rsidRPr="00B84B0C">
        <w:rPr>
          <w:rFonts w:eastAsia="Times New Roman" w:cs="Arial"/>
          <w:sz w:val="14"/>
          <w:szCs w:val="20"/>
          <w:lang w:eastAsia="pt-BR"/>
        </w:rPr>
        <w:t>restricted</w:t>
      </w:r>
      <w:proofErr w:type="spellEnd"/>
      <w:r w:rsidRPr="00B84B0C">
        <w:rPr>
          <w:rFonts w:eastAsia="Times New Roman" w:cs="Arial"/>
          <w:sz w:val="14"/>
          <w:szCs w:val="20"/>
          <w:lang w:eastAsia="pt-BR"/>
        </w:rPr>
        <w:t xml:space="preserve"> </w:t>
      </w:r>
      <w:proofErr w:type="spellStart"/>
      <w:r w:rsidRPr="00B84B0C">
        <w:rPr>
          <w:rFonts w:eastAsia="Times New Roman" w:cs="Arial"/>
          <w:sz w:val="14"/>
          <w:szCs w:val="20"/>
          <w:lang w:eastAsia="pt-BR"/>
        </w:rPr>
        <w:t>public</w:t>
      </w:r>
      <w:proofErr w:type="spellEnd"/>
      <w:r w:rsidRPr="00B84B0C">
        <w:rPr>
          <w:rFonts w:eastAsia="Times New Roman" w:cs="Arial"/>
          <w:sz w:val="14"/>
          <w:szCs w:val="20"/>
          <w:lang w:eastAsia="pt-BR"/>
        </w:rPr>
        <w:t xml:space="preserve"> </w:t>
      </w:r>
      <w:proofErr w:type="spellStart"/>
      <w:r w:rsidRPr="00B84B0C">
        <w:rPr>
          <w:rFonts w:eastAsia="Times New Roman" w:cs="Arial"/>
          <w:sz w:val="14"/>
          <w:szCs w:val="20"/>
          <w:lang w:eastAsia="pt-BR"/>
        </w:rPr>
        <w:t>offering</w:t>
      </w:r>
      <w:proofErr w:type="spellEnd"/>
      <w:r w:rsidRPr="00B84B0C">
        <w:rPr>
          <w:rFonts w:eastAsia="Times New Roman" w:cs="Arial"/>
          <w:sz w:val="14"/>
          <w:szCs w:val="20"/>
          <w:lang w:eastAsia="pt-BR"/>
        </w:rPr>
        <w:t>.</w:t>
      </w:r>
    </w:p>
    <w:p w14:paraId="49FBAC5A" w14:textId="77777777" w:rsidR="00237ECE" w:rsidRPr="00B84B0C" w:rsidRDefault="00237ECE" w:rsidP="00237ECE">
      <w:pPr>
        <w:spacing w:after="0"/>
        <w:jc w:val="both"/>
        <w:rPr>
          <w:rFonts w:cs="Arial"/>
          <w:b/>
          <w:color w:val="FF0000"/>
          <w:szCs w:val="18"/>
        </w:rPr>
      </w:pPr>
    </w:p>
    <w:p w14:paraId="570FD4B5" w14:textId="77777777" w:rsidR="00237ECE" w:rsidRPr="00B84B0C" w:rsidRDefault="00237ECE" w:rsidP="00237ECE">
      <w:pPr>
        <w:jc w:val="both"/>
        <w:rPr>
          <w:rFonts w:cs="Arial"/>
          <w:szCs w:val="18"/>
        </w:rPr>
      </w:pPr>
      <w:r w:rsidRPr="00B84B0C">
        <w:rPr>
          <w:rFonts w:cs="Arial"/>
          <w:szCs w:val="18"/>
        </w:rPr>
        <w:t xml:space="preserve">In </w:t>
      </w:r>
      <w:proofErr w:type="spellStart"/>
      <w:r w:rsidRPr="00B84B0C">
        <w:rPr>
          <w:rFonts w:cs="Arial"/>
          <w:szCs w:val="18"/>
        </w:rPr>
        <w:t>the</w:t>
      </w:r>
      <w:proofErr w:type="spellEnd"/>
      <w:r w:rsidRPr="00B84B0C">
        <w:rPr>
          <w:rFonts w:cs="Arial"/>
          <w:szCs w:val="18"/>
        </w:rPr>
        <w:t xml:space="preserve"> 1Q20, </w:t>
      </w:r>
      <w:proofErr w:type="spellStart"/>
      <w:r w:rsidRPr="00B84B0C">
        <w:rPr>
          <w:rFonts w:cs="Arial"/>
          <w:szCs w:val="18"/>
        </w:rPr>
        <w:t>the</w:t>
      </w:r>
      <w:proofErr w:type="spellEnd"/>
      <w:r w:rsidRPr="00B84B0C">
        <w:rPr>
          <w:rFonts w:cs="Arial"/>
          <w:szCs w:val="18"/>
        </w:rPr>
        <w:t xml:space="preserve"> G&amp;A </w:t>
      </w:r>
      <w:proofErr w:type="spellStart"/>
      <w:r w:rsidRPr="00B84B0C">
        <w:rPr>
          <w:rFonts w:cs="Arial"/>
          <w:szCs w:val="18"/>
        </w:rPr>
        <w:t>expenses</w:t>
      </w:r>
      <w:proofErr w:type="spellEnd"/>
      <w:r w:rsidRPr="00B84B0C">
        <w:rPr>
          <w:rFonts w:cs="Arial"/>
          <w:szCs w:val="18"/>
        </w:rPr>
        <w:t xml:space="preserve"> </w:t>
      </w:r>
      <w:proofErr w:type="spellStart"/>
      <w:r w:rsidRPr="00B84B0C">
        <w:rPr>
          <w:rFonts w:cs="Arial"/>
          <w:szCs w:val="18"/>
        </w:rPr>
        <w:t>at</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holding </w:t>
      </w:r>
      <w:proofErr w:type="spellStart"/>
      <w:r w:rsidRPr="00B84B0C">
        <w:rPr>
          <w:rFonts w:cs="Arial"/>
          <w:szCs w:val="18"/>
        </w:rPr>
        <w:t>level</w:t>
      </w:r>
      <w:proofErr w:type="spellEnd"/>
      <w:r w:rsidRPr="00B84B0C">
        <w:rPr>
          <w:rFonts w:cs="Arial"/>
          <w:szCs w:val="18"/>
        </w:rPr>
        <w:t xml:space="preserve"> </w:t>
      </w:r>
      <w:proofErr w:type="spellStart"/>
      <w:r w:rsidRPr="00B84B0C">
        <w:rPr>
          <w:rFonts w:cs="Arial"/>
          <w:szCs w:val="18"/>
        </w:rPr>
        <w:t>increased</w:t>
      </w:r>
      <w:proofErr w:type="spellEnd"/>
      <w:r w:rsidRPr="00B84B0C">
        <w:rPr>
          <w:rFonts w:cs="Arial"/>
          <w:szCs w:val="18"/>
        </w:rPr>
        <w:t xml:space="preserve"> 102.0 </w:t>
      </w:r>
      <w:proofErr w:type="spellStart"/>
      <w:r w:rsidRPr="00B84B0C">
        <w:rPr>
          <w:rFonts w:cs="Arial"/>
          <w:szCs w:val="18"/>
        </w:rPr>
        <w:t>YoY</w:t>
      </w:r>
      <w:proofErr w:type="spellEnd"/>
      <w:r w:rsidRPr="00B84B0C">
        <w:rPr>
          <w:rFonts w:cs="Arial"/>
          <w:szCs w:val="18"/>
        </w:rPr>
        <w:t xml:space="preserve">, in a </w:t>
      </w:r>
      <w:proofErr w:type="spellStart"/>
      <w:r w:rsidRPr="00B84B0C">
        <w:rPr>
          <w:rFonts w:cs="Arial"/>
          <w:szCs w:val="18"/>
        </w:rPr>
        <w:t>managerial</w:t>
      </w:r>
      <w:proofErr w:type="spellEnd"/>
      <w:r w:rsidRPr="00B84B0C">
        <w:rPr>
          <w:rFonts w:cs="Arial"/>
          <w:szCs w:val="18"/>
        </w:rPr>
        <w:t xml:space="preserve"> </w:t>
      </w:r>
      <w:proofErr w:type="spellStart"/>
      <w:r w:rsidRPr="00B84B0C">
        <w:rPr>
          <w:rFonts w:cs="Arial"/>
          <w:szCs w:val="18"/>
        </w:rPr>
        <w:t>view</w:t>
      </w:r>
      <w:proofErr w:type="spellEnd"/>
      <w:r w:rsidRPr="00B84B0C">
        <w:rPr>
          <w:rFonts w:cs="Arial"/>
          <w:szCs w:val="18"/>
        </w:rPr>
        <w:t xml:space="preserve">. It </w:t>
      </w:r>
      <w:proofErr w:type="spellStart"/>
      <w:r w:rsidRPr="00B84B0C">
        <w:rPr>
          <w:rFonts w:cs="Arial"/>
          <w:szCs w:val="18"/>
        </w:rPr>
        <w:t>is</w:t>
      </w:r>
      <w:proofErr w:type="spellEnd"/>
      <w:r w:rsidRPr="00B84B0C">
        <w:rPr>
          <w:rFonts w:cs="Arial"/>
          <w:szCs w:val="18"/>
        </w:rPr>
        <w:t xml:space="preserve"> </w:t>
      </w:r>
      <w:proofErr w:type="spellStart"/>
      <w:r w:rsidRPr="00B84B0C">
        <w:rPr>
          <w:rFonts w:cs="Arial"/>
          <w:szCs w:val="18"/>
        </w:rPr>
        <w:t>worth</w:t>
      </w:r>
      <w:proofErr w:type="spellEnd"/>
      <w:r w:rsidRPr="00B84B0C">
        <w:rPr>
          <w:rFonts w:cs="Arial"/>
          <w:szCs w:val="18"/>
        </w:rPr>
        <w:t xml:space="preserve"> </w:t>
      </w:r>
      <w:proofErr w:type="spellStart"/>
      <w:r w:rsidRPr="00B84B0C">
        <w:rPr>
          <w:rFonts w:cs="Arial"/>
          <w:szCs w:val="18"/>
        </w:rPr>
        <w:t>noting</w:t>
      </w:r>
      <w:proofErr w:type="spellEnd"/>
      <w:r w:rsidRPr="00B84B0C">
        <w:rPr>
          <w:rFonts w:cs="Arial"/>
          <w:szCs w:val="18"/>
        </w:rPr>
        <w:t xml:space="preserve"> </w:t>
      </w:r>
      <w:proofErr w:type="spellStart"/>
      <w:r w:rsidRPr="00B84B0C">
        <w:rPr>
          <w:rFonts w:cs="Arial"/>
          <w:szCs w:val="18"/>
        </w:rPr>
        <w:t>that</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w:t>
      </w:r>
      <w:proofErr w:type="spellStart"/>
      <w:r w:rsidRPr="00B84B0C">
        <w:rPr>
          <w:rFonts w:cs="Arial"/>
          <w:szCs w:val="18"/>
        </w:rPr>
        <w:t>expenses</w:t>
      </w:r>
      <w:proofErr w:type="spellEnd"/>
      <w:r w:rsidRPr="00B84B0C">
        <w:rPr>
          <w:rFonts w:cs="Arial"/>
          <w:szCs w:val="18"/>
        </w:rPr>
        <w:t xml:space="preserve"> </w:t>
      </w:r>
      <w:proofErr w:type="spellStart"/>
      <w:r w:rsidRPr="00B84B0C">
        <w:rPr>
          <w:rFonts w:cs="Arial"/>
          <w:szCs w:val="18"/>
        </w:rPr>
        <w:t>were</w:t>
      </w:r>
      <w:proofErr w:type="spellEnd"/>
      <w:r w:rsidRPr="00B84B0C">
        <w:rPr>
          <w:rFonts w:cs="Arial"/>
          <w:szCs w:val="18"/>
        </w:rPr>
        <w:t xml:space="preserve"> </w:t>
      </w:r>
      <w:proofErr w:type="spellStart"/>
      <w:r w:rsidRPr="00B84B0C">
        <w:rPr>
          <w:rFonts w:cs="Arial"/>
          <w:szCs w:val="18"/>
        </w:rPr>
        <w:t>positively</w:t>
      </w:r>
      <w:proofErr w:type="spellEnd"/>
      <w:r w:rsidRPr="00B84B0C">
        <w:rPr>
          <w:rFonts w:cs="Arial"/>
          <w:szCs w:val="18"/>
        </w:rPr>
        <w:t xml:space="preserve"> </w:t>
      </w:r>
      <w:proofErr w:type="spellStart"/>
      <w:r w:rsidRPr="00B84B0C">
        <w:rPr>
          <w:rFonts w:cs="Arial"/>
          <w:szCs w:val="18"/>
        </w:rPr>
        <w:t>impacted</w:t>
      </w:r>
      <w:proofErr w:type="spellEnd"/>
      <w:r w:rsidRPr="00B84B0C">
        <w:rPr>
          <w:rFonts w:cs="Arial"/>
          <w:szCs w:val="18"/>
        </w:rPr>
        <w:t xml:space="preserve"> in </w:t>
      </w:r>
      <w:proofErr w:type="spellStart"/>
      <w:r w:rsidRPr="00B84B0C">
        <w:rPr>
          <w:rFonts w:cs="Arial"/>
          <w:szCs w:val="18"/>
        </w:rPr>
        <w:t>the</w:t>
      </w:r>
      <w:proofErr w:type="spellEnd"/>
      <w:r w:rsidRPr="00B84B0C">
        <w:rPr>
          <w:rFonts w:cs="Arial"/>
          <w:szCs w:val="18"/>
        </w:rPr>
        <w:t xml:space="preserve"> 1Q19 </w:t>
      </w:r>
      <w:proofErr w:type="spellStart"/>
      <w:r w:rsidRPr="00B84B0C">
        <w:rPr>
          <w:rFonts w:cs="Arial"/>
          <w:szCs w:val="18"/>
        </w:rPr>
        <w:t>by</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w:t>
      </w:r>
      <w:proofErr w:type="spellStart"/>
      <w:r w:rsidRPr="00B84B0C">
        <w:rPr>
          <w:rFonts w:cs="Arial"/>
          <w:szCs w:val="18"/>
        </w:rPr>
        <w:t>reversal</w:t>
      </w:r>
      <w:proofErr w:type="spellEnd"/>
      <w:r w:rsidRPr="00B84B0C">
        <w:rPr>
          <w:rFonts w:cs="Arial"/>
          <w:szCs w:val="18"/>
        </w:rPr>
        <w:t xml:space="preserve"> </w:t>
      </w:r>
      <w:proofErr w:type="spellStart"/>
      <w:r w:rsidRPr="00B84B0C">
        <w:rPr>
          <w:rFonts w:cs="Arial"/>
          <w:szCs w:val="18"/>
        </w:rPr>
        <w:t>amounting</w:t>
      </w:r>
      <w:proofErr w:type="spellEnd"/>
      <w:r w:rsidRPr="00B84B0C">
        <w:rPr>
          <w:rFonts w:cs="Arial"/>
          <w:szCs w:val="18"/>
        </w:rPr>
        <w:t xml:space="preserve"> </w:t>
      </w:r>
      <w:proofErr w:type="spellStart"/>
      <w:r w:rsidRPr="00B84B0C">
        <w:rPr>
          <w:rFonts w:cs="Arial"/>
          <w:szCs w:val="18"/>
        </w:rPr>
        <w:t>to</w:t>
      </w:r>
      <w:proofErr w:type="spellEnd"/>
      <w:r w:rsidRPr="00B84B0C">
        <w:rPr>
          <w:rFonts w:cs="Arial"/>
          <w:szCs w:val="18"/>
        </w:rPr>
        <w:t xml:space="preserve"> R$1.8 </w:t>
      </w:r>
      <w:proofErr w:type="spellStart"/>
      <w:r w:rsidRPr="00B84B0C">
        <w:rPr>
          <w:rFonts w:cs="Arial"/>
          <w:szCs w:val="18"/>
        </w:rPr>
        <w:t>million</w:t>
      </w:r>
      <w:proofErr w:type="spellEnd"/>
      <w:r w:rsidRPr="00B84B0C">
        <w:rPr>
          <w:rFonts w:cs="Arial"/>
          <w:szCs w:val="18"/>
        </w:rPr>
        <w:t xml:space="preserve"> </w:t>
      </w:r>
      <w:proofErr w:type="spellStart"/>
      <w:r w:rsidRPr="00B84B0C">
        <w:rPr>
          <w:rFonts w:cs="Arial"/>
          <w:szCs w:val="18"/>
        </w:rPr>
        <w:t>of</w:t>
      </w:r>
      <w:proofErr w:type="spellEnd"/>
      <w:r w:rsidRPr="00B84B0C">
        <w:rPr>
          <w:rFonts w:cs="Arial"/>
          <w:szCs w:val="18"/>
        </w:rPr>
        <w:t xml:space="preserve"> </w:t>
      </w:r>
      <w:proofErr w:type="spellStart"/>
      <w:r w:rsidRPr="00B84B0C">
        <w:rPr>
          <w:rFonts w:cs="Arial"/>
          <w:szCs w:val="18"/>
        </w:rPr>
        <w:t>provision</w:t>
      </w:r>
      <w:proofErr w:type="spellEnd"/>
      <w:r w:rsidRPr="00B84B0C">
        <w:rPr>
          <w:rFonts w:cs="Arial"/>
          <w:szCs w:val="18"/>
        </w:rPr>
        <w:t xml:space="preserve"> for </w:t>
      </w:r>
      <w:proofErr w:type="spellStart"/>
      <w:r w:rsidRPr="00B84B0C">
        <w:rPr>
          <w:rFonts w:cs="Arial"/>
          <w:szCs w:val="18"/>
        </w:rPr>
        <w:t>the</w:t>
      </w:r>
      <w:proofErr w:type="spellEnd"/>
      <w:r w:rsidRPr="00B84B0C">
        <w:rPr>
          <w:rFonts w:cs="Arial"/>
          <w:szCs w:val="18"/>
        </w:rPr>
        <w:t xml:space="preserve"> </w:t>
      </w:r>
      <w:proofErr w:type="spellStart"/>
      <w:r w:rsidRPr="00B84B0C">
        <w:rPr>
          <w:rFonts w:cs="Arial"/>
          <w:szCs w:val="18"/>
        </w:rPr>
        <w:t>acquisition</w:t>
      </w:r>
      <w:proofErr w:type="spellEnd"/>
      <w:r w:rsidRPr="00B84B0C">
        <w:rPr>
          <w:rFonts w:cs="Arial"/>
          <w:szCs w:val="18"/>
        </w:rPr>
        <w:t xml:space="preserve"> </w:t>
      </w:r>
      <w:proofErr w:type="spellStart"/>
      <w:r w:rsidRPr="00B84B0C">
        <w:rPr>
          <w:rFonts w:cs="Arial"/>
          <w:szCs w:val="18"/>
        </w:rPr>
        <w:t>of</w:t>
      </w:r>
      <w:proofErr w:type="spellEnd"/>
      <w:r w:rsidRPr="00B84B0C">
        <w:rPr>
          <w:rFonts w:cs="Arial"/>
          <w:szCs w:val="18"/>
        </w:rPr>
        <w:t xml:space="preserve"> stocks </w:t>
      </w:r>
      <w:proofErr w:type="spellStart"/>
      <w:r w:rsidRPr="00B84B0C">
        <w:rPr>
          <w:rFonts w:cs="Arial"/>
          <w:szCs w:val="18"/>
        </w:rPr>
        <w:t>to</w:t>
      </w:r>
      <w:proofErr w:type="spellEnd"/>
      <w:r w:rsidRPr="00B84B0C">
        <w:rPr>
          <w:rFonts w:cs="Arial"/>
          <w:szCs w:val="18"/>
        </w:rPr>
        <w:t xml:space="preserve"> </w:t>
      </w:r>
      <w:proofErr w:type="spellStart"/>
      <w:r w:rsidRPr="00B84B0C">
        <w:rPr>
          <w:rFonts w:cs="Arial"/>
          <w:szCs w:val="18"/>
        </w:rPr>
        <w:t>pay</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w:t>
      </w:r>
      <w:proofErr w:type="spellStart"/>
      <w:r w:rsidRPr="00B84B0C">
        <w:rPr>
          <w:rFonts w:cs="Arial"/>
          <w:szCs w:val="18"/>
        </w:rPr>
        <w:t>deferred</w:t>
      </w:r>
      <w:proofErr w:type="spellEnd"/>
      <w:r w:rsidRPr="00B84B0C">
        <w:rPr>
          <w:rFonts w:cs="Arial"/>
          <w:szCs w:val="18"/>
        </w:rPr>
        <w:t xml:space="preserve"> </w:t>
      </w:r>
      <w:proofErr w:type="spellStart"/>
      <w:r w:rsidRPr="00B84B0C">
        <w:rPr>
          <w:rFonts w:cs="Arial"/>
          <w:szCs w:val="18"/>
        </w:rPr>
        <w:t>installments</w:t>
      </w:r>
      <w:proofErr w:type="spellEnd"/>
      <w:r w:rsidRPr="00B84B0C">
        <w:rPr>
          <w:rFonts w:cs="Arial"/>
          <w:szCs w:val="18"/>
        </w:rPr>
        <w:t xml:space="preserve"> </w:t>
      </w:r>
      <w:proofErr w:type="spellStart"/>
      <w:r w:rsidRPr="00B84B0C">
        <w:rPr>
          <w:rFonts w:cs="Arial"/>
          <w:szCs w:val="18"/>
        </w:rPr>
        <w:t>of</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w:t>
      </w:r>
      <w:proofErr w:type="spellStart"/>
      <w:r w:rsidRPr="00B84B0C">
        <w:rPr>
          <w:rFonts w:cs="Arial"/>
          <w:szCs w:val="18"/>
        </w:rPr>
        <w:t>variable</w:t>
      </w:r>
      <w:proofErr w:type="spellEnd"/>
      <w:r w:rsidRPr="00B84B0C">
        <w:rPr>
          <w:rFonts w:cs="Arial"/>
          <w:szCs w:val="18"/>
        </w:rPr>
        <w:t xml:space="preserve"> </w:t>
      </w:r>
      <w:proofErr w:type="spellStart"/>
      <w:r w:rsidRPr="00B84B0C">
        <w:rPr>
          <w:rFonts w:cs="Arial"/>
          <w:szCs w:val="18"/>
        </w:rPr>
        <w:t>compensation</w:t>
      </w:r>
      <w:proofErr w:type="spellEnd"/>
      <w:r w:rsidRPr="00B84B0C">
        <w:rPr>
          <w:rFonts w:cs="Arial"/>
          <w:szCs w:val="18"/>
        </w:rPr>
        <w:t xml:space="preserve"> </w:t>
      </w:r>
      <w:proofErr w:type="spellStart"/>
      <w:r w:rsidRPr="00B84B0C">
        <w:rPr>
          <w:rFonts w:cs="Arial"/>
          <w:szCs w:val="18"/>
        </w:rPr>
        <w:t>programs</w:t>
      </w:r>
      <w:proofErr w:type="spellEnd"/>
      <w:r w:rsidRPr="00B84B0C">
        <w:rPr>
          <w:rFonts w:cs="Arial"/>
          <w:szCs w:val="18"/>
        </w:rPr>
        <w:t xml:space="preserve"> for </w:t>
      </w:r>
      <w:proofErr w:type="spellStart"/>
      <w:r w:rsidRPr="00B84B0C">
        <w:rPr>
          <w:rFonts w:cs="Arial"/>
          <w:szCs w:val="18"/>
        </w:rPr>
        <w:t>the</w:t>
      </w:r>
      <w:proofErr w:type="spellEnd"/>
      <w:r w:rsidRPr="00B84B0C">
        <w:rPr>
          <w:rFonts w:cs="Arial"/>
          <w:szCs w:val="18"/>
        </w:rPr>
        <w:t xml:space="preserve"> board </w:t>
      </w:r>
      <w:proofErr w:type="spellStart"/>
      <w:r w:rsidRPr="00B84B0C">
        <w:rPr>
          <w:rFonts w:cs="Arial"/>
          <w:szCs w:val="18"/>
        </w:rPr>
        <w:t>of</w:t>
      </w:r>
      <w:proofErr w:type="spellEnd"/>
      <w:r w:rsidRPr="00B84B0C">
        <w:rPr>
          <w:rFonts w:cs="Arial"/>
          <w:szCs w:val="18"/>
        </w:rPr>
        <w:t xml:space="preserve"> </w:t>
      </w:r>
      <w:proofErr w:type="spellStart"/>
      <w:r w:rsidRPr="00B84B0C">
        <w:rPr>
          <w:rFonts w:cs="Arial"/>
          <w:szCs w:val="18"/>
        </w:rPr>
        <w:t>executive</w:t>
      </w:r>
      <w:proofErr w:type="spellEnd"/>
      <w:r w:rsidRPr="00B84B0C">
        <w:rPr>
          <w:rFonts w:cs="Arial"/>
          <w:szCs w:val="18"/>
        </w:rPr>
        <w:t xml:space="preserve"> </w:t>
      </w:r>
      <w:proofErr w:type="spellStart"/>
      <w:r w:rsidRPr="00B84B0C">
        <w:rPr>
          <w:rFonts w:cs="Arial"/>
          <w:szCs w:val="18"/>
        </w:rPr>
        <w:t>officers</w:t>
      </w:r>
      <w:proofErr w:type="spellEnd"/>
      <w:r w:rsidRPr="00B84B0C">
        <w:rPr>
          <w:rFonts w:cs="Arial"/>
          <w:szCs w:val="18"/>
        </w:rPr>
        <w:t xml:space="preserve"> </w:t>
      </w:r>
      <w:proofErr w:type="spellStart"/>
      <w:r w:rsidRPr="00B84B0C">
        <w:rPr>
          <w:rFonts w:cs="Arial"/>
          <w:szCs w:val="18"/>
        </w:rPr>
        <w:t>of</w:t>
      </w:r>
      <w:proofErr w:type="spellEnd"/>
      <w:r w:rsidRPr="00B84B0C">
        <w:rPr>
          <w:rFonts w:cs="Arial"/>
          <w:szCs w:val="18"/>
        </w:rPr>
        <w:t xml:space="preserve"> 2014 </w:t>
      </w:r>
      <w:proofErr w:type="spellStart"/>
      <w:r w:rsidRPr="00B84B0C">
        <w:rPr>
          <w:rFonts w:cs="Arial"/>
          <w:szCs w:val="18"/>
        </w:rPr>
        <w:t>and</w:t>
      </w:r>
      <w:proofErr w:type="spellEnd"/>
      <w:r w:rsidRPr="00B84B0C">
        <w:rPr>
          <w:rFonts w:cs="Arial"/>
          <w:szCs w:val="18"/>
        </w:rPr>
        <w:t xml:space="preserve"> 2015 fiscal </w:t>
      </w:r>
      <w:proofErr w:type="spellStart"/>
      <w:r w:rsidRPr="00B84B0C">
        <w:rPr>
          <w:rFonts w:cs="Arial"/>
          <w:szCs w:val="18"/>
        </w:rPr>
        <w:t>years</w:t>
      </w:r>
      <w:proofErr w:type="spellEnd"/>
      <w:r w:rsidRPr="00B84B0C">
        <w:rPr>
          <w:rFonts w:cs="Arial"/>
          <w:szCs w:val="18"/>
        </w:rPr>
        <w:t xml:space="preserve">, </w:t>
      </w:r>
      <w:proofErr w:type="spellStart"/>
      <w:r w:rsidRPr="00B84B0C">
        <w:rPr>
          <w:rFonts w:cs="Arial"/>
          <w:szCs w:val="18"/>
        </w:rPr>
        <w:t>considering</w:t>
      </w:r>
      <w:proofErr w:type="spellEnd"/>
      <w:r w:rsidRPr="00B84B0C">
        <w:rPr>
          <w:rFonts w:cs="Arial"/>
          <w:szCs w:val="18"/>
        </w:rPr>
        <w:t xml:space="preserve"> </w:t>
      </w:r>
      <w:proofErr w:type="spellStart"/>
      <w:r w:rsidRPr="00B84B0C">
        <w:rPr>
          <w:rFonts w:cs="Arial"/>
          <w:szCs w:val="18"/>
        </w:rPr>
        <w:t>that</w:t>
      </w:r>
      <w:proofErr w:type="spellEnd"/>
      <w:r w:rsidRPr="00B84B0C">
        <w:rPr>
          <w:rFonts w:cs="Arial"/>
          <w:szCs w:val="18"/>
        </w:rPr>
        <w:t xml:space="preserve"> </w:t>
      </w:r>
      <w:proofErr w:type="spellStart"/>
      <w:r w:rsidRPr="00B84B0C">
        <w:rPr>
          <w:rFonts w:cs="Arial"/>
          <w:szCs w:val="18"/>
        </w:rPr>
        <w:t>those</w:t>
      </w:r>
      <w:proofErr w:type="spellEnd"/>
      <w:r w:rsidRPr="00B84B0C">
        <w:rPr>
          <w:rFonts w:cs="Arial"/>
          <w:szCs w:val="18"/>
        </w:rPr>
        <w:t xml:space="preserve"> </w:t>
      </w:r>
      <w:proofErr w:type="spellStart"/>
      <w:r w:rsidRPr="00B84B0C">
        <w:rPr>
          <w:rFonts w:cs="Arial"/>
          <w:szCs w:val="18"/>
        </w:rPr>
        <w:t>programs</w:t>
      </w:r>
      <w:proofErr w:type="spellEnd"/>
      <w:r w:rsidRPr="00B84B0C">
        <w:rPr>
          <w:rFonts w:cs="Arial"/>
          <w:szCs w:val="18"/>
        </w:rPr>
        <w:t xml:space="preserve"> </w:t>
      </w:r>
      <w:proofErr w:type="spellStart"/>
      <w:r w:rsidRPr="00B84B0C">
        <w:rPr>
          <w:rFonts w:cs="Arial"/>
          <w:szCs w:val="18"/>
        </w:rPr>
        <w:t>were</w:t>
      </w:r>
      <w:proofErr w:type="spellEnd"/>
      <w:r w:rsidRPr="00B84B0C">
        <w:rPr>
          <w:rFonts w:cs="Arial"/>
          <w:szCs w:val="18"/>
        </w:rPr>
        <w:t xml:space="preserve"> </w:t>
      </w:r>
      <w:proofErr w:type="spellStart"/>
      <w:r w:rsidRPr="00B84B0C">
        <w:rPr>
          <w:rFonts w:cs="Arial"/>
          <w:szCs w:val="18"/>
        </w:rPr>
        <w:t>finished</w:t>
      </w:r>
      <w:proofErr w:type="spellEnd"/>
      <w:r w:rsidRPr="00B84B0C">
        <w:rPr>
          <w:rFonts w:cs="Arial"/>
          <w:szCs w:val="18"/>
        </w:rPr>
        <w:t xml:space="preserve"> in </w:t>
      </w:r>
      <w:proofErr w:type="spellStart"/>
      <w:r w:rsidRPr="00B84B0C">
        <w:rPr>
          <w:rFonts w:cs="Arial"/>
          <w:szCs w:val="18"/>
        </w:rPr>
        <w:t>the</w:t>
      </w:r>
      <w:proofErr w:type="spellEnd"/>
      <w:r w:rsidRPr="00B84B0C">
        <w:rPr>
          <w:rFonts w:cs="Arial"/>
          <w:szCs w:val="18"/>
        </w:rPr>
        <w:t xml:space="preserve"> 1Q19.</w:t>
      </w:r>
    </w:p>
    <w:p w14:paraId="155FFFB2" w14:textId="77777777" w:rsidR="00237ECE" w:rsidRPr="00B84B0C" w:rsidRDefault="00237ECE" w:rsidP="00237ECE">
      <w:pPr>
        <w:jc w:val="both"/>
        <w:rPr>
          <w:rFonts w:cs="Arial"/>
          <w:szCs w:val="18"/>
        </w:rPr>
      </w:pPr>
      <w:r w:rsidRPr="00B84B0C">
        <w:rPr>
          <w:rFonts w:cs="Arial"/>
          <w:szCs w:val="18"/>
        </w:rPr>
        <w:t xml:space="preserve">Setting apart </w:t>
      </w:r>
      <w:proofErr w:type="spellStart"/>
      <w:r w:rsidRPr="00B84B0C">
        <w:rPr>
          <w:rFonts w:cs="Arial"/>
          <w:szCs w:val="18"/>
        </w:rPr>
        <w:t>the</w:t>
      </w:r>
      <w:proofErr w:type="spellEnd"/>
      <w:r w:rsidRPr="00B84B0C">
        <w:rPr>
          <w:rFonts w:cs="Arial"/>
          <w:szCs w:val="18"/>
        </w:rPr>
        <w:t xml:space="preserve"> </w:t>
      </w:r>
      <w:proofErr w:type="spellStart"/>
      <w:r w:rsidRPr="00B84B0C">
        <w:rPr>
          <w:rFonts w:cs="Arial"/>
          <w:szCs w:val="18"/>
        </w:rPr>
        <w:t>aforementioned</w:t>
      </w:r>
      <w:proofErr w:type="spellEnd"/>
      <w:r w:rsidRPr="00B84B0C">
        <w:rPr>
          <w:rFonts w:cs="Arial"/>
          <w:szCs w:val="18"/>
        </w:rPr>
        <w:t xml:space="preserve"> </w:t>
      </w:r>
      <w:proofErr w:type="spellStart"/>
      <w:r w:rsidRPr="00B84B0C">
        <w:rPr>
          <w:rFonts w:cs="Arial"/>
          <w:szCs w:val="18"/>
        </w:rPr>
        <w:t>effect</w:t>
      </w:r>
      <w:proofErr w:type="spellEnd"/>
      <w:r w:rsidRPr="00B84B0C">
        <w:rPr>
          <w:rFonts w:cs="Arial"/>
          <w:szCs w:val="18"/>
        </w:rPr>
        <w:t xml:space="preserve"> </w:t>
      </w:r>
      <w:proofErr w:type="spellStart"/>
      <w:r w:rsidRPr="00B84B0C">
        <w:rPr>
          <w:rFonts w:cs="Arial"/>
          <w:szCs w:val="18"/>
        </w:rPr>
        <w:t>from</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1Q19 </w:t>
      </w:r>
      <w:proofErr w:type="spellStart"/>
      <w:r w:rsidRPr="00B84B0C">
        <w:rPr>
          <w:rFonts w:cs="Arial"/>
          <w:szCs w:val="18"/>
        </w:rPr>
        <w:t>number</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G&amp;A </w:t>
      </w:r>
      <w:proofErr w:type="spellStart"/>
      <w:r w:rsidRPr="00B84B0C">
        <w:rPr>
          <w:rFonts w:cs="Arial"/>
          <w:szCs w:val="18"/>
        </w:rPr>
        <w:t>at</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holding </w:t>
      </w:r>
      <w:proofErr w:type="spellStart"/>
      <w:r w:rsidRPr="00B84B0C">
        <w:rPr>
          <w:rFonts w:cs="Arial"/>
          <w:szCs w:val="18"/>
        </w:rPr>
        <w:t>level</w:t>
      </w:r>
      <w:proofErr w:type="spellEnd"/>
      <w:r w:rsidRPr="00B84B0C">
        <w:rPr>
          <w:rFonts w:cs="Arial"/>
          <w:szCs w:val="18"/>
        </w:rPr>
        <w:t xml:space="preserve"> </w:t>
      </w:r>
      <w:proofErr w:type="spellStart"/>
      <w:r w:rsidRPr="00B84B0C">
        <w:rPr>
          <w:rFonts w:cs="Arial"/>
          <w:szCs w:val="18"/>
        </w:rPr>
        <w:t>would</w:t>
      </w:r>
      <w:proofErr w:type="spellEnd"/>
      <w:r w:rsidRPr="00B84B0C">
        <w:rPr>
          <w:rFonts w:cs="Arial"/>
          <w:szCs w:val="18"/>
        </w:rPr>
        <w:t xml:space="preserve"> </w:t>
      </w:r>
      <w:proofErr w:type="spellStart"/>
      <w:r w:rsidRPr="00B84B0C">
        <w:rPr>
          <w:rFonts w:cs="Arial"/>
          <w:szCs w:val="18"/>
        </w:rPr>
        <w:t>have</w:t>
      </w:r>
      <w:proofErr w:type="spellEnd"/>
      <w:r w:rsidRPr="00B84B0C">
        <w:rPr>
          <w:rFonts w:cs="Arial"/>
          <w:szCs w:val="18"/>
        </w:rPr>
        <w:t xml:space="preserve"> </w:t>
      </w:r>
      <w:proofErr w:type="spellStart"/>
      <w:r w:rsidRPr="00B84B0C">
        <w:rPr>
          <w:rFonts w:cs="Arial"/>
          <w:szCs w:val="18"/>
        </w:rPr>
        <w:t>grown</w:t>
      </w:r>
      <w:proofErr w:type="spellEnd"/>
      <w:r w:rsidRPr="00B84B0C">
        <w:rPr>
          <w:rFonts w:cs="Arial"/>
          <w:szCs w:val="18"/>
        </w:rPr>
        <w:t xml:space="preserve"> 30.9% </w:t>
      </w:r>
      <w:proofErr w:type="spellStart"/>
      <w:r w:rsidRPr="00B84B0C">
        <w:rPr>
          <w:rFonts w:cs="Arial"/>
          <w:szCs w:val="18"/>
        </w:rPr>
        <w:t>YoY</w:t>
      </w:r>
      <w:proofErr w:type="spellEnd"/>
      <w:r w:rsidRPr="00B84B0C">
        <w:rPr>
          <w:rFonts w:cs="Arial"/>
          <w:szCs w:val="18"/>
        </w:rPr>
        <w:t xml:space="preserve">, </w:t>
      </w:r>
      <w:proofErr w:type="spellStart"/>
      <w:r w:rsidRPr="00B84B0C">
        <w:rPr>
          <w:rFonts w:cs="Arial"/>
          <w:szCs w:val="18"/>
        </w:rPr>
        <w:t>explained</w:t>
      </w:r>
      <w:proofErr w:type="spellEnd"/>
      <w:r w:rsidRPr="00B84B0C">
        <w:rPr>
          <w:rFonts w:cs="Arial"/>
          <w:szCs w:val="18"/>
        </w:rPr>
        <w:t xml:space="preserve"> </w:t>
      </w:r>
      <w:proofErr w:type="spellStart"/>
      <w:r w:rsidRPr="00B84B0C">
        <w:rPr>
          <w:rFonts w:cs="Arial"/>
          <w:szCs w:val="18"/>
        </w:rPr>
        <w:t>by</w:t>
      </w:r>
      <w:proofErr w:type="spellEnd"/>
      <w:r w:rsidRPr="00B84B0C">
        <w:rPr>
          <w:rFonts w:cs="Arial"/>
          <w:szCs w:val="18"/>
        </w:rPr>
        <w:t xml:space="preserve">: </w:t>
      </w:r>
    </w:p>
    <w:p w14:paraId="1EE0FE46" w14:textId="77777777" w:rsidR="00237ECE" w:rsidRPr="00B84B0C" w:rsidRDefault="00237ECE" w:rsidP="00237ECE">
      <w:pPr>
        <w:pStyle w:val="PargrafodaLista"/>
        <w:numPr>
          <w:ilvl w:val="0"/>
          <w:numId w:val="40"/>
        </w:numPr>
        <w:jc w:val="both"/>
        <w:rPr>
          <w:rFonts w:ascii="Arial" w:hAnsi="Arial" w:cs="Arial"/>
          <w:sz w:val="18"/>
          <w:szCs w:val="18"/>
        </w:rPr>
      </w:pP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increase</w:t>
      </w:r>
      <w:proofErr w:type="spellEnd"/>
      <w:r w:rsidRPr="00B84B0C">
        <w:rPr>
          <w:rFonts w:ascii="Arial" w:hAnsi="Arial" w:cs="Arial"/>
          <w:sz w:val="18"/>
          <w:szCs w:val="18"/>
        </w:rPr>
        <w:t xml:space="preserve"> in </w:t>
      </w:r>
      <w:proofErr w:type="spellStart"/>
      <w:r w:rsidRPr="00B84B0C">
        <w:rPr>
          <w:rFonts w:ascii="Arial" w:hAnsi="Arial" w:cs="Arial"/>
          <w:sz w:val="18"/>
          <w:szCs w:val="18"/>
        </w:rPr>
        <w:t>tax</w:t>
      </w:r>
      <w:proofErr w:type="spellEnd"/>
      <w:r w:rsidRPr="00B84B0C">
        <w:rPr>
          <w:rFonts w:ascii="Arial" w:hAnsi="Arial" w:cs="Arial"/>
          <w:sz w:val="18"/>
          <w:szCs w:val="18"/>
        </w:rPr>
        <w:t xml:space="preserve"> </w:t>
      </w:r>
      <w:proofErr w:type="spellStart"/>
      <w:r w:rsidRPr="00B84B0C">
        <w:rPr>
          <w:rFonts w:ascii="Arial" w:hAnsi="Arial" w:cs="Arial"/>
          <w:sz w:val="18"/>
          <w:szCs w:val="18"/>
        </w:rPr>
        <w:t>expenses</w:t>
      </w:r>
      <w:proofErr w:type="spellEnd"/>
      <w:r w:rsidRPr="00B84B0C">
        <w:rPr>
          <w:rFonts w:ascii="Arial" w:hAnsi="Arial" w:cs="Arial"/>
          <w:sz w:val="18"/>
          <w:szCs w:val="18"/>
        </w:rPr>
        <w:t xml:space="preserve"> </w:t>
      </w:r>
      <w:proofErr w:type="spellStart"/>
      <w:r w:rsidRPr="00B84B0C">
        <w:rPr>
          <w:rFonts w:ascii="Arial" w:hAnsi="Arial" w:cs="Arial"/>
          <w:sz w:val="18"/>
          <w:szCs w:val="18"/>
        </w:rPr>
        <w:t>on</w:t>
      </w:r>
      <w:proofErr w:type="spellEnd"/>
      <w:r w:rsidRPr="00B84B0C">
        <w:rPr>
          <w:rFonts w:ascii="Arial" w:hAnsi="Arial" w:cs="Arial"/>
          <w:sz w:val="18"/>
          <w:szCs w:val="18"/>
        </w:rPr>
        <w:t xml:space="preserve"> financial income, </w:t>
      </w:r>
      <w:proofErr w:type="spellStart"/>
      <w:r w:rsidRPr="00B84B0C">
        <w:rPr>
          <w:rFonts w:ascii="Arial" w:hAnsi="Arial" w:cs="Arial"/>
          <w:sz w:val="18"/>
          <w:szCs w:val="18"/>
        </w:rPr>
        <w:t>given</w:t>
      </w:r>
      <w:proofErr w:type="spellEnd"/>
      <w:r w:rsidRPr="00B84B0C">
        <w:rPr>
          <w:rFonts w:ascii="Arial" w:hAnsi="Arial" w:cs="Arial"/>
          <w:sz w:val="18"/>
          <w:szCs w:val="18"/>
        </w:rPr>
        <w:t xml:space="preserve"> </w:t>
      </w: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retention</w:t>
      </w:r>
      <w:proofErr w:type="spellEnd"/>
      <w:r w:rsidRPr="00B84B0C">
        <w:rPr>
          <w:rFonts w:ascii="Arial" w:hAnsi="Arial" w:cs="Arial"/>
          <w:sz w:val="18"/>
          <w:szCs w:val="18"/>
        </w:rPr>
        <w:t xml:space="preserve"> in financial </w:t>
      </w:r>
      <w:proofErr w:type="spellStart"/>
      <w:r w:rsidRPr="00B84B0C">
        <w:rPr>
          <w:rFonts w:ascii="Arial" w:hAnsi="Arial" w:cs="Arial"/>
          <w:sz w:val="18"/>
          <w:szCs w:val="18"/>
        </w:rPr>
        <w:t>investments</w:t>
      </w:r>
      <w:proofErr w:type="spellEnd"/>
      <w:r w:rsidRPr="00B84B0C">
        <w:rPr>
          <w:rFonts w:ascii="Arial" w:hAnsi="Arial" w:cs="Arial"/>
          <w:sz w:val="18"/>
          <w:szCs w:val="18"/>
        </w:rPr>
        <w:t xml:space="preserve"> </w:t>
      </w:r>
      <w:proofErr w:type="spellStart"/>
      <w:r w:rsidRPr="00B84B0C">
        <w:rPr>
          <w:rFonts w:ascii="Arial" w:hAnsi="Arial" w:cs="Arial"/>
          <w:sz w:val="18"/>
          <w:szCs w:val="18"/>
        </w:rPr>
        <w:t>of</w:t>
      </w:r>
      <w:proofErr w:type="spellEnd"/>
      <w:r w:rsidRPr="00B84B0C">
        <w:rPr>
          <w:rFonts w:ascii="Arial" w:hAnsi="Arial" w:cs="Arial"/>
          <w:sz w:val="18"/>
          <w:szCs w:val="18"/>
        </w:rPr>
        <w:t xml:space="preserve"> </w:t>
      </w: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proceeds</w:t>
      </w:r>
      <w:proofErr w:type="spellEnd"/>
      <w:r w:rsidRPr="00B84B0C">
        <w:rPr>
          <w:rFonts w:ascii="Arial" w:hAnsi="Arial" w:cs="Arial"/>
          <w:sz w:val="18"/>
          <w:szCs w:val="18"/>
        </w:rPr>
        <w:t xml:space="preserve"> </w:t>
      </w:r>
      <w:proofErr w:type="spellStart"/>
      <w:r w:rsidRPr="00B84B0C">
        <w:rPr>
          <w:rFonts w:ascii="Arial" w:hAnsi="Arial" w:cs="Arial"/>
          <w:sz w:val="18"/>
          <w:szCs w:val="18"/>
        </w:rPr>
        <w:t>from</w:t>
      </w:r>
      <w:proofErr w:type="spellEnd"/>
      <w:r w:rsidRPr="00B84B0C">
        <w:rPr>
          <w:rFonts w:ascii="Arial" w:hAnsi="Arial" w:cs="Arial"/>
          <w:sz w:val="18"/>
          <w:szCs w:val="18"/>
        </w:rPr>
        <w:t xml:space="preserve"> </w:t>
      </w: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disposal</w:t>
      </w:r>
      <w:proofErr w:type="spellEnd"/>
      <w:r w:rsidRPr="00B84B0C">
        <w:rPr>
          <w:rFonts w:ascii="Arial" w:hAnsi="Arial" w:cs="Arial"/>
          <w:sz w:val="18"/>
          <w:szCs w:val="18"/>
        </w:rPr>
        <w:t xml:space="preserve"> </w:t>
      </w:r>
      <w:proofErr w:type="spellStart"/>
      <w:r w:rsidRPr="00B84B0C">
        <w:rPr>
          <w:rFonts w:ascii="Arial" w:hAnsi="Arial" w:cs="Arial"/>
          <w:sz w:val="18"/>
          <w:szCs w:val="18"/>
        </w:rPr>
        <w:t>of</w:t>
      </w:r>
      <w:proofErr w:type="spellEnd"/>
      <w:r w:rsidRPr="00B84B0C">
        <w:rPr>
          <w:rFonts w:ascii="Arial" w:hAnsi="Arial" w:cs="Arial"/>
          <w:sz w:val="18"/>
          <w:szCs w:val="18"/>
        </w:rPr>
        <w:t xml:space="preserve"> IRB Brasil </w:t>
      </w:r>
      <w:proofErr w:type="spellStart"/>
      <w:r w:rsidRPr="00B84B0C">
        <w:rPr>
          <w:rFonts w:ascii="Arial" w:hAnsi="Arial" w:cs="Arial"/>
          <w:sz w:val="18"/>
          <w:szCs w:val="18"/>
        </w:rPr>
        <w:t>RE’s</w:t>
      </w:r>
      <w:proofErr w:type="spellEnd"/>
      <w:r w:rsidRPr="00B84B0C">
        <w:rPr>
          <w:rFonts w:ascii="Arial" w:hAnsi="Arial" w:cs="Arial"/>
          <w:sz w:val="18"/>
          <w:szCs w:val="18"/>
        </w:rPr>
        <w:t xml:space="preserve"> </w:t>
      </w:r>
      <w:proofErr w:type="spellStart"/>
      <w:r w:rsidRPr="00B84B0C">
        <w:rPr>
          <w:rFonts w:ascii="Arial" w:hAnsi="Arial" w:cs="Arial"/>
          <w:sz w:val="18"/>
          <w:szCs w:val="18"/>
        </w:rPr>
        <w:t>shares</w:t>
      </w:r>
      <w:proofErr w:type="spellEnd"/>
      <w:r w:rsidRPr="00B84B0C">
        <w:rPr>
          <w:rFonts w:ascii="Arial" w:hAnsi="Arial" w:cs="Arial"/>
          <w:sz w:val="18"/>
          <w:szCs w:val="18"/>
        </w:rPr>
        <w:t>;</w:t>
      </w:r>
    </w:p>
    <w:p w14:paraId="38877628" w14:textId="77777777" w:rsidR="00237ECE" w:rsidRPr="00B84B0C" w:rsidRDefault="00237ECE" w:rsidP="00237ECE">
      <w:pPr>
        <w:pStyle w:val="PargrafodaLista"/>
        <w:numPr>
          <w:ilvl w:val="0"/>
          <w:numId w:val="40"/>
        </w:numPr>
        <w:jc w:val="both"/>
        <w:rPr>
          <w:rFonts w:ascii="Arial" w:hAnsi="Arial" w:cs="Arial"/>
          <w:sz w:val="18"/>
          <w:szCs w:val="18"/>
        </w:rPr>
      </w:pP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growth</w:t>
      </w:r>
      <w:proofErr w:type="spellEnd"/>
      <w:r w:rsidRPr="00B84B0C">
        <w:rPr>
          <w:rFonts w:ascii="Arial" w:hAnsi="Arial" w:cs="Arial"/>
          <w:sz w:val="18"/>
          <w:szCs w:val="18"/>
        </w:rPr>
        <w:t xml:space="preserve"> </w:t>
      </w:r>
      <w:proofErr w:type="spellStart"/>
      <w:r w:rsidRPr="00B84B0C">
        <w:rPr>
          <w:rFonts w:ascii="Arial" w:hAnsi="Arial" w:cs="Arial"/>
          <w:sz w:val="18"/>
          <w:szCs w:val="18"/>
        </w:rPr>
        <w:t>of</w:t>
      </w:r>
      <w:proofErr w:type="spellEnd"/>
      <w:r w:rsidRPr="00B84B0C">
        <w:rPr>
          <w:rFonts w:ascii="Arial" w:hAnsi="Arial" w:cs="Arial"/>
          <w:sz w:val="18"/>
          <w:szCs w:val="18"/>
        </w:rPr>
        <w:t xml:space="preserve"> </w:t>
      </w:r>
      <w:proofErr w:type="spellStart"/>
      <w:r w:rsidRPr="00B84B0C">
        <w:rPr>
          <w:rFonts w:ascii="Arial" w:hAnsi="Arial" w:cs="Arial"/>
          <w:sz w:val="18"/>
          <w:szCs w:val="18"/>
        </w:rPr>
        <w:t>personnel</w:t>
      </w:r>
      <w:proofErr w:type="spellEnd"/>
      <w:r w:rsidRPr="00B84B0C">
        <w:rPr>
          <w:rFonts w:ascii="Arial" w:hAnsi="Arial" w:cs="Arial"/>
          <w:sz w:val="18"/>
          <w:szCs w:val="18"/>
        </w:rPr>
        <w:t xml:space="preserve"> </w:t>
      </w:r>
      <w:proofErr w:type="spellStart"/>
      <w:r w:rsidRPr="00B84B0C">
        <w:rPr>
          <w:rFonts w:ascii="Arial" w:hAnsi="Arial" w:cs="Arial"/>
          <w:sz w:val="18"/>
          <w:szCs w:val="18"/>
        </w:rPr>
        <w:t>expenses</w:t>
      </w:r>
      <w:proofErr w:type="spellEnd"/>
      <w:r w:rsidRPr="00B84B0C">
        <w:rPr>
          <w:rFonts w:ascii="Arial" w:hAnsi="Arial" w:cs="Arial"/>
          <w:sz w:val="18"/>
          <w:szCs w:val="18"/>
        </w:rPr>
        <w:t xml:space="preserve">, </w:t>
      </w:r>
      <w:proofErr w:type="spellStart"/>
      <w:r w:rsidRPr="00B84B0C">
        <w:rPr>
          <w:rFonts w:ascii="Arial" w:hAnsi="Arial" w:cs="Arial"/>
          <w:sz w:val="18"/>
          <w:szCs w:val="18"/>
        </w:rPr>
        <w:t>driven</w:t>
      </w:r>
      <w:proofErr w:type="spellEnd"/>
      <w:r w:rsidRPr="00B84B0C">
        <w:rPr>
          <w:rFonts w:ascii="Arial" w:hAnsi="Arial" w:cs="Arial"/>
          <w:sz w:val="18"/>
          <w:szCs w:val="18"/>
        </w:rPr>
        <w:t xml:space="preserve"> </w:t>
      </w:r>
      <w:proofErr w:type="spellStart"/>
      <w:r w:rsidRPr="00B84B0C">
        <w:rPr>
          <w:rFonts w:ascii="Arial" w:hAnsi="Arial" w:cs="Arial"/>
          <w:sz w:val="18"/>
          <w:szCs w:val="18"/>
        </w:rPr>
        <w:t>by</w:t>
      </w:r>
      <w:proofErr w:type="spellEnd"/>
      <w:r w:rsidRPr="00B84B0C">
        <w:rPr>
          <w:rFonts w:ascii="Arial" w:hAnsi="Arial" w:cs="Arial"/>
          <w:sz w:val="18"/>
          <w:szCs w:val="18"/>
        </w:rPr>
        <w:t xml:space="preserve"> </w:t>
      </w: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addition</w:t>
      </w:r>
      <w:proofErr w:type="spellEnd"/>
      <w:r w:rsidRPr="00B84B0C">
        <w:rPr>
          <w:rFonts w:ascii="Arial" w:hAnsi="Arial" w:cs="Arial"/>
          <w:sz w:val="18"/>
          <w:szCs w:val="18"/>
        </w:rPr>
        <w:t xml:space="preserve"> </w:t>
      </w:r>
      <w:proofErr w:type="spellStart"/>
      <w:r w:rsidRPr="00B84B0C">
        <w:rPr>
          <w:rFonts w:ascii="Arial" w:hAnsi="Arial" w:cs="Arial"/>
          <w:sz w:val="18"/>
          <w:szCs w:val="18"/>
        </w:rPr>
        <w:t>of</w:t>
      </w:r>
      <w:proofErr w:type="spellEnd"/>
      <w:r w:rsidRPr="00B84B0C">
        <w:rPr>
          <w:rFonts w:ascii="Arial" w:hAnsi="Arial" w:cs="Arial"/>
          <w:sz w:val="18"/>
          <w:szCs w:val="18"/>
        </w:rPr>
        <w:t xml:space="preserve"> </w:t>
      </w:r>
      <w:proofErr w:type="spellStart"/>
      <w:r w:rsidRPr="00B84B0C">
        <w:rPr>
          <w:rFonts w:ascii="Arial" w:hAnsi="Arial" w:cs="Arial"/>
          <w:sz w:val="18"/>
          <w:szCs w:val="18"/>
        </w:rPr>
        <w:t>fourteen</w:t>
      </w:r>
      <w:proofErr w:type="spellEnd"/>
      <w:r w:rsidRPr="00B84B0C">
        <w:rPr>
          <w:rFonts w:ascii="Arial" w:hAnsi="Arial" w:cs="Arial"/>
          <w:sz w:val="18"/>
          <w:szCs w:val="18"/>
        </w:rPr>
        <w:t xml:space="preserve"> </w:t>
      </w:r>
      <w:proofErr w:type="spellStart"/>
      <w:r w:rsidRPr="00B84B0C">
        <w:rPr>
          <w:rFonts w:ascii="Arial" w:hAnsi="Arial" w:cs="Arial"/>
          <w:sz w:val="18"/>
          <w:szCs w:val="18"/>
        </w:rPr>
        <w:t>people</w:t>
      </w:r>
      <w:proofErr w:type="spellEnd"/>
      <w:r w:rsidRPr="00B84B0C">
        <w:rPr>
          <w:rFonts w:ascii="Arial" w:hAnsi="Arial" w:cs="Arial"/>
          <w:sz w:val="18"/>
          <w:szCs w:val="18"/>
        </w:rPr>
        <w:t xml:space="preserve"> </w:t>
      </w:r>
      <w:proofErr w:type="spellStart"/>
      <w:r w:rsidRPr="00B84B0C">
        <w:rPr>
          <w:rFonts w:ascii="Arial" w:hAnsi="Arial" w:cs="Arial"/>
          <w:sz w:val="18"/>
          <w:szCs w:val="18"/>
        </w:rPr>
        <w:t>to</w:t>
      </w:r>
      <w:proofErr w:type="spellEnd"/>
      <w:r w:rsidRPr="00B84B0C">
        <w:rPr>
          <w:rFonts w:ascii="Arial" w:hAnsi="Arial" w:cs="Arial"/>
          <w:sz w:val="18"/>
          <w:szCs w:val="18"/>
        </w:rPr>
        <w:t xml:space="preserve"> </w:t>
      </w: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headcount</w:t>
      </w:r>
      <w:proofErr w:type="spellEnd"/>
      <w:r w:rsidRPr="00B84B0C">
        <w:rPr>
          <w:rFonts w:ascii="Arial" w:hAnsi="Arial" w:cs="Arial"/>
          <w:sz w:val="18"/>
          <w:szCs w:val="18"/>
        </w:rPr>
        <w:t xml:space="preserve">, </w:t>
      </w:r>
      <w:proofErr w:type="spellStart"/>
      <w:r w:rsidRPr="00B84B0C">
        <w:rPr>
          <w:rFonts w:ascii="Arial" w:hAnsi="Arial" w:cs="Arial"/>
          <w:sz w:val="18"/>
          <w:szCs w:val="18"/>
        </w:rPr>
        <w:t>focused</w:t>
      </w:r>
      <w:proofErr w:type="spellEnd"/>
      <w:r w:rsidRPr="00B84B0C">
        <w:rPr>
          <w:rFonts w:ascii="Arial" w:hAnsi="Arial" w:cs="Arial"/>
          <w:sz w:val="18"/>
          <w:szCs w:val="18"/>
        </w:rPr>
        <w:t xml:space="preserve"> </w:t>
      </w:r>
      <w:proofErr w:type="spellStart"/>
      <w:r w:rsidRPr="00B84B0C">
        <w:rPr>
          <w:rFonts w:ascii="Arial" w:hAnsi="Arial" w:cs="Arial"/>
          <w:sz w:val="18"/>
          <w:szCs w:val="18"/>
        </w:rPr>
        <w:t>on</w:t>
      </w:r>
      <w:proofErr w:type="spellEnd"/>
      <w:r w:rsidRPr="00B84B0C">
        <w:rPr>
          <w:rFonts w:ascii="Arial" w:hAnsi="Arial" w:cs="Arial"/>
          <w:sz w:val="18"/>
          <w:szCs w:val="18"/>
        </w:rPr>
        <w:t xml:space="preserve"> data </w:t>
      </w:r>
      <w:proofErr w:type="spellStart"/>
      <w:r w:rsidRPr="00B84B0C">
        <w:rPr>
          <w:rFonts w:ascii="Arial" w:hAnsi="Arial" w:cs="Arial"/>
          <w:sz w:val="18"/>
          <w:szCs w:val="18"/>
        </w:rPr>
        <w:t>analytics</w:t>
      </w:r>
      <w:proofErr w:type="spellEnd"/>
      <w:r w:rsidRPr="00B84B0C">
        <w:rPr>
          <w:rFonts w:ascii="Arial" w:hAnsi="Arial" w:cs="Arial"/>
          <w:sz w:val="18"/>
          <w:szCs w:val="18"/>
        </w:rPr>
        <w:t xml:space="preserve"> </w:t>
      </w:r>
      <w:proofErr w:type="spellStart"/>
      <w:r w:rsidRPr="00B84B0C">
        <w:rPr>
          <w:rFonts w:ascii="Arial" w:hAnsi="Arial" w:cs="Arial"/>
          <w:sz w:val="18"/>
          <w:szCs w:val="18"/>
        </w:rPr>
        <w:t>and</w:t>
      </w:r>
      <w:proofErr w:type="spellEnd"/>
      <w:r w:rsidRPr="00B84B0C">
        <w:rPr>
          <w:rFonts w:ascii="Arial" w:hAnsi="Arial" w:cs="Arial"/>
          <w:sz w:val="18"/>
          <w:szCs w:val="18"/>
        </w:rPr>
        <w:t xml:space="preserve"> IT </w:t>
      </w:r>
      <w:proofErr w:type="spellStart"/>
      <w:r w:rsidRPr="00B84B0C">
        <w:rPr>
          <w:rFonts w:ascii="Arial" w:hAnsi="Arial" w:cs="Arial"/>
          <w:sz w:val="18"/>
          <w:szCs w:val="18"/>
        </w:rPr>
        <w:t>areas</w:t>
      </w:r>
      <w:proofErr w:type="spellEnd"/>
      <w:r w:rsidRPr="00B84B0C">
        <w:rPr>
          <w:rFonts w:ascii="Arial" w:hAnsi="Arial" w:cs="Arial"/>
          <w:sz w:val="18"/>
          <w:szCs w:val="18"/>
        </w:rPr>
        <w:t xml:space="preserve"> </w:t>
      </w:r>
      <w:proofErr w:type="spellStart"/>
      <w:r w:rsidRPr="00B84B0C">
        <w:rPr>
          <w:rFonts w:ascii="Arial" w:hAnsi="Arial" w:cs="Arial"/>
          <w:sz w:val="18"/>
          <w:szCs w:val="18"/>
        </w:rPr>
        <w:t>which</w:t>
      </w:r>
      <w:proofErr w:type="spellEnd"/>
      <w:r w:rsidRPr="00B84B0C">
        <w:rPr>
          <w:rFonts w:ascii="Arial" w:hAnsi="Arial" w:cs="Arial"/>
          <w:sz w:val="18"/>
          <w:szCs w:val="18"/>
        </w:rPr>
        <w:t xml:space="preserve"> </w:t>
      </w:r>
      <w:proofErr w:type="spellStart"/>
      <w:r w:rsidRPr="00B84B0C">
        <w:rPr>
          <w:rFonts w:ascii="Arial" w:hAnsi="Arial" w:cs="Arial"/>
          <w:sz w:val="18"/>
          <w:szCs w:val="18"/>
        </w:rPr>
        <w:t>support</w:t>
      </w:r>
      <w:proofErr w:type="spellEnd"/>
      <w:r w:rsidRPr="00B84B0C">
        <w:rPr>
          <w:rFonts w:ascii="Arial" w:hAnsi="Arial" w:cs="Arial"/>
          <w:sz w:val="18"/>
          <w:szCs w:val="18"/>
        </w:rPr>
        <w:t xml:space="preserve"> </w:t>
      </w: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long</w:t>
      </w:r>
      <w:proofErr w:type="spellEnd"/>
      <w:r w:rsidRPr="00B84B0C">
        <w:rPr>
          <w:rFonts w:ascii="Arial" w:hAnsi="Arial" w:cs="Arial"/>
          <w:sz w:val="18"/>
          <w:szCs w:val="18"/>
        </w:rPr>
        <w:t xml:space="preserve"> </w:t>
      </w:r>
      <w:proofErr w:type="spellStart"/>
      <w:r w:rsidRPr="00B84B0C">
        <w:rPr>
          <w:rFonts w:ascii="Arial" w:hAnsi="Arial" w:cs="Arial"/>
          <w:sz w:val="18"/>
          <w:szCs w:val="18"/>
        </w:rPr>
        <w:t>term</w:t>
      </w:r>
      <w:proofErr w:type="spellEnd"/>
      <w:r w:rsidRPr="00B84B0C">
        <w:rPr>
          <w:rFonts w:ascii="Arial" w:hAnsi="Arial" w:cs="Arial"/>
          <w:sz w:val="18"/>
          <w:szCs w:val="18"/>
        </w:rPr>
        <w:t xml:space="preserve"> </w:t>
      </w:r>
      <w:proofErr w:type="spellStart"/>
      <w:r w:rsidRPr="00B84B0C">
        <w:rPr>
          <w:rFonts w:ascii="Arial" w:hAnsi="Arial" w:cs="Arial"/>
          <w:sz w:val="18"/>
          <w:szCs w:val="18"/>
        </w:rPr>
        <w:t>strategy</w:t>
      </w:r>
      <w:proofErr w:type="spellEnd"/>
      <w:r w:rsidRPr="00B84B0C">
        <w:rPr>
          <w:rFonts w:ascii="Arial" w:hAnsi="Arial" w:cs="Arial"/>
          <w:sz w:val="18"/>
          <w:szCs w:val="18"/>
        </w:rPr>
        <w:t xml:space="preserve"> </w:t>
      </w:r>
      <w:proofErr w:type="spellStart"/>
      <w:r w:rsidRPr="00B84B0C">
        <w:rPr>
          <w:rFonts w:ascii="Arial" w:hAnsi="Arial" w:cs="Arial"/>
          <w:sz w:val="18"/>
          <w:szCs w:val="18"/>
        </w:rPr>
        <w:t>of</w:t>
      </w:r>
      <w:proofErr w:type="spellEnd"/>
      <w:r w:rsidRPr="00B84B0C">
        <w:rPr>
          <w:rFonts w:ascii="Arial" w:hAnsi="Arial" w:cs="Arial"/>
          <w:sz w:val="18"/>
          <w:szCs w:val="18"/>
        </w:rPr>
        <w:t xml:space="preserve"> </w:t>
      </w: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company</w:t>
      </w:r>
      <w:proofErr w:type="spellEnd"/>
      <w:r w:rsidRPr="00B84B0C">
        <w:rPr>
          <w:rFonts w:ascii="Arial" w:hAnsi="Arial" w:cs="Arial"/>
          <w:sz w:val="18"/>
          <w:szCs w:val="18"/>
        </w:rPr>
        <w:t xml:space="preserve">; </w:t>
      </w:r>
      <w:proofErr w:type="spellStart"/>
      <w:r w:rsidRPr="00B84B0C">
        <w:rPr>
          <w:rFonts w:ascii="Arial" w:hAnsi="Arial" w:cs="Arial"/>
          <w:sz w:val="18"/>
          <w:szCs w:val="18"/>
        </w:rPr>
        <w:t>and</w:t>
      </w:r>
      <w:proofErr w:type="spellEnd"/>
    </w:p>
    <w:p w14:paraId="3FCCB53F" w14:textId="77777777" w:rsidR="00237ECE" w:rsidRPr="00B84B0C" w:rsidRDefault="00237ECE" w:rsidP="00237ECE">
      <w:pPr>
        <w:pStyle w:val="PargrafodaLista"/>
        <w:numPr>
          <w:ilvl w:val="0"/>
          <w:numId w:val="40"/>
        </w:numPr>
        <w:jc w:val="both"/>
        <w:rPr>
          <w:rFonts w:ascii="Arial" w:hAnsi="Arial" w:cs="Arial"/>
          <w:sz w:val="18"/>
          <w:szCs w:val="18"/>
        </w:rPr>
      </w:pP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increase</w:t>
      </w:r>
      <w:proofErr w:type="spellEnd"/>
      <w:r w:rsidRPr="00B84B0C">
        <w:rPr>
          <w:rFonts w:ascii="Arial" w:hAnsi="Arial" w:cs="Arial"/>
          <w:sz w:val="18"/>
          <w:szCs w:val="18"/>
        </w:rPr>
        <w:t xml:space="preserve"> in </w:t>
      </w:r>
      <w:proofErr w:type="spellStart"/>
      <w:r w:rsidRPr="00B84B0C">
        <w:rPr>
          <w:rFonts w:ascii="Arial" w:hAnsi="Arial" w:cs="Arial"/>
          <w:sz w:val="18"/>
          <w:szCs w:val="18"/>
        </w:rPr>
        <w:t>expenses</w:t>
      </w:r>
      <w:proofErr w:type="spellEnd"/>
      <w:r w:rsidRPr="00B84B0C">
        <w:rPr>
          <w:rFonts w:ascii="Arial" w:hAnsi="Arial" w:cs="Arial"/>
          <w:sz w:val="18"/>
          <w:szCs w:val="18"/>
        </w:rPr>
        <w:t xml:space="preserve"> </w:t>
      </w:r>
      <w:proofErr w:type="spellStart"/>
      <w:r w:rsidRPr="00B84B0C">
        <w:rPr>
          <w:rFonts w:ascii="Arial" w:hAnsi="Arial" w:cs="Arial"/>
          <w:sz w:val="18"/>
          <w:szCs w:val="18"/>
        </w:rPr>
        <w:t>with</w:t>
      </w:r>
      <w:proofErr w:type="spellEnd"/>
      <w:r w:rsidRPr="00B84B0C">
        <w:rPr>
          <w:rFonts w:ascii="Arial" w:hAnsi="Arial" w:cs="Arial"/>
          <w:sz w:val="18"/>
          <w:szCs w:val="18"/>
        </w:rPr>
        <w:t xml:space="preserve"> data </w:t>
      </w:r>
      <w:proofErr w:type="spellStart"/>
      <w:r w:rsidRPr="00B84B0C">
        <w:rPr>
          <w:rFonts w:ascii="Arial" w:hAnsi="Arial" w:cs="Arial"/>
          <w:sz w:val="18"/>
          <w:szCs w:val="18"/>
        </w:rPr>
        <w:t>processing</w:t>
      </w:r>
      <w:proofErr w:type="spellEnd"/>
      <w:r w:rsidRPr="00B84B0C">
        <w:rPr>
          <w:rFonts w:ascii="Arial" w:hAnsi="Arial" w:cs="Arial"/>
          <w:sz w:val="18"/>
          <w:szCs w:val="18"/>
        </w:rPr>
        <w:t xml:space="preserve">, </w:t>
      </w:r>
      <w:proofErr w:type="spellStart"/>
      <w:r w:rsidRPr="00B84B0C">
        <w:rPr>
          <w:rFonts w:ascii="Arial" w:hAnsi="Arial" w:cs="Arial"/>
          <w:sz w:val="18"/>
          <w:szCs w:val="18"/>
        </w:rPr>
        <w:t>recorded</w:t>
      </w:r>
      <w:proofErr w:type="spellEnd"/>
      <w:r w:rsidRPr="00B84B0C">
        <w:rPr>
          <w:rFonts w:ascii="Arial" w:hAnsi="Arial" w:cs="Arial"/>
          <w:sz w:val="18"/>
          <w:szCs w:val="18"/>
        </w:rPr>
        <w:t xml:space="preserve"> in </w:t>
      </w:r>
      <w:proofErr w:type="spellStart"/>
      <w:r w:rsidRPr="00B84B0C">
        <w:rPr>
          <w:rFonts w:ascii="Arial" w:hAnsi="Arial" w:cs="Arial"/>
          <w:sz w:val="18"/>
          <w:szCs w:val="18"/>
        </w:rPr>
        <w:t>the</w:t>
      </w:r>
      <w:proofErr w:type="spellEnd"/>
      <w:r w:rsidRPr="00B84B0C">
        <w:rPr>
          <w:rFonts w:ascii="Arial" w:hAnsi="Arial" w:cs="Arial"/>
          <w:sz w:val="18"/>
          <w:szCs w:val="18"/>
        </w:rPr>
        <w:t xml:space="preserve"> </w:t>
      </w:r>
      <w:proofErr w:type="spellStart"/>
      <w:r w:rsidRPr="00B84B0C">
        <w:rPr>
          <w:rFonts w:ascii="Arial" w:hAnsi="Arial" w:cs="Arial"/>
          <w:sz w:val="18"/>
          <w:szCs w:val="18"/>
        </w:rPr>
        <w:t>administrative</w:t>
      </w:r>
      <w:proofErr w:type="spellEnd"/>
      <w:r w:rsidRPr="00B84B0C">
        <w:rPr>
          <w:rFonts w:ascii="Arial" w:hAnsi="Arial" w:cs="Arial"/>
          <w:sz w:val="18"/>
          <w:szCs w:val="18"/>
        </w:rPr>
        <w:t xml:space="preserve"> </w:t>
      </w:r>
      <w:proofErr w:type="spellStart"/>
      <w:r w:rsidRPr="00B84B0C">
        <w:rPr>
          <w:rFonts w:ascii="Arial" w:hAnsi="Arial" w:cs="Arial"/>
          <w:sz w:val="18"/>
          <w:szCs w:val="18"/>
        </w:rPr>
        <w:t>expenses</w:t>
      </w:r>
      <w:proofErr w:type="spellEnd"/>
      <w:r w:rsidRPr="00B84B0C">
        <w:rPr>
          <w:rFonts w:ascii="Arial" w:hAnsi="Arial" w:cs="Arial"/>
          <w:sz w:val="18"/>
          <w:szCs w:val="18"/>
        </w:rPr>
        <w:t xml:space="preserve"> </w:t>
      </w:r>
      <w:proofErr w:type="spellStart"/>
      <w:r w:rsidRPr="00B84B0C">
        <w:rPr>
          <w:rFonts w:ascii="Arial" w:hAnsi="Arial" w:cs="Arial"/>
          <w:sz w:val="18"/>
          <w:szCs w:val="18"/>
        </w:rPr>
        <w:t>line</w:t>
      </w:r>
      <w:proofErr w:type="spellEnd"/>
      <w:r w:rsidRPr="00B84B0C">
        <w:rPr>
          <w:rFonts w:ascii="Arial" w:hAnsi="Arial" w:cs="Arial"/>
          <w:sz w:val="18"/>
          <w:szCs w:val="18"/>
        </w:rPr>
        <w:t>.</w:t>
      </w:r>
    </w:p>
    <w:p w14:paraId="2B520E20" w14:textId="77777777" w:rsidR="00237ECE" w:rsidRPr="00B84B0C" w:rsidRDefault="00237ECE" w:rsidP="00237ECE">
      <w:pPr>
        <w:jc w:val="both"/>
        <w:rPr>
          <w:rFonts w:cs="Arial"/>
          <w:szCs w:val="18"/>
        </w:rPr>
      </w:pPr>
      <w:r w:rsidRPr="00B84B0C">
        <w:rPr>
          <w:rFonts w:cs="Arial"/>
          <w:szCs w:val="18"/>
        </w:rPr>
        <w:t xml:space="preserve">For more </w:t>
      </w:r>
      <w:proofErr w:type="spellStart"/>
      <w:r w:rsidRPr="00B84B0C">
        <w:rPr>
          <w:rFonts w:cs="Arial"/>
          <w:szCs w:val="18"/>
        </w:rPr>
        <w:t>information</w:t>
      </w:r>
      <w:proofErr w:type="spellEnd"/>
      <w:r w:rsidRPr="00B84B0C">
        <w:rPr>
          <w:rFonts w:cs="Arial"/>
          <w:szCs w:val="18"/>
        </w:rPr>
        <w:t xml:space="preserve"> </w:t>
      </w:r>
      <w:proofErr w:type="spellStart"/>
      <w:r w:rsidRPr="00B84B0C">
        <w:rPr>
          <w:rFonts w:cs="Arial"/>
          <w:szCs w:val="18"/>
        </w:rPr>
        <w:t>about</w:t>
      </w:r>
      <w:proofErr w:type="spellEnd"/>
      <w:r w:rsidRPr="00B84B0C">
        <w:rPr>
          <w:rFonts w:cs="Arial"/>
          <w:szCs w:val="18"/>
        </w:rPr>
        <w:t xml:space="preserve"> BB </w:t>
      </w:r>
      <w:proofErr w:type="spellStart"/>
      <w:r w:rsidRPr="00B84B0C">
        <w:rPr>
          <w:rFonts w:cs="Arial"/>
          <w:szCs w:val="18"/>
        </w:rPr>
        <w:t>Seguridade’s</w:t>
      </w:r>
      <w:proofErr w:type="spellEnd"/>
      <w:r w:rsidRPr="00B84B0C">
        <w:rPr>
          <w:rFonts w:cs="Arial"/>
          <w:szCs w:val="18"/>
        </w:rPr>
        <w:t xml:space="preserve"> performance, </w:t>
      </w:r>
      <w:proofErr w:type="spellStart"/>
      <w:r w:rsidRPr="00B84B0C">
        <w:rPr>
          <w:rFonts w:cs="Arial"/>
          <w:szCs w:val="18"/>
        </w:rPr>
        <w:t>including</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w:t>
      </w:r>
      <w:proofErr w:type="spellStart"/>
      <w:r w:rsidRPr="00B84B0C">
        <w:rPr>
          <w:rFonts w:cs="Arial"/>
          <w:szCs w:val="18"/>
        </w:rPr>
        <w:t>managerial</w:t>
      </w:r>
      <w:proofErr w:type="spellEnd"/>
      <w:r w:rsidRPr="00B84B0C">
        <w:rPr>
          <w:rFonts w:cs="Arial"/>
          <w:szCs w:val="18"/>
        </w:rPr>
        <w:t xml:space="preserve"> </w:t>
      </w:r>
      <w:proofErr w:type="spellStart"/>
      <w:r w:rsidRPr="00B84B0C">
        <w:rPr>
          <w:rFonts w:cs="Arial"/>
          <w:szCs w:val="18"/>
        </w:rPr>
        <w:t>analysis</w:t>
      </w:r>
      <w:proofErr w:type="spellEnd"/>
      <w:r w:rsidRPr="00B84B0C">
        <w:rPr>
          <w:rFonts w:cs="Arial"/>
          <w:szCs w:val="18"/>
        </w:rPr>
        <w:t xml:space="preserve"> </w:t>
      </w:r>
      <w:proofErr w:type="spellStart"/>
      <w:r w:rsidRPr="00B84B0C">
        <w:rPr>
          <w:rFonts w:cs="Arial"/>
          <w:szCs w:val="18"/>
        </w:rPr>
        <w:t>of</w:t>
      </w:r>
      <w:proofErr w:type="spellEnd"/>
      <w:r w:rsidRPr="00B84B0C">
        <w:rPr>
          <w:rFonts w:cs="Arial"/>
          <w:szCs w:val="18"/>
        </w:rPr>
        <w:t xml:space="preserve"> its </w:t>
      </w:r>
      <w:proofErr w:type="spellStart"/>
      <w:r w:rsidRPr="00B84B0C">
        <w:rPr>
          <w:rFonts w:cs="Arial"/>
          <w:szCs w:val="18"/>
        </w:rPr>
        <w:t>investees</w:t>
      </w:r>
      <w:proofErr w:type="spellEnd"/>
      <w:r w:rsidRPr="00B84B0C">
        <w:rPr>
          <w:rFonts w:cs="Arial"/>
          <w:szCs w:val="18"/>
        </w:rPr>
        <w:t xml:space="preserve">, </w:t>
      </w:r>
      <w:proofErr w:type="spellStart"/>
      <w:r w:rsidRPr="00B84B0C">
        <w:rPr>
          <w:rFonts w:cs="Arial"/>
          <w:szCs w:val="18"/>
        </w:rPr>
        <w:t>please</w:t>
      </w:r>
      <w:proofErr w:type="spellEnd"/>
      <w:r w:rsidRPr="00B84B0C">
        <w:rPr>
          <w:rFonts w:cs="Arial"/>
          <w:szCs w:val="18"/>
        </w:rPr>
        <w:t xml:space="preserve"> </w:t>
      </w:r>
      <w:proofErr w:type="spellStart"/>
      <w:r w:rsidRPr="00B84B0C">
        <w:rPr>
          <w:rFonts w:cs="Arial"/>
          <w:szCs w:val="18"/>
        </w:rPr>
        <w:t>refer</w:t>
      </w:r>
      <w:proofErr w:type="spellEnd"/>
      <w:r w:rsidRPr="00B84B0C">
        <w:rPr>
          <w:rFonts w:cs="Arial"/>
          <w:szCs w:val="18"/>
        </w:rPr>
        <w:t xml:space="preserve"> </w:t>
      </w:r>
      <w:proofErr w:type="spellStart"/>
      <w:r w:rsidRPr="00B84B0C">
        <w:rPr>
          <w:rFonts w:cs="Arial"/>
          <w:szCs w:val="18"/>
        </w:rPr>
        <w:t>to</w:t>
      </w:r>
      <w:proofErr w:type="spellEnd"/>
      <w:r w:rsidRPr="00B84B0C">
        <w:rPr>
          <w:rFonts w:cs="Arial"/>
          <w:szCs w:val="18"/>
        </w:rPr>
        <w:t xml:space="preserve"> </w:t>
      </w:r>
      <w:proofErr w:type="spellStart"/>
      <w:r w:rsidRPr="00B84B0C">
        <w:rPr>
          <w:rFonts w:cs="Arial"/>
          <w:szCs w:val="18"/>
        </w:rPr>
        <w:t>the</w:t>
      </w:r>
      <w:proofErr w:type="spellEnd"/>
      <w:r w:rsidRPr="00B84B0C">
        <w:rPr>
          <w:rFonts w:cs="Arial"/>
          <w:szCs w:val="18"/>
        </w:rPr>
        <w:t xml:space="preserve"> MD&amp;A, </w:t>
      </w:r>
      <w:proofErr w:type="spellStart"/>
      <w:r w:rsidRPr="00B84B0C">
        <w:rPr>
          <w:rFonts w:cs="Arial"/>
          <w:szCs w:val="18"/>
        </w:rPr>
        <w:t>available</w:t>
      </w:r>
      <w:proofErr w:type="spellEnd"/>
      <w:r w:rsidRPr="00B84B0C">
        <w:rPr>
          <w:rFonts w:cs="Arial"/>
          <w:szCs w:val="18"/>
        </w:rPr>
        <w:t xml:space="preserve"> </w:t>
      </w:r>
      <w:proofErr w:type="spellStart"/>
      <w:r w:rsidRPr="00B84B0C">
        <w:rPr>
          <w:rFonts w:cs="Arial"/>
          <w:szCs w:val="18"/>
        </w:rPr>
        <w:t>at</w:t>
      </w:r>
      <w:proofErr w:type="spellEnd"/>
      <w:r w:rsidRPr="00B84B0C">
        <w:rPr>
          <w:rFonts w:cs="Arial"/>
          <w:szCs w:val="18"/>
        </w:rPr>
        <w:t xml:space="preserve"> www.bbseguridaderi.com.br/</w:t>
      </w:r>
      <w:proofErr w:type="spellStart"/>
      <w:r w:rsidRPr="00B84B0C">
        <w:rPr>
          <w:rFonts w:cs="Arial"/>
          <w:szCs w:val="18"/>
        </w:rPr>
        <w:t>en</w:t>
      </w:r>
      <w:proofErr w:type="spellEnd"/>
      <w:r w:rsidRPr="00B84B0C">
        <w:rPr>
          <w:rFonts w:cs="Arial"/>
          <w:szCs w:val="18"/>
        </w:rPr>
        <w:t xml:space="preserve">, </w:t>
      </w:r>
      <w:proofErr w:type="spellStart"/>
      <w:r w:rsidRPr="00B84B0C">
        <w:rPr>
          <w:rFonts w:cs="Arial"/>
          <w:szCs w:val="18"/>
        </w:rPr>
        <w:t>section</w:t>
      </w:r>
      <w:proofErr w:type="spellEnd"/>
      <w:r w:rsidRPr="00B84B0C">
        <w:rPr>
          <w:rFonts w:cs="Arial"/>
          <w:szCs w:val="18"/>
        </w:rPr>
        <w:t xml:space="preserve"> Financial </w:t>
      </w:r>
      <w:proofErr w:type="spellStart"/>
      <w:r w:rsidRPr="00B84B0C">
        <w:rPr>
          <w:rFonts w:cs="Arial"/>
          <w:szCs w:val="18"/>
        </w:rPr>
        <w:t>Information</w:t>
      </w:r>
      <w:proofErr w:type="spellEnd"/>
      <w:r w:rsidRPr="00B84B0C">
        <w:rPr>
          <w:rFonts w:cs="Arial"/>
          <w:szCs w:val="18"/>
        </w:rPr>
        <w:t xml:space="preserve">, </w:t>
      </w:r>
      <w:proofErr w:type="spellStart"/>
      <w:r w:rsidRPr="00B84B0C">
        <w:rPr>
          <w:rFonts w:cs="Arial"/>
          <w:szCs w:val="18"/>
        </w:rPr>
        <w:t>option</w:t>
      </w:r>
      <w:proofErr w:type="spellEnd"/>
      <w:r w:rsidRPr="00B84B0C">
        <w:rPr>
          <w:rFonts w:cs="Arial"/>
          <w:szCs w:val="18"/>
        </w:rPr>
        <w:t xml:space="preserve"> </w:t>
      </w:r>
      <w:proofErr w:type="spellStart"/>
      <w:r w:rsidRPr="00B84B0C">
        <w:rPr>
          <w:rFonts w:cs="Arial"/>
          <w:szCs w:val="18"/>
        </w:rPr>
        <w:t>Results</w:t>
      </w:r>
      <w:proofErr w:type="spellEnd"/>
      <w:r w:rsidRPr="00B84B0C">
        <w:rPr>
          <w:rFonts w:cs="Arial"/>
          <w:szCs w:val="18"/>
        </w:rPr>
        <w:t xml:space="preserve"> Center.</w:t>
      </w:r>
    </w:p>
    <w:p w14:paraId="05F4AC1C" w14:textId="77777777" w:rsidR="00237ECE" w:rsidRPr="00B84B0C" w:rsidRDefault="00237ECE" w:rsidP="00237ECE">
      <w:pPr>
        <w:jc w:val="both"/>
        <w:rPr>
          <w:rFonts w:cs="Arial"/>
          <w:szCs w:val="18"/>
        </w:rPr>
      </w:pPr>
      <w:r w:rsidRPr="00B84B0C">
        <w:rPr>
          <w:rFonts w:cs="Arial"/>
          <w:szCs w:val="18"/>
        </w:rPr>
        <w:br w:type="page"/>
      </w:r>
    </w:p>
    <w:p w14:paraId="167B506B" w14:textId="77777777" w:rsidR="00237ECE" w:rsidRPr="00B84B0C" w:rsidRDefault="00237ECE" w:rsidP="00237ECE">
      <w:pPr>
        <w:pStyle w:val="03-SubttulodeNota"/>
        <w:spacing w:line="276" w:lineRule="auto"/>
        <w:rPr>
          <w:rFonts w:cs="Arial"/>
          <w:color w:val="1F4E79" w:themeColor="accent1" w:themeShade="80"/>
        </w:rPr>
      </w:pPr>
      <w:r w:rsidRPr="00B84B0C">
        <w:rPr>
          <w:rFonts w:cs="Arial"/>
          <w:color w:val="1F4E79" w:themeColor="accent1" w:themeShade="80"/>
        </w:rPr>
        <w:lastRenderedPageBreak/>
        <w:t>ACTION PLAN TO FIGHT Covid-19</w:t>
      </w:r>
    </w:p>
    <w:p w14:paraId="13C8CCB9" w14:textId="77777777" w:rsidR="00237ECE" w:rsidRPr="00B84B0C" w:rsidRDefault="00237ECE" w:rsidP="00237ECE">
      <w:pPr>
        <w:pStyle w:val="03-SubttulodeNota"/>
        <w:spacing w:line="276" w:lineRule="auto"/>
        <w:rPr>
          <w:rFonts w:cs="Arial"/>
          <w:color w:val="1F4E79" w:themeColor="accent1" w:themeShade="80"/>
          <w:sz w:val="18"/>
          <w:szCs w:val="18"/>
        </w:rPr>
      </w:pPr>
    </w:p>
    <w:p w14:paraId="1962A35C" w14:textId="77777777" w:rsidR="00237ECE" w:rsidRPr="00B84B0C" w:rsidRDefault="00237ECE" w:rsidP="00237ECE">
      <w:pPr>
        <w:pStyle w:val="01-Textonormal"/>
        <w:rPr>
          <w:rFonts w:eastAsia="MS Mincho" w:cs="Arial"/>
          <w:spacing w:val="0"/>
          <w:lang w:eastAsia="en-US"/>
        </w:rPr>
      </w:pPr>
      <w:r w:rsidRPr="00B84B0C">
        <w:rPr>
          <w:rFonts w:eastAsia="MS Mincho" w:cs="Arial"/>
          <w:spacing w:val="0"/>
          <w:lang w:eastAsia="en-US"/>
        </w:rPr>
        <w:t xml:space="preserve">The </w:t>
      </w:r>
      <w:proofErr w:type="spellStart"/>
      <w:r w:rsidRPr="00B84B0C">
        <w:rPr>
          <w:rFonts w:eastAsia="MS Mincho" w:cs="Arial"/>
          <w:spacing w:val="0"/>
          <w:lang w:eastAsia="en-US"/>
        </w:rPr>
        <w:t>good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commercial</w:t>
      </w:r>
      <w:proofErr w:type="spellEnd"/>
      <w:r w:rsidRPr="00B84B0C">
        <w:rPr>
          <w:rFonts w:eastAsia="MS Mincho" w:cs="Arial"/>
          <w:spacing w:val="0"/>
          <w:lang w:eastAsia="en-US"/>
        </w:rPr>
        <w:t xml:space="preserve"> performance </w:t>
      </w:r>
      <w:proofErr w:type="spellStart"/>
      <w:r w:rsidRPr="00B84B0C">
        <w:rPr>
          <w:rFonts w:eastAsia="MS Mincho" w:cs="Arial"/>
          <w:spacing w:val="0"/>
          <w:lang w:eastAsia="en-US"/>
        </w:rPr>
        <w:t>posted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until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first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half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March</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limited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impacts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Covid-19 </w:t>
      </w:r>
      <w:proofErr w:type="spellStart"/>
      <w:r w:rsidRPr="00B84B0C">
        <w:rPr>
          <w:rFonts w:eastAsia="MS Mincho" w:cs="Arial"/>
          <w:spacing w:val="0"/>
          <w:lang w:eastAsia="en-US"/>
        </w:rPr>
        <w:t>pandemic</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1Q20 </w:t>
      </w:r>
      <w:proofErr w:type="spellStart"/>
      <w:r w:rsidRPr="00B84B0C">
        <w:rPr>
          <w:rFonts w:eastAsia="MS Mincho" w:cs="Arial"/>
          <w:spacing w:val="0"/>
          <w:lang w:eastAsia="en-US"/>
        </w:rPr>
        <w:t>results</w:t>
      </w:r>
      <w:proofErr w:type="spellEnd"/>
      <w:r w:rsidRPr="00B84B0C">
        <w:rPr>
          <w:rFonts w:eastAsia="MS Mincho" w:cs="Arial"/>
          <w:spacing w:val="0"/>
          <w:lang w:eastAsia="en-US"/>
        </w:rPr>
        <w:t>.</w:t>
      </w:r>
    </w:p>
    <w:p w14:paraId="7821C534" w14:textId="77777777" w:rsidR="00237ECE" w:rsidRPr="00B84B0C" w:rsidRDefault="00237ECE" w:rsidP="00237ECE">
      <w:pPr>
        <w:pStyle w:val="01-Textonormal"/>
        <w:rPr>
          <w:rFonts w:eastAsia="MS Mincho" w:cs="Arial"/>
          <w:spacing w:val="0"/>
          <w:lang w:eastAsia="en-US"/>
        </w:rPr>
      </w:pPr>
      <w:proofErr w:type="spellStart"/>
      <w:r w:rsidRPr="00B84B0C">
        <w:rPr>
          <w:rFonts w:eastAsia="MS Mincho" w:cs="Arial"/>
          <w:spacing w:val="0"/>
          <w:lang w:eastAsia="en-US"/>
        </w:rPr>
        <w:t>However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right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after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decree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Covid-19 </w:t>
      </w:r>
      <w:proofErr w:type="spellStart"/>
      <w:r w:rsidRPr="00B84B0C">
        <w:rPr>
          <w:rFonts w:eastAsia="MS Mincho" w:cs="Arial"/>
          <w:spacing w:val="0"/>
          <w:lang w:eastAsia="en-US"/>
        </w:rPr>
        <w:t>pandemic</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sales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tumbled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mainly</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term</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life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insurance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pension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plans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premiums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bonds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which</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impacted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commissions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at</w:t>
      </w:r>
      <w:proofErr w:type="spellEnd"/>
      <w:r w:rsidRPr="00B84B0C">
        <w:rPr>
          <w:rFonts w:eastAsia="MS Mincho" w:cs="Arial"/>
          <w:spacing w:val="0"/>
          <w:lang w:eastAsia="en-US"/>
        </w:rPr>
        <w:t xml:space="preserve"> BB Corretora. </w:t>
      </w:r>
      <w:proofErr w:type="spellStart"/>
      <w:r w:rsidRPr="00B84B0C">
        <w:rPr>
          <w:rFonts w:eastAsia="MS Mincho" w:cs="Arial"/>
          <w:spacing w:val="0"/>
          <w:lang w:eastAsia="en-US"/>
        </w:rPr>
        <w:t>Additionally</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pensions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redemptions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spiked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with</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clients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seeking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reallocate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their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assets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investments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with</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higher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liquidity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lower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volatility</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shorter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term</w:t>
      </w:r>
      <w:proofErr w:type="spellEnd"/>
    </w:p>
    <w:p w14:paraId="4297525A" w14:textId="77777777" w:rsidR="00237ECE" w:rsidRPr="00B84B0C" w:rsidRDefault="00237ECE" w:rsidP="00237ECE">
      <w:pPr>
        <w:pStyle w:val="01-Textonormal"/>
        <w:rPr>
          <w:rFonts w:eastAsia="MS Mincho" w:cs="Arial"/>
          <w:spacing w:val="0"/>
          <w:lang w:eastAsia="en-US"/>
        </w:rPr>
      </w:pPr>
      <w:proofErr w:type="spellStart"/>
      <w:r w:rsidRPr="00B84B0C">
        <w:rPr>
          <w:rFonts w:eastAsia="MS Mincho" w:cs="Arial"/>
          <w:spacing w:val="0"/>
          <w:lang w:eastAsia="en-US"/>
        </w:rPr>
        <w:t>Considering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this</w:t>
      </w:r>
      <w:proofErr w:type="spellEnd"/>
      <w:r w:rsidRPr="00B84B0C">
        <w:rPr>
          <w:rFonts w:eastAsia="MS Mincho" w:cs="Arial"/>
          <w:spacing w:val="0"/>
          <w:lang w:eastAsia="en-US"/>
        </w:rPr>
        <w:t xml:space="preserve"> new </w:t>
      </w:r>
      <w:proofErr w:type="spellStart"/>
      <w:r w:rsidRPr="00B84B0C">
        <w:rPr>
          <w:rFonts w:eastAsia="MS Mincho" w:cs="Arial"/>
          <w:spacing w:val="0"/>
          <w:lang w:eastAsia="en-US"/>
        </w:rPr>
        <w:t>scenario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seeking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ensure</w:t>
      </w:r>
      <w:proofErr w:type="spellEnd"/>
      <w:r w:rsidRPr="00B84B0C">
        <w:rPr>
          <w:rFonts w:eastAsia="MS Mincho" w:cs="Arial"/>
          <w:spacing w:val="0"/>
          <w:lang w:eastAsia="en-US"/>
        </w:rPr>
        <w:t xml:space="preserve"> business </w:t>
      </w:r>
      <w:proofErr w:type="spellStart"/>
      <w:r w:rsidRPr="00B84B0C">
        <w:rPr>
          <w:rFonts w:eastAsia="MS Mincho" w:cs="Arial"/>
          <w:spacing w:val="0"/>
          <w:lang w:eastAsia="en-US"/>
        </w:rPr>
        <w:t>continuity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safety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its </w:t>
      </w:r>
      <w:proofErr w:type="spellStart"/>
      <w:r w:rsidRPr="00B84B0C">
        <w:rPr>
          <w:rFonts w:eastAsia="MS Mincho" w:cs="Arial"/>
          <w:spacing w:val="0"/>
          <w:lang w:eastAsia="en-US"/>
        </w:rPr>
        <w:t>employees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contribute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well-being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its </w:t>
      </w:r>
      <w:proofErr w:type="spellStart"/>
      <w:r w:rsidRPr="00B84B0C">
        <w:rPr>
          <w:rFonts w:eastAsia="MS Mincho" w:cs="Arial"/>
          <w:spacing w:val="0"/>
          <w:lang w:eastAsia="en-US"/>
        </w:rPr>
        <w:t>customers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society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Company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declared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Action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Plan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fight</w:t>
      </w:r>
      <w:proofErr w:type="spellEnd"/>
      <w:r w:rsidRPr="00B84B0C">
        <w:rPr>
          <w:rFonts w:eastAsia="MS Mincho" w:cs="Arial"/>
          <w:spacing w:val="0"/>
          <w:lang w:eastAsia="en-US"/>
        </w:rPr>
        <w:t xml:space="preserve"> Covid-19, </w:t>
      </w:r>
      <w:proofErr w:type="spellStart"/>
      <w:r w:rsidRPr="00B84B0C">
        <w:rPr>
          <w:rFonts w:eastAsia="MS Mincho" w:cs="Arial"/>
          <w:spacing w:val="0"/>
          <w:lang w:eastAsia="en-US"/>
        </w:rPr>
        <w:t>focusing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following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pillars</w:t>
      </w:r>
      <w:proofErr w:type="spellEnd"/>
      <w:r w:rsidRPr="00B84B0C">
        <w:rPr>
          <w:rFonts w:eastAsia="MS Mincho" w:cs="Arial"/>
          <w:spacing w:val="0"/>
          <w:lang w:eastAsia="en-US"/>
        </w:rPr>
        <w:t xml:space="preserve">: </w:t>
      </w:r>
    </w:p>
    <w:p w14:paraId="423F2747" w14:textId="77777777" w:rsidR="00237ECE" w:rsidRPr="00B84B0C" w:rsidRDefault="00237ECE" w:rsidP="00237ECE">
      <w:pPr>
        <w:pStyle w:val="01-Textonormal"/>
        <w:numPr>
          <w:ilvl w:val="0"/>
          <w:numId w:val="41"/>
        </w:numPr>
        <w:rPr>
          <w:rFonts w:eastAsia="MS Mincho" w:cs="Arial"/>
          <w:spacing w:val="0"/>
          <w:lang w:eastAsia="en-US"/>
        </w:rPr>
      </w:pPr>
      <w:proofErr w:type="spellStart"/>
      <w:r w:rsidRPr="00B84B0C">
        <w:rPr>
          <w:rFonts w:eastAsia="MS Mincho" w:cs="Arial"/>
          <w:spacing w:val="0"/>
          <w:lang w:eastAsia="en-US"/>
        </w:rPr>
        <w:t>taking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care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employees</w:t>
      </w:r>
      <w:proofErr w:type="spellEnd"/>
      <w:r w:rsidRPr="00B84B0C">
        <w:rPr>
          <w:rFonts w:eastAsia="MS Mincho" w:cs="Arial"/>
          <w:spacing w:val="0"/>
          <w:lang w:eastAsia="en-US"/>
        </w:rPr>
        <w:t xml:space="preserve">; </w:t>
      </w:r>
    </w:p>
    <w:p w14:paraId="0BD2ADCE" w14:textId="77777777" w:rsidR="00237ECE" w:rsidRPr="00B84B0C" w:rsidRDefault="00237ECE" w:rsidP="00237ECE">
      <w:pPr>
        <w:pStyle w:val="01-Textonormal"/>
        <w:numPr>
          <w:ilvl w:val="0"/>
          <w:numId w:val="41"/>
        </w:numPr>
        <w:rPr>
          <w:rFonts w:eastAsia="MS Mincho" w:cs="Arial"/>
          <w:spacing w:val="0"/>
          <w:lang w:eastAsia="en-US"/>
        </w:rPr>
      </w:pPr>
      <w:proofErr w:type="spellStart"/>
      <w:r w:rsidRPr="00B84B0C">
        <w:rPr>
          <w:rFonts w:eastAsia="MS Mincho" w:cs="Arial"/>
          <w:spacing w:val="0"/>
          <w:lang w:eastAsia="en-US"/>
        </w:rPr>
        <w:t>supporting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clients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society</w:t>
      </w:r>
      <w:proofErr w:type="spellEnd"/>
      <w:r w:rsidRPr="00B84B0C">
        <w:rPr>
          <w:rFonts w:eastAsia="MS Mincho" w:cs="Arial"/>
          <w:spacing w:val="0"/>
          <w:lang w:eastAsia="en-US"/>
        </w:rPr>
        <w:t xml:space="preserve">; </w:t>
      </w:r>
    </w:p>
    <w:p w14:paraId="2C62779A" w14:textId="77777777" w:rsidR="00237ECE" w:rsidRPr="00B84B0C" w:rsidRDefault="00237ECE" w:rsidP="00237ECE">
      <w:pPr>
        <w:pStyle w:val="01-Textonormal"/>
        <w:numPr>
          <w:ilvl w:val="0"/>
          <w:numId w:val="41"/>
        </w:numPr>
        <w:rPr>
          <w:rFonts w:eastAsia="MS Mincho" w:cs="Arial"/>
          <w:spacing w:val="0"/>
          <w:lang w:eastAsia="en-US"/>
        </w:rPr>
      </w:pPr>
      <w:proofErr w:type="spellStart"/>
      <w:r w:rsidRPr="00B84B0C">
        <w:rPr>
          <w:rFonts w:eastAsia="MS Mincho" w:cs="Arial"/>
          <w:spacing w:val="0"/>
          <w:lang w:eastAsia="en-US"/>
        </w:rPr>
        <w:t>guaranteeing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business </w:t>
      </w:r>
      <w:proofErr w:type="spellStart"/>
      <w:r w:rsidRPr="00B84B0C">
        <w:rPr>
          <w:rFonts w:eastAsia="MS Mincho" w:cs="Arial"/>
          <w:spacing w:val="0"/>
          <w:lang w:eastAsia="en-US"/>
        </w:rPr>
        <w:t>sustainability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p>
    <w:p w14:paraId="58931886" w14:textId="77777777" w:rsidR="00237ECE" w:rsidRPr="00B84B0C" w:rsidRDefault="00237ECE" w:rsidP="00237ECE">
      <w:pPr>
        <w:pStyle w:val="01-Textonormal"/>
        <w:numPr>
          <w:ilvl w:val="0"/>
          <w:numId w:val="41"/>
        </w:numPr>
        <w:rPr>
          <w:rFonts w:eastAsia="MS Mincho" w:cs="Arial"/>
          <w:spacing w:val="0"/>
          <w:lang w:eastAsia="en-US"/>
        </w:rPr>
      </w:pPr>
      <w:proofErr w:type="spellStart"/>
      <w:r w:rsidRPr="00B84B0C">
        <w:rPr>
          <w:rFonts w:eastAsia="MS Mincho" w:cs="Arial"/>
          <w:spacing w:val="0"/>
          <w:lang w:eastAsia="en-US"/>
        </w:rPr>
        <w:t>preparing</w:t>
      </w:r>
      <w:proofErr w:type="spellEnd"/>
      <w:r w:rsidRPr="00B84B0C">
        <w:rPr>
          <w:rFonts w:eastAsia="MS Mincho" w:cs="Arial"/>
          <w:spacing w:val="0"/>
          <w:lang w:eastAsia="en-US"/>
        </w:rPr>
        <w:t xml:space="preserve"> for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after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crisis</w:t>
      </w:r>
      <w:proofErr w:type="spellEnd"/>
      <w:r w:rsidRPr="00B84B0C">
        <w:rPr>
          <w:rFonts w:eastAsia="MS Mincho" w:cs="Arial"/>
          <w:spacing w:val="0"/>
          <w:lang w:eastAsia="en-US"/>
        </w:rPr>
        <w:t>.</w:t>
      </w:r>
    </w:p>
    <w:p w14:paraId="1E20B4C2" w14:textId="77777777" w:rsidR="00237ECE" w:rsidRPr="00B84B0C" w:rsidRDefault="00237ECE" w:rsidP="00237ECE">
      <w:pPr>
        <w:pStyle w:val="01-Textonormal"/>
        <w:rPr>
          <w:rFonts w:eastAsia="MS Mincho" w:cs="Arial"/>
          <w:spacing w:val="0"/>
          <w:lang w:eastAsia="en-US"/>
        </w:rPr>
      </w:pP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take </w:t>
      </w:r>
      <w:proofErr w:type="spellStart"/>
      <w:r w:rsidRPr="00B84B0C">
        <w:rPr>
          <w:rFonts w:eastAsia="MS Mincho" w:cs="Arial"/>
          <w:spacing w:val="0"/>
          <w:lang w:eastAsia="en-US"/>
        </w:rPr>
        <w:t>care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its </w:t>
      </w:r>
      <w:proofErr w:type="spellStart"/>
      <w:r w:rsidRPr="00B84B0C">
        <w:rPr>
          <w:rFonts w:eastAsia="MS Mincho" w:cs="Arial"/>
          <w:spacing w:val="0"/>
          <w:lang w:eastAsia="en-US"/>
        </w:rPr>
        <w:t>team</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support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society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authorities</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refraining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virus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dissemination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remote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work</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was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adopted</w:t>
      </w:r>
      <w:proofErr w:type="spellEnd"/>
      <w:r w:rsidRPr="00B84B0C">
        <w:rPr>
          <w:rFonts w:eastAsia="MS Mincho" w:cs="Arial"/>
          <w:spacing w:val="0"/>
          <w:lang w:eastAsia="en-US"/>
        </w:rPr>
        <w:t xml:space="preserve"> for </w:t>
      </w:r>
      <w:proofErr w:type="spellStart"/>
      <w:r w:rsidRPr="00B84B0C">
        <w:rPr>
          <w:rFonts w:eastAsia="MS Mincho" w:cs="Arial"/>
          <w:spacing w:val="0"/>
          <w:lang w:eastAsia="en-US"/>
        </w:rPr>
        <w:t>all</w:t>
      </w:r>
      <w:proofErr w:type="spellEnd"/>
      <w:r w:rsidRPr="00B84B0C">
        <w:rPr>
          <w:rFonts w:eastAsia="MS Mincho" w:cs="Arial"/>
          <w:spacing w:val="0"/>
          <w:lang w:eastAsia="en-US"/>
        </w:rPr>
        <w:t xml:space="preserve"> BB Seguridade </w:t>
      </w:r>
      <w:proofErr w:type="spellStart"/>
      <w:r w:rsidRPr="00B84B0C">
        <w:rPr>
          <w:rFonts w:eastAsia="MS Mincho" w:cs="Arial"/>
          <w:spacing w:val="0"/>
          <w:lang w:eastAsia="en-US"/>
        </w:rPr>
        <w:t>employees</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addition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measures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such</w:t>
      </w:r>
      <w:proofErr w:type="spellEnd"/>
      <w:r w:rsidRPr="00B84B0C">
        <w:rPr>
          <w:rFonts w:eastAsia="MS Mincho" w:cs="Arial"/>
          <w:spacing w:val="0"/>
          <w:lang w:eastAsia="en-US"/>
        </w:rPr>
        <w:t xml:space="preserve"> as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cancellation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postponement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international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national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trips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suspension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training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face-</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-face </w:t>
      </w:r>
      <w:proofErr w:type="spellStart"/>
      <w:r w:rsidRPr="00B84B0C">
        <w:rPr>
          <w:rFonts w:eastAsia="MS Mincho" w:cs="Arial"/>
          <w:spacing w:val="0"/>
          <w:lang w:eastAsia="en-US"/>
        </w:rPr>
        <w:t>corporate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events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encouraging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adoption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teleconferencing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video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conferencing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solutions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hold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internal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external</w:t>
      </w:r>
      <w:proofErr w:type="spellEnd"/>
      <w:r w:rsidRPr="00B84B0C">
        <w:rPr>
          <w:rFonts w:eastAsia="MS Mincho" w:cs="Arial"/>
          <w:spacing w:val="0"/>
          <w:lang w:eastAsia="en-US"/>
        </w:rPr>
        <w:t xml:space="preserve"> meetings.</w:t>
      </w:r>
    </w:p>
    <w:p w14:paraId="67C3356A" w14:textId="77777777" w:rsidR="00237ECE" w:rsidRPr="00B84B0C" w:rsidRDefault="00237ECE" w:rsidP="00237ECE">
      <w:pPr>
        <w:pStyle w:val="01-Textonormal"/>
        <w:rPr>
          <w:rFonts w:eastAsia="MS Mincho" w:cs="Arial"/>
          <w:spacing w:val="0"/>
          <w:lang w:eastAsia="en-US"/>
        </w:rPr>
      </w:pPr>
      <w:proofErr w:type="spellStart"/>
      <w:r w:rsidRPr="00B84B0C">
        <w:rPr>
          <w:rFonts w:eastAsia="MS Mincho" w:cs="Arial"/>
          <w:spacing w:val="0"/>
          <w:lang w:eastAsia="en-US"/>
        </w:rPr>
        <w:t>Our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customers</w:t>
      </w:r>
      <w:proofErr w:type="spellEnd"/>
      <w:r w:rsidRPr="00B84B0C">
        <w:rPr>
          <w:rFonts w:eastAsia="MS Mincho" w:cs="Arial"/>
          <w:spacing w:val="0"/>
          <w:lang w:eastAsia="en-US"/>
        </w:rPr>
        <w:t xml:space="preserve"> continue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served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supported</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their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needs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Insurance</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current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scenario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presents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itself</w:t>
      </w:r>
      <w:proofErr w:type="spellEnd"/>
      <w:r w:rsidRPr="00B84B0C">
        <w:rPr>
          <w:rFonts w:eastAsia="MS Mincho" w:cs="Arial"/>
          <w:spacing w:val="0"/>
          <w:lang w:eastAsia="en-US"/>
        </w:rPr>
        <w:t xml:space="preserve"> as a </w:t>
      </w:r>
      <w:proofErr w:type="spellStart"/>
      <w:r w:rsidRPr="00B84B0C">
        <w:rPr>
          <w:rFonts w:eastAsia="MS Mincho" w:cs="Arial"/>
          <w:spacing w:val="0"/>
          <w:lang w:eastAsia="en-US"/>
        </w:rPr>
        <w:t>great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ally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bring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serenity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safety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expected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those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who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already</w:t>
      </w:r>
      <w:proofErr w:type="spellEnd"/>
      <w:r w:rsidRPr="00B84B0C">
        <w:rPr>
          <w:rFonts w:eastAsia="MS Mincho" w:cs="Arial"/>
          <w:spacing w:val="0"/>
          <w:lang w:eastAsia="en-US"/>
        </w:rPr>
        <w:t xml:space="preserve"> use </w:t>
      </w:r>
      <w:proofErr w:type="spellStart"/>
      <w:r w:rsidRPr="00B84B0C">
        <w:rPr>
          <w:rFonts w:eastAsia="MS Mincho" w:cs="Arial"/>
          <w:spacing w:val="0"/>
          <w:lang w:eastAsia="en-US"/>
        </w:rPr>
        <w:t>our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products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services</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addition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ones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who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will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want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buy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them</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after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this</w:t>
      </w:r>
      <w:proofErr w:type="spellEnd"/>
      <w:r w:rsidRPr="00B84B0C">
        <w:rPr>
          <w:rFonts w:eastAsia="MS Mincho" w:cs="Arial"/>
          <w:spacing w:val="0"/>
          <w:lang w:eastAsia="en-US"/>
        </w:rPr>
        <w:t xml:space="preserve"> adverse </w:t>
      </w:r>
      <w:proofErr w:type="spellStart"/>
      <w:r w:rsidRPr="00B84B0C">
        <w:rPr>
          <w:rFonts w:eastAsia="MS Mincho" w:cs="Arial"/>
          <w:spacing w:val="0"/>
          <w:lang w:eastAsia="en-US"/>
        </w:rPr>
        <w:t>situation</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this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sense</w:t>
      </w:r>
      <w:proofErr w:type="spellEnd"/>
      <w:r w:rsidRPr="00B84B0C">
        <w:rPr>
          <w:rFonts w:eastAsia="MS Mincho" w:cs="Arial"/>
          <w:spacing w:val="0"/>
          <w:lang w:eastAsia="en-US"/>
        </w:rPr>
        <w:t xml:space="preserve">, BB Seguridade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its </w:t>
      </w:r>
      <w:proofErr w:type="spellStart"/>
      <w:r w:rsidRPr="00B84B0C">
        <w:rPr>
          <w:rFonts w:eastAsia="MS Mincho" w:cs="Arial"/>
          <w:spacing w:val="0"/>
          <w:lang w:eastAsia="en-US"/>
        </w:rPr>
        <w:t>investee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Brasilseg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decided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pay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exceptionally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all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indemnities</w:t>
      </w:r>
      <w:proofErr w:type="spellEnd"/>
      <w:r w:rsidRPr="00B84B0C">
        <w:rPr>
          <w:rFonts w:eastAsia="MS Mincho" w:cs="Arial"/>
          <w:spacing w:val="0"/>
          <w:lang w:eastAsia="en-US"/>
        </w:rPr>
        <w:t xml:space="preserve"> for </w:t>
      </w:r>
      <w:proofErr w:type="spellStart"/>
      <w:r w:rsidRPr="00B84B0C">
        <w:rPr>
          <w:rFonts w:eastAsia="MS Mincho" w:cs="Arial"/>
          <w:spacing w:val="0"/>
          <w:lang w:eastAsia="en-US"/>
        </w:rPr>
        <w:t>life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credit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life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mortgage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life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insurance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claims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related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Covid-19, </w:t>
      </w:r>
      <w:proofErr w:type="spellStart"/>
      <w:r w:rsidRPr="00B84B0C">
        <w:rPr>
          <w:rFonts w:eastAsia="MS Mincho" w:cs="Arial"/>
          <w:spacing w:val="0"/>
          <w:lang w:eastAsia="en-US"/>
        </w:rPr>
        <w:t>even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general </w:t>
      </w:r>
      <w:proofErr w:type="spellStart"/>
      <w:r w:rsidRPr="00B84B0C">
        <w:rPr>
          <w:rFonts w:eastAsia="MS Mincho" w:cs="Arial"/>
          <w:spacing w:val="0"/>
          <w:lang w:eastAsia="en-US"/>
        </w:rPr>
        <w:t>conditions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contracts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exclude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coverage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pandemic</w:t>
      </w:r>
      <w:proofErr w:type="spellEnd"/>
      <w:r w:rsidRPr="00B84B0C">
        <w:rPr>
          <w:rFonts w:eastAsia="MS Mincho" w:cs="Arial"/>
          <w:spacing w:val="0"/>
          <w:lang w:eastAsia="en-US"/>
        </w:rPr>
        <w:t>.</w:t>
      </w:r>
    </w:p>
    <w:p w14:paraId="46E51387" w14:textId="77777777" w:rsidR="00237ECE" w:rsidRPr="00B84B0C" w:rsidRDefault="00237ECE" w:rsidP="00237ECE">
      <w:pPr>
        <w:pStyle w:val="01-Textonormal"/>
        <w:rPr>
          <w:rFonts w:eastAsia="MS Mincho" w:cs="Arial"/>
          <w:spacing w:val="0"/>
          <w:lang w:eastAsia="en-US"/>
        </w:rPr>
      </w:pPr>
      <w:proofErr w:type="spellStart"/>
      <w:r w:rsidRPr="00B84B0C">
        <w:rPr>
          <w:rFonts w:eastAsia="MS Mincho" w:cs="Arial"/>
          <w:spacing w:val="0"/>
          <w:lang w:eastAsia="en-US"/>
        </w:rPr>
        <w:t>We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have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also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expanded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limits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service</w:t>
      </w:r>
      <w:proofErr w:type="spellEnd"/>
      <w:r w:rsidRPr="00B84B0C">
        <w:rPr>
          <w:rFonts w:eastAsia="MS Mincho" w:cs="Arial"/>
          <w:spacing w:val="0"/>
          <w:lang w:eastAsia="en-US"/>
        </w:rPr>
        <w:t xml:space="preserve"> in digital </w:t>
      </w:r>
      <w:proofErr w:type="spellStart"/>
      <w:r w:rsidRPr="00B84B0C">
        <w:rPr>
          <w:rFonts w:eastAsia="MS Mincho" w:cs="Arial"/>
          <w:spacing w:val="0"/>
          <w:lang w:eastAsia="en-US"/>
        </w:rPr>
        <w:t>channels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remain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focused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completing</w:t>
      </w:r>
      <w:proofErr w:type="spellEnd"/>
      <w:r w:rsidRPr="00B84B0C">
        <w:rPr>
          <w:rFonts w:eastAsia="MS Mincho" w:cs="Arial"/>
          <w:spacing w:val="0"/>
          <w:lang w:eastAsia="en-US"/>
        </w:rPr>
        <w:t xml:space="preserve"> self-service </w:t>
      </w:r>
      <w:proofErr w:type="spellStart"/>
      <w:r w:rsidRPr="00B84B0C">
        <w:rPr>
          <w:rFonts w:eastAsia="MS Mincho" w:cs="Arial"/>
          <w:spacing w:val="0"/>
          <w:lang w:eastAsia="en-US"/>
        </w:rPr>
        <w:t>journeys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also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started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offer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benefits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useful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services</w:t>
      </w:r>
      <w:proofErr w:type="spellEnd"/>
      <w:r w:rsidRPr="00B84B0C">
        <w:rPr>
          <w:rFonts w:eastAsia="MS Mincho" w:cs="Arial"/>
          <w:spacing w:val="0"/>
          <w:lang w:eastAsia="en-US"/>
        </w:rPr>
        <w:t xml:space="preserve"> for </w:t>
      </w:r>
      <w:proofErr w:type="spellStart"/>
      <w:r w:rsidRPr="00B84B0C">
        <w:rPr>
          <w:rFonts w:eastAsia="MS Mincho" w:cs="Arial"/>
          <w:spacing w:val="0"/>
          <w:lang w:eastAsia="en-US"/>
        </w:rPr>
        <w:t>our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customers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go </w:t>
      </w:r>
      <w:proofErr w:type="spellStart"/>
      <w:r w:rsidRPr="00B84B0C">
        <w:rPr>
          <w:rFonts w:eastAsia="MS Mincho" w:cs="Arial"/>
          <w:spacing w:val="0"/>
          <w:lang w:eastAsia="en-US"/>
        </w:rPr>
        <w:t>through</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social </w:t>
      </w:r>
      <w:proofErr w:type="spellStart"/>
      <w:r w:rsidRPr="00B84B0C">
        <w:rPr>
          <w:rFonts w:eastAsia="MS Mincho" w:cs="Arial"/>
          <w:spacing w:val="0"/>
          <w:lang w:eastAsia="en-US"/>
        </w:rPr>
        <w:t>isolation</w:t>
      </w:r>
      <w:proofErr w:type="spellEnd"/>
      <w:r w:rsidRPr="00B84B0C">
        <w:rPr>
          <w:rFonts w:eastAsia="MS Mincho" w:cs="Arial"/>
          <w:spacing w:val="0"/>
          <w:lang w:eastAsia="en-US"/>
        </w:rPr>
        <w:t>.</w:t>
      </w:r>
    </w:p>
    <w:p w14:paraId="5D2AEAB9" w14:textId="77777777" w:rsidR="00237ECE" w:rsidRPr="00B84B0C" w:rsidRDefault="00237ECE" w:rsidP="00237ECE">
      <w:pPr>
        <w:pStyle w:val="01-Textonormal"/>
        <w:rPr>
          <w:rFonts w:eastAsia="MS Mincho" w:cs="Arial"/>
          <w:spacing w:val="0"/>
          <w:lang w:eastAsia="en-US"/>
        </w:rPr>
      </w:pPr>
      <w:r w:rsidRPr="00B84B0C">
        <w:rPr>
          <w:rFonts w:eastAsia="MS Mincho" w:cs="Arial"/>
          <w:spacing w:val="0"/>
          <w:lang w:eastAsia="en-US"/>
        </w:rPr>
        <w:t xml:space="preserve">In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social </w:t>
      </w:r>
      <w:proofErr w:type="spellStart"/>
      <w:r w:rsidRPr="00B84B0C">
        <w:rPr>
          <w:rFonts w:eastAsia="MS Mincho" w:cs="Arial"/>
          <w:spacing w:val="0"/>
          <w:lang w:eastAsia="en-US"/>
        </w:rPr>
        <w:t>field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given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that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pandemic</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has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already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affected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domestic</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socioeconomic</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situation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always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thinking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about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protecting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caring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people</w:t>
      </w:r>
      <w:proofErr w:type="spellEnd"/>
      <w:r w:rsidRPr="00B84B0C">
        <w:rPr>
          <w:rFonts w:eastAsia="MS Mincho" w:cs="Arial"/>
          <w:spacing w:val="0"/>
          <w:lang w:eastAsia="en-US"/>
        </w:rPr>
        <w:t xml:space="preserve">, BB Seguridade </w:t>
      </w:r>
      <w:proofErr w:type="spellStart"/>
      <w:r w:rsidRPr="00B84B0C">
        <w:rPr>
          <w:rFonts w:eastAsia="MS Mincho" w:cs="Arial"/>
          <w:spacing w:val="0"/>
          <w:lang w:eastAsia="en-US"/>
        </w:rPr>
        <w:t>approved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donation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up</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R$40 </w:t>
      </w:r>
      <w:proofErr w:type="spellStart"/>
      <w:r w:rsidRPr="00B84B0C">
        <w:rPr>
          <w:rFonts w:eastAsia="MS Mincho" w:cs="Arial"/>
          <w:spacing w:val="0"/>
          <w:lang w:eastAsia="en-US"/>
        </w:rPr>
        <w:t>million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by</w:t>
      </w:r>
      <w:proofErr w:type="spellEnd"/>
      <w:r w:rsidRPr="00B84B0C">
        <w:rPr>
          <w:rFonts w:eastAsia="MS Mincho" w:cs="Arial"/>
          <w:spacing w:val="0"/>
          <w:lang w:eastAsia="en-US"/>
        </w:rPr>
        <w:t xml:space="preserve"> BB Corretora, via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Banco do Brasil Foundation,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provision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food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cleaning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hygiene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products</w:t>
      </w:r>
      <w:proofErr w:type="spellEnd"/>
      <w:r w:rsidRPr="00B84B0C">
        <w:rPr>
          <w:rFonts w:eastAsia="MS Mincho" w:cs="Arial"/>
          <w:spacing w:val="0"/>
          <w:lang w:eastAsia="en-US"/>
        </w:rPr>
        <w:t xml:space="preserve"> for </w:t>
      </w:r>
      <w:proofErr w:type="spellStart"/>
      <w:r w:rsidRPr="00B84B0C">
        <w:rPr>
          <w:rFonts w:eastAsia="MS Mincho" w:cs="Arial"/>
          <w:spacing w:val="0"/>
          <w:lang w:eastAsia="en-US"/>
        </w:rPr>
        <w:t>people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who</w:t>
      </w:r>
      <w:proofErr w:type="spellEnd"/>
      <w:r w:rsidRPr="00B84B0C">
        <w:rPr>
          <w:rFonts w:eastAsia="MS Mincho" w:cs="Arial"/>
          <w:spacing w:val="0"/>
          <w:lang w:eastAsia="en-US"/>
        </w:rPr>
        <w:t xml:space="preserve"> are </w:t>
      </w:r>
      <w:proofErr w:type="spellStart"/>
      <w:r w:rsidRPr="00B84B0C">
        <w:rPr>
          <w:rFonts w:eastAsia="MS Mincho" w:cs="Arial"/>
          <w:spacing w:val="0"/>
          <w:lang w:eastAsia="en-US"/>
        </w:rPr>
        <w:t>at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risk</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socially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vulnerable</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all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regions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country.</w:t>
      </w:r>
    </w:p>
    <w:p w14:paraId="527B9C63" w14:textId="77777777" w:rsidR="00237ECE" w:rsidRPr="00B84B0C" w:rsidRDefault="00237ECE" w:rsidP="00237ECE">
      <w:pPr>
        <w:pStyle w:val="01-Textonormal"/>
        <w:rPr>
          <w:rFonts w:eastAsia="MS Mincho" w:cs="Arial"/>
          <w:spacing w:val="0"/>
          <w:lang w:eastAsia="en-US"/>
        </w:rPr>
      </w:pPr>
      <w:proofErr w:type="spellStart"/>
      <w:r w:rsidRPr="00B84B0C">
        <w:rPr>
          <w:rFonts w:eastAsia="MS Mincho" w:cs="Arial"/>
          <w:spacing w:val="0"/>
          <w:lang w:eastAsia="en-US"/>
        </w:rPr>
        <w:t>Taking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measures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sustain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our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current</w:t>
      </w:r>
      <w:proofErr w:type="spellEnd"/>
      <w:r w:rsidRPr="00B84B0C">
        <w:rPr>
          <w:rFonts w:eastAsia="MS Mincho" w:cs="Arial"/>
          <w:spacing w:val="0"/>
          <w:lang w:eastAsia="en-US"/>
        </w:rPr>
        <w:t xml:space="preserve"> business, </w:t>
      </w:r>
      <w:proofErr w:type="spellStart"/>
      <w:r w:rsidRPr="00B84B0C">
        <w:rPr>
          <w:rFonts w:eastAsia="MS Mincho" w:cs="Arial"/>
          <w:spacing w:val="0"/>
          <w:lang w:eastAsia="en-US"/>
        </w:rPr>
        <w:t>while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keeping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our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eyes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new normal, completes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Company's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initiatives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face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effects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Covid-19. </w:t>
      </w:r>
      <w:proofErr w:type="spellStart"/>
      <w:r w:rsidRPr="00B84B0C">
        <w:rPr>
          <w:rFonts w:eastAsia="MS Mincho" w:cs="Arial"/>
          <w:spacing w:val="0"/>
          <w:lang w:eastAsia="en-US"/>
        </w:rPr>
        <w:t>Hence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prioritize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revenue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generation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with</w:t>
      </w:r>
      <w:proofErr w:type="spellEnd"/>
      <w:r w:rsidRPr="00B84B0C">
        <w:rPr>
          <w:rFonts w:eastAsia="MS Mincho" w:cs="Arial"/>
          <w:spacing w:val="0"/>
          <w:lang w:eastAsia="en-US"/>
        </w:rPr>
        <w:t xml:space="preserve"> businesses </w:t>
      </w:r>
      <w:proofErr w:type="spellStart"/>
      <w:r w:rsidRPr="00B84B0C">
        <w:rPr>
          <w:rFonts w:eastAsia="MS Mincho" w:cs="Arial"/>
          <w:spacing w:val="0"/>
          <w:lang w:eastAsia="en-US"/>
        </w:rPr>
        <w:t>that</w:t>
      </w:r>
      <w:proofErr w:type="spellEnd"/>
      <w:r w:rsidRPr="00B84B0C">
        <w:rPr>
          <w:rFonts w:eastAsia="MS Mincho" w:cs="Arial"/>
          <w:spacing w:val="0"/>
          <w:lang w:eastAsia="en-US"/>
        </w:rPr>
        <w:t xml:space="preserve"> are more </w:t>
      </w:r>
      <w:proofErr w:type="spellStart"/>
      <w:r w:rsidRPr="00B84B0C">
        <w:rPr>
          <w:rFonts w:eastAsia="MS Mincho" w:cs="Arial"/>
          <w:spacing w:val="0"/>
          <w:lang w:eastAsia="en-US"/>
        </w:rPr>
        <w:t>adherent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less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impacted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situation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ensuring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that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strategic</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technology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deployments</w:t>
      </w:r>
      <w:proofErr w:type="spellEnd"/>
      <w:r w:rsidRPr="00B84B0C">
        <w:rPr>
          <w:rFonts w:eastAsia="MS Mincho" w:cs="Arial"/>
          <w:spacing w:val="0"/>
          <w:lang w:eastAsia="en-US"/>
        </w:rPr>
        <w:t xml:space="preserve"> do </w:t>
      </w:r>
      <w:proofErr w:type="spellStart"/>
      <w:r w:rsidRPr="00B84B0C">
        <w:rPr>
          <w:rFonts w:eastAsia="MS Mincho" w:cs="Arial"/>
          <w:spacing w:val="0"/>
          <w:lang w:eastAsia="en-US"/>
        </w:rPr>
        <w:t>not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slow</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down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pace, in </w:t>
      </w:r>
      <w:proofErr w:type="spellStart"/>
      <w:r w:rsidRPr="00B84B0C">
        <w:rPr>
          <w:rFonts w:eastAsia="MS Mincho" w:cs="Arial"/>
          <w:spacing w:val="0"/>
          <w:lang w:eastAsia="en-US"/>
        </w:rPr>
        <w:t>addition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accelerating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projects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with</w:t>
      </w:r>
      <w:proofErr w:type="spellEnd"/>
      <w:r w:rsidRPr="00B84B0C">
        <w:rPr>
          <w:rFonts w:eastAsia="MS Mincho" w:cs="Arial"/>
          <w:spacing w:val="0"/>
          <w:lang w:eastAsia="en-US"/>
        </w:rPr>
        <w:t xml:space="preserve"> high </w:t>
      </w:r>
      <w:proofErr w:type="spellStart"/>
      <w:r w:rsidRPr="00B84B0C">
        <w:rPr>
          <w:rFonts w:eastAsia="MS Mincho" w:cs="Arial"/>
          <w:spacing w:val="0"/>
          <w:lang w:eastAsia="en-US"/>
        </w:rPr>
        <w:t>potential</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capture </w:t>
      </w:r>
      <w:proofErr w:type="spellStart"/>
      <w:r w:rsidRPr="00B84B0C">
        <w:rPr>
          <w:rFonts w:eastAsia="MS Mincho" w:cs="Arial"/>
          <w:spacing w:val="0"/>
          <w:lang w:eastAsia="en-US"/>
        </w:rPr>
        <w:t>market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opportunities</w:t>
      </w:r>
      <w:proofErr w:type="spellEnd"/>
      <w:r w:rsidRPr="00B84B0C">
        <w:rPr>
          <w:rFonts w:eastAsia="MS Mincho" w:cs="Arial"/>
          <w:spacing w:val="0"/>
          <w:lang w:eastAsia="en-US"/>
        </w:rPr>
        <w:t>.</w:t>
      </w:r>
    </w:p>
    <w:p w14:paraId="6B2B725B" w14:textId="77777777" w:rsidR="00237ECE" w:rsidRPr="00B84B0C" w:rsidRDefault="00237ECE" w:rsidP="00237ECE">
      <w:pPr>
        <w:pStyle w:val="01-Textonormal"/>
        <w:rPr>
          <w:rFonts w:eastAsia="MS Mincho" w:cs="Arial"/>
          <w:spacing w:val="0"/>
          <w:lang w:eastAsia="en-US"/>
        </w:rPr>
      </w:pPr>
      <w:r w:rsidRPr="00B84B0C">
        <w:rPr>
          <w:rFonts w:eastAsia="MS Mincho" w:cs="Arial"/>
          <w:spacing w:val="0"/>
          <w:lang w:eastAsia="en-US"/>
        </w:rPr>
        <w:t xml:space="preserve">In </w:t>
      </w:r>
      <w:proofErr w:type="spellStart"/>
      <w:r w:rsidRPr="00B84B0C">
        <w:rPr>
          <w:rFonts w:eastAsia="MS Mincho" w:cs="Arial"/>
          <w:spacing w:val="0"/>
          <w:lang w:eastAsia="en-US"/>
        </w:rPr>
        <w:t>this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way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company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has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been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monitoring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adapting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itself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impacts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evaluating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scenarios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that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have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affected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may</w:t>
      </w:r>
      <w:proofErr w:type="spellEnd"/>
      <w:r w:rsidRPr="00B84B0C">
        <w:rPr>
          <w:rFonts w:eastAsia="MS Mincho" w:cs="Arial"/>
          <w:spacing w:val="0"/>
          <w:lang w:eastAsia="en-US"/>
        </w:rPr>
        <w:t xml:space="preserve"> come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affect</w:t>
      </w:r>
      <w:proofErr w:type="spellEnd"/>
      <w:r w:rsidRPr="00B84B0C">
        <w:rPr>
          <w:rFonts w:eastAsia="MS Mincho" w:cs="Arial"/>
          <w:spacing w:val="0"/>
          <w:lang w:eastAsia="en-US"/>
        </w:rPr>
        <w:t xml:space="preserve"> its </w:t>
      </w:r>
      <w:proofErr w:type="spellStart"/>
      <w:r w:rsidRPr="00B84B0C">
        <w:rPr>
          <w:rFonts w:eastAsia="MS Mincho" w:cs="Arial"/>
          <w:spacing w:val="0"/>
          <w:lang w:eastAsia="en-US"/>
        </w:rPr>
        <w:t>operations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with</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daily</w:t>
      </w:r>
      <w:proofErr w:type="spellEnd"/>
      <w:r w:rsidRPr="00B84B0C">
        <w:rPr>
          <w:rFonts w:eastAsia="MS Mincho" w:cs="Arial"/>
          <w:spacing w:val="0"/>
          <w:lang w:eastAsia="en-US"/>
        </w:rPr>
        <w:t xml:space="preserve"> assessment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situation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updating</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preventive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measures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risk</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minimization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actions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coordination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execution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action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plans</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Continuity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Coordinator</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Group</w:t>
      </w:r>
      <w:proofErr w:type="spellEnd"/>
      <w:r w:rsidRPr="00B84B0C">
        <w:rPr>
          <w:rFonts w:eastAsia="MS Mincho" w:cs="Arial"/>
          <w:spacing w:val="0"/>
          <w:lang w:eastAsia="en-US"/>
        </w:rPr>
        <w:t xml:space="preserve">. </w:t>
      </w:r>
    </w:p>
    <w:p w14:paraId="7CCEF894" w14:textId="77777777" w:rsidR="00237ECE" w:rsidRPr="00B84B0C" w:rsidRDefault="00237ECE" w:rsidP="00237ECE">
      <w:pPr>
        <w:pStyle w:val="01-Textonormal"/>
        <w:rPr>
          <w:rFonts w:eastAsia="MS Mincho" w:cs="Arial"/>
          <w:spacing w:val="0"/>
          <w:lang w:eastAsia="en-US"/>
        </w:rPr>
      </w:pPr>
      <w:proofErr w:type="spellStart"/>
      <w:r w:rsidRPr="00B84B0C">
        <w:rPr>
          <w:rFonts w:eastAsia="MS Mincho" w:cs="Arial"/>
          <w:spacing w:val="0"/>
          <w:lang w:eastAsia="en-US"/>
        </w:rPr>
        <w:t>We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believe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that</w:t>
      </w:r>
      <w:proofErr w:type="spellEnd"/>
      <w:r w:rsidRPr="00B84B0C">
        <w:rPr>
          <w:rFonts w:eastAsia="MS Mincho" w:cs="Arial"/>
          <w:spacing w:val="0"/>
          <w:lang w:eastAsia="en-US"/>
        </w:rPr>
        <w:t xml:space="preserve"> BB Seguridade </w:t>
      </w:r>
      <w:proofErr w:type="spellStart"/>
      <w:r w:rsidRPr="00B84B0C">
        <w:rPr>
          <w:rFonts w:eastAsia="MS Mincho" w:cs="Arial"/>
          <w:spacing w:val="0"/>
          <w:lang w:eastAsia="en-US"/>
        </w:rPr>
        <w:t>has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appropriate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workforce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liquidity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overcome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challenge</w:t>
      </w:r>
      <w:proofErr w:type="spellEnd"/>
      <w:r w:rsidRPr="00B84B0C">
        <w:rPr>
          <w:rFonts w:eastAsia="MS Mincho" w:cs="Arial"/>
          <w:spacing w:val="0"/>
          <w:lang w:eastAsia="en-US"/>
        </w:rPr>
        <w:t xml:space="preserve"> in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best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way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possible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up</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to</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now</w:t>
      </w:r>
      <w:proofErr w:type="spellEnd"/>
      <w:r w:rsidRPr="00B84B0C">
        <w:rPr>
          <w:rFonts w:eastAsia="MS Mincho" w:cs="Arial"/>
          <w:spacing w:val="0"/>
          <w:lang w:eastAsia="en-US"/>
        </w:rPr>
        <w:t xml:space="preserve">, no material </w:t>
      </w:r>
      <w:proofErr w:type="spellStart"/>
      <w:r w:rsidRPr="00B84B0C">
        <w:rPr>
          <w:rFonts w:eastAsia="MS Mincho" w:cs="Arial"/>
          <w:spacing w:val="0"/>
          <w:lang w:eastAsia="en-US"/>
        </w:rPr>
        <w:t>impacts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that</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may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jeopardize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sustainability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of</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the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Company</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and</w:t>
      </w:r>
      <w:proofErr w:type="spellEnd"/>
      <w:r w:rsidRPr="00B84B0C">
        <w:rPr>
          <w:rFonts w:eastAsia="MS Mincho" w:cs="Arial"/>
          <w:spacing w:val="0"/>
          <w:lang w:eastAsia="en-US"/>
        </w:rPr>
        <w:t xml:space="preserve"> its </w:t>
      </w:r>
      <w:proofErr w:type="spellStart"/>
      <w:r w:rsidRPr="00B84B0C">
        <w:rPr>
          <w:rFonts w:eastAsia="MS Mincho" w:cs="Arial"/>
          <w:spacing w:val="0"/>
          <w:lang w:eastAsia="en-US"/>
        </w:rPr>
        <w:t>Investees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operations</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have</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been</w:t>
      </w:r>
      <w:proofErr w:type="spellEnd"/>
      <w:r w:rsidRPr="00B84B0C">
        <w:rPr>
          <w:rFonts w:eastAsia="MS Mincho" w:cs="Arial"/>
          <w:spacing w:val="0"/>
          <w:lang w:eastAsia="en-US"/>
        </w:rPr>
        <w:t xml:space="preserve"> </w:t>
      </w:r>
      <w:proofErr w:type="spellStart"/>
      <w:r w:rsidRPr="00B84B0C">
        <w:rPr>
          <w:rFonts w:eastAsia="MS Mincho" w:cs="Arial"/>
          <w:spacing w:val="0"/>
          <w:lang w:eastAsia="en-US"/>
        </w:rPr>
        <w:t>identified</w:t>
      </w:r>
      <w:proofErr w:type="spellEnd"/>
      <w:r w:rsidRPr="00B84B0C">
        <w:rPr>
          <w:rFonts w:eastAsia="MS Mincho" w:cs="Arial"/>
          <w:spacing w:val="0"/>
          <w:lang w:eastAsia="en-US"/>
        </w:rPr>
        <w:t>.</w:t>
      </w:r>
    </w:p>
    <w:p w14:paraId="2B2338C8" w14:textId="77777777" w:rsidR="00237ECE" w:rsidRPr="00B84B0C" w:rsidRDefault="00237ECE" w:rsidP="00237ECE">
      <w:pPr>
        <w:pStyle w:val="01-Textonormal"/>
        <w:rPr>
          <w:rFonts w:cs="Arial"/>
        </w:rPr>
      </w:pPr>
      <w:r w:rsidRPr="00B84B0C">
        <w:rPr>
          <w:rFonts w:cs="Arial"/>
        </w:rPr>
        <w:br w:type="page"/>
      </w:r>
    </w:p>
    <w:p w14:paraId="0146239B" w14:textId="77777777" w:rsidR="00237ECE" w:rsidRPr="00B84B0C" w:rsidRDefault="00237ECE" w:rsidP="00237ECE">
      <w:pPr>
        <w:pStyle w:val="03-SubttulodeNota"/>
        <w:spacing w:line="276" w:lineRule="auto"/>
        <w:rPr>
          <w:rFonts w:cs="Arial"/>
          <w:color w:val="1F4E79" w:themeColor="accent1" w:themeShade="80"/>
        </w:rPr>
      </w:pPr>
      <w:r w:rsidRPr="00B84B0C">
        <w:rPr>
          <w:rFonts w:cs="Arial"/>
          <w:color w:val="1F4E79" w:themeColor="accent1" w:themeShade="80"/>
        </w:rPr>
        <w:lastRenderedPageBreak/>
        <w:t>RELATIONSHIP WITH INDEPENDENT AUDITORS</w:t>
      </w:r>
    </w:p>
    <w:p w14:paraId="7AD0A7B4" w14:textId="77777777" w:rsidR="00237ECE" w:rsidRPr="00B84B0C" w:rsidRDefault="00237ECE" w:rsidP="00237ECE">
      <w:pPr>
        <w:pStyle w:val="01-Textonormal"/>
        <w:rPr>
          <w:rFonts w:cs="Arial"/>
        </w:rPr>
      </w:pPr>
    </w:p>
    <w:p w14:paraId="31BE9FA6" w14:textId="77777777" w:rsidR="00237ECE" w:rsidRPr="00B84B0C" w:rsidRDefault="00237ECE" w:rsidP="00237ECE">
      <w:pPr>
        <w:jc w:val="both"/>
        <w:rPr>
          <w:rFonts w:eastAsia="Times New Roman" w:cs="Arial"/>
          <w:szCs w:val="18"/>
          <w:lang w:eastAsia="pt-BR"/>
        </w:rPr>
      </w:pPr>
      <w:proofErr w:type="spellStart"/>
      <w:r w:rsidRPr="00B84B0C">
        <w:rPr>
          <w:rFonts w:eastAsia="Times New Roman" w:cs="Arial"/>
          <w:szCs w:val="18"/>
          <w:lang w:eastAsia="pt-BR"/>
        </w:rPr>
        <w:t>According</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to</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CVM </w:t>
      </w:r>
      <w:proofErr w:type="spellStart"/>
      <w:r w:rsidRPr="00B84B0C">
        <w:rPr>
          <w:rFonts w:eastAsia="Times New Roman" w:cs="Arial"/>
          <w:szCs w:val="18"/>
          <w:lang w:eastAsia="pt-BR"/>
        </w:rPr>
        <w:t>Rule</w:t>
      </w:r>
      <w:proofErr w:type="spellEnd"/>
      <w:r w:rsidRPr="00B84B0C">
        <w:rPr>
          <w:rFonts w:eastAsia="Times New Roman" w:cs="Arial"/>
          <w:szCs w:val="18"/>
          <w:lang w:eastAsia="pt-BR"/>
        </w:rPr>
        <w:t xml:space="preserve"> 381/03, </w:t>
      </w:r>
      <w:proofErr w:type="spellStart"/>
      <w:r w:rsidRPr="00B84B0C">
        <w:rPr>
          <w:rFonts w:eastAsia="Times New Roman" w:cs="Arial"/>
          <w:szCs w:val="18"/>
          <w:lang w:eastAsia="pt-BR"/>
        </w:rPr>
        <w:t>we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hereby</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inform</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that</w:t>
      </w:r>
      <w:proofErr w:type="spellEnd"/>
      <w:r w:rsidRPr="00B84B0C">
        <w:rPr>
          <w:rFonts w:eastAsia="Times New Roman" w:cs="Arial"/>
          <w:szCs w:val="18"/>
          <w:lang w:eastAsia="pt-BR"/>
        </w:rPr>
        <w:t xml:space="preserve"> for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first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quarter</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2020 </w:t>
      </w:r>
      <w:proofErr w:type="spellStart"/>
      <w:r w:rsidRPr="00B84B0C">
        <w:rPr>
          <w:rFonts w:eastAsia="Times New Roman" w:cs="Arial"/>
          <w:szCs w:val="18"/>
          <w:lang w:eastAsia="pt-BR"/>
        </w:rPr>
        <w:t>results</w:t>
      </w:r>
      <w:proofErr w:type="spellEnd"/>
      <w:r w:rsidRPr="00B84B0C">
        <w:rPr>
          <w:rFonts w:eastAsia="Times New Roman" w:cs="Arial"/>
          <w:szCs w:val="18"/>
          <w:lang w:eastAsia="pt-BR"/>
        </w:rPr>
        <w:t xml:space="preserve"> BB Seguridade </w:t>
      </w:r>
      <w:proofErr w:type="spellStart"/>
      <w:r w:rsidRPr="00B84B0C">
        <w:rPr>
          <w:rFonts w:eastAsia="Times New Roman" w:cs="Arial"/>
          <w:szCs w:val="18"/>
          <w:lang w:eastAsia="pt-BR"/>
        </w:rPr>
        <w:t>has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used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independent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audit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services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provided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by</w:t>
      </w:r>
      <w:proofErr w:type="spellEnd"/>
      <w:r w:rsidRPr="00B84B0C">
        <w:rPr>
          <w:rFonts w:eastAsia="Times New Roman" w:cs="Arial"/>
          <w:szCs w:val="18"/>
          <w:lang w:eastAsia="pt-BR"/>
        </w:rPr>
        <w:t xml:space="preserve"> Deloitte Touche </w:t>
      </w:r>
      <w:proofErr w:type="spellStart"/>
      <w:r w:rsidRPr="00B84B0C">
        <w:rPr>
          <w:rFonts w:eastAsia="Times New Roman" w:cs="Arial"/>
          <w:szCs w:val="18"/>
          <w:lang w:eastAsia="pt-BR"/>
        </w:rPr>
        <w:t>Tohmatsu</w:t>
      </w:r>
      <w:proofErr w:type="spellEnd"/>
      <w:r w:rsidRPr="00B84B0C">
        <w:rPr>
          <w:rFonts w:eastAsia="Times New Roman" w:cs="Arial"/>
          <w:szCs w:val="18"/>
          <w:lang w:eastAsia="pt-BR"/>
        </w:rPr>
        <w:t xml:space="preserve"> Auditores Independentes (“Deloitte”), </w:t>
      </w:r>
      <w:proofErr w:type="spellStart"/>
      <w:r w:rsidRPr="00B84B0C">
        <w:rPr>
          <w:rFonts w:eastAsia="Times New Roman" w:cs="Arial"/>
          <w:szCs w:val="18"/>
          <w:lang w:eastAsia="pt-BR"/>
        </w:rPr>
        <w:t>through</w:t>
      </w:r>
      <w:proofErr w:type="spellEnd"/>
      <w:r w:rsidRPr="00B84B0C">
        <w:rPr>
          <w:rFonts w:eastAsia="Times New Roman" w:cs="Arial"/>
          <w:szCs w:val="18"/>
          <w:lang w:eastAsia="pt-BR"/>
        </w:rPr>
        <w:t xml:space="preserve"> a </w:t>
      </w:r>
      <w:proofErr w:type="spellStart"/>
      <w:r w:rsidRPr="00B84B0C">
        <w:rPr>
          <w:rFonts w:eastAsia="Times New Roman" w:cs="Arial"/>
          <w:szCs w:val="18"/>
          <w:lang w:eastAsia="pt-BR"/>
        </w:rPr>
        <w:t>contract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maintained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by</w:t>
      </w:r>
      <w:proofErr w:type="spellEnd"/>
      <w:r w:rsidRPr="00B84B0C">
        <w:rPr>
          <w:rFonts w:eastAsia="Times New Roman" w:cs="Arial"/>
          <w:szCs w:val="18"/>
          <w:lang w:eastAsia="pt-BR"/>
        </w:rPr>
        <w:t xml:space="preserve"> its </w:t>
      </w:r>
      <w:proofErr w:type="spellStart"/>
      <w:r w:rsidRPr="00B84B0C">
        <w:rPr>
          <w:rFonts w:eastAsia="Times New Roman" w:cs="Arial"/>
          <w:szCs w:val="18"/>
          <w:lang w:eastAsia="pt-BR"/>
        </w:rPr>
        <w:t>controlling</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shareholder</w:t>
      </w:r>
      <w:proofErr w:type="spellEnd"/>
      <w:r w:rsidRPr="00B84B0C">
        <w:rPr>
          <w:rFonts w:eastAsia="Times New Roman" w:cs="Arial"/>
          <w:szCs w:val="18"/>
          <w:lang w:eastAsia="pt-BR"/>
        </w:rPr>
        <w:t xml:space="preserve"> Banco do Brasil S.A.</w:t>
      </w:r>
    </w:p>
    <w:p w14:paraId="78FF8109" w14:textId="77777777" w:rsidR="00237ECE" w:rsidRPr="00B84B0C" w:rsidRDefault="00237ECE" w:rsidP="00237ECE">
      <w:pPr>
        <w:jc w:val="both"/>
        <w:rPr>
          <w:rFonts w:eastAsia="Times New Roman" w:cs="Arial"/>
          <w:szCs w:val="18"/>
          <w:lang w:eastAsia="pt-BR"/>
        </w:rPr>
      </w:pPr>
      <w:r w:rsidRPr="00B84B0C">
        <w:rPr>
          <w:rFonts w:eastAsia="Times New Roman" w:cs="Arial"/>
          <w:szCs w:val="18"/>
          <w:lang w:eastAsia="pt-BR"/>
        </w:rPr>
        <w:t xml:space="preserve">When </w:t>
      </w:r>
      <w:proofErr w:type="spellStart"/>
      <w:r w:rsidRPr="00B84B0C">
        <w:rPr>
          <w:rFonts w:eastAsia="Times New Roman" w:cs="Arial"/>
          <w:szCs w:val="18"/>
          <w:lang w:eastAsia="pt-BR"/>
        </w:rPr>
        <w:t>hiring</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services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not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related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to</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external</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audit</w:t>
      </w:r>
      <w:proofErr w:type="spellEnd"/>
      <w:r w:rsidRPr="00B84B0C">
        <w:rPr>
          <w:rFonts w:eastAsia="Times New Roman" w:cs="Arial"/>
          <w:szCs w:val="18"/>
          <w:lang w:eastAsia="pt-BR"/>
        </w:rPr>
        <w:t xml:space="preserve">, BB Seguridade </w:t>
      </w:r>
      <w:proofErr w:type="spellStart"/>
      <w:r w:rsidRPr="00B84B0C">
        <w:rPr>
          <w:rFonts w:eastAsia="Times New Roman" w:cs="Arial"/>
          <w:szCs w:val="18"/>
          <w:lang w:eastAsia="pt-BR"/>
        </w:rPr>
        <w:t>adopts</w:t>
      </w:r>
      <w:proofErr w:type="spellEnd"/>
      <w:r w:rsidRPr="00B84B0C">
        <w:rPr>
          <w:rFonts w:eastAsia="Times New Roman" w:cs="Arial"/>
          <w:szCs w:val="18"/>
          <w:lang w:eastAsia="pt-BR"/>
        </w:rPr>
        <w:t xml:space="preserve"> procedures </w:t>
      </w:r>
      <w:proofErr w:type="spellStart"/>
      <w:r w:rsidRPr="00B84B0C">
        <w:rPr>
          <w:rFonts w:eastAsia="Times New Roman" w:cs="Arial"/>
          <w:szCs w:val="18"/>
          <w:lang w:eastAsia="pt-BR"/>
        </w:rPr>
        <w:t>based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applicable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law</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and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international</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accepted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principles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that</w:t>
      </w:r>
      <w:proofErr w:type="spellEnd"/>
      <w:r w:rsidRPr="00B84B0C">
        <w:rPr>
          <w:rFonts w:eastAsia="Times New Roman" w:cs="Arial"/>
          <w:szCs w:val="18"/>
          <w:lang w:eastAsia="pt-BR"/>
        </w:rPr>
        <w:t xml:space="preserve"> 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auditor's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independence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Such</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principles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consist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(i)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auditor </w:t>
      </w:r>
      <w:proofErr w:type="spellStart"/>
      <w:r w:rsidRPr="00B84B0C">
        <w:rPr>
          <w:rFonts w:eastAsia="Times New Roman" w:cs="Arial"/>
          <w:szCs w:val="18"/>
          <w:lang w:eastAsia="pt-BR"/>
        </w:rPr>
        <w:t>should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not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audit</w:t>
      </w:r>
      <w:proofErr w:type="spellEnd"/>
      <w:r w:rsidRPr="00B84B0C">
        <w:rPr>
          <w:rFonts w:eastAsia="Times New Roman" w:cs="Arial"/>
          <w:szCs w:val="18"/>
          <w:lang w:eastAsia="pt-BR"/>
        </w:rPr>
        <w:t xml:space="preserve"> its </w:t>
      </w:r>
      <w:proofErr w:type="spellStart"/>
      <w:r w:rsidRPr="00B84B0C">
        <w:rPr>
          <w:rFonts w:eastAsia="Times New Roman" w:cs="Arial"/>
          <w:szCs w:val="18"/>
          <w:lang w:eastAsia="pt-BR"/>
        </w:rPr>
        <w:t>own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work</w:t>
      </w:r>
      <w:proofErr w:type="spellEnd"/>
      <w:r w:rsidRPr="00B84B0C">
        <w:rPr>
          <w:rFonts w:eastAsia="Times New Roman" w:cs="Arial"/>
          <w:szCs w:val="18"/>
          <w:lang w:eastAsia="pt-BR"/>
        </w:rPr>
        <w:t>; (</w:t>
      </w:r>
      <w:proofErr w:type="spellStart"/>
      <w:r w:rsidRPr="00B84B0C">
        <w:rPr>
          <w:rFonts w:eastAsia="Times New Roman" w:cs="Arial"/>
          <w:szCs w:val="18"/>
          <w:lang w:eastAsia="pt-BR"/>
        </w:rPr>
        <w:t>ii</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auditor </w:t>
      </w:r>
      <w:proofErr w:type="spellStart"/>
      <w:r w:rsidRPr="00B84B0C">
        <w:rPr>
          <w:rFonts w:eastAsia="Times New Roman" w:cs="Arial"/>
          <w:szCs w:val="18"/>
          <w:lang w:eastAsia="pt-BR"/>
        </w:rPr>
        <w:t>should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not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perform</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managerial</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activities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his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client</w:t>
      </w:r>
      <w:proofErr w:type="spellEnd"/>
      <w:r w:rsidRPr="00B84B0C">
        <w:rPr>
          <w:rFonts w:eastAsia="Times New Roman" w:cs="Arial"/>
          <w:szCs w:val="18"/>
          <w:lang w:eastAsia="pt-BR"/>
        </w:rPr>
        <w:t xml:space="preserve"> management </w:t>
      </w:r>
      <w:proofErr w:type="spellStart"/>
      <w:r w:rsidRPr="00B84B0C">
        <w:rPr>
          <w:rFonts w:eastAsia="Times New Roman" w:cs="Arial"/>
          <w:szCs w:val="18"/>
          <w:lang w:eastAsia="pt-BR"/>
        </w:rPr>
        <w:t>structure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and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iii</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auditor </w:t>
      </w:r>
      <w:proofErr w:type="spellStart"/>
      <w:r w:rsidRPr="00B84B0C">
        <w:rPr>
          <w:rFonts w:eastAsia="Times New Roman" w:cs="Arial"/>
          <w:szCs w:val="18"/>
          <w:lang w:eastAsia="pt-BR"/>
        </w:rPr>
        <w:t>should</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not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promote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interests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its </w:t>
      </w:r>
      <w:proofErr w:type="spellStart"/>
      <w:r w:rsidRPr="00B84B0C">
        <w:rPr>
          <w:rFonts w:eastAsia="Times New Roman" w:cs="Arial"/>
          <w:szCs w:val="18"/>
          <w:lang w:eastAsia="pt-BR"/>
        </w:rPr>
        <w:t>client</w:t>
      </w:r>
      <w:proofErr w:type="spellEnd"/>
      <w:r w:rsidRPr="00B84B0C">
        <w:rPr>
          <w:rFonts w:eastAsia="Times New Roman" w:cs="Arial"/>
          <w:szCs w:val="18"/>
          <w:lang w:eastAsia="pt-BR"/>
        </w:rPr>
        <w:t>.</w:t>
      </w:r>
    </w:p>
    <w:p w14:paraId="7D063F63" w14:textId="77777777" w:rsidR="00237ECE" w:rsidRPr="00B84B0C" w:rsidRDefault="00237ECE" w:rsidP="00237ECE">
      <w:pPr>
        <w:jc w:val="both"/>
        <w:rPr>
          <w:rFonts w:eastAsia="Times New Roman" w:cs="Arial"/>
          <w:szCs w:val="18"/>
          <w:lang w:eastAsia="pt-BR"/>
        </w:rPr>
      </w:pPr>
      <w:proofErr w:type="spellStart"/>
      <w:r w:rsidRPr="00B84B0C">
        <w:rPr>
          <w:rFonts w:eastAsia="Times New Roman" w:cs="Arial"/>
          <w:szCs w:val="18"/>
          <w:lang w:eastAsia="pt-BR"/>
        </w:rPr>
        <w:t>During</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first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quarter</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2020, </w:t>
      </w:r>
      <w:proofErr w:type="spellStart"/>
      <w:r w:rsidRPr="00B84B0C">
        <w:rPr>
          <w:rFonts w:eastAsia="Times New Roman" w:cs="Arial"/>
          <w:szCs w:val="18"/>
          <w:lang w:eastAsia="pt-BR"/>
        </w:rPr>
        <w:t>there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was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extension</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of</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audit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services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contract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between</w:t>
      </w:r>
      <w:proofErr w:type="spellEnd"/>
      <w:r w:rsidRPr="00B84B0C">
        <w:rPr>
          <w:rFonts w:eastAsia="Times New Roman" w:cs="Arial"/>
          <w:szCs w:val="18"/>
          <w:lang w:eastAsia="pt-BR"/>
        </w:rPr>
        <w:t xml:space="preserve"> Banco do Brasil </w:t>
      </w:r>
      <w:proofErr w:type="spellStart"/>
      <w:r w:rsidRPr="00B84B0C">
        <w:rPr>
          <w:rFonts w:eastAsia="Times New Roman" w:cs="Arial"/>
          <w:szCs w:val="18"/>
          <w:lang w:eastAsia="pt-BR"/>
        </w:rPr>
        <w:t>and</w:t>
      </w:r>
      <w:proofErr w:type="spellEnd"/>
      <w:r w:rsidRPr="00B84B0C">
        <w:rPr>
          <w:rFonts w:eastAsia="Times New Roman" w:cs="Arial"/>
          <w:szCs w:val="18"/>
          <w:lang w:eastAsia="pt-BR"/>
        </w:rPr>
        <w:t xml:space="preserve"> Deloitte, </w:t>
      </w:r>
      <w:proofErr w:type="spellStart"/>
      <w:r w:rsidRPr="00B84B0C">
        <w:rPr>
          <w:rFonts w:eastAsia="Times New Roman" w:cs="Arial"/>
          <w:szCs w:val="18"/>
          <w:lang w:eastAsia="pt-BR"/>
        </w:rPr>
        <w:t>with</w:t>
      </w:r>
      <w:proofErr w:type="spellEnd"/>
      <w:r w:rsidRPr="00B84B0C">
        <w:rPr>
          <w:rFonts w:eastAsia="Times New Roman" w:cs="Arial"/>
          <w:szCs w:val="18"/>
          <w:lang w:eastAsia="pt-BR"/>
        </w:rPr>
        <w:t xml:space="preserve"> a </w:t>
      </w:r>
      <w:proofErr w:type="spellStart"/>
      <w:r w:rsidRPr="00B84B0C">
        <w:rPr>
          <w:rFonts w:eastAsia="Times New Roman" w:cs="Arial"/>
          <w:szCs w:val="18"/>
          <w:lang w:eastAsia="pt-BR"/>
        </w:rPr>
        <w:t>price</w:t>
      </w:r>
      <w:proofErr w:type="spellEnd"/>
      <w:r w:rsidRPr="00B84B0C">
        <w:rPr>
          <w:rFonts w:eastAsia="Times New Roman" w:cs="Arial"/>
          <w:szCs w:val="18"/>
          <w:lang w:eastAsia="pt-BR"/>
        </w:rPr>
        <w:t xml:space="preserve"> update, in </w:t>
      </w:r>
      <w:proofErr w:type="spellStart"/>
      <w:r w:rsidRPr="00B84B0C">
        <w:rPr>
          <w:rFonts w:eastAsia="Times New Roman" w:cs="Arial"/>
          <w:szCs w:val="18"/>
          <w:lang w:eastAsia="pt-BR"/>
        </w:rPr>
        <w:t>accordance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with</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contractual</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agreement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Additionally</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the</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independent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audit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services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contract</w:t>
      </w:r>
      <w:proofErr w:type="spellEnd"/>
      <w:r w:rsidRPr="00B84B0C">
        <w:rPr>
          <w:rFonts w:eastAsia="Times New Roman" w:cs="Arial"/>
          <w:szCs w:val="18"/>
          <w:lang w:eastAsia="pt-BR"/>
        </w:rPr>
        <w:t xml:space="preserve"> for </w:t>
      </w:r>
      <w:proofErr w:type="spellStart"/>
      <w:r w:rsidRPr="00B84B0C">
        <w:rPr>
          <w:rFonts w:eastAsia="Times New Roman" w:cs="Arial"/>
          <w:szCs w:val="18"/>
          <w:lang w:eastAsia="pt-BR"/>
        </w:rPr>
        <w:t>issuing</w:t>
      </w:r>
      <w:proofErr w:type="spellEnd"/>
      <w:r w:rsidRPr="00B84B0C">
        <w:rPr>
          <w:rFonts w:eastAsia="Times New Roman" w:cs="Arial"/>
          <w:szCs w:val="18"/>
          <w:lang w:eastAsia="pt-BR"/>
        </w:rPr>
        <w:t xml:space="preserve"> a </w:t>
      </w:r>
      <w:proofErr w:type="spellStart"/>
      <w:r w:rsidRPr="00B84B0C">
        <w:rPr>
          <w:rFonts w:eastAsia="Times New Roman" w:cs="Arial"/>
          <w:szCs w:val="18"/>
          <w:lang w:eastAsia="pt-BR"/>
        </w:rPr>
        <w:t>Comfort</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Letter</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was</w:t>
      </w:r>
      <w:proofErr w:type="spellEnd"/>
      <w:r w:rsidRPr="00B84B0C">
        <w:rPr>
          <w:rFonts w:eastAsia="Times New Roman" w:cs="Arial"/>
          <w:szCs w:val="18"/>
          <w:lang w:eastAsia="pt-BR"/>
        </w:rPr>
        <w:t xml:space="preserve"> </w:t>
      </w:r>
      <w:proofErr w:type="spellStart"/>
      <w:r w:rsidRPr="00B84B0C">
        <w:rPr>
          <w:rFonts w:eastAsia="Times New Roman" w:cs="Arial"/>
          <w:szCs w:val="18"/>
          <w:lang w:eastAsia="pt-BR"/>
        </w:rPr>
        <w:t>finished</w:t>
      </w:r>
      <w:proofErr w:type="spellEnd"/>
      <w:r w:rsidRPr="00B84B0C">
        <w:rPr>
          <w:rFonts w:eastAsia="Times New Roman" w:cs="Arial"/>
          <w:szCs w:val="18"/>
          <w:lang w:eastAsia="pt-BR"/>
        </w:rPr>
        <w:t>.</w:t>
      </w:r>
    </w:p>
    <w:p w14:paraId="73BAA263" w14:textId="77777777" w:rsidR="00237ECE" w:rsidRPr="00B84B0C" w:rsidRDefault="00237ECE" w:rsidP="00237ECE">
      <w:pPr>
        <w:jc w:val="both"/>
        <w:rPr>
          <w:rFonts w:eastAsia="Times New Roman" w:cs="Arial"/>
          <w:szCs w:val="18"/>
          <w:lang w:eastAsia="pt-BR"/>
        </w:rPr>
      </w:pPr>
    </w:p>
    <w:tbl>
      <w:tblPr>
        <w:tblStyle w:val="TabeladeLista6Colorida-nfase53"/>
        <w:tblW w:w="9638" w:type="dxa"/>
        <w:tblLook w:val="04A0" w:firstRow="1" w:lastRow="0" w:firstColumn="1" w:lastColumn="0" w:noHBand="0" w:noVBand="1"/>
      </w:tblPr>
      <w:tblGrid>
        <w:gridCol w:w="2693"/>
        <w:gridCol w:w="1015"/>
        <w:gridCol w:w="1016"/>
        <w:gridCol w:w="3640"/>
        <w:gridCol w:w="1274"/>
      </w:tblGrid>
      <w:tr w:rsidR="00237ECE" w:rsidRPr="00B84B0C" w14:paraId="77ECA9D3" w14:textId="77777777" w:rsidTr="003E3C21">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693" w:type="dxa"/>
            <w:vMerge w:val="restart"/>
            <w:tcBorders>
              <w:top w:val="single" w:sz="2" w:space="0" w:color="8EAADB" w:themeColor="accent5" w:themeTint="99"/>
            </w:tcBorders>
            <w:shd w:val="clear" w:color="auto" w:fill="D9E2F3" w:themeFill="accent5" w:themeFillTint="33"/>
            <w:vAlign w:val="center"/>
          </w:tcPr>
          <w:p w14:paraId="59F49FAF" w14:textId="77777777" w:rsidR="00237ECE" w:rsidRPr="00B84B0C" w:rsidRDefault="00237ECE" w:rsidP="003E3C21">
            <w:pPr>
              <w:pStyle w:val="08-Tabelageral"/>
              <w:jc w:val="center"/>
              <w:rPr>
                <w:rFonts w:cs="Arial"/>
                <w:szCs w:val="14"/>
              </w:rPr>
            </w:pPr>
            <w:proofErr w:type="spellStart"/>
            <w:r w:rsidRPr="00B84B0C">
              <w:rPr>
                <w:rFonts w:cs="Arial"/>
                <w:bCs w:val="0"/>
                <w:szCs w:val="14"/>
              </w:rPr>
              <w:t>Company</w:t>
            </w:r>
            <w:proofErr w:type="spellEnd"/>
          </w:p>
        </w:tc>
        <w:tc>
          <w:tcPr>
            <w:tcW w:w="2031" w:type="dxa"/>
            <w:gridSpan w:val="2"/>
            <w:tcBorders>
              <w:top w:val="single" w:sz="2" w:space="0" w:color="8EAADB" w:themeColor="accent5" w:themeTint="99"/>
              <w:bottom w:val="nil"/>
            </w:tcBorders>
            <w:shd w:val="clear" w:color="auto" w:fill="D9E2F3" w:themeFill="accent5" w:themeFillTint="33"/>
            <w:vAlign w:val="center"/>
          </w:tcPr>
          <w:p w14:paraId="189ECFD3" w14:textId="77777777" w:rsidR="00237ECE" w:rsidRPr="00B84B0C" w:rsidRDefault="00237ECE" w:rsidP="003E3C21">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B84B0C">
              <w:rPr>
                <w:rFonts w:cs="Arial"/>
                <w:szCs w:val="14"/>
              </w:rPr>
              <w:t>Contract</w:t>
            </w:r>
            <w:proofErr w:type="spellEnd"/>
            <w:r w:rsidRPr="00B84B0C">
              <w:rPr>
                <w:rFonts w:cs="Arial"/>
                <w:szCs w:val="14"/>
              </w:rPr>
              <w:t xml:space="preserve"> dates</w:t>
            </w:r>
          </w:p>
        </w:tc>
        <w:tc>
          <w:tcPr>
            <w:tcW w:w="3640" w:type="dxa"/>
            <w:vMerge w:val="restart"/>
            <w:tcBorders>
              <w:top w:val="single" w:sz="2" w:space="0" w:color="8EAADB" w:themeColor="accent5" w:themeTint="99"/>
            </w:tcBorders>
            <w:shd w:val="clear" w:color="auto" w:fill="D9E2F3" w:themeFill="accent5" w:themeFillTint="33"/>
            <w:vAlign w:val="center"/>
          </w:tcPr>
          <w:p w14:paraId="1F977D90" w14:textId="77777777" w:rsidR="00237ECE" w:rsidRPr="00B84B0C" w:rsidRDefault="00237ECE" w:rsidP="003E3C21">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rPr>
            </w:pPr>
            <w:r w:rsidRPr="00B84B0C">
              <w:rPr>
                <w:rFonts w:cs="Arial"/>
                <w:szCs w:val="14"/>
              </w:rPr>
              <w:t>Service</w:t>
            </w:r>
          </w:p>
        </w:tc>
        <w:tc>
          <w:tcPr>
            <w:tcW w:w="1274" w:type="dxa"/>
            <w:vMerge w:val="restart"/>
            <w:tcBorders>
              <w:top w:val="single" w:sz="2" w:space="0" w:color="8EAADB" w:themeColor="accent5" w:themeTint="99"/>
            </w:tcBorders>
            <w:shd w:val="clear" w:color="auto" w:fill="D9E2F3" w:themeFill="accent5" w:themeFillTint="33"/>
            <w:vAlign w:val="center"/>
          </w:tcPr>
          <w:p w14:paraId="11B8C1BA" w14:textId="77777777" w:rsidR="00237ECE" w:rsidRPr="00B84B0C" w:rsidRDefault="00237ECE" w:rsidP="003E3C21">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B84B0C">
              <w:rPr>
                <w:rFonts w:cs="Arial"/>
                <w:szCs w:val="14"/>
              </w:rPr>
              <w:t>Fee</w:t>
            </w:r>
            <w:proofErr w:type="spellEnd"/>
            <w:r w:rsidRPr="00B84B0C">
              <w:rPr>
                <w:rFonts w:cs="Arial"/>
                <w:szCs w:val="14"/>
              </w:rPr>
              <w:t xml:space="preserve"> (R$)</w:t>
            </w:r>
          </w:p>
        </w:tc>
      </w:tr>
      <w:tr w:rsidR="00237ECE" w:rsidRPr="00B84B0C" w14:paraId="561C83F7" w14:textId="77777777" w:rsidTr="003E3C21">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693" w:type="dxa"/>
            <w:vMerge/>
            <w:tcBorders>
              <w:bottom w:val="single" w:sz="2" w:space="0" w:color="8EAADB" w:themeColor="accent5" w:themeTint="99"/>
            </w:tcBorders>
          </w:tcPr>
          <w:p w14:paraId="4D3BF8C4" w14:textId="77777777" w:rsidR="00237ECE" w:rsidRPr="00B84B0C" w:rsidRDefault="00237ECE" w:rsidP="003E3C21">
            <w:pPr>
              <w:pStyle w:val="08-Tabelageral"/>
              <w:jc w:val="left"/>
              <w:rPr>
                <w:rFonts w:cs="Arial"/>
                <w:bCs w:val="0"/>
                <w:szCs w:val="14"/>
              </w:rPr>
            </w:pPr>
          </w:p>
        </w:tc>
        <w:tc>
          <w:tcPr>
            <w:tcW w:w="1015" w:type="dxa"/>
            <w:tcBorders>
              <w:top w:val="nil"/>
              <w:bottom w:val="single" w:sz="2" w:space="0" w:color="8EAADB" w:themeColor="accent5" w:themeTint="99"/>
            </w:tcBorders>
          </w:tcPr>
          <w:p w14:paraId="10C34D73" w14:textId="77777777" w:rsidR="00237ECE" w:rsidRPr="00B84B0C" w:rsidRDefault="00237ECE" w:rsidP="003E3C21">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B84B0C">
              <w:rPr>
                <w:rFonts w:cs="Arial"/>
                <w:b/>
                <w:szCs w:val="14"/>
              </w:rPr>
              <w:t>Start</w:t>
            </w:r>
          </w:p>
        </w:tc>
        <w:tc>
          <w:tcPr>
            <w:tcW w:w="1016" w:type="dxa"/>
            <w:tcBorders>
              <w:top w:val="nil"/>
              <w:bottom w:val="single" w:sz="2" w:space="0" w:color="8EAADB" w:themeColor="accent5" w:themeTint="99"/>
            </w:tcBorders>
          </w:tcPr>
          <w:p w14:paraId="2F7EEAE0" w14:textId="77777777" w:rsidR="00237ECE" w:rsidRPr="00B84B0C" w:rsidRDefault="00237ECE" w:rsidP="003E3C21">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B84B0C">
              <w:rPr>
                <w:rFonts w:cs="Arial"/>
                <w:b/>
                <w:szCs w:val="14"/>
              </w:rPr>
              <w:t>End</w:t>
            </w:r>
            <w:proofErr w:type="spellEnd"/>
          </w:p>
        </w:tc>
        <w:tc>
          <w:tcPr>
            <w:tcW w:w="3640" w:type="dxa"/>
            <w:vMerge/>
            <w:tcBorders>
              <w:bottom w:val="single" w:sz="2" w:space="0" w:color="8EAADB" w:themeColor="accent5" w:themeTint="99"/>
            </w:tcBorders>
          </w:tcPr>
          <w:p w14:paraId="330572C3" w14:textId="77777777" w:rsidR="00237ECE" w:rsidRPr="00B84B0C" w:rsidRDefault="00237ECE" w:rsidP="003E3C21">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74" w:type="dxa"/>
            <w:vMerge/>
            <w:tcBorders>
              <w:bottom w:val="single" w:sz="2" w:space="0" w:color="8EAADB" w:themeColor="accent5" w:themeTint="99"/>
            </w:tcBorders>
          </w:tcPr>
          <w:p w14:paraId="73105F14" w14:textId="77777777" w:rsidR="00237ECE" w:rsidRPr="00B84B0C" w:rsidRDefault="00237ECE" w:rsidP="003E3C21">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szCs w:val="14"/>
              </w:rPr>
            </w:pPr>
          </w:p>
        </w:tc>
      </w:tr>
      <w:tr w:rsidR="00237ECE" w:rsidRPr="00B84B0C" w14:paraId="0CFA8BF7" w14:textId="77777777" w:rsidTr="003E3C21">
        <w:trPr>
          <w:trHeight w:hRule="exact" w:val="1191"/>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vAlign w:val="center"/>
          </w:tcPr>
          <w:p w14:paraId="1EFF84C2" w14:textId="77777777" w:rsidR="00237ECE" w:rsidRPr="00B84B0C" w:rsidRDefault="00237ECE" w:rsidP="003E3C21">
            <w:pPr>
              <w:pStyle w:val="08-Tabelageral"/>
              <w:jc w:val="left"/>
              <w:rPr>
                <w:rFonts w:cs="Arial"/>
                <w:b w:val="0"/>
                <w:snapToGrid w:val="0"/>
                <w:szCs w:val="14"/>
              </w:rPr>
            </w:pPr>
            <w:r w:rsidRPr="00B84B0C">
              <w:rPr>
                <w:rFonts w:cs="Arial"/>
                <w:b w:val="0"/>
                <w:szCs w:val="14"/>
              </w:rPr>
              <w:t>Banco do Brasil S.A.</w:t>
            </w:r>
          </w:p>
        </w:tc>
        <w:tc>
          <w:tcPr>
            <w:tcW w:w="1015" w:type="dxa"/>
            <w:tcBorders>
              <w:top w:val="nil"/>
              <w:bottom w:val="nil"/>
            </w:tcBorders>
            <w:vAlign w:val="center"/>
          </w:tcPr>
          <w:p w14:paraId="4B94BAC7" w14:textId="77777777" w:rsidR="00237ECE" w:rsidRPr="00B84B0C" w:rsidRDefault="00237ECE" w:rsidP="003E3C21">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03/22/2019</w:t>
            </w:r>
          </w:p>
        </w:tc>
        <w:tc>
          <w:tcPr>
            <w:tcW w:w="1016" w:type="dxa"/>
            <w:tcBorders>
              <w:top w:val="nil"/>
              <w:bottom w:val="nil"/>
            </w:tcBorders>
            <w:vAlign w:val="center"/>
          </w:tcPr>
          <w:p w14:paraId="23CE35E4" w14:textId="77777777" w:rsidR="00237ECE" w:rsidRPr="00B84B0C" w:rsidRDefault="00237ECE" w:rsidP="003E3C21">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03/22/2021</w:t>
            </w:r>
          </w:p>
        </w:tc>
        <w:tc>
          <w:tcPr>
            <w:tcW w:w="3640" w:type="dxa"/>
            <w:tcBorders>
              <w:top w:val="nil"/>
              <w:bottom w:val="nil"/>
            </w:tcBorders>
            <w:vAlign w:val="center"/>
          </w:tcPr>
          <w:p w14:paraId="38F63E40" w14:textId="77777777" w:rsidR="00237ECE" w:rsidRPr="00B84B0C" w:rsidRDefault="00237ECE" w:rsidP="003E3C21">
            <w:pPr>
              <w:pStyle w:val="08-Tabelageral"/>
              <w:jc w:val="center"/>
              <w:cnfStyle w:val="000000000000" w:firstRow="0" w:lastRow="0" w:firstColumn="0" w:lastColumn="0" w:oddVBand="0" w:evenVBand="0" w:oddHBand="0" w:evenHBand="0" w:firstRowFirstColumn="0" w:firstRowLastColumn="0" w:lastRowFirstColumn="0" w:lastRowLastColumn="0"/>
              <w:rPr>
                <w:rFonts w:cs="Arial"/>
                <w:color w:val="000000"/>
                <w:szCs w:val="14"/>
              </w:rPr>
            </w:pPr>
            <w:proofErr w:type="spellStart"/>
            <w:r w:rsidRPr="00B84B0C">
              <w:rPr>
                <w:rFonts w:cs="Arial"/>
                <w:color w:val="000000"/>
                <w:szCs w:val="14"/>
              </w:rPr>
              <w:t>Audit</w:t>
            </w:r>
            <w:proofErr w:type="spellEnd"/>
            <w:r w:rsidRPr="00B84B0C">
              <w:rPr>
                <w:rFonts w:cs="Arial"/>
                <w:color w:val="000000"/>
                <w:szCs w:val="14"/>
              </w:rPr>
              <w:t xml:space="preserve"> </w:t>
            </w:r>
            <w:proofErr w:type="spellStart"/>
            <w:r w:rsidRPr="00B84B0C">
              <w:rPr>
                <w:rFonts w:cs="Arial"/>
                <w:color w:val="000000"/>
                <w:szCs w:val="14"/>
              </w:rPr>
              <w:t>services</w:t>
            </w:r>
            <w:proofErr w:type="spellEnd"/>
            <w:r w:rsidRPr="00B84B0C">
              <w:rPr>
                <w:rFonts w:cs="Arial"/>
                <w:color w:val="000000"/>
                <w:szCs w:val="14"/>
              </w:rPr>
              <w:t xml:space="preserve"> </w:t>
            </w:r>
            <w:proofErr w:type="spellStart"/>
            <w:r w:rsidRPr="00B84B0C">
              <w:rPr>
                <w:rFonts w:cs="Arial"/>
                <w:color w:val="000000"/>
                <w:szCs w:val="14"/>
              </w:rPr>
              <w:t>on</w:t>
            </w:r>
            <w:proofErr w:type="spellEnd"/>
            <w:r w:rsidRPr="00B84B0C">
              <w:rPr>
                <w:rFonts w:cs="Arial"/>
                <w:color w:val="000000"/>
                <w:szCs w:val="14"/>
              </w:rPr>
              <w:t xml:space="preserve"> </w:t>
            </w:r>
            <w:proofErr w:type="spellStart"/>
            <w:r w:rsidRPr="00B84B0C">
              <w:rPr>
                <w:rFonts w:cs="Arial"/>
                <w:color w:val="000000"/>
                <w:szCs w:val="14"/>
              </w:rPr>
              <w:t>the</w:t>
            </w:r>
            <w:proofErr w:type="spellEnd"/>
            <w:r w:rsidRPr="00B84B0C">
              <w:rPr>
                <w:rFonts w:cs="Arial"/>
                <w:color w:val="000000"/>
                <w:szCs w:val="14"/>
              </w:rPr>
              <w:t xml:space="preserve"> financial </w:t>
            </w:r>
            <w:proofErr w:type="spellStart"/>
            <w:r w:rsidRPr="00B84B0C">
              <w:rPr>
                <w:rFonts w:cs="Arial"/>
                <w:color w:val="000000"/>
                <w:szCs w:val="14"/>
              </w:rPr>
              <w:t>statements</w:t>
            </w:r>
            <w:proofErr w:type="spellEnd"/>
            <w:r w:rsidRPr="00B84B0C">
              <w:rPr>
                <w:rFonts w:cs="Arial"/>
                <w:color w:val="000000"/>
                <w:szCs w:val="14"/>
              </w:rPr>
              <w:t xml:space="preserve"> </w:t>
            </w:r>
            <w:proofErr w:type="spellStart"/>
            <w:r w:rsidRPr="00B84B0C">
              <w:rPr>
                <w:rFonts w:cs="Arial"/>
                <w:color w:val="000000"/>
                <w:szCs w:val="14"/>
              </w:rPr>
              <w:t>of</w:t>
            </w:r>
            <w:proofErr w:type="spellEnd"/>
            <w:r w:rsidRPr="00B84B0C">
              <w:rPr>
                <w:rFonts w:cs="Arial"/>
                <w:color w:val="000000"/>
                <w:szCs w:val="14"/>
              </w:rPr>
              <w:t xml:space="preserve"> Banco do Brasil </w:t>
            </w:r>
            <w:proofErr w:type="spellStart"/>
            <w:r w:rsidRPr="00B84B0C">
              <w:rPr>
                <w:rFonts w:cs="Arial"/>
                <w:color w:val="000000"/>
                <w:szCs w:val="14"/>
              </w:rPr>
              <w:t>Conglomerate</w:t>
            </w:r>
            <w:proofErr w:type="spellEnd"/>
            <w:r w:rsidRPr="00B84B0C">
              <w:rPr>
                <w:rFonts w:cs="Arial"/>
                <w:color w:val="000000"/>
                <w:szCs w:val="14"/>
              </w:rPr>
              <w:t xml:space="preserve">, </w:t>
            </w:r>
            <w:proofErr w:type="spellStart"/>
            <w:r w:rsidRPr="00B84B0C">
              <w:rPr>
                <w:rFonts w:cs="Arial"/>
                <w:color w:val="000000"/>
                <w:szCs w:val="14"/>
              </w:rPr>
              <w:t>prepared</w:t>
            </w:r>
            <w:proofErr w:type="spellEnd"/>
            <w:r w:rsidRPr="00B84B0C">
              <w:rPr>
                <w:rFonts w:cs="Arial"/>
                <w:color w:val="000000"/>
                <w:szCs w:val="14"/>
              </w:rPr>
              <w:t xml:space="preserve"> in </w:t>
            </w:r>
            <w:proofErr w:type="spellStart"/>
            <w:r w:rsidRPr="00B84B0C">
              <w:rPr>
                <w:rFonts w:cs="Arial"/>
                <w:color w:val="000000"/>
                <w:szCs w:val="14"/>
              </w:rPr>
              <w:t>accordance</w:t>
            </w:r>
            <w:proofErr w:type="spellEnd"/>
            <w:r w:rsidRPr="00B84B0C">
              <w:rPr>
                <w:rFonts w:cs="Arial"/>
                <w:color w:val="000000"/>
                <w:szCs w:val="14"/>
              </w:rPr>
              <w:t xml:space="preserve"> </w:t>
            </w:r>
            <w:proofErr w:type="spellStart"/>
            <w:r w:rsidRPr="00B84B0C">
              <w:rPr>
                <w:rFonts w:cs="Arial"/>
                <w:color w:val="000000"/>
                <w:szCs w:val="14"/>
              </w:rPr>
              <w:t>with</w:t>
            </w:r>
            <w:proofErr w:type="spellEnd"/>
            <w:r w:rsidRPr="00B84B0C">
              <w:rPr>
                <w:rFonts w:cs="Arial"/>
                <w:color w:val="000000"/>
                <w:szCs w:val="14"/>
              </w:rPr>
              <w:t xml:space="preserve"> IFRS </w:t>
            </w:r>
            <w:proofErr w:type="spellStart"/>
            <w:r w:rsidRPr="00B84B0C">
              <w:rPr>
                <w:rFonts w:cs="Arial"/>
                <w:color w:val="000000"/>
                <w:szCs w:val="14"/>
              </w:rPr>
              <w:t>and</w:t>
            </w:r>
            <w:proofErr w:type="spellEnd"/>
            <w:r w:rsidRPr="00B84B0C">
              <w:rPr>
                <w:rFonts w:cs="Arial"/>
                <w:color w:val="000000"/>
                <w:szCs w:val="14"/>
              </w:rPr>
              <w:t xml:space="preserve"> </w:t>
            </w:r>
            <w:proofErr w:type="spellStart"/>
            <w:r w:rsidRPr="00B84B0C">
              <w:rPr>
                <w:rFonts w:cs="Arial"/>
                <w:color w:val="000000"/>
                <w:szCs w:val="14"/>
              </w:rPr>
              <w:t>accounting</w:t>
            </w:r>
            <w:proofErr w:type="spellEnd"/>
            <w:r w:rsidRPr="00B84B0C">
              <w:rPr>
                <w:rFonts w:cs="Arial"/>
                <w:color w:val="000000"/>
                <w:szCs w:val="14"/>
              </w:rPr>
              <w:t xml:space="preserve"> </w:t>
            </w:r>
            <w:proofErr w:type="spellStart"/>
            <w:r w:rsidRPr="00B84B0C">
              <w:rPr>
                <w:rFonts w:cs="Arial"/>
                <w:color w:val="000000"/>
                <w:szCs w:val="14"/>
              </w:rPr>
              <w:t>practices</w:t>
            </w:r>
            <w:proofErr w:type="spellEnd"/>
            <w:r w:rsidRPr="00B84B0C">
              <w:rPr>
                <w:rFonts w:cs="Arial"/>
                <w:color w:val="000000"/>
                <w:szCs w:val="14"/>
              </w:rPr>
              <w:t xml:space="preserve"> </w:t>
            </w:r>
            <w:proofErr w:type="spellStart"/>
            <w:r w:rsidRPr="00B84B0C">
              <w:rPr>
                <w:rFonts w:cs="Arial"/>
                <w:color w:val="000000"/>
                <w:szCs w:val="14"/>
              </w:rPr>
              <w:t>adopted</w:t>
            </w:r>
            <w:proofErr w:type="spellEnd"/>
            <w:r w:rsidRPr="00B84B0C">
              <w:rPr>
                <w:rFonts w:cs="Arial"/>
                <w:color w:val="000000"/>
                <w:szCs w:val="14"/>
              </w:rPr>
              <w:t xml:space="preserve"> in </w:t>
            </w:r>
            <w:proofErr w:type="spellStart"/>
            <w:r w:rsidRPr="00B84B0C">
              <w:rPr>
                <w:rFonts w:cs="Arial"/>
                <w:color w:val="000000"/>
                <w:szCs w:val="14"/>
              </w:rPr>
              <w:t>Brazil</w:t>
            </w:r>
            <w:proofErr w:type="spellEnd"/>
          </w:p>
        </w:tc>
        <w:tc>
          <w:tcPr>
            <w:tcW w:w="1274" w:type="dxa"/>
            <w:tcBorders>
              <w:top w:val="nil"/>
              <w:bottom w:val="nil"/>
            </w:tcBorders>
            <w:vAlign w:val="center"/>
          </w:tcPr>
          <w:p w14:paraId="59BEEF98" w14:textId="77777777" w:rsidR="00237ECE" w:rsidRPr="00B84B0C" w:rsidRDefault="00237ECE" w:rsidP="003E3C21">
            <w:pPr>
              <w:spacing w:before="40" w:after="40"/>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1,005,839.71</w:t>
            </w:r>
          </w:p>
        </w:tc>
      </w:tr>
      <w:tr w:rsidR="00237ECE" w:rsidRPr="00B84B0C" w14:paraId="4BABFB6A" w14:textId="77777777" w:rsidTr="003E3C21">
        <w:trPr>
          <w:cnfStyle w:val="000000100000" w:firstRow="0" w:lastRow="0" w:firstColumn="0" w:lastColumn="0" w:oddVBand="0" w:evenVBand="0" w:oddHBand="1" w:evenHBand="0" w:firstRowFirstColumn="0" w:firstRowLastColumn="0" w:lastRowFirstColumn="0" w:lastRowLastColumn="0"/>
          <w:trHeight w:hRule="exact" w:val="1191"/>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vAlign w:val="center"/>
          </w:tcPr>
          <w:p w14:paraId="02D82BDF" w14:textId="77777777" w:rsidR="00237ECE" w:rsidRPr="00B84B0C" w:rsidRDefault="00237ECE" w:rsidP="003E3C21">
            <w:pPr>
              <w:pStyle w:val="08-Tabelageral"/>
              <w:jc w:val="left"/>
              <w:rPr>
                <w:rFonts w:cs="Arial"/>
                <w:szCs w:val="14"/>
              </w:rPr>
            </w:pPr>
            <w:r w:rsidRPr="00B84B0C">
              <w:rPr>
                <w:rFonts w:cs="Arial"/>
                <w:b w:val="0"/>
                <w:szCs w:val="14"/>
              </w:rPr>
              <w:t>Banco do Brasil S.A.</w:t>
            </w:r>
          </w:p>
        </w:tc>
        <w:tc>
          <w:tcPr>
            <w:tcW w:w="1015" w:type="dxa"/>
            <w:tcBorders>
              <w:top w:val="nil"/>
              <w:bottom w:val="nil"/>
            </w:tcBorders>
            <w:vAlign w:val="center"/>
          </w:tcPr>
          <w:p w14:paraId="3A17B2C6" w14:textId="77777777" w:rsidR="00237ECE" w:rsidRPr="00B84B0C" w:rsidRDefault="00237ECE" w:rsidP="003E3C21">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09/27/2019</w:t>
            </w:r>
          </w:p>
        </w:tc>
        <w:tc>
          <w:tcPr>
            <w:tcW w:w="1016" w:type="dxa"/>
            <w:tcBorders>
              <w:top w:val="nil"/>
              <w:bottom w:val="nil"/>
            </w:tcBorders>
            <w:vAlign w:val="center"/>
          </w:tcPr>
          <w:p w14:paraId="3A322894" w14:textId="77777777" w:rsidR="00237ECE" w:rsidRPr="00B84B0C" w:rsidRDefault="00237ECE" w:rsidP="003E3C21">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01/27/2020</w:t>
            </w:r>
          </w:p>
        </w:tc>
        <w:tc>
          <w:tcPr>
            <w:tcW w:w="3640" w:type="dxa"/>
            <w:tcBorders>
              <w:top w:val="nil"/>
              <w:bottom w:val="nil"/>
            </w:tcBorders>
            <w:vAlign w:val="center"/>
          </w:tcPr>
          <w:p w14:paraId="314B8DA8" w14:textId="77777777" w:rsidR="00237ECE" w:rsidRPr="00B84B0C" w:rsidRDefault="00237ECE" w:rsidP="003E3C21">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B84B0C">
              <w:rPr>
                <w:rFonts w:cs="Arial"/>
                <w:color w:val="000000"/>
                <w:szCs w:val="14"/>
              </w:rPr>
              <w:t xml:space="preserve">Independent </w:t>
            </w:r>
            <w:proofErr w:type="spellStart"/>
            <w:r w:rsidRPr="00B84B0C">
              <w:rPr>
                <w:rFonts w:cs="Arial"/>
                <w:color w:val="000000"/>
                <w:szCs w:val="14"/>
              </w:rPr>
              <w:t>audit</w:t>
            </w:r>
            <w:proofErr w:type="spellEnd"/>
            <w:r w:rsidRPr="00B84B0C">
              <w:rPr>
                <w:rFonts w:cs="Arial"/>
                <w:color w:val="000000"/>
                <w:szCs w:val="14"/>
              </w:rPr>
              <w:t xml:space="preserve"> </w:t>
            </w:r>
            <w:proofErr w:type="spellStart"/>
            <w:r w:rsidRPr="00B84B0C">
              <w:rPr>
                <w:rFonts w:cs="Arial"/>
                <w:color w:val="000000"/>
                <w:szCs w:val="14"/>
              </w:rPr>
              <w:t>services</w:t>
            </w:r>
            <w:proofErr w:type="spellEnd"/>
            <w:r w:rsidRPr="00B84B0C">
              <w:rPr>
                <w:rFonts w:cs="Arial"/>
                <w:color w:val="000000"/>
                <w:szCs w:val="14"/>
              </w:rPr>
              <w:t xml:space="preserve"> for </w:t>
            </w:r>
            <w:proofErr w:type="spellStart"/>
            <w:r w:rsidRPr="00B84B0C">
              <w:rPr>
                <w:rFonts w:cs="Arial"/>
                <w:color w:val="000000"/>
                <w:szCs w:val="14"/>
              </w:rPr>
              <w:t>issuing</w:t>
            </w:r>
            <w:proofErr w:type="spellEnd"/>
            <w:r w:rsidRPr="00B84B0C">
              <w:rPr>
                <w:rFonts w:cs="Arial"/>
                <w:color w:val="000000"/>
                <w:szCs w:val="14"/>
              </w:rPr>
              <w:t xml:space="preserve"> a </w:t>
            </w:r>
            <w:proofErr w:type="spellStart"/>
            <w:r w:rsidRPr="00B84B0C">
              <w:rPr>
                <w:rFonts w:cs="Arial"/>
                <w:color w:val="000000"/>
                <w:szCs w:val="14"/>
              </w:rPr>
              <w:t>Comfort</w:t>
            </w:r>
            <w:proofErr w:type="spellEnd"/>
            <w:r w:rsidRPr="00B84B0C">
              <w:rPr>
                <w:rFonts w:cs="Arial"/>
                <w:color w:val="000000"/>
                <w:szCs w:val="14"/>
              </w:rPr>
              <w:t xml:space="preserve"> </w:t>
            </w:r>
            <w:proofErr w:type="spellStart"/>
            <w:r w:rsidRPr="00B84B0C">
              <w:rPr>
                <w:rFonts w:cs="Arial"/>
                <w:color w:val="000000"/>
                <w:szCs w:val="14"/>
              </w:rPr>
              <w:t>Letter</w:t>
            </w:r>
            <w:proofErr w:type="spellEnd"/>
            <w:r w:rsidRPr="00B84B0C">
              <w:rPr>
                <w:rFonts w:cs="Arial"/>
                <w:color w:val="000000"/>
                <w:szCs w:val="14"/>
              </w:rPr>
              <w:t xml:space="preserve"> in </w:t>
            </w:r>
            <w:proofErr w:type="spellStart"/>
            <w:r w:rsidRPr="00B84B0C">
              <w:rPr>
                <w:rFonts w:cs="Arial"/>
                <w:color w:val="000000"/>
                <w:szCs w:val="14"/>
              </w:rPr>
              <w:t>the</w:t>
            </w:r>
            <w:proofErr w:type="spellEnd"/>
            <w:r w:rsidRPr="00B84B0C">
              <w:rPr>
                <w:rFonts w:cs="Arial"/>
                <w:color w:val="000000"/>
                <w:szCs w:val="14"/>
              </w:rPr>
              <w:t xml:space="preserve"> </w:t>
            </w:r>
            <w:proofErr w:type="spellStart"/>
            <w:r w:rsidRPr="00B84B0C">
              <w:rPr>
                <w:rFonts w:cs="Arial"/>
                <w:color w:val="000000"/>
                <w:szCs w:val="14"/>
              </w:rPr>
              <w:t>secondary</w:t>
            </w:r>
            <w:proofErr w:type="spellEnd"/>
            <w:r w:rsidRPr="00B84B0C">
              <w:rPr>
                <w:rFonts w:cs="Arial"/>
                <w:color w:val="000000"/>
                <w:szCs w:val="14"/>
              </w:rPr>
              <w:t xml:space="preserve"> </w:t>
            </w:r>
            <w:proofErr w:type="spellStart"/>
            <w:r w:rsidRPr="00B84B0C">
              <w:rPr>
                <w:rFonts w:cs="Arial"/>
                <w:color w:val="000000"/>
                <w:szCs w:val="14"/>
              </w:rPr>
              <w:t>public</w:t>
            </w:r>
            <w:proofErr w:type="spellEnd"/>
            <w:r w:rsidRPr="00B84B0C">
              <w:rPr>
                <w:rFonts w:cs="Arial"/>
                <w:color w:val="000000"/>
                <w:szCs w:val="14"/>
              </w:rPr>
              <w:t xml:space="preserve"> </w:t>
            </w:r>
            <w:proofErr w:type="spellStart"/>
            <w:r w:rsidRPr="00B84B0C">
              <w:rPr>
                <w:rFonts w:cs="Arial"/>
                <w:color w:val="000000"/>
                <w:szCs w:val="14"/>
              </w:rPr>
              <w:t>offering</w:t>
            </w:r>
            <w:proofErr w:type="spellEnd"/>
            <w:r w:rsidRPr="00B84B0C">
              <w:rPr>
                <w:rFonts w:cs="Arial"/>
                <w:color w:val="000000"/>
                <w:szCs w:val="14"/>
              </w:rPr>
              <w:t xml:space="preserve"> </w:t>
            </w:r>
            <w:proofErr w:type="spellStart"/>
            <w:r w:rsidRPr="00B84B0C">
              <w:rPr>
                <w:rFonts w:cs="Arial"/>
                <w:color w:val="000000"/>
                <w:szCs w:val="14"/>
              </w:rPr>
              <w:t>of</w:t>
            </w:r>
            <w:proofErr w:type="spellEnd"/>
            <w:r w:rsidRPr="00B84B0C">
              <w:rPr>
                <w:rFonts w:cs="Arial"/>
                <w:color w:val="000000"/>
                <w:szCs w:val="14"/>
              </w:rPr>
              <w:t xml:space="preserve"> BB </w:t>
            </w:r>
            <w:proofErr w:type="spellStart"/>
            <w:r w:rsidRPr="00B84B0C">
              <w:rPr>
                <w:rFonts w:cs="Arial"/>
                <w:color w:val="000000"/>
                <w:szCs w:val="14"/>
              </w:rPr>
              <w:t>shares</w:t>
            </w:r>
            <w:proofErr w:type="spellEnd"/>
            <w:r w:rsidRPr="00B84B0C">
              <w:rPr>
                <w:rFonts w:cs="Arial"/>
                <w:color w:val="000000"/>
                <w:szCs w:val="14"/>
              </w:rPr>
              <w:t xml:space="preserve"> </w:t>
            </w:r>
            <w:proofErr w:type="spellStart"/>
            <w:r w:rsidRPr="00B84B0C">
              <w:rPr>
                <w:rFonts w:cs="Arial"/>
                <w:color w:val="000000"/>
                <w:szCs w:val="14"/>
              </w:rPr>
              <w:t>by</w:t>
            </w:r>
            <w:proofErr w:type="spellEnd"/>
            <w:r w:rsidRPr="00B84B0C">
              <w:rPr>
                <w:rFonts w:cs="Arial"/>
                <w:color w:val="000000"/>
                <w:szCs w:val="14"/>
              </w:rPr>
              <w:t xml:space="preserve"> </w:t>
            </w:r>
            <w:proofErr w:type="spellStart"/>
            <w:r w:rsidRPr="00B84B0C">
              <w:rPr>
                <w:rFonts w:cs="Arial"/>
                <w:color w:val="000000"/>
                <w:szCs w:val="14"/>
              </w:rPr>
              <w:t>the</w:t>
            </w:r>
            <w:proofErr w:type="spellEnd"/>
            <w:r w:rsidRPr="00B84B0C">
              <w:rPr>
                <w:rFonts w:cs="Arial"/>
                <w:color w:val="000000"/>
                <w:szCs w:val="14"/>
              </w:rPr>
              <w:t xml:space="preserve"> </w:t>
            </w:r>
            <w:proofErr w:type="spellStart"/>
            <w:r w:rsidRPr="00B84B0C">
              <w:rPr>
                <w:rFonts w:cs="Arial"/>
                <w:color w:val="000000"/>
                <w:szCs w:val="14"/>
              </w:rPr>
              <w:t>Investment</w:t>
            </w:r>
            <w:proofErr w:type="spellEnd"/>
            <w:r w:rsidRPr="00B84B0C">
              <w:rPr>
                <w:rFonts w:cs="Arial"/>
                <w:color w:val="000000"/>
                <w:szCs w:val="14"/>
              </w:rPr>
              <w:t xml:space="preserve"> Fund </w:t>
            </w:r>
            <w:proofErr w:type="spellStart"/>
            <w:r w:rsidRPr="00B84B0C">
              <w:rPr>
                <w:rFonts w:cs="Arial"/>
                <w:color w:val="000000"/>
                <w:szCs w:val="14"/>
              </w:rPr>
              <w:t>of</w:t>
            </w:r>
            <w:proofErr w:type="spellEnd"/>
            <w:r w:rsidRPr="00B84B0C">
              <w:rPr>
                <w:rFonts w:cs="Arial"/>
                <w:color w:val="000000"/>
                <w:szCs w:val="14"/>
              </w:rPr>
              <w:t xml:space="preserve"> </w:t>
            </w:r>
            <w:proofErr w:type="spellStart"/>
            <w:r w:rsidRPr="00B84B0C">
              <w:rPr>
                <w:rFonts w:cs="Arial"/>
                <w:color w:val="000000"/>
                <w:szCs w:val="14"/>
              </w:rPr>
              <w:t>the</w:t>
            </w:r>
            <w:proofErr w:type="spellEnd"/>
            <w:r w:rsidRPr="00B84B0C">
              <w:rPr>
                <w:rFonts w:cs="Arial"/>
                <w:color w:val="000000"/>
                <w:szCs w:val="14"/>
              </w:rPr>
              <w:t xml:space="preserve"> Service Time </w:t>
            </w:r>
            <w:proofErr w:type="spellStart"/>
            <w:r w:rsidRPr="00B84B0C">
              <w:rPr>
                <w:rFonts w:cs="Arial"/>
                <w:color w:val="000000"/>
                <w:szCs w:val="14"/>
              </w:rPr>
              <w:t>Guarantee</w:t>
            </w:r>
            <w:proofErr w:type="spellEnd"/>
            <w:r w:rsidRPr="00B84B0C">
              <w:rPr>
                <w:rFonts w:cs="Arial"/>
                <w:color w:val="000000"/>
                <w:szCs w:val="14"/>
              </w:rPr>
              <w:t xml:space="preserve"> Fund (FI-FGTS)</w:t>
            </w:r>
          </w:p>
        </w:tc>
        <w:tc>
          <w:tcPr>
            <w:tcW w:w="1274" w:type="dxa"/>
            <w:tcBorders>
              <w:top w:val="nil"/>
              <w:bottom w:val="nil"/>
            </w:tcBorders>
            <w:vAlign w:val="center"/>
          </w:tcPr>
          <w:p w14:paraId="3A864258" w14:textId="77777777" w:rsidR="00237ECE" w:rsidRPr="00B84B0C" w:rsidRDefault="00237ECE" w:rsidP="003E3C21">
            <w:pPr>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1,061,224.49</w:t>
            </w:r>
          </w:p>
        </w:tc>
      </w:tr>
    </w:tbl>
    <w:p w14:paraId="1FD8FC5C" w14:textId="77777777" w:rsidR="00237ECE" w:rsidRPr="00B84B0C" w:rsidRDefault="00237ECE" w:rsidP="00237ECE">
      <w:pPr>
        <w:jc w:val="both"/>
        <w:rPr>
          <w:rFonts w:eastAsia="Times New Roman" w:cs="Arial"/>
          <w:sz w:val="20"/>
          <w:szCs w:val="20"/>
          <w:lang w:eastAsia="pt-BR"/>
        </w:rPr>
      </w:pPr>
    </w:p>
    <w:p w14:paraId="625609A5" w14:textId="77777777" w:rsidR="00237ECE" w:rsidRPr="00B84B0C" w:rsidRDefault="00237ECE" w:rsidP="00237ECE">
      <w:pPr>
        <w:jc w:val="both"/>
        <w:rPr>
          <w:rFonts w:eastAsia="Times New Roman" w:cs="Arial"/>
          <w:sz w:val="20"/>
          <w:szCs w:val="20"/>
          <w:lang w:eastAsia="pt-BR"/>
        </w:rPr>
      </w:pPr>
      <w:proofErr w:type="spellStart"/>
      <w:r w:rsidRPr="00B84B0C">
        <w:rPr>
          <w:rFonts w:eastAsia="Times New Roman" w:cs="Arial"/>
          <w:sz w:val="20"/>
          <w:szCs w:val="20"/>
          <w:lang w:eastAsia="pt-BR"/>
        </w:rPr>
        <w:t>Regarding</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the</w:t>
      </w:r>
      <w:proofErr w:type="spellEnd"/>
      <w:r w:rsidRPr="00B84B0C">
        <w:rPr>
          <w:rFonts w:eastAsia="Times New Roman" w:cs="Arial"/>
          <w:sz w:val="20"/>
          <w:szCs w:val="20"/>
          <w:lang w:eastAsia="pt-BR"/>
        </w:rPr>
        <w:t xml:space="preserve"> BB </w:t>
      </w:r>
      <w:proofErr w:type="spellStart"/>
      <w:r w:rsidRPr="00B84B0C">
        <w:rPr>
          <w:rFonts w:eastAsia="Times New Roman" w:cs="Arial"/>
          <w:sz w:val="20"/>
          <w:szCs w:val="20"/>
          <w:lang w:eastAsia="pt-BR"/>
        </w:rPr>
        <w:t>Seguridade’s</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affiliated</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companies</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the</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following</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audit</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and</w:t>
      </w:r>
      <w:proofErr w:type="spellEnd"/>
      <w:r w:rsidRPr="00B84B0C">
        <w:rPr>
          <w:rFonts w:eastAsia="Times New Roman" w:cs="Arial"/>
          <w:sz w:val="20"/>
          <w:szCs w:val="20"/>
          <w:lang w:eastAsia="pt-BR"/>
        </w:rPr>
        <w:t xml:space="preserve"> non-</w:t>
      </w:r>
      <w:proofErr w:type="spellStart"/>
      <w:r w:rsidRPr="00B84B0C">
        <w:rPr>
          <w:rFonts w:eastAsia="Times New Roman" w:cs="Arial"/>
          <w:sz w:val="20"/>
          <w:szCs w:val="20"/>
          <w:lang w:eastAsia="pt-BR"/>
        </w:rPr>
        <w:t>audit</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contracts</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were</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established</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between</w:t>
      </w:r>
      <w:proofErr w:type="spellEnd"/>
      <w:r w:rsidRPr="00B84B0C">
        <w:rPr>
          <w:rFonts w:eastAsia="Times New Roman" w:cs="Arial"/>
          <w:sz w:val="20"/>
          <w:szCs w:val="20"/>
          <w:lang w:eastAsia="pt-BR"/>
        </w:rPr>
        <w:t xml:space="preserve"> Deloitte </w:t>
      </w:r>
      <w:proofErr w:type="spellStart"/>
      <w:r w:rsidRPr="00B84B0C">
        <w:rPr>
          <w:rFonts w:eastAsia="Times New Roman" w:cs="Arial"/>
          <w:sz w:val="20"/>
          <w:szCs w:val="20"/>
          <w:lang w:eastAsia="pt-BR"/>
        </w:rPr>
        <w:t>and</w:t>
      </w:r>
      <w:proofErr w:type="spellEnd"/>
      <w:r w:rsidRPr="00B84B0C">
        <w:rPr>
          <w:rFonts w:eastAsia="Times New Roman" w:cs="Arial"/>
          <w:sz w:val="20"/>
          <w:szCs w:val="20"/>
          <w:lang w:eastAsia="pt-BR"/>
        </w:rPr>
        <w:t xml:space="preserve"> </w:t>
      </w:r>
      <w:proofErr w:type="spellStart"/>
      <w:r w:rsidRPr="00B84B0C">
        <w:rPr>
          <w:rFonts w:eastAsia="Times New Roman" w:cs="Arial"/>
          <w:sz w:val="20"/>
          <w:szCs w:val="20"/>
          <w:lang w:eastAsia="pt-BR"/>
        </w:rPr>
        <w:t>Brasilprev</w:t>
      </w:r>
      <w:proofErr w:type="spellEnd"/>
      <w:r w:rsidRPr="00B84B0C">
        <w:rPr>
          <w:rFonts w:eastAsia="Times New Roman" w:cs="Arial"/>
          <w:sz w:val="20"/>
          <w:szCs w:val="20"/>
          <w:lang w:eastAsia="pt-BR"/>
        </w:rPr>
        <w:t xml:space="preserve"> Seguros e Previdência S.A.:</w:t>
      </w:r>
    </w:p>
    <w:p w14:paraId="19BCEFF0" w14:textId="77777777" w:rsidR="00237ECE" w:rsidRPr="00B84B0C" w:rsidRDefault="00237ECE" w:rsidP="00237ECE">
      <w:pPr>
        <w:jc w:val="both"/>
        <w:rPr>
          <w:rFonts w:eastAsia="Times New Roman" w:cs="Arial"/>
          <w:sz w:val="20"/>
          <w:szCs w:val="20"/>
          <w:lang w:eastAsia="pt-BR"/>
        </w:rPr>
      </w:pPr>
    </w:p>
    <w:tbl>
      <w:tblPr>
        <w:tblStyle w:val="TabeladeLista6Colorida-nfase53"/>
        <w:tblW w:w="9638" w:type="dxa"/>
        <w:tblLook w:val="04A0" w:firstRow="1" w:lastRow="0" w:firstColumn="1" w:lastColumn="0" w:noHBand="0" w:noVBand="1"/>
      </w:tblPr>
      <w:tblGrid>
        <w:gridCol w:w="2693"/>
        <w:gridCol w:w="1015"/>
        <w:gridCol w:w="1016"/>
        <w:gridCol w:w="3640"/>
        <w:gridCol w:w="1274"/>
      </w:tblGrid>
      <w:tr w:rsidR="00237ECE" w:rsidRPr="00B84B0C" w14:paraId="65EA2F6B" w14:textId="77777777" w:rsidTr="003E3C21">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693" w:type="dxa"/>
            <w:vMerge w:val="restart"/>
            <w:tcBorders>
              <w:top w:val="single" w:sz="2" w:space="0" w:color="8EAADB" w:themeColor="accent5" w:themeTint="99"/>
            </w:tcBorders>
            <w:shd w:val="clear" w:color="auto" w:fill="D9E2F3" w:themeFill="accent5" w:themeFillTint="33"/>
            <w:vAlign w:val="center"/>
          </w:tcPr>
          <w:p w14:paraId="004D7A5F" w14:textId="77777777" w:rsidR="00237ECE" w:rsidRPr="00B84B0C" w:rsidRDefault="00237ECE" w:rsidP="003E3C21">
            <w:pPr>
              <w:pStyle w:val="08-Tabelageral"/>
              <w:jc w:val="center"/>
              <w:rPr>
                <w:rFonts w:cs="Arial"/>
                <w:szCs w:val="14"/>
              </w:rPr>
            </w:pPr>
            <w:proofErr w:type="spellStart"/>
            <w:r w:rsidRPr="00B84B0C">
              <w:rPr>
                <w:rFonts w:cs="Arial"/>
                <w:bCs w:val="0"/>
                <w:szCs w:val="14"/>
              </w:rPr>
              <w:t>Company</w:t>
            </w:r>
            <w:proofErr w:type="spellEnd"/>
          </w:p>
        </w:tc>
        <w:tc>
          <w:tcPr>
            <w:tcW w:w="2031" w:type="dxa"/>
            <w:gridSpan w:val="2"/>
            <w:tcBorders>
              <w:top w:val="single" w:sz="2" w:space="0" w:color="8EAADB" w:themeColor="accent5" w:themeTint="99"/>
              <w:bottom w:val="nil"/>
            </w:tcBorders>
            <w:shd w:val="clear" w:color="auto" w:fill="D9E2F3" w:themeFill="accent5" w:themeFillTint="33"/>
            <w:vAlign w:val="center"/>
          </w:tcPr>
          <w:p w14:paraId="375C3A1F" w14:textId="77777777" w:rsidR="00237ECE" w:rsidRPr="00B84B0C" w:rsidRDefault="00237ECE" w:rsidP="003E3C21">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B84B0C">
              <w:rPr>
                <w:rFonts w:cs="Arial"/>
                <w:szCs w:val="14"/>
              </w:rPr>
              <w:t>Contract</w:t>
            </w:r>
            <w:proofErr w:type="spellEnd"/>
            <w:r w:rsidRPr="00B84B0C">
              <w:rPr>
                <w:rFonts w:cs="Arial"/>
                <w:szCs w:val="14"/>
              </w:rPr>
              <w:t xml:space="preserve"> dates</w:t>
            </w:r>
          </w:p>
        </w:tc>
        <w:tc>
          <w:tcPr>
            <w:tcW w:w="3640" w:type="dxa"/>
            <w:vMerge w:val="restart"/>
            <w:tcBorders>
              <w:top w:val="single" w:sz="2" w:space="0" w:color="8EAADB" w:themeColor="accent5" w:themeTint="99"/>
            </w:tcBorders>
            <w:shd w:val="clear" w:color="auto" w:fill="D9E2F3" w:themeFill="accent5" w:themeFillTint="33"/>
            <w:vAlign w:val="center"/>
          </w:tcPr>
          <w:p w14:paraId="682E8629" w14:textId="77777777" w:rsidR="00237ECE" w:rsidRPr="00B84B0C" w:rsidRDefault="00237ECE" w:rsidP="003E3C21">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rPr>
            </w:pPr>
            <w:r w:rsidRPr="00B84B0C">
              <w:rPr>
                <w:rFonts w:cs="Arial"/>
                <w:szCs w:val="14"/>
              </w:rPr>
              <w:t>Service</w:t>
            </w:r>
          </w:p>
        </w:tc>
        <w:tc>
          <w:tcPr>
            <w:tcW w:w="1274" w:type="dxa"/>
            <w:vMerge w:val="restart"/>
            <w:tcBorders>
              <w:top w:val="single" w:sz="2" w:space="0" w:color="8EAADB" w:themeColor="accent5" w:themeTint="99"/>
            </w:tcBorders>
            <w:shd w:val="clear" w:color="auto" w:fill="D9E2F3" w:themeFill="accent5" w:themeFillTint="33"/>
            <w:vAlign w:val="center"/>
          </w:tcPr>
          <w:p w14:paraId="5BDDC562" w14:textId="77777777" w:rsidR="00237ECE" w:rsidRPr="00B84B0C" w:rsidRDefault="00237ECE" w:rsidP="003E3C21">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rPr>
            </w:pPr>
            <w:proofErr w:type="spellStart"/>
            <w:r w:rsidRPr="00B84B0C">
              <w:rPr>
                <w:rFonts w:cs="Arial"/>
                <w:szCs w:val="14"/>
              </w:rPr>
              <w:t>Fee</w:t>
            </w:r>
            <w:proofErr w:type="spellEnd"/>
            <w:r w:rsidRPr="00B84B0C">
              <w:rPr>
                <w:rFonts w:cs="Arial"/>
                <w:szCs w:val="14"/>
              </w:rPr>
              <w:t xml:space="preserve"> (R$)</w:t>
            </w:r>
          </w:p>
        </w:tc>
      </w:tr>
      <w:tr w:rsidR="00237ECE" w:rsidRPr="00B84B0C" w14:paraId="3C957866" w14:textId="77777777" w:rsidTr="003E3C21">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693" w:type="dxa"/>
            <w:vMerge/>
            <w:tcBorders>
              <w:bottom w:val="single" w:sz="2" w:space="0" w:color="8EAADB" w:themeColor="accent5" w:themeTint="99"/>
            </w:tcBorders>
          </w:tcPr>
          <w:p w14:paraId="642A0E82" w14:textId="77777777" w:rsidR="00237ECE" w:rsidRPr="00B84B0C" w:rsidRDefault="00237ECE" w:rsidP="003E3C21">
            <w:pPr>
              <w:pStyle w:val="08-Tabelageral"/>
              <w:jc w:val="left"/>
              <w:rPr>
                <w:rFonts w:cs="Arial"/>
                <w:bCs w:val="0"/>
                <w:szCs w:val="14"/>
              </w:rPr>
            </w:pPr>
          </w:p>
        </w:tc>
        <w:tc>
          <w:tcPr>
            <w:tcW w:w="1015" w:type="dxa"/>
            <w:tcBorders>
              <w:top w:val="nil"/>
              <w:bottom w:val="single" w:sz="2" w:space="0" w:color="8EAADB" w:themeColor="accent5" w:themeTint="99"/>
            </w:tcBorders>
          </w:tcPr>
          <w:p w14:paraId="3C7B8DFC" w14:textId="77777777" w:rsidR="00237ECE" w:rsidRPr="00B84B0C" w:rsidRDefault="00237ECE" w:rsidP="003E3C21">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B84B0C">
              <w:rPr>
                <w:rFonts w:cs="Arial"/>
                <w:b/>
                <w:szCs w:val="14"/>
              </w:rPr>
              <w:t>Start</w:t>
            </w:r>
          </w:p>
        </w:tc>
        <w:tc>
          <w:tcPr>
            <w:tcW w:w="1016" w:type="dxa"/>
            <w:tcBorders>
              <w:top w:val="nil"/>
              <w:bottom w:val="single" w:sz="2" w:space="0" w:color="8EAADB" w:themeColor="accent5" w:themeTint="99"/>
            </w:tcBorders>
          </w:tcPr>
          <w:p w14:paraId="6B02C094" w14:textId="77777777" w:rsidR="00237ECE" w:rsidRPr="00B84B0C" w:rsidRDefault="00237ECE" w:rsidP="003E3C21">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szCs w:val="14"/>
              </w:rPr>
            </w:pPr>
            <w:proofErr w:type="spellStart"/>
            <w:r w:rsidRPr="00B84B0C">
              <w:rPr>
                <w:rFonts w:cs="Arial"/>
                <w:b/>
                <w:szCs w:val="14"/>
              </w:rPr>
              <w:t>End</w:t>
            </w:r>
            <w:proofErr w:type="spellEnd"/>
          </w:p>
        </w:tc>
        <w:tc>
          <w:tcPr>
            <w:tcW w:w="3640" w:type="dxa"/>
            <w:vMerge/>
            <w:tcBorders>
              <w:bottom w:val="single" w:sz="2" w:space="0" w:color="8EAADB" w:themeColor="accent5" w:themeTint="99"/>
            </w:tcBorders>
          </w:tcPr>
          <w:p w14:paraId="63A2EB45" w14:textId="77777777" w:rsidR="00237ECE" w:rsidRPr="00B84B0C" w:rsidRDefault="00237ECE" w:rsidP="003E3C21">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74" w:type="dxa"/>
            <w:vMerge/>
            <w:tcBorders>
              <w:bottom w:val="single" w:sz="2" w:space="0" w:color="8EAADB" w:themeColor="accent5" w:themeTint="99"/>
            </w:tcBorders>
          </w:tcPr>
          <w:p w14:paraId="7C28997E" w14:textId="77777777" w:rsidR="00237ECE" w:rsidRPr="00B84B0C" w:rsidRDefault="00237ECE" w:rsidP="003E3C21">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szCs w:val="14"/>
              </w:rPr>
            </w:pPr>
          </w:p>
        </w:tc>
      </w:tr>
      <w:tr w:rsidR="00237ECE" w:rsidRPr="00B84B0C" w14:paraId="424F8F68" w14:textId="77777777" w:rsidTr="003E3C21">
        <w:trPr>
          <w:trHeight w:hRule="exact" w:val="704"/>
        </w:trPr>
        <w:tc>
          <w:tcPr>
            <w:cnfStyle w:val="001000000000" w:firstRow="0" w:lastRow="0" w:firstColumn="1" w:lastColumn="0" w:oddVBand="0" w:evenVBand="0" w:oddHBand="0" w:evenHBand="0" w:firstRowFirstColumn="0" w:firstRowLastColumn="0" w:lastRowFirstColumn="0" w:lastRowLastColumn="0"/>
            <w:tcW w:w="2693" w:type="dxa"/>
            <w:tcBorders>
              <w:top w:val="nil"/>
              <w:bottom w:val="nil"/>
            </w:tcBorders>
            <w:vAlign w:val="center"/>
          </w:tcPr>
          <w:p w14:paraId="4D38C42F" w14:textId="77777777" w:rsidR="00237ECE" w:rsidRPr="00B84B0C" w:rsidRDefault="00237ECE" w:rsidP="003E3C21">
            <w:pPr>
              <w:pStyle w:val="08-Tabelageral"/>
              <w:jc w:val="left"/>
              <w:rPr>
                <w:rFonts w:cs="Arial"/>
                <w:b w:val="0"/>
                <w:snapToGrid w:val="0"/>
                <w:szCs w:val="14"/>
              </w:rPr>
            </w:pPr>
            <w:proofErr w:type="spellStart"/>
            <w:r w:rsidRPr="00B84B0C">
              <w:rPr>
                <w:rFonts w:cs="Arial"/>
                <w:b w:val="0"/>
                <w:szCs w:val="14"/>
              </w:rPr>
              <w:t>Brasilprev</w:t>
            </w:r>
            <w:proofErr w:type="spellEnd"/>
            <w:r w:rsidRPr="00B84B0C">
              <w:rPr>
                <w:rFonts w:cs="Arial"/>
                <w:b w:val="0"/>
                <w:szCs w:val="14"/>
              </w:rPr>
              <w:t xml:space="preserve"> Seguros e Previdência S.A.</w:t>
            </w:r>
          </w:p>
        </w:tc>
        <w:tc>
          <w:tcPr>
            <w:tcW w:w="1015" w:type="dxa"/>
            <w:tcBorders>
              <w:top w:val="nil"/>
              <w:bottom w:val="nil"/>
            </w:tcBorders>
            <w:vAlign w:val="center"/>
          </w:tcPr>
          <w:p w14:paraId="15CB24D4" w14:textId="77777777" w:rsidR="00237ECE" w:rsidRPr="00B84B0C" w:rsidRDefault="00237ECE" w:rsidP="003E3C21">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03/01/2020</w:t>
            </w:r>
          </w:p>
        </w:tc>
        <w:tc>
          <w:tcPr>
            <w:tcW w:w="1016" w:type="dxa"/>
            <w:tcBorders>
              <w:top w:val="nil"/>
              <w:bottom w:val="nil"/>
            </w:tcBorders>
            <w:vAlign w:val="center"/>
          </w:tcPr>
          <w:p w14:paraId="2D50A61E" w14:textId="77777777" w:rsidR="00237ECE" w:rsidRPr="00B84B0C" w:rsidRDefault="00237ECE" w:rsidP="003E3C21">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04/30/2025</w:t>
            </w:r>
          </w:p>
        </w:tc>
        <w:tc>
          <w:tcPr>
            <w:tcW w:w="3640" w:type="dxa"/>
            <w:tcBorders>
              <w:top w:val="nil"/>
              <w:bottom w:val="nil"/>
            </w:tcBorders>
            <w:vAlign w:val="center"/>
          </w:tcPr>
          <w:p w14:paraId="0A01A338" w14:textId="77777777" w:rsidR="00237ECE" w:rsidRPr="00B84B0C" w:rsidRDefault="00237ECE" w:rsidP="003E3C21">
            <w:pPr>
              <w:pStyle w:val="08-Tabelageral"/>
              <w:jc w:val="center"/>
              <w:cnfStyle w:val="000000000000" w:firstRow="0" w:lastRow="0" w:firstColumn="0" w:lastColumn="0" w:oddVBand="0" w:evenVBand="0" w:oddHBand="0" w:evenHBand="0" w:firstRowFirstColumn="0" w:firstRowLastColumn="0" w:lastRowFirstColumn="0" w:lastRowLastColumn="0"/>
              <w:rPr>
                <w:rFonts w:cs="Arial"/>
                <w:color w:val="000000"/>
                <w:szCs w:val="14"/>
              </w:rPr>
            </w:pPr>
            <w:r w:rsidRPr="00B84B0C">
              <w:rPr>
                <w:rFonts w:cs="Arial"/>
                <w:color w:val="000000"/>
                <w:szCs w:val="14"/>
              </w:rPr>
              <w:t xml:space="preserve">Financial </w:t>
            </w:r>
            <w:proofErr w:type="spellStart"/>
            <w:r w:rsidRPr="00B84B0C">
              <w:rPr>
                <w:rFonts w:cs="Arial"/>
                <w:color w:val="000000"/>
                <w:szCs w:val="14"/>
              </w:rPr>
              <w:t>statements</w:t>
            </w:r>
            <w:proofErr w:type="spellEnd"/>
            <w:r w:rsidRPr="00B84B0C">
              <w:rPr>
                <w:rFonts w:cs="Arial"/>
                <w:color w:val="000000"/>
                <w:szCs w:val="14"/>
              </w:rPr>
              <w:t xml:space="preserve"> </w:t>
            </w:r>
            <w:proofErr w:type="spellStart"/>
            <w:r w:rsidRPr="00B84B0C">
              <w:rPr>
                <w:rFonts w:cs="Arial"/>
                <w:color w:val="000000"/>
                <w:szCs w:val="14"/>
              </w:rPr>
              <w:t>and</w:t>
            </w:r>
            <w:proofErr w:type="spellEnd"/>
            <w:r w:rsidRPr="00B84B0C">
              <w:rPr>
                <w:rFonts w:cs="Arial"/>
                <w:color w:val="000000"/>
                <w:szCs w:val="14"/>
              </w:rPr>
              <w:t xml:space="preserve"> </w:t>
            </w:r>
            <w:proofErr w:type="spellStart"/>
            <w:r w:rsidRPr="00B84B0C">
              <w:rPr>
                <w:rFonts w:cs="Arial"/>
                <w:color w:val="000000"/>
                <w:szCs w:val="14"/>
              </w:rPr>
              <w:t>actuarial</w:t>
            </w:r>
            <w:proofErr w:type="spellEnd"/>
            <w:r w:rsidRPr="00B84B0C">
              <w:rPr>
                <w:rFonts w:cs="Arial"/>
                <w:color w:val="000000"/>
                <w:szCs w:val="14"/>
              </w:rPr>
              <w:t xml:space="preserve"> </w:t>
            </w:r>
            <w:proofErr w:type="spellStart"/>
            <w:r w:rsidRPr="00B84B0C">
              <w:rPr>
                <w:rFonts w:cs="Arial"/>
                <w:color w:val="000000"/>
                <w:szCs w:val="14"/>
              </w:rPr>
              <w:t>audit</w:t>
            </w:r>
            <w:proofErr w:type="spellEnd"/>
            <w:r w:rsidRPr="00B84B0C">
              <w:rPr>
                <w:rFonts w:cs="Arial"/>
                <w:color w:val="000000"/>
                <w:szCs w:val="14"/>
              </w:rPr>
              <w:t xml:space="preserve"> </w:t>
            </w:r>
            <w:proofErr w:type="spellStart"/>
            <w:r w:rsidRPr="00B84B0C">
              <w:rPr>
                <w:rFonts w:cs="Arial"/>
                <w:color w:val="000000"/>
                <w:szCs w:val="14"/>
              </w:rPr>
              <w:t>services</w:t>
            </w:r>
            <w:proofErr w:type="spellEnd"/>
            <w:r w:rsidRPr="00B84B0C">
              <w:rPr>
                <w:rFonts w:cs="Arial"/>
                <w:color w:val="000000"/>
                <w:szCs w:val="14"/>
              </w:rPr>
              <w:t xml:space="preserve"> for </w:t>
            </w:r>
            <w:proofErr w:type="spellStart"/>
            <w:r w:rsidRPr="00B84B0C">
              <w:rPr>
                <w:rFonts w:cs="Arial"/>
                <w:color w:val="000000"/>
                <w:szCs w:val="14"/>
              </w:rPr>
              <w:t>the</w:t>
            </w:r>
            <w:proofErr w:type="spellEnd"/>
            <w:r w:rsidRPr="00B84B0C">
              <w:rPr>
                <w:rFonts w:cs="Arial"/>
                <w:color w:val="000000"/>
                <w:szCs w:val="14"/>
              </w:rPr>
              <w:t xml:space="preserve"> </w:t>
            </w:r>
            <w:proofErr w:type="spellStart"/>
            <w:r w:rsidRPr="00B84B0C">
              <w:rPr>
                <w:rFonts w:cs="Arial"/>
                <w:color w:val="000000"/>
                <w:szCs w:val="14"/>
              </w:rPr>
              <w:t>semesters</w:t>
            </w:r>
            <w:proofErr w:type="spellEnd"/>
            <w:r w:rsidRPr="00B84B0C">
              <w:rPr>
                <w:rFonts w:cs="Arial"/>
                <w:color w:val="000000"/>
                <w:szCs w:val="14"/>
              </w:rPr>
              <w:t xml:space="preserve"> </w:t>
            </w:r>
            <w:proofErr w:type="spellStart"/>
            <w:r w:rsidRPr="00B84B0C">
              <w:rPr>
                <w:rFonts w:cs="Arial"/>
                <w:color w:val="000000"/>
                <w:szCs w:val="14"/>
              </w:rPr>
              <w:t>ended</w:t>
            </w:r>
            <w:proofErr w:type="spellEnd"/>
            <w:r w:rsidRPr="00B84B0C">
              <w:rPr>
                <w:rFonts w:cs="Arial"/>
                <w:color w:val="000000"/>
                <w:szCs w:val="14"/>
              </w:rPr>
              <w:t xml:space="preserve"> </w:t>
            </w:r>
            <w:proofErr w:type="spellStart"/>
            <w:r w:rsidRPr="00B84B0C">
              <w:rPr>
                <w:rFonts w:cs="Arial"/>
                <w:color w:val="000000"/>
                <w:szCs w:val="14"/>
              </w:rPr>
              <w:t>on</w:t>
            </w:r>
            <w:proofErr w:type="spellEnd"/>
            <w:r w:rsidRPr="00B84B0C">
              <w:rPr>
                <w:rFonts w:cs="Arial"/>
                <w:color w:val="000000"/>
                <w:szCs w:val="14"/>
              </w:rPr>
              <w:t xml:space="preserve"> 06/30/2020 </w:t>
            </w:r>
            <w:proofErr w:type="spellStart"/>
            <w:r w:rsidRPr="00B84B0C">
              <w:rPr>
                <w:rFonts w:cs="Arial"/>
                <w:color w:val="000000"/>
                <w:szCs w:val="14"/>
              </w:rPr>
              <w:t>to</w:t>
            </w:r>
            <w:proofErr w:type="spellEnd"/>
            <w:r w:rsidRPr="00B84B0C">
              <w:rPr>
                <w:rFonts w:cs="Arial"/>
                <w:color w:val="000000"/>
                <w:szCs w:val="14"/>
              </w:rPr>
              <w:t xml:space="preserve"> 12/31/2024.</w:t>
            </w:r>
          </w:p>
        </w:tc>
        <w:tc>
          <w:tcPr>
            <w:tcW w:w="1274" w:type="dxa"/>
            <w:tcBorders>
              <w:top w:val="nil"/>
              <w:bottom w:val="nil"/>
            </w:tcBorders>
            <w:vAlign w:val="center"/>
          </w:tcPr>
          <w:p w14:paraId="7BDF5868" w14:textId="77777777" w:rsidR="00237ECE" w:rsidRPr="00B84B0C" w:rsidRDefault="00237ECE" w:rsidP="003E3C21">
            <w:pPr>
              <w:spacing w:before="40" w:after="40"/>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700,000.00</w:t>
            </w:r>
          </w:p>
        </w:tc>
      </w:tr>
      <w:tr w:rsidR="00237ECE" w:rsidRPr="00B84B0C" w14:paraId="2F6E7CE3" w14:textId="77777777" w:rsidTr="003E3C21">
        <w:trPr>
          <w:cnfStyle w:val="000000100000" w:firstRow="0" w:lastRow="0" w:firstColumn="0" w:lastColumn="0" w:oddVBand="0" w:evenVBand="0" w:oddHBand="1" w:evenHBand="0" w:firstRowFirstColumn="0" w:firstRowLastColumn="0" w:lastRowFirstColumn="0" w:lastRowLastColumn="0"/>
          <w:trHeight w:hRule="exact" w:val="689"/>
        </w:trPr>
        <w:tc>
          <w:tcPr>
            <w:cnfStyle w:val="001000000000" w:firstRow="0" w:lastRow="0" w:firstColumn="1" w:lastColumn="0" w:oddVBand="0" w:evenVBand="0" w:oddHBand="0" w:evenHBand="0" w:firstRowFirstColumn="0" w:firstRowLastColumn="0" w:lastRowFirstColumn="0" w:lastRowLastColumn="0"/>
            <w:tcW w:w="2693" w:type="dxa"/>
            <w:tcBorders>
              <w:top w:val="nil"/>
              <w:bottom w:val="single" w:sz="2" w:space="0" w:color="9CC2E5" w:themeColor="accent1" w:themeTint="99"/>
            </w:tcBorders>
            <w:vAlign w:val="center"/>
          </w:tcPr>
          <w:p w14:paraId="013D6BEA" w14:textId="77777777" w:rsidR="00237ECE" w:rsidRPr="00B84B0C" w:rsidRDefault="00237ECE" w:rsidP="003E3C21">
            <w:pPr>
              <w:pStyle w:val="08-Tabelageral"/>
              <w:jc w:val="left"/>
              <w:rPr>
                <w:rFonts w:cs="Arial"/>
                <w:b w:val="0"/>
                <w:snapToGrid w:val="0"/>
                <w:szCs w:val="14"/>
              </w:rPr>
            </w:pPr>
            <w:proofErr w:type="spellStart"/>
            <w:r w:rsidRPr="00B84B0C">
              <w:rPr>
                <w:rFonts w:cs="Arial"/>
                <w:b w:val="0"/>
                <w:szCs w:val="14"/>
              </w:rPr>
              <w:t>Brasilprev</w:t>
            </w:r>
            <w:proofErr w:type="spellEnd"/>
            <w:r w:rsidRPr="00B84B0C">
              <w:rPr>
                <w:rFonts w:cs="Arial"/>
                <w:b w:val="0"/>
                <w:szCs w:val="14"/>
              </w:rPr>
              <w:t xml:space="preserve"> Seguros e Previdência S.A.</w:t>
            </w:r>
          </w:p>
        </w:tc>
        <w:tc>
          <w:tcPr>
            <w:tcW w:w="1015" w:type="dxa"/>
            <w:tcBorders>
              <w:top w:val="nil"/>
              <w:bottom w:val="single" w:sz="2" w:space="0" w:color="9CC2E5" w:themeColor="accent1" w:themeTint="99"/>
            </w:tcBorders>
            <w:vAlign w:val="center"/>
          </w:tcPr>
          <w:p w14:paraId="2C61AF66" w14:textId="77777777" w:rsidR="00237ECE" w:rsidRPr="00B84B0C" w:rsidRDefault="00237ECE" w:rsidP="003E3C21">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01/14/2020</w:t>
            </w:r>
          </w:p>
        </w:tc>
        <w:tc>
          <w:tcPr>
            <w:tcW w:w="1016" w:type="dxa"/>
            <w:tcBorders>
              <w:top w:val="nil"/>
              <w:bottom w:val="single" w:sz="2" w:space="0" w:color="9CC2E5" w:themeColor="accent1" w:themeTint="99"/>
            </w:tcBorders>
            <w:vAlign w:val="center"/>
          </w:tcPr>
          <w:p w14:paraId="3A92A928" w14:textId="77777777" w:rsidR="00237ECE" w:rsidRPr="00B84B0C" w:rsidRDefault="00237ECE" w:rsidP="003E3C21">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03/03/2020</w:t>
            </w:r>
          </w:p>
        </w:tc>
        <w:tc>
          <w:tcPr>
            <w:tcW w:w="3640" w:type="dxa"/>
            <w:tcBorders>
              <w:top w:val="nil"/>
              <w:bottom w:val="single" w:sz="2" w:space="0" w:color="9CC2E5" w:themeColor="accent1" w:themeTint="99"/>
            </w:tcBorders>
            <w:vAlign w:val="center"/>
          </w:tcPr>
          <w:p w14:paraId="2770455A" w14:textId="77777777" w:rsidR="00237ECE" w:rsidRPr="00B84B0C" w:rsidRDefault="00237ECE" w:rsidP="003E3C21">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roofErr w:type="spellStart"/>
            <w:r w:rsidRPr="00B84B0C">
              <w:rPr>
                <w:rFonts w:cs="Arial"/>
                <w:szCs w:val="14"/>
              </w:rPr>
              <w:t>Tax</w:t>
            </w:r>
            <w:proofErr w:type="spellEnd"/>
            <w:r w:rsidRPr="00B84B0C">
              <w:rPr>
                <w:rFonts w:cs="Arial"/>
                <w:szCs w:val="14"/>
              </w:rPr>
              <w:t xml:space="preserve"> </w:t>
            </w:r>
            <w:proofErr w:type="spellStart"/>
            <w:r w:rsidRPr="00B84B0C">
              <w:rPr>
                <w:rFonts w:cs="Arial"/>
                <w:szCs w:val="14"/>
              </w:rPr>
              <w:t>consultancy</w:t>
            </w:r>
            <w:proofErr w:type="spellEnd"/>
            <w:r w:rsidRPr="00B84B0C">
              <w:rPr>
                <w:rFonts w:cs="Arial"/>
                <w:szCs w:val="14"/>
              </w:rPr>
              <w:t xml:space="preserve"> </w:t>
            </w:r>
            <w:proofErr w:type="spellStart"/>
            <w:r w:rsidRPr="00B84B0C">
              <w:rPr>
                <w:rFonts w:cs="Arial"/>
                <w:szCs w:val="14"/>
              </w:rPr>
              <w:t>on</w:t>
            </w:r>
            <w:proofErr w:type="spellEnd"/>
            <w:r w:rsidRPr="00B84B0C">
              <w:rPr>
                <w:rFonts w:cs="Arial"/>
                <w:szCs w:val="14"/>
              </w:rPr>
              <w:t xml:space="preserve"> R&amp;D for </w:t>
            </w:r>
            <w:proofErr w:type="spellStart"/>
            <w:r w:rsidRPr="00B84B0C">
              <w:rPr>
                <w:rFonts w:cs="Arial"/>
                <w:szCs w:val="14"/>
              </w:rPr>
              <w:t>previous</w:t>
            </w:r>
            <w:proofErr w:type="spellEnd"/>
            <w:r w:rsidRPr="00B84B0C">
              <w:rPr>
                <w:rFonts w:cs="Arial"/>
                <w:szCs w:val="14"/>
              </w:rPr>
              <w:t xml:space="preserve"> </w:t>
            </w:r>
            <w:proofErr w:type="spellStart"/>
            <w:r w:rsidRPr="00B84B0C">
              <w:rPr>
                <w:rFonts w:cs="Arial"/>
                <w:szCs w:val="14"/>
              </w:rPr>
              <w:t>years</w:t>
            </w:r>
            <w:proofErr w:type="spellEnd"/>
          </w:p>
        </w:tc>
        <w:tc>
          <w:tcPr>
            <w:tcW w:w="1274" w:type="dxa"/>
            <w:tcBorders>
              <w:top w:val="nil"/>
              <w:bottom w:val="single" w:sz="2" w:space="0" w:color="9CC2E5" w:themeColor="accent1" w:themeTint="99"/>
            </w:tcBorders>
            <w:vAlign w:val="center"/>
          </w:tcPr>
          <w:p w14:paraId="19215960" w14:textId="77777777" w:rsidR="00237ECE" w:rsidRPr="00B84B0C" w:rsidRDefault="00237ECE" w:rsidP="003E3C21">
            <w:pPr>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1,251,979.18</w:t>
            </w:r>
          </w:p>
        </w:tc>
      </w:tr>
    </w:tbl>
    <w:p w14:paraId="49247B26" w14:textId="77777777" w:rsidR="004B42E8" w:rsidRPr="00B84B0C" w:rsidRDefault="004B42E8" w:rsidP="004B42E8">
      <w:pPr>
        <w:jc w:val="both"/>
        <w:rPr>
          <w:rFonts w:eastAsia="Times New Roman" w:cs="Arial"/>
          <w:sz w:val="20"/>
          <w:szCs w:val="20"/>
          <w:lang w:eastAsia="pt-BR"/>
        </w:rPr>
      </w:pPr>
    </w:p>
    <w:p w14:paraId="17954609" w14:textId="77777777" w:rsidR="004B42E8" w:rsidRPr="00B84B0C" w:rsidRDefault="004B42E8" w:rsidP="004B42E8">
      <w:pPr>
        <w:rPr>
          <w:rFonts w:eastAsia="Times New Roman" w:cs="Arial"/>
          <w:sz w:val="20"/>
          <w:szCs w:val="20"/>
          <w:lang w:eastAsia="pt-BR"/>
        </w:rPr>
      </w:pPr>
    </w:p>
    <w:p w14:paraId="31C1D0FC" w14:textId="77777777" w:rsidR="00592EB1" w:rsidRPr="00B84B0C" w:rsidRDefault="00592EB1" w:rsidP="008B17D2">
      <w:pPr>
        <w:jc w:val="both"/>
        <w:rPr>
          <w:rFonts w:cs="Arial"/>
          <w:b/>
          <w:bCs/>
        </w:rPr>
      </w:pPr>
    </w:p>
    <w:p w14:paraId="54CBA031" w14:textId="77777777" w:rsidR="00592EB1" w:rsidRPr="00B84B0C" w:rsidRDefault="00592EB1" w:rsidP="008B17D2">
      <w:pPr>
        <w:jc w:val="both"/>
        <w:rPr>
          <w:rFonts w:cs="Arial"/>
          <w:b/>
          <w:bCs/>
        </w:rPr>
      </w:pPr>
    </w:p>
    <w:p w14:paraId="6AB091BF" w14:textId="77777777" w:rsidR="00C032C2" w:rsidRPr="00B84B0C" w:rsidRDefault="00C032C2">
      <w:pPr>
        <w:rPr>
          <w:rFonts w:eastAsia="Times New Roman" w:cs="Arial"/>
          <w:spacing w:val="-2"/>
          <w:sz w:val="20"/>
          <w:szCs w:val="20"/>
          <w:lang w:eastAsia="pt-BR"/>
        </w:rPr>
      </w:pPr>
      <w:r w:rsidRPr="00B84B0C">
        <w:rPr>
          <w:rFonts w:cs="Arial"/>
          <w:b/>
        </w:rPr>
        <w:br w:type="page"/>
      </w:r>
    </w:p>
    <w:p w14:paraId="421CEF36" w14:textId="65425863" w:rsidR="00720F68" w:rsidRPr="00B84B0C" w:rsidRDefault="00720F68" w:rsidP="00904B54">
      <w:pPr>
        <w:pStyle w:val="02-TtulodeNota"/>
        <w:rPr>
          <w:rFonts w:cs="Arial"/>
          <w:color w:val="1F4E79" w:themeColor="accent1" w:themeShade="80"/>
          <w:lang w:val="en-US"/>
        </w:rPr>
      </w:pPr>
      <w:bookmarkStart w:id="0" w:name="_Toc39131478"/>
      <w:r w:rsidRPr="00B84B0C">
        <w:rPr>
          <w:rFonts w:cs="Arial"/>
          <w:color w:val="1F4E79" w:themeColor="accent1" w:themeShade="80"/>
          <w:lang w:val="en-US"/>
        </w:rPr>
        <w:lastRenderedPageBreak/>
        <w:t>STATEMENT OF INCOME</w:t>
      </w:r>
      <w:bookmarkEnd w:id="0"/>
    </w:p>
    <w:p w14:paraId="6B11C80D" w14:textId="77777777" w:rsidR="00720F68" w:rsidRPr="00B84B0C" w:rsidRDefault="00720F68" w:rsidP="00720F68">
      <w:pPr>
        <w:pStyle w:val="06-Rmil"/>
        <w:rPr>
          <w:rFonts w:cs="Arial"/>
          <w:sz w:val="12"/>
          <w:szCs w:val="12"/>
        </w:rPr>
      </w:pPr>
      <w:r w:rsidRPr="00B84B0C">
        <w:rPr>
          <w:rFonts w:cs="Arial"/>
        </w:rPr>
        <w:t xml:space="preserve">R$ </w:t>
      </w:r>
      <w:proofErr w:type="spellStart"/>
      <w:r w:rsidRPr="00B84B0C">
        <w:rPr>
          <w:rFonts w:cs="Arial"/>
        </w:rPr>
        <w:t>thousand</w:t>
      </w:r>
      <w:proofErr w:type="spellEnd"/>
      <w:r w:rsidRPr="00B84B0C">
        <w:rPr>
          <w:rFonts w:cs="Arial"/>
        </w:rPr>
        <w:t xml:space="preserve"> (</w:t>
      </w:r>
      <w:proofErr w:type="spellStart"/>
      <w:r w:rsidRPr="00B84B0C">
        <w:rPr>
          <w:rFonts w:cs="Arial"/>
        </w:rPr>
        <w:t>except</w:t>
      </w:r>
      <w:proofErr w:type="spellEnd"/>
      <w:r w:rsidRPr="00B84B0C">
        <w:rPr>
          <w:rFonts w:cs="Arial"/>
        </w:rPr>
        <w:t xml:space="preserve"> </w:t>
      </w:r>
      <w:proofErr w:type="spellStart"/>
      <w:r w:rsidRPr="00B84B0C">
        <w:rPr>
          <w:rFonts w:cs="Arial"/>
        </w:rPr>
        <w:t>earnings</w:t>
      </w:r>
      <w:proofErr w:type="spellEnd"/>
      <w:r w:rsidRPr="00B84B0C">
        <w:rPr>
          <w:rFonts w:cs="Arial"/>
        </w:rPr>
        <w:t xml:space="preserve"> per </w:t>
      </w:r>
      <w:proofErr w:type="spellStart"/>
      <w:r w:rsidRPr="00B84B0C">
        <w:rPr>
          <w:rFonts w:cs="Arial"/>
        </w:rPr>
        <w:t>share</w:t>
      </w:r>
      <w:proofErr w:type="spellEnd"/>
      <w:r w:rsidRPr="00B84B0C">
        <w:rPr>
          <w:rFonts w:cs="Arial"/>
        </w:rPr>
        <w:t>)</w:t>
      </w:r>
    </w:p>
    <w:tbl>
      <w:tblPr>
        <w:tblStyle w:val="TabeladeLista6Colorida-nfase53"/>
        <w:tblW w:w="9639" w:type="dxa"/>
        <w:tblInd w:w="108" w:type="dxa"/>
        <w:tblLook w:val="04A0" w:firstRow="1" w:lastRow="0" w:firstColumn="1" w:lastColumn="0" w:noHBand="0" w:noVBand="1"/>
      </w:tblPr>
      <w:tblGrid>
        <w:gridCol w:w="2947"/>
        <w:gridCol w:w="668"/>
        <w:gridCol w:w="1405"/>
        <w:gridCol w:w="1406"/>
        <w:gridCol w:w="282"/>
        <w:gridCol w:w="1411"/>
        <w:gridCol w:w="1520"/>
      </w:tblGrid>
      <w:tr w:rsidR="00720F68" w:rsidRPr="00B84B0C" w14:paraId="7E1CFDD2" w14:textId="77777777" w:rsidTr="00904B5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47" w:type="dxa"/>
            <w:tcBorders>
              <w:top w:val="single" w:sz="2" w:space="0" w:color="8EAADB" w:themeColor="accent5" w:themeTint="99"/>
              <w:bottom w:val="nil"/>
            </w:tcBorders>
            <w:shd w:val="clear" w:color="auto" w:fill="D9E2F3" w:themeFill="accent5" w:themeFillTint="33"/>
            <w:vAlign w:val="center"/>
          </w:tcPr>
          <w:p w14:paraId="243487F8" w14:textId="77777777" w:rsidR="00720F68" w:rsidRPr="00B84B0C" w:rsidRDefault="00720F68" w:rsidP="00720F68">
            <w:pPr>
              <w:jc w:val="center"/>
              <w:rPr>
                <w:rFonts w:cs="Arial"/>
                <w:b w:val="0"/>
                <w:szCs w:val="18"/>
                <w:lang w:val="en-US"/>
              </w:rPr>
            </w:pPr>
          </w:p>
        </w:tc>
        <w:tc>
          <w:tcPr>
            <w:tcW w:w="668" w:type="dxa"/>
            <w:tcBorders>
              <w:top w:val="single" w:sz="2" w:space="0" w:color="8EAADB" w:themeColor="accent5" w:themeTint="99"/>
              <w:bottom w:val="nil"/>
            </w:tcBorders>
            <w:shd w:val="clear" w:color="auto" w:fill="D9E2F3" w:themeFill="accent5" w:themeFillTint="33"/>
          </w:tcPr>
          <w:p w14:paraId="0E5108A4"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811"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5C5435C"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2" w:type="dxa"/>
            <w:tcBorders>
              <w:top w:val="single" w:sz="2" w:space="0" w:color="8EAADB" w:themeColor="accent5" w:themeTint="99"/>
              <w:bottom w:val="nil"/>
            </w:tcBorders>
            <w:shd w:val="clear" w:color="auto" w:fill="D9E2F3" w:themeFill="accent5" w:themeFillTint="33"/>
          </w:tcPr>
          <w:p w14:paraId="0BB5FAB7"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31"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F5FED3C"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720F68" w:rsidRPr="00B84B0C" w14:paraId="44FA1FAA"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single" w:sz="2" w:space="0" w:color="8EAADB" w:themeColor="accent5" w:themeTint="99"/>
            </w:tcBorders>
          </w:tcPr>
          <w:p w14:paraId="39425820" w14:textId="77777777" w:rsidR="00720F68" w:rsidRPr="00B84B0C" w:rsidRDefault="00720F68" w:rsidP="00720F68">
            <w:pPr>
              <w:pStyle w:val="08-Tabelageral"/>
              <w:jc w:val="left"/>
              <w:rPr>
                <w:rFonts w:cs="Arial"/>
                <w:b w:val="0"/>
              </w:rPr>
            </w:pPr>
          </w:p>
        </w:tc>
        <w:tc>
          <w:tcPr>
            <w:tcW w:w="668" w:type="dxa"/>
            <w:tcBorders>
              <w:top w:val="nil"/>
              <w:bottom w:val="single" w:sz="2" w:space="0" w:color="8EAADB" w:themeColor="accent5" w:themeTint="99"/>
            </w:tcBorders>
          </w:tcPr>
          <w:p w14:paraId="413BA0C3"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Nota</w:t>
            </w:r>
          </w:p>
        </w:tc>
        <w:tc>
          <w:tcPr>
            <w:tcW w:w="1405" w:type="dxa"/>
            <w:tcBorders>
              <w:top w:val="single" w:sz="2" w:space="0" w:color="8EAADB" w:themeColor="accent5" w:themeTint="99"/>
              <w:bottom w:val="single" w:sz="2" w:space="0" w:color="8EAADB" w:themeColor="accent5" w:themeTint="99"/>
            </w:tcBorders>
            <w:vAlign w:val="bottom"/>
          </w:tcPr>
          <w:p w14:paraId="27932A3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406" w:type="dxa"/>
            <w:tcBorders>
              <w:top w:val="single" w:sz="2" w:space="0" w:color="8EAADB" w:themeColor="accent5" w:themeTint="99"/>
              <w:bottom w:val="single" w:sz="2" w:space="0" w:color="8EAADB" w:themeColor="accent5" w:themeTint="99"/>
            </w:tcBorders>
            <w:vAlign w:val="bottom"/>
          </w:tcPr>
          <w:p w14:paraId="53C73D7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c>
          <w:tcPr>
            <w:tcW w:w="282" w:type="dxa"/>
            <w:tcBorders>
              <w:top w:val="nil"/>
              <w:bottom w:val="single" w:sz="2" w:space="0" w:color="8EAADB" w:themeColor="accent5" w:themeTint="99"/>
            </w:tcBorders>
            <w:vAlign w:val="center"/>
          </w:tcPr>
          <w:p w14:paraId="1D8F0FD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bottom"/>
          </w:tcPr>
          <w:p w14:paraId="145FC21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520" w:type="dxa"/>
            <w:tcBorders>
              <w:top w:val="single" w:sz="2" w:space="0" w:color="8EAADB" w:themeColor="accent5" w:themeTint="99"/>
              <w:bottom w:val="single" w:sz="2" w:space="0" w:color="8EAADB" w:themeColor="accent5" w:themeTint="99"/>
            </w:tcBorders>
            <w:vAlign w:val="bottom"/>
          </w:tcPr>
          <w:p w14:paraId="38A5A00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r>
      <w:tr w:rsidR="00720F68" w:rsidRPr="00B84B0C" w14:paraId="49653964"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single" w:sz="2" w:space="0" w:color="8EAADB" w:themeColor="accent5" w:themeTint="99"/>
              <w:bottom w:val="nil"/>
            </w:tcBorders>
          </w:tcPr>
          <w:p w14:paraId="4A9D89C9" w14:textId="77777777" w:rsidR="00720F68" w:rsidRPr="00B84B0C" w:rsidRDefault="00720F68" w:rsidP="00720F68">
            <w:pPr>
              <w:pStyle w:val="08-Tabelageral"/>
              <w:jc w:val="left"/>
              <w:rPr>
                <w:rFonts w:cs="Arial"/>
                <w:bCs w:val="0"/>
                <w:szCs w:val="14"/>
              </w:rPr>
            </w:pPr>
            <w:r w:rsidRPr="00B84B0C">
              <w:rPr>
                <w:rFonts w:cs="Arial"/>
                <w:szCs w:val="14"/>
              </w:rPr>
              <w:t>OPERATING INCOME</w:t>
            </w:r>
          </w:p>
        </w:tc>
        <w:tc>
          <w:tcPr>
            <w:tcW w:w="668" w:type="dxa"/>
            <w:tcBorders>
              <w:top w:val="single" w:sz="2" w:space="0" w:color="8EAADB" w:themeColor="accent5" w:themeTint="99"/>
              <w:bottom w:val="nil"/>
            </w:tcBorders>
            <w:vAlign w:val="center"/>
          </w:tcPr>
          <w:p w14:paraId="18BBB35F"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05" w:type="dxa"/>
            <w:tcBorders>
              <w:top w:val="single" w:sz="2" w:space="0" w:color="8EAADB" w:themeColor="accent5" w:themeTint="99"/>
              <w:bottom w:val="nil"/>
            </w:tcBorders>
            <w:vAlign w:val="center"/>
          </w:tcPr>
          <w:p w14:paraId="73DD04B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868,229</w:t>
            </w:r>
          </w:p>
        </w:tc>
        <w:tc>
          <w:tcPr>
            <w:tcW w:w="1406" w:type="dxa"/>
            <w:tcBorders>
              <w:top w:val="single" w:sz="2" w:space="0" w:color="8EAADB" w:themeColor="accent5" w:themeTint="99"/>
              <w:bottom w:val="nil"/>
            </w:tcBorders>
            <w:vAlign w:val="center"/>
          </w:tcPr>
          <w:p w14:paraId="010A21E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1,002,039</w:t>
            </w:r>
          </w:p>
        </w:tc>
        <w:tc>
          <w:tcPr>
            <w:tcW w:w="282" w:type="dxa"/>
            <w:tcBorders>
              <w:top w:val="single" w:sz="2" w:space="0" w:color="8EAADB" w:themeColor="accent5" w:themeTint="99"/>
              <w:bottom w:val="nil"/>
            </w:tcBorders>
            <w:vAlign w:val="center"/>
          </w:tcPr>
          <w:p w14:paraId="7CC3F49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single" w:sz="2" w:space="0" w:color="8EAADB" w:themeColor="accent5" w:themeTint="99"/>
              <w:bottom w:val="nil"/>
            </w:tcBorders>
            <w:vAlign w:val="center"/>
          </w:tcPr>
          <w:p w14:paraId="048AEB8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1,169,376</w:t>
            </w:r>
          </w:p>
        </w:tc>
        <w:tc>
          <w:tcPr>
            <w:tcW w:w="1520" w:type="dxa"/>
            <w:tcBorders>
              <w:top w:val="single" w:sz="2" w:space="0" w:color="8EAADB" w:themeColor="accent5" w:themeTint="99"/>
              <w:bottom w:val="nil"/>
            </w:tcBorders>
            <w:vAlign w:val="center"/>
          </w:tcPr>
          <w:p w14:paraId="607A283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1,254,842</w:t>
            </w:r>
          </w:p>
        </w:tc>
      </w:tr>
      <w:tr w:rsidR="00720F68" w:rsidRPr="00B84B0C" w14:paraId="42613962" w14:textId="77777777" w:rsidTr="00904B54">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4B579DC0" w14:textId="77777777" w:rsidR="00720F68" w:rsidRPr="00B84B0C" w:rsidRDefault="00720F68" w:rsidP="00720F68">
            <w:pPr>
              <w:pStyle w:val="08-Tabelageral"/>
              <w:ind w:left="113"/>
              <w:jc w:val="left"/>
              <w:rPr>
                <w:rFonts w:cs="Arial"/>
                <w:b w:val="0"/>
                <w:szCs w:val="14"/>
              </w:rPr>
            </w:pPr>
            <w:proofErr w:type="spellStart"/>
            <w:r w:rsidRPr="00B84B0C">
              <w:rPr>
                <w:rFonts w:cs="Arial"/>
                <w:b w:val="0"/>
                <w:szCs w:val="14"/>
              </w:rPr>
              <w:t>Equity</w:t>
            </w:r>
            <w:proofErr w:type="spellEnd"/>
            <w:r w:rsidRPr="00B84B0C">
              <w:rPr>
                <w:rFonts w:cs="Arial"/>
                <w:b w:val="0"/>
                <w:szCs w:val="14"/>
              </w:rPr>
              <w:t xml:space="preserve"> income</w:t>
            </w:r>
          </w:p>
        </w:tc>
        <w:tc>
          <w:tcPr>
            <w:tcW w:w="668" w:type="dxa"/>
            <w:tcBorders>
              <w:top w:val="nil"/>
              <w:bottom w:val="nil"/>
            </w:tcBorders>
            <w:vAlign w:val="center"/>
          </w:tcPr>
          <w:p w14:paraId="7B4BA238" w14:textId="77777777" w:rsidR="00720F68" w:rsidRPr="00B84B0C" w:rsidRDefault="00720F68" w:rsidP="00720F68">
            <w:pPr>
              <w:pStyle w:val="08-Tabelageral"/>
              <w:ind w:left="113"/>
              <w:jc w:val="left"/>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[09]</w:t>
            </w:r>
          </w:p>
        </w:tc>
        <w:tc>
          <w:tcPr>
            <w:tcW w:w="1405" w:type="dxa"/>
            <w:tcBorders>
              <w:top w:val="nil"/>
              <w:bottom w:val="nil"/>
            </w:tcBorders>
            <w:vAlign w:val="center"/>
          </w:tcPr>
          <w:p w14:paraId="1F9B2586"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868,229</w:t>
            </w:r>
          </w:p>
        </w:tc>
        <w:tc>
          <w:tcPr>
            <w:tcW w:w="1406" w:type="dxa"/>
            <w:tcBorders>
              <w:top w:val="nil"/>
              <w:bottom w:val="nil"/>
            </w:tcBorders>
            <w:vAlign w:val="center"/>
          </w:tcPr>
          <w:p w14:paraId="1DFB3DC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1,002,039</w:t>
            </w:r>
          </w:p>
        </w:tc>
        <w:tc>
          <w:tcPr>
            <w:tcW w:w="282" w:type="dxa"/>
            <w:tcBorders>
              <w:top w:val="nil"/>
              <w:bottom w:val="nil"/>
            </w:tcBorders>
            <w:vAlign w:val="center"/>
          </w:tcPr>
          <w:p w14:paraId="4A7EBD2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7B2C9A7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388,758</w:t>
            </w:r>
          </w:p>
        </w:tc>
        <w:tc>
          <w:tcPr>
            <w:tcW w:w="1520" w:type="dxa"/>
            <w:tcBorders>
              <w:top w:val="nil"/>
              <w:bottom w:val="nil"/>
            </w:tcBorders>
            <w:vAlign w:val="center"/>
          </w:tcPr>
          <w:p w14:paraId="793005F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Cs/>
              </w:rPr>
              <w:t>586,673</w:t>
            </w:r>
          </w:p>
        </w:tc>
      </w:tr>
      <w:tr w:rsidR="00720F68" w:rsidRPr="00B84B0C" w14:paraId="6340F0B2"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26E3330E" w14:textId="77777777" w:rsidR="00720F68" w:rsidRPr="00B84B0C" w:rsidRDefault="00720F68" w:rsidP="00720F68">
            <w:pPr>
              <w:pStyle w:val="08-Tabelageral"/>
              <w:ind w:left="113"/>
              <w:jc w:val="left"/>
              <w:rPr>
                <w:rFonts w:cs="Arial"/>
                <w:b w:val="0"/>
                <w:szCs w:val="14"/>
              </w:rPr>
            </w:pPr>
            <w:r w:rsidRPr="00B84B0C">
              <w:rPr>
                <w:rFonts w:cs="Arial"/>
                <w:b w:val="0"/>
                <w:szCs w:val="14"/>
              </w:rPr>
              <w:t xml:space="preserve">Net </w:t>
            </w:r>
            <w:proofErr w:type="spellStart"/>
            <w:r w:rsidRPr="00B84B0C">
              <w:rPr>
                <w:rFonts w:cs="Arial"/>
                <w:b w:val="0"/>
                <w:szCs w:val="14"/>
              </w:rPr>
              <w:t>commissions</w:t>
            </w:r>
            <w:proofErr w:type="spellEnd"/>
            <w:r w:rsidRPr="00B84B0C">
              <w:rPr>
                <w:rFonts w:cs="Arial"/>
                <w:b w:val="0"/>
                <w:szCs w:val="14"/>
              </w:rPr>
              <w:t xml:space="preserve"> income</w:t>
            </w:r>
          </w:p>
        </w:tc>
        <w:tc>
          <w:tcPr>
            <w:tcW w:w="668" w:type="dxa"/>
            <w:tcBorders>
              <w:top w:val="nil"/>
              <w:bottom w:val="nil"/>
            </w:tcBorders>
            <w:vAlign w:val="center"/>
          </w:tcPr>
          <w:p w14:paraId="752A5A61" w14:textId="77777777" w:rsidR="00720F68" w:rsidRPr="00B84B0C" w:rsidRDefault="00720F68" w:rsidP="00720F68">
            <w:pPr>
              <w:pStyle w:val="08-Tabelageral"/>
              <w:ind w:left="113"/>
              <w:jc w:val="left"/>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[25]</w:t>
            </w:r>
          </w:p>
        </w:tc>
        <w:tc>
          <w:tcPr>
            <w:tcW w:w="1405" w:type="dxa"/>
            <w:tcBorders>
              <w:top w:val="nil"/>
              <w:bottom w:val="nil"/>
            </w:tcBorders>
            <w:vAlign w:val="center"/>
          </w:tcPr>
          <w:p w14:paraId="74DA2136"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406" w:type="dxa"/>
            <w:tcBorders>
              <w:top w:val="nil"/>
              <w:bottom w:val="nil"/>
            </w:tcBorders>
            <w:vAlign w:val="center"/>
          </w:tcPr>
          <w:p w14:paraId="6F391D0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282" w:type="dxa"/>
            <w:tcBorders>
              <w:top w:val="nil"/>
              <w:bottom w:val="nil"/>
            </w:tcBorders>
            <w:vAlign w:val="center"/>
          </w:tcPr>
          <w:p w14:paraId="7D1CBFCE"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52F74FA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780,618</w:t>
            </w:r>
          </w:p>
        </w:tc>
        <w:tc>
          <w:tcPr>
            <w:tcW w:w="1520" w:type="dxa"/>
            <w:tcBorders>
              <w:top w:val="nil"/>
              <w:bottom w:val="nil"/>
            </w:tcBorders>
            <w:vAlign w:val="center"/>
          </w:tcPr>
          <w:p w14:paraId="74B873D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bCs/>
              </w:rPr>
              <w:t>668,169</w:t>
            </w:r>
          </w:p>
        </w:tc>
      </w:tr>
      <w:tr w:rsidR="00720F68" w:rsidRPr="00B84B0C" w14:paraId="760FB245"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4D5EC497" w14:textId="77777777" w:rsidR="00720F68" w:rsidRPr="00B84B0C" w:rsidRDefault="00720F68" w:rsidP="00720F68">
            <w:pPr>
              <w:pStyle w:val="08-Tabelageral"/>
              <w:jc w:val="left"/>
              <w:rPr>
                <w:rFonts w:cs="Arial"/>
                <w:b w:val="0"/>
                <w:szCs w:val="14"/>
              </w:rPr>
            </w:pPr>
            <w:r w:rsidRPr="00B84B0C">
              <w:rPr>
                <w:rFonts w:cs="Arial"/>
                <w:b w:val="0"/>
                <w:szCs w:val="14"/>
              </w:rPr>
              <w:t>COST OF SERVICES PROVIDED</w:t>
            </w:r>
          </w:p>
        </w:tc>
        <w:tc>
          <w:tcPr>
            <w:tcW w:w="668" w:type="dxa"/>
            <w:tcBorders>
              <w:top w:val="nil"/>
              <w:bottom w:val="nil"/>
            </w:tcBorders>
            <w:vAlign w:val="center"/>
          </w:tcPr>
          <w:p w14:paraId="47A8AC39"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[23]</w:t>
            </w:r>
          </w:p>
        </w:tc>
        <w:tc>
          <w:tcPr>
            <w:tcW w:w="1405" w:type="dxa"/>
            <w:tcBorders>
              <w:top w:val="nil"/>
              <w:bottom w:val="nil"/>
            </w:tcBorders>
            <w:vAlign w:val="center"/>
          </w:tcPr>
          <w:p w14:paraId="2CE3D89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b/>
                <w:szCs w:val="14"/>
              </w:rPr>
              <w:t>--</w:t>
            </w:r>
          </w:p>
        </w:tc>
        <w:tc>
          <w:tcPr>
            <w:tcW w:w="1406" w:type="dxa"/>
            <w:tcBorders>
              <w:top w:val="nil"/>
              <w:bottom w:val="nil"/>
            </w:tcBorders>
            <w:vAlign w:val="center"/>
          </w:tcPr>
          <w:p w14:paraId="3BF97A3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
              </w:rPr>
              <w:t>--</w:t>
            </w:r>
          </w:p>
        </w:tc>
        <w:tc>
          <w:tcPr>
            <w:tcW w:w="282" w:type="dxa"/>
            <w:tcBorders>
              <w:top w:val="nil"/>
              <w:bottom w:val="nil"/>
            </w:tcBorders>
            <w:vAlign w:val="center"/>
          </w:tcPr>
          <w:p w14:paraId="6CD35E6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03D8C8D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b/>
                <w:szCs w:val="14"/>
              </w:rPr>
              <w:t>(45,460)</w:t>
            </w:r>
          </w:p>
        </w:tc>
        <w:tc>
          <w:tcPr>
            <w:tcW w:w="1520" w:type="dxa"/>
            <w:tcBorders>
              <w:top w:val="nil"/>
              <w:bottom w:val="nil"/>
            </w:tcBorders>
            <w:vAlign w:val="center"/>
          </w:tcPr>
          <w:p w14:paraId="2E9DC80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
              </w:rPr>
              <w:t>(43,667)</w:t>
            </w:r>
          </w:p>
        </w:tc>
      </w:tr>
      <w:tr w:rsidR="00720F68" w:rsidRPr="00B84B0C" w14:paraId="3CEEB95F"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5336F953" w14:textId="77777777" w:rsidR="00720F68" w:rsidRPr="00B84B0C" w:rsidRDefault="00720F68" w:rsidP="00720F68">
            <w:pPr>
              <w:pStyle w:val="08-Tabelageral"/>
              <w:jc w:val="left"/>
              <w:rPr>
                <w:rFonts w:cs="Arial"/>
                <w:szCs w:val="14"/>
              </w:rPr>
            </w:pPr>
            <w:r w:rsidRPr="00B84B0C">
              <w:rPr>
                <w:rFonts w:cs="Arial"/>
                <w:szCs w:val="14"/>
              </w:rPr>
              <w:t>GROSS PROFIT</w:t>
            </w:r>
          </w:p>
        </w:tc>
        <w:tc>
          <w:tcPr>
            <w:tcW w:w="668" w:type="dxa"/>
            <w:tcBorders>
              <w:top w:val="nil"/>
              <w:bottom w:val="nil"/>
            </w:tcBorders>
            <w:vAlign w:val="center"/>
          </w:tcPr>
          <w:p w14:paraId="7F07D385"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05" w:type="dxa"/>
            <w:tcBorders>
              <w:top w:val="nil"/>
              <w:bottom w:val="nil"/>
            </w:tcBorders>
            <w:vAlign w:val="center"/>
          </w:tcPr>
          <w:p w14:paraId="6A4A848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868,229</w:t>
            </w:r>
          </w:p>
        </w:tc>
        <w:tc>
          <w:tcPr>
            <w:tcW w:w="1406" w:type="dxa"/>
            <w:tcBorders>
              <w:top w:val="nil"/>
              <w:bottom w:val="nil"/>
            </w:tcBorders>
            <w:vAlign w:val="center"/>
          </w:tcPr>
          <w:p w14:paraId="47CA5E5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1,002,039</w:t>
            </w:r>
          </w:p>
        </w:tc>
        <w:tc>
          <w:tcPr>
            <w:tcW w:w="282" w:type="dxa"/>
            <w:tcBorders>
              <w:top w:val="nil"/>
              <w:bottom w:val="nil"/>
            </w:tcBorders>
            <w:vAlign w:val="center"/>
          </w:tcPr>
          <w:p w14:paraId="39923E1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nil"/>
            </w:tcBorders>
            <w:vAlign w:val="center"/>
          </w:tcPr>
          <w:p w14:paraId="3A65F12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1,123,916</w:t>
            </w:r>
          </w:p>
        </w:tc>
        <w:tc>
          <w:tcPr>
            <w:tcW w:w="1520" w:type="dxa"/>
            <w:tcBorders>
              <w:top w:val="nil"/>
              <w:bottom w:val="nil"/>
            </w:tcBorders>
            <w:vAlign w:val="center"/>
          </w:tcPr>
          <w:p w14:paraId="73E1EA8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1,211,175</w:t>
            </w:r>
          </w:p>
        </w:tc>
      </w:tr>
      <w:tr w:rsidR="00720F68" w:rsidRPr="00B84B0C" w14:paraId="547841CA"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2D4A4F40" w14:textId="77777777" w:rsidR="00720F68" w:rsidRPr="00B84B0C" w:rsidRDefault="00720F68" w:rsidP="00720F68">
            <w:pPr>
              <w:pStyle w:val="08-Tabelageral"/>
              <w:jc w:val="left"/>
              <w:rPr>
                <w:rFonts w:cs="Arial"/>
                <w:bCs w:val="0"/>
                <w:szCs w:val="14"/>
              </w:rPr>
            </w:pPr>
            <w:r w:rsidRPr="00B84B0C">
              <w:rPr>
                <w:rFonts w:cs="Arial"/>
                <w:szCs w:val="14"/>
              </w:rPr>
              <w:t>OTHER INCOME AND EXPENSES</w:t>
            </w:r>
          </w:p>
        </w:tc>
        <w:tc>
          <w:tcPr>
            <w:tcW w:w="668" w:type="dxa"/>
            <w:tcBorders>
              <w:top w:val="nil"/>
              <w:bottom w:val="nil"/>
            </w:tcBorders>
            <w:vAlign w:val="center"/>
          </w:tcPr>
          <w:p w14:paraId="16CF06A5"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05" w:type="dxa"/>
            <w:tcBorders>
              <w:top w:val="nil"/>
              <w:bottom w:val="nil"/>
            </w:tcBorders>
            <w:vAlign w:val="center"/>
          </w:tcPr>
          <w:p w14:paraId="1F3EAAD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(2,350)</w:t>
            </w:r>
          </w:p>
        </w:tc>
        <w:tc>
          <w:tcPr>
            <w:tcW w:w="1406" w:type="dxa"/>
            <w:tcBorders>
              <w:top w:val="nil"/>
              <w:bottom w:val="nil"/>
            </w:tcBorders>
            <w:vAlign w:val="center"/>
          </w:tcPr>
          <w:p w14:paraId="422D4EE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(2,985)</w:t>
            </w:r>
          </w:p>
        </w:tc>
        <w:tc>
          <w:tcPr>
            <w:tcW w:w="282" w:type="dxa"/>
            <w:tcBorders>
              <w:top w:val="nil"/>
              <w:bottom w:val="nil"/>
            </w:tcBorders>
            <w:vAlign w:val="center"/>
          </w:tcPr>
          <w:p w14:paraId="5F38C85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vAlign w:val="center"/>
          </w:tcPr>
          <w:p w14:paraId="206B667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(31,719)</w:t>
            </w:r>
          </w:p>
        </w:tc>
        <w:tc>
          <w:tcPr>
            <w:tcW w:w="1520" w:type="dxa"/>
            <w:tcBorders>
              <w:top w:val="nil"/>
              <w:bottom w:val="nil"/>
            </w:tcBorders>
            <w:vAlign w:val="center"/>
          </w:tcPr>
          <w:p w14:paraId="53468C1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(25,324)</w:t>
            </w:r>
          </w:p>
        </w:tc>
      </w:tr>
      <w:tr w:rsidR="00720F68" w:rsidRPr="00B84B0C" w14:paraId="359A1F1F"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2480C584" w14:textId="77777777" w:rsidR="00720F68" w:rsidRPr="00B84B0C" w:rsidRDefault="00720F68" w:rsidP="00720F68">
            <w:pPr>
              <w:pStyle w:val="08-Tabelageral"/>
              <w:ind w:left="113"/>
              <w:jc w:val="left"/>
              <w:rPr>
                <w:rFonts w:cs="Arial"/>
                <w:b w:val="0"/>
                <w:szCs w:val="14"/>
              </w:rPr>
            </w:pPr>
            <w:proofErr w:type="spellStart"/>
            <w:r w:rsidRPr="00B84B0C">
              <w:rPr>
                <w:rFonts w:cs="Arial"/>
                <w:b w:val="0"/>
              </w:rPr>
              <w:t>Personnel</w:t>
            </w:r>
            <w:proofErr w:type="spellEnd"/>
            <w:r w:rsidRPr="00B84B0C">
              <w:rPr>
                <w:rFonts w:cs="Arial"/>
                <w:b w:val="0"/>
              </w:rPr>
              <w:t xml:space="preserve"> </w:t>
            </w:r>
            <w:proofErr w:type="spellStart"/>
            <w:r w:rsidRPr="00B84B0C">
              <w:rPr>
                <w:rFonts w:cs="Arial"/>
                <w:b w:val="0"/>
              </w:rPr>
              <w:t>expenses</w:t>
            </w:r>
            <w:proofErr w:type="spellEnd"/>
          </w:p>
        </w:tc>
        <w:tc>
          <w:tcPr>
            <w:tcW w:w="668" w:type="dxa"/>
            <w:tcBorders>
              <w:top w:val="nil"/>
              <w:bottom w:val="nil"/>
            </w:tcBorders>
          </w:tcPr>
          <w:p w14:paraId="7B261857" w14:textId="77777777" w:rsidR="00720F68" w:rsidRPr="00B84B0C" w:rsidRDefault="00720F68" w:rsidP="00720F6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[21]</w:t>
            </w:r>
          </w:p>
        </w:tc>
        <w:tc>
          <w:tcPr>
            <w:tcW w:w="1405" w:type="dxa"/>
            <w:tcBorders>
              <w:top w:val="nil"/>
              <w:bottom w:val="nil"/>
            </w:tcBorders>
            <w:vAlign w:val="center"/>
          </w:tcPr>
          <w:p w14:paraId="7F80B511"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(2,772)</w:t>
            </w:r>
          </w:p>
        </w:tc>
        <w:tc>
          <w:tcPr>
            <w:tcW w:w="1406" w:type="dxa"/>
            <w:tcBorders>
              <w:top w:val="nil"/>
              <w:bottom w:val="nil"/>
            </w:tcBorders>
            <w:vAlign w:val="center"/>
          </w:tcPr>
          <w:p w14:paraId="07AF49E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(2,481)</w:t>
            </w:r>
          </w:p>
        </w:tc>
        <w:tc>
          <w:tcPr>
            <w:tcW w:w="282" w:type="dxa"/>
            <w:tcBorders>
              <w:top w:val="nil"/>
              <w:bottom w:val="nil"/>
            </w:tcBorders>
            <w:vAlign w:val="center"/>
          </w:tcPr>
          <w:p w14:paraId="6AB419E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1A53C3F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(15,435)</w:t>
            </w:r>
          </w:p>
        </w:tc>
        <w:tc>
          <w:tcPr>
            <w:tcW w:w="1520" w:type="dxa"/>
            <w:tcBorders>
              <w:top w:val="nil"/>
              <w:bottom w:val="nil"/>
            </w:tcBorders>
            <w:vAlign w:val="center"/>
          </w:tcPr>
          <w:p w14:paraId="1A90871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bCs/>
              </w:rPr>
              <w:t>(13,128)</w:t>
            </w:r>
          </w:p>
        </w:tc>
      </w:tr>
      <w:tr w:rsidR="00720F68" w:rsidRPr="00B84B0C" w14:paraId="354A16EA"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74A8A57A" w14:textId="77777777" w:rsidR="00720F68" w:rsidRPr="00B84B0C" w:rsidRDefault="00720F68" w:rsidP="00720F68">
            <w:pPr>
              <w:pStyle w:val="08-Tabelageral"/>
              <w:ind w:left="113"/>
              <w:jc w:val="left"/>
              <w:rPr>
                <w:rFonts w:cs="Arial"/>
                <w:b w:val="0"/>
                <w:szCs w:val="14"/>
              </w:rPr>
            </w:pPr>
            <w:proofErr w:type="spellStart"/>
            <w:r w:rsidRPr="00B84B0C">
              <w:rPr>
                <w:rFonts w:cs="Arial"/>
                <w:b w:val="0"/>
              </w:rPr>
              <w:t>Administratives</w:t>
            </w:r>
            <w:proofErr w:type="spellEnd"/>
            <w:r w:rsidRPr="00B84B0C">
              <w:rPr>
                <w:rFonts w:cs="Arial"/>
                <w:b w:val="0"/>
              </w:rPr>
              <w:t xml:space="preserve"> </w:t>
            </w:r>
            <w:proofErr w:type="spellStart"/>
            <w:r w:rsidRPr="00B84B0C">
              <w:rPr>
                <w:rFonts w:cs="Arial"/>
                <w:b w:val="0"/>
              </w:rPr>
              <w:t>and</w:t>
            </w:r>
            <w:proofErr w:type="spellEnd"/>
            <w:r w:rsidRPr="00B84B0C">
              <w:rPr>
                <w:rFonts w:cs="Arial"/>
                <w:b w:val="0"/>
              </w:rPr>
              <w:t xml:space="preserve"> </w:t>
            </w:r>
            <w:proofErr w:type="spellStart"/>
            <w:r w:rsidRPr="00B84B0C">
              <w:rPr>
                <w:rFonts w:cs="Arial"/>
                <w:b w:val="0"/>
              </w:rPr>
              <w:t>sales</w:t>
            </w:r>
            <w:proofErr w:type="spellEnd"/>
            <w:r w:rsidRPr="00B84B0C">
              <w:rPr>
                <w:rFonts w:cs="Arial"/>
                <w:b w:val="0"/>
              </w:rPr>
              <w:t xml:space="preserve"> </w:t>
            </w:r>
            <w:proofErr w:type="spellStart"/>
            <w:r w:rsidRPr="00B84B0C">
              <w:rPr>
                <w:rFonts w:cs="Arial"/>
                <w:b w:val="0"/>
              </w:rPr>
              <w:t>expenses</w:t>
            </w:r>
            <w:proofErr w:type="spellEnd"/>
          </w:p>
        </w:tc>
        <w:tc>
          <w:tcPr>
            <w:tcW w:w="668" w:type="dxa"/>
            <w:tcBorders>
              <w:top w:val="nil"/>
              <w:bottom w:val="nil"/>
            </w:tcBorders>
          </w:tcPr>
          <w:p w14:paraId="04E12286" w14:textId="77777777" w:rsidR="00720F68" w:rsidRPr="00B84B0C" w:rsidRDefault="00720F68" w:rsidP="00720F6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[22]</w:t>
            </w:r>
          </w:p>
        </w:tc>
        <w:tc>
          <w:tcPr>
            <w:tcW w:w="1405" w:type="dxa"/>
            <w:tcBorders>
              <w:top w:val="nil"/>
              <w:bottom w:val="nil"/>
            </w:tcBorders>
            <w:vAlign w:val="center"/>
          </w:tcPr>
          <w:p w14:paraId="4BF6230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(874)</w:t>
            </w:r>
          </w:p>
        </w:tc>
        <w:tc>
          <w:tcPr>
            <w:tcW w:w="1406" w:type="dxa"/>
            <w:tcBorders>
              <w:top w:val="nil"/>
              <w:bottom w:val="nil"/>
            </w:tcBorders>
            <w:vAlign w:val="center"/>
          </w:tcPr>
          <w:p w14:paraId="3CABA8A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(569)</w:t>
            </w:r>
          </w:p>
        </w:tc>
        <w:tc>
          <w:tcPr>
            <w:tcW w:w="282" w:type="dxa"/>
            <w:tcBorders>
              <w:top w:val="nil"/>
              <w:bottom w:val="nil"/>
            </w:tcBorders>
            <w:vAlign w:val="center"/>
          </w:tcPr>
          <w:p w14:paraId="2071DCF8"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4B36E8D0"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(5,410)</w:t>
            </w:r>
          </w:p>
        </w:tc>
        <w:tc>
          <w:tcPr>
            <w:tcW w:w="1520" w:type="dxa"/>
            <w:tcBorders>
              <w:top w:val="nil"/>
              <w:bottom w:val="nil"/>
            </w:tcBorders>
            <w:vAlign w:val="center"/>
          </w:tcPr>
          <w:p w14:paraId="148E61C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Cs/>
              </w:rPr>
              <w:t>(5,110)</w:t>
            </w:r>
          </w:p>
        </w:tc>
      </w:tr>
      <w:tr w:rsidR="00720F68" w:rsidRPr="00B84B0C" w14:paraId="1EC58948"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765DE001" w14:textId="77777777" w:rsidR="00720F68" w:rsidRPr="00B84B0C" w:rsidRDefault="00720F68" w:rsidP="00720F68">
            <w:pPr>
              <w:pStyle w:val="08-Tabelageral"/>
              <w:ind w:left="113"/>
              <w:jc w:val="left"/>
              <w:rPr>
                <w:rFonts w:cs="Arial"/>
                <w:b w:val="0"/>
                <w:szCs w:val="14"/>
              </w:rPr>
            </w:pPr>
            <w:proofErr w:type="spellStart"/>
            <w:r w:rsidRPr="00B84B0C">
              <w:rPr>
                <w:rFonts w:cs="Arial"/>
                <w:b w:val="0"/>
              </w:rPr>
              <w:t>Tax</w:t>
            </w:r>
            <w:proofErr w:type="spellEnd"/>
            <w:r w:rsidRPr="00B84B0C">
              <w:rPr>
                <w:rFonts w:cs="Arial"/>
                <w:b w:val="0"/>
              </w:rPr>
              <w:t xml:space="preserve"> </w:t>
            </w:r>
            <w:proofErr w:type="spellStart"/>
            <w:r w:rsidRPr="00B84B0C">
              <w:rPr>
                <w:rFonts w:cs="Arial"/>
                <w:b w:val="0"/>
              </w:rPr>
              <w:t>expenses</w:t>
            </w:r>
            <w:proofErr w:type="spellEnd"/>
          </w:p>
        </w:tc>
        <w:tc>
          <w:tcPr>
            <w:tcW w:w="668" w:type="dxa"/>
            <w:tcBorders>
              <w:top w:val="nil"/>
              <w:bottom w:val="nil"/>
            </w:tcBorders>
          </w:tcPr>
          <w:p w14:paraId="0A676DC5" w14:textId="77777777" w:rsidR="00720F68" w:rsidRPr="00B84B0C" w:rsidRDefault="00720F68" w:rsidP="00720F6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[12.c]</w:t>
            </w:r>
          </w:p>
        </w:tc>
        <w:tc>
          <w:tcPr>
            <w:tcW w:w="1405" w:type="dxa"/>
            <w:tcBorders>
              <w:top w:val="nil"/>
              <w:bottom w:val="nil"/>
            </w:tcBorders>
            <w:vAlign w:val="center"/>
          </w:tcPr>
          <w:p w14:paraId="3CEAC528"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(2,693)</w:t>
            </w:r>
          </w:p>
        </w:tc>
        <w:tc>
          <w:tcPr>
            <w:tcW w:w="1406" w:type="dxa"/>
            <w:tcBorders>
              <w:top w:val="nil"/>
              <w:bottom w:val="nil"/>
            </w:tcBorders>
            <w:vAlign w:val="center"/>
          </w:tcPr>
          <w:p w14:paraId="159A57E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(1,730)</w:t>
            </w:r>
          </w:p>
        </w:tc>
        <w:tc>
          <w:tcPr>
            <w:tcW w:w="282" w:type="dxa"/>
            <w:tcBorders>
              <w:top w:val="nil"/>
              <w:bottom w:val="nil"/>
            </w:tcBorders>
            <w:vAlign w:val="center"/>
          </w:tcPr>
          <w:p w14:paraId="5D2B7151"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66A70AF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(4,339)</w:t>
            </w:r>
          </w:p>
        </w:tc>
        <w:tc>
          <w:tcPr>
            <w:tcW w:w="1520" w:type="dxa"/>
            <w:tcBorders>
              <w:top w:val="nil"/>
              <w:bottom w:val="nil"/>
            </w:tcBorders>
            <w:vAlign w:val="center"/>
          </w:tcPr>
          <w:p w14:paraId="315B833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bCs/>
              </w:rPr>
              <w:t>(4,434)</w:t>
            </w:r>
          </w:p>
        </w:tc>
      </w:tr>
      <w:tr w:rsidR="00720F68" w:rsidRPr="00B84B0C" w14:paraId="1B132DC9"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1B3060C1" w14:textId="77777777" w:rsidR="00720F68" w:rsidRPr="00B84B0C" w:rsidRDefault="00720F68" w:rsidP="00720F68">
            <w:pPr>
              <w:pStyle w:val="08-Tabelageral"/>
              <w:ind w:left="113"/>
              <w:jc w:val="left"/>
              <w:rPr>
                <w:rFonts w:cs="Arial"/>
                <w:b w:val="0"/>
                <w:szCs w:val="14"/>
              </w:rPr>
            </w:pPr>
            <w:r w:rsidRPr="00B84B0C">
              <w:rPr>
                <w:rFonts w:cs="Arial"/>
                <w:b w:val="0"/>
              </w:rPr>
              <w:t>Other</w:t>
            </w:r>
          </w:p>
        </w:tc>
        <w:tc>
          <w:tcPr>
            <w:tcW w:w="668" w:type="dxa"/>
            <w:tcBorders>
              <w:top w:val="nil"/>
              <w:bottom w:val="nil"/>
            </w:tcBorders>
          </w:tcPr>
          <w:p w14:paraId="29FC9E89" w14:textId="77777777" w:rsidR="00720F68" w:rsidRPr="00B84B0C" w:rsidRDefault="00720F68" w:rsidP="00720F6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[24]</w:t>
            </w:r>
          </w:p>
        </w:tc>
        <w:tc>
          <w:tcPr>
            <w:tcW w:w="1405" w:type="dxa"/>
            <w:tcBorders>
              <w:top w:val="nil"/>
              <w:bottom w:val="nil"/>
            </w:tcBorders>
            <w:vAlign w:val="center"/>
          </w:tcPr>
          <w:p w14:paraId="5B5AC01D"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3,989</w:t>
            </w:r>
          </w:p>
        </w:tc>
        <w:tc>
          <w:tcPr>
            <w:tcW w:w="1406" w:type="dxa"/>
            <w:tcBorders>
              <w:top w:val="nil"/>
              <w:bottom w:val="nil"/>
            </w:tcBorders>
            <w:vAlign w:val="center"/>
          </w:tcPr>
          <w:p w14:paraId="43890A4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1,795</w:t>
            </w:r>
          </w:p>
        </w:tc>
        <w:tc>
          <w:tcPr>
            <w:tcW w:w="282" w:type="dxa"/>
            <w:tcBorders>
              <w:top w:val="nil"/>
              <w:bottom w:val="nil"/>
            </w:tcBorders>
            <w:vAlign w:val="center"/>
          </w:tcPr>
          <w:p w14:paraId="7B5C154A"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16A9AD60"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(6,535)</w:t>
            </w:r>
          </w:p>
        </w:tc>
        <w:tc>
          <w:tcPr>
            <w:tcW w:w="1520" w:type="dxa"/>
            <w:tcBorders>
              <w:top w:val="nil"/>
              <w:bottom w:val="nil"/>
            </w:tcBorders>
            <w:vAlign w:val="center"/>
          </w:tcPr>
          <w:p w14:paraId="066CE82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Cs/>
              </w:rPr>
              <w:t>(2,652)</w:t>
            </w:r>
          </w:p>
        </w:tc>
      </w:tr>
      <w:tr w:rsidR="00720F68" w:rsidRPr="00B84B0C" w14:paraId="635DF60E" w14:textId="77777777" w:rsidTr="00904B54">
        <w:trPr>
          <w:trHeight w:hRule="exact" w:val="397"/>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49D03709" w14:textId="77777777" w:rsidR="00720F68" w:rsidRPr="00B84B0C" w:rsidRDefault="00720F68" w:rsidP="00720F68">
            <w:pPr>
              <w:pStyle w:val="08-Tabelageral"/>
              <w:jc w:val="left"/>
              <w:rPr>
                <w:rFonts w:cs="Arial"/>
                <w:szCs w:val="14"/>
                <w:lang w:val="en-US"/>
              </w:rPr>
            </w:pPr>
            <w:r w:rsidRPr="00B84B0C">
              <w:rPr>
                <w:rFonts w:cs="Arial"/>
                <w:szCs w:val="14"/>
                <w:lang w:val="en-US"/>
              </w:rPr>
              <w:t>INCOME BEFORE FINANCIAL REVENUE AND EXPENSES</w:t>
            </w:r>
          </w:p>
        </w:tc>
        <w:tc>
          <w:tcPr>
            <w:tcW w:w="668" w:type="dxa"/>
            <w:tcBorders>
              <w:top w:val="nil"/>
              <w:bottom w:val="nil"/>
            </w:tcBorders>
            <w:vAlign w:val="center"/>
          </w:tcPr>
          <w:p w14:paraId="53DC24E4"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05" w:type="dxa"/>
            <w:tcBorders>
              <w:top w:val="nil"/>
              <w:bottom w:val="nil"/>
            </w:tcBorders>
            <w:vAlign w:val="center"/>
          </w:tcPr>
          <w:p w14:paraId="3F8029C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865,879</w:t>
            </w:r>
          </w:p>
        </w:tc>
        <w:tc>
          <w:tcPr>
            <w:tcW w:w="1406" w:type="dxa"/>
            <w:tcBorders>
              <w:top w:val="nil"/>
              <w:bottom w:val="nil"/>
            </w:tcBorders>
            <w:vAlign w:val="center"/>
          </w:tcPr>
          <w:p w14:paraId="32CE8C4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999,054</w:t>
            </w:r>
          </w:p>
        </w:tc>
        <w:tc>
          <w:tcPr>
            <w:tcW w:w="282" w:type="dxa"/>
            <w:tcBorders>
              <w:top w:val="nil"/>
              <w:bottom w:val="nil"/>
            </w:tcBorders>
            <w:vAlign w:val="center"/>
          </w:tcPr>
          <w:p w14:paraId="38E9793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nil"/>
            </w:tcBorders>
            <w:vAlign w:val="center"/>
          </w:tcPr>
          <w:p w14:paraId="6FDBBD2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1,092,197</w:t>
            </w:r>
          </w:p>
        </w:tc>
        <w:tc>
          <w:tcPr>
            <w:tcW w:w="1520" w:type="dxa"/>
            <w:tcBorders>
              <w:top w:val="nil"/>
              <w:bottom w:val="nil"/>
            </w:tcBorders>
            <w:vAlign w:val="center"/>
          </w:tcPr>
          <w:p w14:paraId="5BF50F6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1,185,851</w:t>
            </w:r>
          </w:p>
        </w:tc>
      </w:tr>
      <w:tr w:rsidR="00720F68" w:rsidRPr="00B84B0C" w14:paraId="2E328371"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26B56409" w14:textId="77777777" w:rsidR="00720F68" w:rsidRPr="00B84B0C" w:rsidRDefault="00720F68" w:rsidP="00720F68">
            <w:pPr>
              <w:pStyle w:val="08-Tabelageral"/>
              <w:jc w:val="left"/>
              <w:rPr>
                <w:rFonts w:cs="Arial"/>
                <w:szCs w:val="14"/>
              </w:rPr>
            </w:pPr>
            <w:r w:rsidRPr="00B84B0C">
              <w:rPr>
                <w:rFonts w:cs="Arial"/>
                <w:szCs w:val="14"/>
              </w:rPr>
              <w:t>FINANCIAL RESULT</w:t>
            </w:r>
          </w:p>
        </w:tc>
        <w:tc>
          <w:tcPr>
            <w:tcW w:w="668" w:type="dxa"/>
            <w:tcBorders>
              <w:top w:val="nil"/>
              <w:bottom w:val="nil"/>
            </w:tcBorders>
            <w:vAlign w:val="center"/>
          </w:tcPr>
          <w:p w14:paraId="17CB64CB"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05" w:type="dxa"/>
            <w:tcBorders>
              <w:top w:val="nil"/>
              <w:bottom w:val="nil"/>
            </w:tcBorders>
            <w:vAlign w:val="center"/>
          </w:tcPr>
          <w:p w14:paraId="70E68A1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24,368</w:t>
            </w:r>
          </w:p>
        </w:tc>
        <w:tc>
          <w:tcPr>
            <w:tcW w:w="1406" w:type="dxa"/>
            <w:tcBorders>
              <w:top w:val="nil"/>
              <w:bottom w:val="nil"/>
            </w:tcBorders>
            <w:vAlign w:val="center"/>
          </w:tcPr>
          <w:p w14:paraId="574BDBE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20,044</w:t>
            </w:r>
          </w:p>
        </w:tc>
        <w:tc>
          <w:tcPr>
            <w:tcW w:w="282" w:type="dxa"/>
            <w:tcBorders>
              <w:top w:val="nil"/>
              <w:bottom w:val="nil"/>
            </w:tcBorders>
            <w:vAlign w:val="center"/>
          </w:tcPr>
          <w:p w14:paraId="1441425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vAlign w:val="center"/>
          </w:tcPr>
          <w:p w14:paraId="269B716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46,710</w:t>
            </w:r>
          </w:p>
        </w:tc>
        <w:tc>
          <w:tcPr>
            <w:tcW w:w="1520" w:type="dxa"/>
            <w:tcBorders>
              <w:top w:val="nil"/>
              <w:bottom w:val="nil"/>
            </w:tcBorders>
            <w:vAlign w:val="center"/>
          </w:tcPr>
          <w:p w14:paraId="345B50A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50,691</w:t>
            </w:r>
          </w:p>
        </w:tc>
      </w:tr>
      <w:tr w:rsidR="00720F68" w:rsidRPr="00B84B0C" w14:paraId="192EFFBA"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62E95F4A" w14:textId="77777777" w:rsidR="00720F68" w:rsidRPr="00B84B0C" w:rsidRDefault="00720F68" w:rsidP="00720F68">
            <w:pPr>
              <w:pStyle w:val="08-Tabelageral"/>
              <w:ind w:left="113"/>
              <w:jc w:val="left"/>
              <w:rPr>
                <w:rFonts w:cs="Arial"/>
                <w:b w:val="0"/>
                <w:szCs w:val="14"/>
              </w:rPr>
            </w:pPr>
            <w:r w:rsidRPr="00B84B0C">
              <w:rPr>
                <w:rFonts w:cs="Arial"/>
                <w:b w:val="0"/>
                <w:szCs w:val="14"/>
              </w:rPr>
              <w:t xml:space="preserve">Financial </w:t>
            </w:r>
            <w:proofErr w:type="spellStart"/>
            <w:r w:rsidRPr="00B84B0C">
              <w:rPr>
                <w:rFonts w:cs="Arial"/>
                <w:b w:val="0"/>
                <w:szCs w:val="14"/>
              </w:rPr>
              <w:t>revenue</w:t>
            </w:r>
            <w:proofErr w:type="spellEnd"/>
          </w:p>
        </w:tc>
        <w:tc>
          <w:tcPr>
            <w:tcW w:w="668" w:type="dxa"/>
            <w:tcBorders>
              <w:top w:val="nil"/>
              <w:bottom w:val="nil"/>
            </w:tcBorders>
          </w:tcPr>
          <w:p w14:paraId="2DF98089" w14:textId="77777777" w:rsidR="00720F68" w:rsidRPr="00B84B0C" w:rsidRDefault="00720F68" w:rsidP="00720F6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[20]</w:t>
            </w:r>
          </w:p>
        </w:tc>
        <w:tc>
          <w:tcPr>
            <w:tcW w:w="1405" w:type="dxa"/>
            <w:tcBorders>
              <w:top w:val="nil"/>
              <w:bottom w:val="nil"/>
            </w:tcBorders>
            <w:vAlign w:val="center"/>
          </w:tcPr>
          <w:p w14:paraId="57C4DBC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49,575</w:t>
            </w:r>
          </w:p>
        </w:tc>
        <w:tc>
          <w:tcPr>
            <w:tcW w:w="1406" w:type="dxa"/>
            <w:tcBorders>
              <w:top w:val="nil"/>
              <w:bottom w:val="nil"/>
            </w:tcBorders>
            <w:vAlign w:val="center"/>
          </w:tcPr>
          <w:p w14:paraId="362FB96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33,828</w:t>
            </w:r>
          </w:p>
        </w:tc>
        <w:tc>
          <w:tcPr>
            <w:tcW w:w="282" w:type="dxa"/>
            <w:tcBorders>
              <w:top w:val="nil"/>
              <w:bottom w:val="nil"/>
            </w:tcBorders>
            <w:vAlign w:val="center"/>
          </w:tcPr>
          <w:p w14:paraId="5FE998E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1F9B13D5"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73,223</w:t>
            </w:r>
          </w:p>
        </w:tc>
        <w:tc>
          <w:tcPr>
            <w:tcW w:w="1520" w:type="dxa"/>
            <w:tcBorders>
              <w:top w:val="nil"/>
              <w:bottom w:val="nil"/>
            </w:tcBorders>
            <w:vAlign w:val="center"/>
          </w:tcPr>
          <w:p w14:paraId="1B54A44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bCs/>
              </w:rPr>
              <w:t>64,547</w:t>
            </w:r>
          </w:p>
        </w:tc>
      </w:tr>
      <w:tr w:rsidR="00720F68" w:rsidRPr="00B84B0C" w14:paraId="7C1D019F"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3B15446F" w14:textId="77777777" w:rsidR="00720F68" w:rsidRPr="00B84B0C" w:rsidRDefault="00720F68" w:rsidP="00720F68">
            <w:pPr>
              <w:pStyle w:val="08-Tabelageral"/>
              <w:ind w:left="113"/>
              <w:jc w:val="left"/>
              <w:rPr>
                <w:rFonts w:cs="Arial"/>
                <w:b w:val="0"/>
                <w:szCs w:val="14"/>
              </w:rPr>
            </w:pPr>
            <w:r w:rsidRPr="00B84B0C">
              <w:rPr>
                <w:rFonts w:cs="Arial"/>
                <w:b w:val="0"/>
                <w:szCs w:val="14"/>
              </w:rPr>
              <w:t xml:space="preserve">Financial </w:t>
            </w:r>
            <w:proofErr w:type="spellStart"/>
            <w:r w:rsidRPr="00B84B0C">
              <w:rPr>
                <w:rFonts w:cs="Arial"/>
                <w:b w:val="0"/>
                <w:szCs w:val="14"/>
              </w:rPr>
              <w:t>expenses</w:t>
            </w:r>
            <w:proofErr w:type="spellEnd"/>
          </w:p>
        </w:tc>
        <w:tc>
          <w:tcPr>
            <w:tcW w:w="668" w:type="dxa"/>
            <w:tcBorders>
              <w:top w:val="nil"/>
              <w:bottom w:val="nil"/>
            </w:tcBorders>
          </w:tcPr>
          <w:p w14:paraId="39EF2334" w14:textId="77777777" w:rsidR="00720F68" w:rsidRPr="00B84B0C" w:rsidRDefault="00720F68" w:rsidP="00720F6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[20]</w:t>
            </w:r>
          </w:p>
        </w:tc>
        <w:tc>
          <w:tcPr>
            <w:tcW w:w="1405" w:type="dxa"/>
            <w:tcBorders>
              <w:top w:val="nil"/>
              <w:bottom w:val="nil"/>
            </w:tcBorders>
            <w:vAlign w:val="center"/>
          </w:tcPr>
          <w:p w14:paraId="2626434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(25,207)</w:t>
            </w:r>
          </w:p>
        </w:tc>
        <w:tc>
          <w:tcPr>
            <w:tcW w:w="1406" w:type="dxa"/>
            <w:tcBorders>
              <w:top w:val="nil"/>
              <w:bottom w:val="nil"/>
            </w:tcBorders>
            <w:vAlign w:val="center"/>
          </w:tcPr>
          <w:p w14:paraId="24F0D0C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(13,784)</w:t>
            </w:r>
          </w:p>
        </w:tc>
        <w:tc>
          <w:tcPr>
            <w:tcW w:w="282" w:type="dxa"/>
            <w:tcBorders>
              <w:top w:val="nil"/>
              <w:bottom w:val="nil"/>
            </w:tcBorders>
            <w:vAlign w:val="center"/>
          </w:tcPr>
          <w:p w14:paraId="4585C958"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3889FC2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(26,513)</w:t>
            </w:r>
          </w:p>
        </w:tc>
        <w:tc>
          <w:tcPr>
            <w:tcW w:w="1520" w:type="dxa"/>
            <w:tcBorders>
              <w:top w:val="nil"/>
              <w:bottom w:val="nil"/>
            </w:tcBorders>
            <w:vAlign w:val="center"/>
          </w:tcPr>
          <w:p w14:paraId="209B2D1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Cs/>
              </w:rPr>
              <w:t>(13,856)</w:t>
            </w:r>
          </w:p>
        </w:tc>
      </w:tr>
      <w:tr w:rsidR="00720F68" w:rsidRPr="00B84B0C" w14:paraId="7FC34B44" w14:textId="77777777" w:rsidTr="00904B54">
        <w:trPr>
          <w:trHeight w:hRule="exact" w:val="397"/>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7FD43B27" w14:textId="77777777" w:rsidR="00720F68" w:rsidRPr="00B84B0C" w:rsidRDefault="00720F68" w:rsidP="00720F68">
            <w:pPr>
              <w:pStyle w:val="08-Tabelageral"/>
              <w:jc w:val="left"/>
              <w:rPr>
                <w:rFonts w:cs="Arial"/>
                <w:bCs w:val="0"/>
                <w:szCs w:val="14"/>
                <w:lang w:val="en-US"/>
              </w:rPr>
            </w:pPr>
            <w:r w:rsidRPr="00B84B0C">
              <w:rPr>
                <w:rFonts w:cs="Arial"/>
                <w:szCs w:val="14"/>
                <w:lang w:val="en-US"/>
              </w:rPr>
              <w:t>INCOME BEFORE TAXES AND EQUITIES</w:t>
            </w:r>
          </w:p>
        </w:tc>
        <w:tc>
          <w:tcPr>
            <w:tcW w:w="668" w:type="dxa"/>
            <w:tcBorders>
              <w:top w:val="nil"/>
              <w:bottom w:val="nil"/>
            </w:tcBorders>
            <w:vAlign w:val="center"/>
          </w:tcPr>
          <w:p w14:paraId="0BEE33E4"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405" w:type="dxa"/>
            <w:tcBorders>
              <w:top w:val="nil"/>
              <w:bottom w:val="nil"/>
            </w:tcBorders>
            <w:vAlign w:val="center"/>
          </w:tcPr>
          <w:p w14:paraId="4C497AE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890,247</w:t>
            </w:r>
          </w:p>
        </w:tc>
        <w:tc>
          <w:tcPr>
            <w:tcW w:w="1406" w:type="dxa"/>
            <w:tcBorders>
              <w:top w:val="nil"/>
              <w:bottom w:val="nil"/>
            </w:tcBorders>
            <w:vAlign w:val="center"/>
          </w:tcPr>
          <w:p w14:paraId="39FC0DC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1,019,098</w:t>
            </w:r>
          </w:p>
        </w:tc>
        <w:tc>
          <w:tcPr>
            <w:tcW w:w="282" w:type="dxa"/>
            <w:tcBorders>
              <w:top w:val="nil"/>
              <w:bottom w:val="nil"/>
            </w:tcBorders>
            <w:vAlign w:val="center"/>
          </w:tcPr>
          <w:p w14:paraId="15A8CDA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nil"/>
            </w:tcBorders>
            <w:vAlign w:val="center"/>
          </w:tcPr>
          <w:p w14:paraId="07E5608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1,138,907</w:t>
            </w:r>
          </w:p>
        </w:tc>
        <w:tc>
          <w:tcPr>
            <w:tcW w:w="1520" w:type="dxa"/>
            <w:tcBorders>
              <w:top w:val="nil"/>
              <w:bottom w:val="nil"/>
            </w:tcBorders>
            <w:vAlign w:val="center"/>
          </w:tcPr>
          <w:p w14:paraId="05B4AFA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1,236,542</w:t>
            </w:r>
          </w:p>
        </w:tc>
      </w:tr>
      <w:tr w:rsidR="00720F68" w:rsidRPr="00B84B0C" w14:paraId="58FD8013" w14:textId="77777777" w:rsidTr="00904B54">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022B795A" w14:textId="77777777" w:rsidR="00720F68" w:rsidRPr="00B84B0C" w:rsidRDefault="00720F68" w:rsidP="00720F68">
            <w:pPr>
              <w:pStyle w:val="08-Tabelageral"/>
              <w:jc w:val="left"/>
              <w:rPr>
                <w:rFonts w:cs="Arial"/>
                <w:b w:val="0"/>
                <w:bCs w:val="0"/>
                <w:szCs w:val="14"/>
                <w:lang w:val="en-US"/>
              </w:rPr>
            </w:pPr>
            <w:r w:rsidRPr="00B84B0C">
              <w:rPr>
                <w:rFonts w:cs="Arial"/>
                <w:b w:val="0"/>
                <w:szCs w:val="14"/>
                <w:lang w:val="en-US"/>
              </w:rPr>
              <w:t>INCOME TAX AND SOCIAL CONTRIBUTION</w:t>
            </w:r>
          </w:p>
        </w:tc>
        <w:tc>
          <w:tcPr>
            <w:tcW w:w="668" w:type="dxa"/>
            <w:tcBorders>
              <w:top w:val="nil"/>
              <w:bottom w:val="nil"/>
            </w:tcBorders>
            <w:vAlign w:val="center"/>
          </w:tcPr>
          <w:p w14:paraId="58DB18BB"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[12.a]</w:t>
            </w:r>
          </w:p>
        </w:tc>
        <w:tc>
          <w:tcPr>
            <w:tcW w:w="1405" w:type="dxa"/>
            <w:tcBorders>
              <w:top w:val="nil"/>
              <w:bottom w:val="nil"/>
            </w:tcBorders>
            <w:vAlign w:val="center"/>
          </w:tcPr>
          <w:p w14:paraId="6850B02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(7,526)</w:t>
            </w:r>
          </w:p>
        </w:tc>
        <w:tc>
          <w:tcPr>
            <w:tcW w:w="1406" w:type="dxa"/>
            <w:tcBorders>
              <w:top w:val="nil"/>
              <w:bottom w:val="nil"/>
            </w:tcBorders>
            <w:vAlign w:val="center"/>
          </w:tcPr>
          <w:p w14:paraId="7A81A59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(5,340)</w:t>
            </w:r>
          </w:p>
        </w:tc>
        <w:tc>
          <w:tcPr>
            <w:tcW w:w="282" w:type="dxa"/>
            <w:tcBorders>
              <w:top w:val="nil"/>
              <w:bottom w:val="nil"/>
            </w:tcBorders>
            <w:vAlign w:val="center"/>
          </w:tcPr>
          <w:p w14:paraId="5AB9CC1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24D7B0E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(256,186)</w:t>
            </w:r>
          </w:p>
        </w:tc>
        <w:tc>
          <w:tcPr>
            <w:tcW w:w="1520" w:type="dxa"/>
            <w:tcBorders>
              <w:top w:val="nil"/>
              <w:bottom w:val="nil"/>
            </w:tcBorders>
            <w:vAlign w:val="center"/>
          </w:tcPr>
          <w:p w14:paraId="01A95A6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Cs/>
              </w:rPr>
              <w:t>(222,784)</w:t>
            </w:r>
          </w:p>
        </w:tc>
      </w:tr>
      <w:tr w:rsidR="00720F68" w:rsidRPr="00B84B0C" w14:paraId="5531B02E"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10273944" w14:textId="77777777" w:rsidR="00720F68" w:rsidRPr="00B84B0C" w:rsidRDefault="00720F68" w:rsidP="00720F68">
            <w:pPr>
              <w:pStyle w:val="08-Tabelageral"/>
              <w:jc w:val="left"/>
              <w:rPr>
                <w:rFonts w:cs="Arial"/>
                <w:szCs w:val="14"/>
              </w:rPr>
            </w:pPr>
          </w:p>
        </w:tc>
        <w:tc>
          <w:tcPr>
            <w:tcW w:w="668" w:type="dxa"/>
            <w:tcBorders>
              <w:top w:val="nil"/>
              <w:bottom w:val="nil"/>
            </w:tcBorders>
            <w:vAlign w:val="center"/>
          </w:tcPr>
          <w:p w14:paraId="4BCC94E8"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05" w:type="dxa"/>
            <w:tcBorders>
              <w:top w:val="nil"/>
              <w:bottom w:val="nil"/>
            </w:tcBorders>
            <w:vAlign w:val="center"/>
          </w:tcPr>
          <w:p w14:paraId="027972C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06" w:type="dxa"/>
            <w:tcBorders>
              <w:top w:val="nil"/>
              <w:bottom w:val="nil"/>
            </w:tcBorders>
            <w:vAlign w:val="center"/>
          </w:tcPr>
          <w:p w14:paraId="0834343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282" w:type="dxa"/>
            <w:tcBorders>
              <w:top w:val="nil"/>
              <w:bottom w:val="nil"/>
            </w:tcBorders>
            <w:vAlign w:val="center"/>
          </w:tcPr>
          <w:p w14:paraId="55C44DF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nil"/>
            </w:tcBorders>
            <w:vAlign w:val="center"/>
          </w:tcPr>
          <w:p w14:paraId="66EF023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20" w:type="dxa"/>
            <w:tcBorders>
              <w:top w:val="nil"/>
              <w:bottom w:val="nil"/>
            </w:tcBorders>
            <w:vAlign w:val="center"/>
          </w:tcPr>
          <w:p w14:paraId="7A34C33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r>
      <w:tr w:rsidR="00720F68" w:rsidRPr="00B84B0C" w14:paraId="6573013F"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6E40AC26" w14:textId="77777777" w:rsidR="00720F68" w:rsidRPr="00B84B0C" w:rsidRDefault="00720F68" w:rsidP="00720F68">
            <w:pPr>
              <w:pStyle w:val="08-Tabelageral"/>
              <w:jc w:val="left"/>
              <w:rPr>
                <w:rFonts w:cs="Arial"/>
                <w:bCs w:val="0"/>
                <w:szCs w:val="14"/>
              </w:rPr>
            </w:pPr>
            <w:r w:rsidRPr="00B84B0C">
              <w:rPr>
                <w:rFonts w:cs="Arial"/>
                <w:szCs w:val="14"/>
              </w:rPr>
              <w:t>NET INCOME</w:t>
            </w:r>
          </w:p>
        </w:tc>
        <w:tc>
          <w:tcPr>
            <w:tcW w:w="668" w:type="dxa"/>
            <w:tcBorders>
              <w:top w:val="nil"/>
              <w:bottom w:val="nil"/>
            </w:tcBorders>
            <w:vAlign w:val="center"/>
          </w:tcPr>
          <w:p w14:paraId="42192D08"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05" w:type="dxa"/>
            <w:tcBorders>
              <w:top w:val="nil"/>
              <w:bottom w:val="nil"/>
            </w:tcBorders>
            <w:vAlign w:val="center"/>
          </w:tcPr>
          <w:p w14:paraId="5AE1763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882,721</w:t>
            </w:r>
          </w:p>
        </w:tc>
        <w:tc>
          <w:tcPr>
            <w:tcW w:w="1406" w:type="dxa"/>
            <w:tcBorders>
              <w:top w:val="nil"/>
              <w:bottom w:val="nil"/>
            </w:tcBorders>
            <w:vAlign w:val="center"/>
          </w:tcPr>
          <w:p w14:paraId="1681859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1,013,758</w:t>
            </w:r>
          </w:p>
        </w:tc>
        <w:tc>
          <w:tcPr>
            <w:tcW w:w="282" w:type="dxa"/>
            <w:tcBorders>
              <w:top w:val="nil"/>
              <w:bottom w:val="nil"/>
            </w:tcBorders>
            <w:vAlign w:val="center"/>
          </w:tcPr>
          <w:p w14:paraId="01EF72C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vAlign w:val="center"/>
          </w:tcPr>
          <w:p w14:paraId="5A135CF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882,721</w:t>
            </w:r>
          </w:p>
        </w:tc>
        <w:tc>
          <w:tcPr>
            <w:tcW w:w="1520" w:type="dxa"/>
            <w:tcBorders>
              <w:top w:val="nil"/>
              <w:bottom w:val="nil"/>
            </w:tcBorders>
            <w:vAlign w:val="center"/>
          </w:tcPr>
          <w:p w14:paraId="33E14DD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1,013,758</w:t>
            </w:r>
          </w:p>
        </w:tc>
      </w:tr>
      <w:tr w:rsidR="00720F68" w:rsidRPr="00B84B0C" w14:paraId="4A9CC785"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0803C22E" w14:textId="77777777" w:rsidR="00720F68" w:rsidRPr="00B84B0C" w:rsidRDefault="00720F68" w:rsidP="00720F68">
            <w:pPr>
              <w:pStyle w:val="08-Tabelageral"/>
              <w:jc w:val="left"/>
              <w:rPr>
                <w:rFonts w:cs="Arial"/>
                <w:szCs w:val="14"/>
              </w:rPr>
            </w:pPr>
          </w:p>
        </w:tc>
        <w:tc>
          <w:tcPr>
            <w:tcW w:w="668" w:type="dxa"/>
            <w:tcBorders>
              <w:top w:val="nil"/>
              <w:bottom w:val="nil"/>
            </w:tcBorders>
            <w:vAlign w:val="center"/>
          </w:tcPr>
          <w:p w14:paraId="133D0E98"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05" w:type="dxa"/>
            <w:tcBorders>
              <w:top w:val="nil"/>
              <w:bottom w:val="nil"/>
            </w:tcBorders>
            <w:vAlign w:val="center"/>
          </w:tcPr>
          <w:p w14:paraId="2865935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06" w:type="dxa"/>
            <w:tcBorders>
              <w:top w:val="nil"/>
              <w:bottom w:val="nil"/>
            </w:tcBorders>
            <w:vAlign w:val="center"/>
          </w:tcPr>
          <w:p w14:paraId="5BD169CF"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282" w:type="dxa"/>
            <w:tcBorders>
              <w:top w:val="nil"/>
              <w:bottom w:val="nil"/>
            </w:tcBorders>
            <w:vAlign w:val="center"/>
          </w:tcPr>
          <w:p w14:paraId="0BD50CC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0759162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520" w:type="dxa"/>
            <w:tcBorders>
              <w:top w:val="nil"/>
              <w:bottom w:val="nil"/>
            </w:tcBorders>
            <w:vAlign w:val="center"/>
          </w:tcPr>
          <w:p w14:paraId="7FB47FE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highlight w:val="yellow"/>
              </w:rPr>
            </w:pPr>
          </w:p>
        </w:tc>
      </w:tr>
      <w:tr w:rsidR="00720F68" w:rsidRPr="00B84B0C" w14:paraId="29DE07BB"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7B9F0F1B" w14:textId="77777777" w:rsidR="00720F68" w:rsidRPr="00B84B0C" w:rsidRDefault="00720F68" w:rsidP="00720F68">
            <w:pPr>
              <w:pStyle w:val="08-Tabelageral"/>
              <w:jc w:val="left"/>
              <w:rPr>
                <w:rFonts w:cs="Arial"/>
                <w:b w:val="0"/>
                <w:szCs w:val="14"/>
              </w:rPr>
            </w:pPr>
            <w:proofErr w:type="spellStart"/>
            <w:r w:rsidRPr="00B84B0C">
              <w:rPr>
                <w:rFonts w:cs="Arial"/>
                <w:b w:val="0"/>
                <w:szCs w:val="14"/>
              </w:rPr>
              <w:t>Number</w:t>
            </w:r>
            <w:proofErr w:type="spellEnd"/>
            <w:r w:rsidRPr="00B84B0C">
              <w:rPr>
                <w:rFonts w:cs="Arial"/>
                <w:b w:val="0"/>
                <w:szCs w:val="14"/>
              </w:rPr>
              <w:t xml:space="preserve"> </w:t>
            </w:r>
            <w:proofErr w:type="spellStart"/>
            <w:r w:rsidRPr="00B84B0C">
              <w:rPr>
                <w:rFonts w:cs="Arial"/>
                <w:b w:val="0"/>
                <w:szCs w:val="14"/>
              </w:rPr>
              <w:t>of</w:t>
            </w:r>
            <w:proofErr w:type="spellEnd"/>
            <w:r w:rsidRPr="00B84B0C">
              <w:rPr>
                <w:rFonts w:cs="Arial"/>
                <w:b w:val="0"/>
                <w:szCs w:val="14"/>
              </w:rPr>
              <w:t xml:space="preserve"> </w:t>
            </w:r>
            <w:proofErr w:type="spellStart"/>
            <w:r w:rsidRPr="00B84B0C">
              <w:rPr>
                <w:rFonts w:cs="Arial"/>
                <w:b w:val="0"/>
                <w:szCs w:val="14"/>
              </w:rPr>
              <w:t>shares</w:t>
            </w:r>
            <w:proofErr w:type="spellEnd"/>
          </w:p>
        </w:tc>
        <w:tc>
          <w:tcPr>
            <w:tcW w:w="668" w:type="dxa"/>
            <w:tcBorders>
              <w:top w:val="nil"/>
              <w:bottom w:val="nil"/>
            </w:tcBorders>
            <w:vAlign w:val="center"/>
          </w:tcPr>
          <w:p w14:paraId="20137E30"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[19.a]</w:t>
            </w:r>
          </w:p>
        </w:tc>
        <w:tc>
          <w:tcPr>
            <w:tcW w:w="1405" w:type="dxa"/>
            <w:tcBorders>
              <w:top w:val="nil"/>
              <w:bottom w:val="nil"/>
            </w:tcBorders>
            <w:vAlign w:val="center"/>
          </w:tcPr>
          <w:p w14:paraId="26DCC93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2,000,000,000</w:t>
            </w:r>
          </w:p>
        </w:tc>
        <w:tc>
          <w:tcPr>
            <w:tcW w:w="1406" w:type="dxa"/>
            <w:tcBorders>
              <w:top w:val="nil"/>
              <w:bottom w:val="nil"/>
            </w:tcBorders>
            <w:vAlign w:val="center"/>
          </w:tcPr>
          <w:p w14:paraId="7F1EF06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2,000,000,000</w:t>
            </w:r>
          </w:p>
        </w:tc>
        <w:tc>
          <w:tcPr>
            <w:tcW w:w="282" w:type="dxa"/>
            <w:tcBorders>
              <w:top w:val="nil"/>
              <w:bottom w:val="nil"/>
            </w:tcBorders>
            <w:vAlign w:val="center"/>
          </w:tcPr>
          <w:p w14:paraId="60FA9C6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094FF42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2,000,000,000</w:t>
            </w:r>
          </w:p>
        </w:tc>
        <w:tc>
          <w:tcPr>
            <w:tcW w:w="1520" w:type="dxa"/>
            <w:tcBorders>
              <w:top w:val="nil"/>
              <w:bottom w:val="nil"/>
            </w:tcBorders>
            <w:vAlign w:val="center"/>
          </w:tcPr>
          <w:p w14:paraId="5B56BEA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2,000,000,000</w:t>
            </w:r>
          </w:p>
        </w:tc>
      </w:tr>
      <w:tr w:rsidR="00720F68" w:rsidRPr="00B84B0C" w14:paraId="5E6057CD" w14:textId="77777777" w:rsidTr="00904B54">
        <w:trPr>
          <w:trHeight w:hRule="exact" w:val="397"/>
        </w:trPr>
        <w:tc>
          <w:tcPr>
            <w:cnfStyle w:val="001000000000" w:firstRow="0" w:lastRow="0" w:firstColumn="1" w:lastColumn="0" w:oddVBand="0" w:evenVBand="0" w:oddHBand="0" w:evenHBand="0" w:firstRowFirstColumn="0" w:firstRowLastColumn="0" w:lastRowFirstColumn="0" w:lastRowLastColumn="0"/>
            <w:tcW w:w="2947" w:type="dxa"/>
            <w:tcBorders>
              <w:top w:val="nil"/>
              <w:bottom w:val="nil"/>
            </w:tcBorders>
          </w:tcPr>
          <w:p w14:paraId="45DB67B3" w14:textId="77777777" w:rsidR="00720F68" w:rsidRPr="00B84B0C" w:rsidRDefault="00720F68" w:rsidP="00720F68">
            <w:pPr>
              <w:pStyle w:val="08-Tabelageral"/>
              <w:jc w:val="left"/>
              <w:rPr>
                <w:rFonts w:cs="Arial"/>
                <w:b w:val="0"/>
                <w:szCs w:val="14"/>
                <w:lang w:val="en-US"/>
              </w:rPr>
            </w:pPr>
            <w:r w:rsidRPr="00B84B0C">
              <w:rPr>
                <w:rFonts w:cs="Arial"/>
                <w:b w:val="0"/>
                <w:szCs w:val="14"/>
                <w:lang w:val="en-US"/>
              </w:rPr>
              <w:t>Weighted average number of shares - basic and diluted</w:t>
            </w:r>
          </w:p>
        </w:tc>
        <w:tc>
          <w:tcPr>
            <w:tcW w:w="668" w:type="dxa"/>
            <w:tcBorders>
              <w:top w:val="nil"/>
              <w:bottom w:val="nil"/>
            </w:tcBorders>
            <w:vAlign w:val="center"/>
          </w:tcPr>
          <w:p w14:paraId="0D2624E8"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[19.c]</w:t>
            </w:r>
          </w:p>
        </w:tc>
        <w:tc>
          <w:tcPr>
            <w:tcW w:w="1405" w:type="dxa"/>
            <w:tcBorders>
              <w:top w:val="nil"/>
              <w:bottom w:val="nil"/>
            </w:tcBorders>
            <w:vAlign w:val="center"/>
          </w:tcPr>
          <w:p w14:paraId="0B629AD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1,996,694,370</w:t>
            </w:r>
          </w:p>
        </w:tc>
        <w:tc>
          <w:tcPr>
            <w:tcW w:w="1406" w:type="dxa"/>
            <w:tcBorders>
              <w:top w:val="nil"/>
              <w:bottom w:val="nil"/>
            </w:tcBorders>
            <w:vAlign w:val="center"/>
          </w:tcPr>
          <w:p w14:paraId="60DA292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1,996,597,404</w:t>
            </w:r>
          </w:p>
        </w:tc>
        <w:tc>
          <w:tcPr>
            <w:tcW w:w="282" w:type="dxa"/>
            <w:tcBorders>
              <w:top w:val="nil"/>
              <w:bottom w:val="nil"/>
            </w:tcBorders>
            <w:vAlign w:val="center"/>
          </w:tcPr>
          <w:p w14:paraId="2C69A63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6C1A7F2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1,996,694,370</w:t>
            </w:r>
          </w:p>
        </w:tc>
        <w:tc>
          <w:tcPr>
            <w:tcW w:w="1520" w:type="dxa"/>
            <w:tcBorders>
              <w:top w:val="nil"/>
              <w:bottom w:val="nil"/>
            </w:tcBorders>
            <w:vAlign w:val="center"/>
          </w:tcPr>
          <w:p w14:paraId="4F8C8F4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bCs/>
              </w:rPr>
              <w:t>1,996,597,404</w:t>
            </w:r>
          </w:p>
        </w:tc>
      </w:tr>
      <w:tr w:rsidR="00720F68" w:rsidRPr="00B84B0C" w14:paraId="082BB925"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47" w:type="dxa"/>
            <w:tcBorders>
              <w:top w:val="nil"/>
              <w:bottom w:val="single" w:sz="2" w:space="0" w:color="8EAADB" w:themeColor="accent5" w:themeTint="99"/>
            </w:tcBorders>
          </w:tcPr>
          <w:p w14:paraId="31152D3D" w14:textId="77777777" w:rsidR="00720F68" w:rsidRPr="00B84B0C" w:rsidRDefault="00720F68" w:rsidP="00720F68">
            <w:pPr>
              <w:pStyle w:val="08-Tabelageral"/>
              <w:jc w:val="left"/>
              <w:rPr>
                <w:rFonts w:cs="Arial"/>
                <w:b w:val="0"/>
                <w:szCs w:val="14"/>
                <w:lang w:val="en-US"/>
              </w:rPr>
            </w:pPr>
            <w:r w:rsidRPr="00B84B0C">
              <w:rPr>
                <w:rFonts w:cs="Arial"/>
                <w:b w:val="0"/>
                <w:lang w:val="en-US"/>
              </w:rPr>
              <w:t>Basic and diluted earnings per share (R$)</w:t>
            </w:r>
          </w:p>
        </w:tc>
        <w:tc>
          <w:tcPr>
            <w:tcW w:w="668" w:type="dxa"/>
            <w:tcBorders>
              <w:top w:val="nil"/>
              <w:bottom w:val="single" w:sz="2" w:space="0" w:color="8EAADB" w:themeColor="accent5" w:themeTint="99"/>
            </w:tcBorders>
            <w:vAlign w:val="center"/>
          </w:tcPr>
          <w:p w14:paraId="147547DE"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[19.c]</w:t>
            </w:r>
          </w:p>
        </w:tc>
        <w:tc>
          <w:tcPr>
            <w:tcW w:w="1405" w:type="dxa"/>
            <w:tcBorders>
              <w:top w:val="nil"/>
              <w:bottom w:val="single" w:sz="2" w:space="0" w:color="8EAADB" w:themeColor="accent5" w:themeTint="99"/>
            </w:tcBorders>
            <w:vAlign w:val="center"/>
          </w:tcPr>
          <w:p w14:paraId="7252C6C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0.44</w:t>
            </w:r>
          </w:p>
        </w:tc>
        <w:tc>
          <w:tcPr>
            <w:tcW w:w="1406" w:type="dxa"/>
            <w:tcBorders>
              <w:top w:val="nil"/>
              <w:bottom w:val="single" w:sz="2" w:space="0" w:color="8EAADB" w:themeColor="accent5" w:themeTint="99"/>
            </w:tcBorders>
            <w:vAlign w:val="center"/>
          </w:tcPr>
          <w:p w14:paraId="6CA14DF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0.51</w:t>
            </w:r>
          </w:p>
        </w:tc>
        <w:tc>
          <w:tcPr>
            <w:tcW w:w="282" w:type="dxa"/>
            <w:tcBorders>
              <w:top w:val="nil"/>
              <w:bottom w:val="single" w:sz="2" w:space="0" w:color="8EAADB" w:themeColor="accent5" w:themeTint="99"/>
            </w:tcBorders>
            <w:vAlign w:val="center"/>
          </w:tcPr>
          <w:p w14:paraId="0338A5B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single" w:sz="2" w:space="0" w:color="8EAADB" w:themeColor="accent5" w:themeTint="99"/>
            </w:tcBorders>
            <w:vAlign w:val="center"/>
          </w:tcPr>
          <w:p w14:paraId="2F3A451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B84B0C">
              <w:rPr>
                <w:rFonts w:cs="Arial"/>
                <w:szCs w:val="14"/>
              </w:rPr>
              <w:t>0.44</w:t>
            </w:r>
          </w:p>
        </w:tc>
        <w:tc>
          <w:tcPr>
            <w:tcW w:w="1520" w:type="dxa"/>
            <w:tcBorders>
              <w:top w:val="nil"/>
              <w:bottom w:val="single" w:sz="2" w:space="0" w:color="8EAADB" w:themeColor="accent5" w:themeTint="99"/>
            </w:tcBorders>
            <w:vAlign w:val="center"/>
          </w:tcPr>
          <w:p w14:paraId="6979FEA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0.51</w:t>
            </w:r>
          </w:p>
        </w:tc>
      </w:tr>
    </w:tbl>
    <w:p w14:paraId="106A7DD0" w14:textId="77777777" w:rsidR="00720F68" w:rsidRPr="00B84B0C" w:rsidRDefault="00720F68" w:rsidP="00720F68">
      <w:pPr>
        <w:rPr>
          <w:rFonts w:cs="Arial"/>
          <w:sz w:val="14"/>
          <w:szCs w:val="14"/>
          <w:lang w:val="en-US"/>
        </w:rPr>
      </w:pPr>
      <w:r w:rsidRPr="00B84B0C">
        <w:rPr>
          <w:rFonts w:cs="Arial"/>
          <w:sz w:val="14"/>
          <w:szCs w:val="14"/>
          <w:lang w:val="en-US"/>
        </w:rPr>
        <w:t>The accompanying notes are an integral part of these financial statements.</w:t>
      </w:r>
    </w:p>
    <w:p w14:paraId="60693EF8" w14:textId="77777777" w:rsidR="00720F68" w:rsidRPr="00B84B0C" w:rsidRDefault="00720F68" w:rsidP="00720F68">
      <w:pPr>
        <w:pStyle w:val="01-TtulodeNota"/>
        <w:jc w:val="left"/>
        <w:rPr>
          <w:rFonts w:cs="Arial"/>
          <w:color w:val="1F4E79" w:themeColor="accent1" w:themeShade="80"/>
          <w:lang w:val="en-US"/>
        </w:rPr>
      </w:pPr>
    </w:p>
    <w:p w14:paraId="40A1A8F4" w14:textId="77777777" w:rsidR="00720F68" w:rsidRPr="00B84B0C" w:rsidRDefault="00720F68" w:rsidP="00904B54">
      <w:pPr>
        <w:pStyle w:val="02-TtulodeNota"/>
        <w:rPr>
          <w:rFonts w:cs="Arial"/>
          <w:lang w:val="en-US"/>
        </w:rPr>
      </w:pPr>
      <w:bookmarkStart w:id="1" w:name="_Toc39131479"/>
      <w:r w:rsidRPr="00B84B0C">
        <w:rPr>
          <w:rFonts w:cs="Arial"/>
          <w:color w:val="1F4E79" w:themeColor="accent1" w:themeShade="80"/>
          <w:lang w:val="en-US"/>
        </w:rPr>
        <w:t>STATEMENT OF COMPREHENSIVE INCOME</w:t>
      </w:r>
      <w:bookmarkEnd w:id="1"/>
    </w:p>
    <w:p w14:paraId="14DB71F5" w14:textId="77777777" w:rsidR="00720F68" w:rsidRPr="00B84B0C" w:rsidRDefault="00720F68" w:rsidP="00720F68">
      <w:pPr>
        <w:pStyle w:val="01-TtulodeNota"/>
        <w:spacing w:before="0" w:after="0"/>
        <w:jc w:val="right"/>
        <w:rPr>
          <w:rFonts w:cs="Arial"/>
          <w:sz w:val="12"/>
          <w:szCs w:val="12"/>
          <w:lang w:val="en-US"/>
        </w:rPr>
      </w:pPr>
      <w:r w:rsidRPr="00B84B0C">
        <w:rPr>
          <w:rFonts w:cs="Arial"/>
          <w:sz w:val="12"/>
          <w:szCs w:val="12"/>
          <w:lang w:val="en-US"/>
        </w:rPr>
        <w:t>R$ thousand</w:t>
      </w:r>
    </w:p>
    <w:tbl>
      <w:tblPr>
        <w:tblStyle w:val="TabeladeLista6Colorida-nfase53"/>
        <w:tblW w:w="9639" w:type="dxa"/>
        <w:tblInd w:w="108" w:type="dxa"/>
        <w:tblLook w:val="04A0" w:firstRow="1" w:lastRow="0" w:firstColumn="1" w:lastColumn="0" w:noHBand="0" w:noVBand="1"/>
      </w:tblPr>
      <w:tblGrid>
        <w:gridCol w:w="3057"/>
        <w:gridCol w:w="683"/>
        <w:gridCol w:w="1375"/>
        <w:gridCol w:w="1376"/>
        <w:gridCol w:w="279"/>
        <w:gridCol w:w="1380"/>
        <w:gridCol w:w="1489"/>
      </w:tblGrid>
      <w:tr w:rsidR="00720F68" w:rsidRPr="00B84B0C" w14:paraId="229AE52E" w14:textId="77777777" w:rsidTr="00904B5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057" w:type="dxa"/>
            <w:tcBorders>
              <w:top w:val="single" w:sz="2" w:space="0" w:color="8EAADB" w:themeColor="accent5" w:themeTint="99"/>
              <w:bottom w:val="nil"/>
            </w:tcBorders>
            <w:shd w:val="clear" w:color="auto" w:fill="D9E2F3" w:themeFill="accent5" w:themeFillTint="33"/>
            <w:vAlign w:val="center"/>
          </w:tcPr>
          <w:p w14:paraId="41AF8B43" w14:textId="77777777" w:rsidR="00720F68" w:rsidRPr="00B84B0C" w:rsidRDefault="00720F68" w:rsidP="00720F68">
            <w:pPr>
              <w:jc w:val="center"/>
              <w:rPr>
                <w:rFonts w:cs="Arial"/>
                <w:b w:val="0"/>
                <w:szCs w:val="18"/>
                <w:lang w:val="en-US"/>
              </w:rPr>
            </w:pPr>
          </w:p>
        </w:tc>
        <w:tc>
          <w:tcPr>
            <w:tcW w:w="683" w:type="dxa"/>
            <w:tcBorders>
              <w:top w:val="single" w:sz="2" w:space="0" w:color="8EAADB" w:themeColor="accent5" w:themeTint="99"/>
              <w:bottom w:val="nil"/>
            </w:tcBorders>
            <w:shd w:val="clear" w:color="auto" w:fill="D9E2F3" w:themeFill="accent5" w:themeFillTint="33"/>
          </w:tcPr>
          <w:p w14:paraId="067E5938"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751"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8315E95"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79" w:type="dxa"/>
            <w:tcBorders>
              <w:top w:val="single" w:sz="2" w:space="0" w:color="8EAADB" w:themeColor="accent5" w:themeTint="99"/>
              <w:bottom w:val="nil"/>
            </w:tcBorders>
            <w:shd w:val="clear" w:color="auto" w:fill="D9E2F3" w:themeFill="accent5" w:themeFillTint="33"/>
          </w:tcPr>
          <w:p w14:paraId="59065E88"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69"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4657087"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720F68" w:rsidRPr="00B84B0C" w14:paraId="1C78296C"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57" w:type="dxa"/>
            <w:tcBorders>
              <w:top w:val="nil"/>
              <w:bottom w:val="single" w:sz="2" w:space="0" w:color="8EAADB" w:themeColor="accent5" w:themeTint="99"/>
            </w:tcBorders>
          </w:tcPr>
          <w:p w14:paraId="2B56CC09" w14:textId="77777777" w:rsidR="00720F68" w:rsidRPr="00B84B0C" w:rsidRDefault="00720F68" w:rsidP="00720F68">
            <w:pPr>
              <w:pStyle w:val="08-Tabelageral"/>
              <w:jc w:val="left"/>
              <w:rPr>
                <w:rFonts w:cs="Arial"/>
                <w:b w:val="0"/>
              </w:rPr>
            </w:pPr>
          </w:p>
        </w:tc>
        <w:tc>
          <w:tcPr>
            <w:tcW w:w="683" w:type="dxa"/>
            <w:tcBorders>
              <w:top w:val="nil"/>
              <w:bottom w:val="single" w:sz="2" w:space="0" w:color="8EAADB" w:themeColor="accent5" w:themeTint="99"/>
            </w:tcBorders>
          </w:tcPr>
          <w:p w14:paraId="3BDE4332"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375" w:type="dxa"/>
            <w:tcBorders>
              <w:top w:val="single" w:sz="2" w:space="0" w:color="8EAADB" w:themeColor="accent5" w:themeTint="99"/>
              <w:bottom w:val="single" w:sz="2" w:space="0" w:color="8EAADB" w:themeColor="accent5" w:themeTint="99"/>
            </w:tcBorders>
            <w:vAlign w:val="bottom"/>
          </w:tcPr>
          <w:p w14:paraId="58C4AB6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376" w:type="dxa"/>
            <w:tcBorders>
              <w:top w:val="single" w:sz="2" w:space="0" w:color="8EAADB" w:themeColor="accent5" w:themeTint="99"/>
              <w:bottom w:val="single" w:sz="2" w:space="0" w:color="8EAADB" w:themeColor="accent5" w:themeTint="99"/>
            </w:tcBorders>
            <w:vAlign w:val="bottom"/>
          </w:tcPr>
          <w:p w14:paraId="0BF0913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c>
          <w:tcPr>
            <w:tcW w:w="279" w:type="dxa"/>
            <w:tcBorders>
              <w:top w:val="nil"/>
              <w:bottom w:val="single" w:sz="2" w:space="0" w:color="8EAADB" w:themeColor="accent5" w:themeTint="99"/>
            </w:tcBorders>
            <w:vAlign w:val="center"/>
          </w:tcPr>
          <w:p w14:paraId="2700D6E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380" w:type="dxa"/>
            <w:tcBorders>
              <w:top w:val="single" w:sz="2" w:space="0" w:color="8EAADB" w:themeColor="accent5" w:themeTint="99"/>
              <w:bottom w:val="single" w:sz="2" w:space="0" w:color="8EAADB" w:themeColor="accent5" w:themeTint="99"/>
            </w:tcBorders>
            <w:vAlign w:val="bottom"/>
          </w:tcPr>
          <w:p w14:paraId="664164E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489" w:type="dxa"/>
            <w:tcBorders>
              <w:top w:val="single" w:sz="2" w:space="0" w:color="8EAADB" w:themeColor="accent5" w:themeTint="99"/>
              <w:bottom w:val="single" w:sz="2" w:space="0" w:color="8EAADB" w:themeColor="accent5" w:themeTint="99"/>
            </w:tcBorders>
            <w:vAlign w:val="bottom"/>
          </w:tcPr>
          <w:p w14:paraId="75C833C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r>
      <w:tr w:rsidR="00720F68" w:rsidRPr="00B84B0C" w14:paraId="33E2881E"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3057" w:type="dxa"/>
            <w:tcBorders>
              <w:top w:val="single" w:sz="2" w:space="0" w:color="8EAADB" w:themeColor="accent5" w:themeTint="99"/>
              <w:bottom w:val="nil"/>
            </w:tcBorders>
          </w:tcPr>
          <w:p w14:paraId="48D9E814" w14:textId="77777777" w:rsidR="00720F68" w:rsidRPr="00B84B0C" w:rsidRDefault="00720F68" w:rsidP="00720F68">
            <w:pPr>
              <w:pStyle w:val="08-Tabelageral"/>
              <w:jc w:val="left"/>
              <w:rPr>
                <w:rFonts w:cs="Arial"/>
                <w:bCs w:val="0"/>
                <w:szCs w:val="14"/>
              </w:rPr>
            </w:pPr>
            <w:r w:rsidRPr="00B84B0C">
              <w:rPr>
                <w:rFonts w:cs="Arial"/>
                <w:szCs w:val="14"/>
              </w:rPr>
              <w:t>NET INCOME</w:t>
            </w:r>
          </w:p>
        </w:tc>
        <w:tc>
          <w:tcPr>
            <w:tcW w:w="683" w:type="dxa"/>
            <w:tcBorders>
              <w:top w:val="single" w:sz="2" w:space="0" w:color="8EAADB" w:themeColor="accent5" w:themeTint="99"/>
              <w:bottom w:val="nil"/>
            </w:tcBorders>
            <w:vAlign w:val="center"/>
          </w:tcPr>
          <w:p w14:paraId="6AA92AEB"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375" w:type="dxa"/>
            <w:tcBorders>
              <w:top w:val="single" w:sz="2" w:space="0" w:color="8EAADB" w:themeColor="accent5" w:themeTint="99"/>
              <w:bottom w:val="nil"/>
            </w:tcBorders>
            <w:vAlign w:val="center"/>
          </w:tcPr>
          <w:p w14:paraId="76E0698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882,721</w:t>
            </w:r>
          </w:p>
        </w:tc>
        <w:tc>
          <w:tcPr>
            <w:tcW w:w="1376" w:type="dxa"/>
            <w:tcBorders>
              <w:top w:val="single" w:sz="2" w:space="0" w:color="8EAADB" w:themeColor="accent5" w:themeTint="99"/>
              <w:bottom w:val="nil"/>
            </w:tcBorders>
            <w:vAlign w:val="center"/>
          </w:tcPr>
          <w:p w14:paraId="1A3DA9C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1,013,758</w:t>
            </w:r>
          </w:p>
        </w:tc>
        <w:tc>
          <w:tcPr>
            <w:tcW w:w="279" w:type="dxa"/>
            <w:tcBorders>
              <w:top w:val="single" w:sz="2" w:space="0" w:color="8EAADB" w:themeColor="accent5" w:themeTint="99"/>
              <w:bottom w:val="nil"/>
            </w:tcBorders>
            <w:vAlign w:val="center"/>
          </w:tcPr>
          <w:p w14:paraId="4AA603B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380" w:type="dxa"/>
            <w:tcBorders>
              <w:top w:val="single" w:sz="2" w:space="0" w:color="8EAADB" w:themeColor="accent5" w:themeTint="99"/>
              <w:bottom w:val="nil"/>
            </w:tcBorders>
            <w:vAlign w:val="center"/>
          </w:tcPr>
          <w:p w14:paraId="5DE8681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882,721</w:t>
            </w:r>
          </w:p>
        </w:tc>
        <w:tc>
          <w:tcPr>
            <w:tcW w:w="1489" w:type="dxa"/>
            <w:tcBorders>
              <w:top w:val="single" w:sz="2" w:space="0" w:color="8EAADB" w:themeColor="accent5" w:themeTint="99"/>
              <w:bottom w:val="nil"/>
            </w:tcBorders>
            <w:vAlign w:val="center"/>
          </w:tcPr>
          <w:p w14:paraId="37EDABB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1,013,758</w:t>
            </w:r>
          </w:p>
        </w:tc>
      </w:tr>
      <w:tr w:rsidR="00720F68" w:rsidRPr="00B84B0C" w14:paraId="42C349BD" w14:textId="77777777" w:rsidTr="00904B54">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057" w:type="dxa"/>
            <w:tcBorders>
              <w:top w:val="nil"/>
              <w:bottom w:val="nil"/>
            </w:tcBorders>
          </w:tcPr>
          <w:p w14:paraId="148CB68D" w14:textId="77777777" w:rsidR="00720F68" w:rsidRPr="00B84B0C" w:rsidRDefault="00720F68" w:rsidP="00720F68">
            <w:pPr>
              <w:pStyle w:val="08-Tabelageral"/>
              <w:jc w:val="left"/>
              <w:rPr>
                <w:rFonts w:cs="Arial"/>
                <w:szCs w:val="14"/>
                <w:lang w:val="en-US"/>
              </w:rPr>
            </w:pPr>
            <w:r w:rsidRPr="00B84B0C">
              <w:rPr>
                <w:rFonts w:cs="Arial"/>
                <w:szCs w:val="14"/>
                <w:lang w:val="en-US"/>
              </w:rPr>
              <w:t>Share of comprehensive income/(loss) of associates and joint ventures</w:t>
            </w:r>
          </w:p>
        </w:tc>
        <w:tc>
          <w:tcPr>
            <w:tcW w:w="683" w:type="dxa"/>
            <w:tcBorders>
              <w:top w:val="nil"/>
              <w:bottom w:val="nil"/>
            </w:tcBorders>
            <w:vAlign w:val="center"/>
          </w:tcPr>
          <w:p w14:paraId="7543F5EB" w14:textId="77777777" w:rsidR="00720F68" w:rsidRPr="00B84B0C" w:rsidRDefault="00720F68" w:rsidP="00720F6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[09.a]</w:t>
            </w:r>
          </w:p>
        </w:tc>
        <w:tc>
          <w:tcPr>
            <w:tcW w:w="1375" w:type="dxa"/>
            <w:tcBorders>
              <w:top w:val="nil"/>
              <w:bottom w:val="nil"/>
            </w:tcBorders>
            <w:vAlign w:val="center"/>
          </w:tcPr>
          <w:p w14:paraId="4B3E2923"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(35,080)</w:t>
            </w:r>
          </w:p>
        </w:tc>
        <w:tc>
          <w:tcPr>
            <w:tcW w:w="1376" w:type="dxa"/>
            <w:tcBorders>
              <w:top w:val="nil"/>
              <w:bottom w:val="nil"/>
            </w:tcBorders>
            <w:vAlign w:val="center"/>
          </w:tcPr>
          <w:p w14:paraId="2ABD0BC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(52,088)</w:t>
            </w:r>
          </w:p>
        </w:tc>
        <w:tc>
          <w:tcPr>
            <w:tcW w:w="279" w:type="dxa"/>
            <w:tcBorders>
              <w:top w:val="nil"/>
              <w:bottom w:val="nil"/>
            </w:tcBorders>
            <w:vAlign w:val="center"/>
          </w:tcPr>
          <w:p w14:paraId="317A29B0"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80" w:type="dxa"/>
            <w:tcBorders>
              <w:top w:val="nil"/>
              <w:bottom w:val="nil"/>
            </w:tcBorders>
            <w:vAlign w:val="center"/>
          </w:tcPr>
          <w:p w14:paraId="369E0E98"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(35,080)</w:t>
            </w:r>
          </w:p>
        </w:tc>
        <w:tc>
          <w:tcPr>
            <w:tcW w:w="1489" w:type="dxa"/>
            <w:tcBorders>
              <w:top w:val="nil"/>
              <w:bottom w:val="nil"/>
            </w:tcBorders>
            <w:vAlign w:val="center"/>
          </w:tcPr>
          <w:p w14:paraId="68A2A5E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(52,088)</w:t>
            </w:r>
          </w:p>
        </w:tc>
      </w:tr>
      <w:tr w:rsidR="00720F68" w:rsidRPr="00B84B0C" w14:paraId="4E89B648"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3057" w:type="dxa"/>
            <w:tcBorders>
              <w:top w:val="nil"/>
              <w:bottom w:val="nil"/>
            </w:tcBorders>
            <w:vAlign w:val="center"/>
          </w:tcPr>
          <w:p w14:paraId="58F0A1B0" w14:textId="77777777" w:rsidR="00720F68" w:rsidRPr="00B84B0C" w:rsidRDefault="00720F68" w:rsidP="00720F68">
            <w:pPr>
              <w:pStyle w:val="08-Tabelageral"/>
              <w:ind w:left="113"/>
              <w:jc w:val="left"/>
              <w:rPr>
                <w:rFonts w:cs="Arial"/>
                <w:b w:val="0"/>
                <w:szCs w:val="14"/>
                <w:lang w:val="en-US"/>
              </w:rPr>
            </w:pPr>
            <w:r w:rsidRPr="00B84B0C">
              <w:rPr>
                <w:rFonts w:cs="Arial"/>
                <w:b w:val="0"/>
                <w:szCs w:val="14"/>
                <w:lang w:val="en-US"/>
              </w:rPr>
              <w:t>Gains/(losses) on financial assets available for sale</w:t>
            </w:r>
          </w:p>
        </w:tc>
        <w:tc>
          <w:tcPr>
            <w:tcW w:w="683" w:type="dxa"/>
            <w:tcBorders>
              <w:top w:val="nil"/>
              <w:bottom w:val="nil"/>
            </w:tcBorders>
          </w:tcPr>
          <w:p w14:paraId="2277C876" w14:textId="77777777" w:rsidR="00720F68" w:rsidRPr="00B84B0C" w:rsidRDefault="00720F68" w:rsidP="00720F68">
            <w:pPr>
              <w:pStyle w:val="08-Tabelageral"/>
              <w:ind w:left="113"/>
              <w:jc w:val="left"/>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375" w:type="dxa"/>
            <w:tcBorders>
              <w:top w:val="nil"/>
              <w:bottom w:val="nil"/>
            </w:tcBorders>
            <w:vAlign w:val="center"/>
          </w:tcPr>
          <w:p w14:paraId="6852237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(58,467)</w:t>
            </w:r>
          </w:p>
        </w:tc>
        <w:tc>
          <w:tcPr>
            <w:tcW w:w="1376" w:type="dxa"/>
            <w:tcBorders>
              <w:top w:val="nil"/>
              <w:bottom w:val="nil"/>
            </w:tcBorders>
            <w:vAlign w:val="center"/>
          </w:tcPr>
          <w:p w14:paraId="3226985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(24,570)</w:t>
            </w:r>
          </w:p>
        </w:tc>
        <w:tc>
          <w:tcPr>
            <w:tcW w:w="279" w:type="dxa"/>
            <w:tcBorders>
              <w:top w:val="nil"/>
              <w:bottom w:val="nil"/>
            </w:tcBorders>
            <w:vAlign w:val="center"/>
          </w:tcPr>
          <w:p w14:paraId="0DAE355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1380" w:type="dxa"/>
            <w:tcBorders>
              <w:top w:val="nil"/>
              <w:bottom w:val="nil"/>
            </w:tcBorders>
            <w:vAlign w:val="center"/>
          </w:tcPr>
          <w:p w14:paraId="6F41233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(58,467)</w:t>
            </w:r>
          </w:p>
        </w:tc>
        <w:tc>
          <w:tcPr>
            <w:tcW w:w="1489" w:type="dxa"/>
            <w:tcBorders>
              <w:top w:val="nil"/>
              <w:bottom w:val="nil"/>
            </w:tcBorders>
            <w:vAlign w:val="center"/>
          </w:tcPr>
          <w:p w14:paraId="30F1FD2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(24,570)</w:t>
            </w:r>
          </w:p>
        </w:tc>
      </w:tr>
      <w:tr w:rsidR="00720F68" w:rsidRPr="00B84B0C" w14:paraId="3679BF09" w14:textId="77777777" w:rsidTr="00904B54">
        <w:trPr>
          <w:cnfStyle w:val="000000100000" w:firstRow="0" w:lastRow="0" w:firstColumn="0" w:lastColumn="0" w:oddVBand="0" w:evenVBand="0" w:oddHBand="1" w:evenHBand="0" w:firstRowFirstColumn="0" w:firstRowLastColumn="0" w:lastRowFirstColumn="0" w:lastRowLastColumn="0"/>
          <w:trHeight w:hRule="exact" w:val="330"/>
        </w:trPr>
        <w:tc>
          <w:tcPr>
            <w:cnfStyle w:val="001000000000" w:firstRow="0" w:lastRow="0" w:firstColumn="1" w:lastColumn="0" w:oddVBand="0" w:evenVBand="0" w:oddHBand="0" w:evenHBand="0" w:firstRowFirstColumn="0" w:firstRowLastColumn="0" w:lastRowFirstColumn="0" w:lastRowLastColumn="0"/>
            <w:tcW w:w="3057" w:type="dxa"/>
            <w:tcBorders>
              <w:top w:val="nil"/>
              <w:bottom w:val="nil"/>
            </w:tcBorders>
            <w:vAlign w:val="center"/>
          </w:tcPr>
          <w:p w14:paraId="1422BE54" w14:textId="77777777" w:rsidR="00720F68" w:rsidRPr="00B84B0C" w:rsidRDefault="00720F68" w:rsidP="00720F68">
            <w:pPr>
              <w:pStyle w:val="08-Tabelageral"/>
              <w:ind w:left="113"/>
              <w:jc w:val="left"/>
              <w:rPr>
                <w:rFonts w:cs="Arial"/>
                <w:b w:val="0"/>
                <w:szCs w:val="14"/>
              </w:rPr>
            </w:pPr>
            <w:r w:rsidRPr="00B84B0C">
              <w:rPr>
                <w:rFonts w:cs="Arial"/>
                <w:b w:val="0"/>
                <w:szCs w:val="14"/>
              </w:rPr>
              <w:t xml:space="preserve">Other </w:t>
            </w:r>
            <w:proofErr w:type="spellStart"/>
            <w:r w:rsidRPr="00B84B0C">
              <w:rPr>
                <w:rFonts w:cs="Arial"/>
                <w:b w:val="0"/>
                <w:szCs w:val="14"/>
              </w:rPr>
              <w:t>comprehensive</w:t>
            </w:r>
            <w:proofErr w:type="spellEnd"/>
            <w:r w:rsidRPr="00B84B0C">
              <w:rPr>
                <w:rFonts w:cs="Arial"/>
                <w:b w:val="0"/>
                <w:szCs w:val="14"/>
              </w:rPr>
              <w:t xml:space="preserve"> income</w:t>
            </w:r>
          </w:p>
        </w:tc>
        <w:tc>
          <w:tcPr>
            <w:tcW w:w="683" w:type="dxa"/>
            <w:tcBorders>
              <w:top w:val="nil"/>
              <w:bottom w:val="nil"/>
            </w:tcBorders>
            <w:vAlign w:val="center"/>
          </w:tcPr>
          <w:p w14:paraId="13EC4BA6" w14:textId="77777777" w:rsidR="00720F68" w:rsidRPr="00B84B0C" w:rsidRDefault="00720F68" w:rsidP="00720F68">
            <w:pPr>
              <w:pStyle w:val="08-Tabelageral"/>
              <w:ind w:left="113"/>
              <w:jc w:val="left"/>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75" w:type="dxa"/>
            <w:tcBorders>
              <w:top w:val="nil"/>
              <w:bottom w:val="nil"/>
            </w:tcBorders>
            <w:vAlign w:val="center"/>
          </w:tcPr>
          <w:p w14:paraId="6B1EDC7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76" w:type="dxa"/>
            <w:tcBorders>
              <w:top w:val="nil"/>
              <w:bottom w:val="nil"/>
            </w:tcBorders>
            <w:vAlign w:val="center"/>
          </w:tcPr>
          <w:p w14:paraId="19FBE3A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(70,215)</w:t>
            </w:r>
          </w:p>
        </w:tc>
        <w:tc>
          <w:tcPr>
            <w:tcW w:w="279" w:type="dxa"/>
            <w:tcBorders>
              <w:top w:val="nil"/>
              <w:bottom w:val="nil"/>
            </w:tcBorders>
            <w:vAlign w:val="center"/>
          </w:tcPr>
          <w:p w14:paraId="6F590FD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380" w:type="dxa"/>
            <w:tcBorders>
              <w:top w:val="nil"/>
              <w:bottom w:val="nil"/>
            </w:tcBorders>
            <w:vAlign w:val="center"/>
          </w:tcPr>
          <w:p w14:paraId="46C2E38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489" w:type="dxa"/>
            <w:tcBorders>
              <w:top w:val="nil"/>
              <w:bottom w:val="nil"/>
            </w:tcBorders>
            <w:vAlign w:val="center"/>
          </w:tcPr>
          <w:p w14:paraId="3D9FCC9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(70,215)</w:t>
            </w:r>
          </w:p>
        </w:tc>
      </w:tr>
      <w:tr w:rsidR="00720F68" w:rsidRPr="00B84B0C" w14:paraId="441BECC8" w14:textId="77777777" w:rsidTr="00904B54">
        <w:trPr>
          <w:trHeight w:hRule="exact" w:val="277"/>
        </w:trPr>
        <w:tc>
          <w:tcPr>
            <w:cnfStyle w:val="001000000000" w:firstRow="0" w:lastRow="0" w:firstColumn="1" w:lastColumn="0" w:oddVBand="0" w:evenVBand="0" w:oddHBand="0" w:evenHBand="0" w:firstRowFirstColumn="0" w:firstRowLastColumn="0" w:lastRowFirstColumn="0" w:lastRowLastColumn="0"/>
            <w:tcW w:w="3057" w:type="dxa"/>
            <w:tcBorders>
              <w:top w:val="nil"/>
              <w:bottom w:val="nil"/>
            </w:tcBorders>
            <w:vAlign w:val="center"/>
          </w:tcPr>
          <w:p w14:paraId="77A29CD9" w14:textId="77777777" w:rsidR="00720F68" w:rsidRPr="00B84B0C" w:rsidRDefault="00720F68" w:rsidP="00720F68">
            <w:pPr>
              <w:pStyle w:val="08-Tabelageral"/>
              <w:ind w:left="113"/>
              <w:jc w:val="left"/>
              <w:rPr>
                <w:rFonts w:cs="Arial"/>
                <w:b w:val="0"/>
                <w:szCs w:val="14"/>
              </w:rPr>
            </w:pP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effect</w:t>
            </w:r>
            <w:proofErr w:type="spellEnd"/>
          </w:p>
        </w:tc>
        <w:tc>
          <w:tcPr>
            <w:tcW w:w="683" w:type="dxa"/>
            <w:tcBorders>
              <w:top w:val="nil"/>
              <w:bottom w:val="nil"/>
            </w:tcBorders>
            <w:vAlign w:val="center"/>
          </w:tcPr>
          <w:p w14:paraId="34683635"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375" w:type="dxa"/>
            <w:tcBorders>
              <w:top w:val="nil"/>
              <w:bottom w:val="nil"/>
            </w:tcBorders>
            <w:vAlign w:val="center"/>
          </w:tcPr>
          <w:p w14:paraId="1CF44F0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23,387</w:t>
            </w:r>
          </w:p>
        </w:tc>
        <w:tc>
          <w:tcPr>
            <w:tcW w:w="1376" w:type="dxa"/>
            <w:tcBorders>
              <w:top w:val="nil"/>
              <w:bottom w:val="nil"/>
            </w:tcBorders>
            <w:vAlign w:val="center"/>
          </w:tcPr>
          <w:p w14:paraId="63883C6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42,697</w:t>
            </w:r>
          </w:p>
        </w:tc>
        <w:tc>
          <w:tcPr>
            <w:tcW w:w="279" w:type="dxa"/>
            <w:tcBorders>
              <w:top w:val="nil"/>
              <w:bottom w:val="nil"/>
            </w:tcBorders>
            <w:vAlign w:val="center"/>
          </w:tcPr>
          <w:p w14:paraId="7C81D6C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380" w:type="dxa"/>
            <w:tcBorders>
              <w:top w:val="nil"/>
              <w:bottom w:val="nil"/>
            </w:tcBorders>
            <w:vAlign w:val="center"/>
          </w:tcPr>
          <w:p w14:paraId="1C19028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23,387</w:t>
            </w:r>
          </w:p>
        </w:tc>
        <w:tc>
          <w:tcPr>
            <w:tcW w:w="1489" w:type="dxa"/>
            <w:tcBorders>
              <w:top w:val="nil"/>
              <w:bottom w:val="nil"/>
            </w:tcBorders>
            <w:vAlign w:val="center"/>
          </w:tcPr>
          <w:p w14:paraId="0681FEE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42,697</w:t>
            </w:r>
          </w:p>
        </w:tc>
      </w:tr>
      <w:tr w:rsidR="00720F68" w:rsidRPr="00B84B0C" w14:paraId="7FFD98F8"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57" w:type="dxa"/>
            <w:tcBorders>
              <w:top w:val="nil"/>
              <w:bottom w:val="single" w:sz="2" w:space="0" w:color="8EAADB" w:themeColor="accent5" w:themeTint="99"/>
            </w:tcBorders>
          </w:tcPr>
          <w:p w14:paraId="7E5795D6" w14:textId="77777777" w:rsidR="00720F68" w:rsidRPr="00B84B0C" w:rsidRDefault="00720F68" w:rsidP="00720F68">
            <w:pPr>
              <w:pStyle w:val="08-Tabelageral"/>
              <w:jc w:val="left"/>
              <w:rPr>
                <w:rFonts w:cs="Arial"/>
                <w:szCs w:val="14"/>
              </w:rPr>
            </w:pPr>
            <w:r w:rsidRPr="00B84B0C">
              <w:rPr>
                <w:rFonts w:cs="Arial"/>
                <w:szCs w:val="14"/>
              </w:rPr>
              <w:t>TOTAL COMPREHENSIVE INCOME</w:t>
            </w:r>
          </w:p>
        </w:tc>
        <w:tc>
          <w:tcPr>
            <w:tcW w:w="683" w:type="dxa"/>
            <w:tcBorders>
              <w:top w:val="nil"/>
              <w:bottom w:val="single" w:sz="2" w:space="0" w:color="8EAADB" w:themeColor="accent5" w:themeTint="99"/>
            </w:tcBorders>
            <w:vAlign w:val="center"/>
          </w:tcPr>
          <w:p w14:paraId="011C2324"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75" w:type="dxa"/>
            <w:tcBorders>
              <w:top w:val="nil"/>
              <w:bottom w:val="single" w:sz="2" w:space="0" w:color="8EAADB" w:themeColor="accent5" w:themeTint="99"/>
            </w:tcBorders>
            <w:vAlign w:val="center"/>
          </w:tcPr>
          <w:p w14:paraId="2F7CBAE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847,641</w:t>
            </w:r>
          </w:p>
        </w:tc>
        <w:tc>
          <w:tcPr>
            <w:tcW w:w="1376" w:type="dxa"/>
            <w:tcBorders>
              <w:top w:val="nil"/>
              <w:bottom w:val="single" w:sz="2" w:space="0" w:color="8EAADB" w:themeColor="accent5" w:themeTint="99"/>
            </w:tcBorders>
            <w:vAlign w:val="center"/>
          </w:tcPr>
          <w:p w14:paraId="5F19EFF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961,670</w:t>
            </w:r>
          </w:p>
        </w:tc>
        <w:tc>
          <w:tcPr>
            <w:tcW w:w="279" w:type="dxa"/>
            <w:tcBorders>
              <w:top w:val="nil"/>
              <w:bottom w:val="single" w:sz="2" w:space="0" w:color="8EAADB" w:themeColor="accent5" w:themeTint="99"/>
            </w:tcBorders>
            <w:vAlign w:val="center"/>
          </w:tcPr>
          <w:p w14:paraId="01173B0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80" w:type="dxa"/>
            <w:tcBorders>
              <w:top w:val="nil"/>
              <w:bottom w:val="single" w:sz="2" w:space="0" w:color="8EAADB" w:themeColor="accent5" w:themeTint="99"/>
            </w:tcBorders>
            <w:vAlign w:val="center"/>
          </w:tcPr>
          <w:p w14:paraId="7340FD9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847,641</w:t>
            </w:r>
          </w:p>
        </w:tc>
        <w:tc>
          <w:tcPr>
            <w:tcW w:w="1489" w:type="dxa"/>
            <w:tcBorders>
              <w:top w:val="nil"/>
              <w:bottom w:val="single" w:sz="2" w:space="0" w:color="8EAADB" w:themeColor="accent5" w:themeTint="99"/>
            </w:tcBorders>
            <w:vAlign w:val="center"/>
          </w:tcPr>
          <w:p w14:paraId="1F4D9FF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961,670</w:t>
            </w:r>
          </w:p>
        </w:tc>
      </w:tr>
    </w:tbl>
    <w:p w14:paraId="3EE259AE" w14:textId="77777777" w:rsidR="00720F68" w:rsidRPr="00B84B0C" w:rsidRDefault="00720F68" w:rsidP="00720F68">
      <w:pPr>
        <w:rPr>
          <w:rFonts w:cs="Arial"/>
          <w:sz w:val="14"/>
          <w:szCs w:val="14"/>
          <w:lang w:val="en-US"/>
        </w:rPr>
      </w:pPr>
      <w:r w:rsidRPr="00B84B0C">
        <w:rPr>
          <w:rFonts w:cs="Arial"/>
          <w:sz w:val="14"/>
          <w:szCs w:val="14"/>
          <w:lang w:val="en-US"/>
        </w:rPr>
        <w:t>The accompanying notes are an integral part of these financial statements.</w:t>
      </w:r>
    </w:p>
    <w:p w14:paraId="0C973E28" w14:textId="77777777" w:rsidR="00720F68" w:rsidRPr="00B84B0C" w:rsidRDefault="00720F68">
      <w:pPr>
        <w:rPr>
          <w:rFonts w:cs="Arial"/>
          <w:b/>
          <w:color w:val="1F4E79" w:themeColor="accent1" w:themeShade="80"/>
          <w:szCs w:val="18"/>
          <w:lang w:val="en-US"/>
        </w:rPr>
      </w:pPr>
      <w:r w:rsidRPr="00B84B0C">
        <w:rPr>
          <w:rFonts w:cs="Arial"/>
          <w:b/>
          <w:color w:val="1F4E79" w:themeColor="accent1" w:themeShade="80"/>
          <w:szCs w:val="18"/>
          <w:lang w:val="en-US"/>
        </w:rPr>
        <w:br w:type="page"/>
      </w:r>
    </w:p>
    <w:p w14:paraId="2138451F" w14:textId="77777777" w:rsidR="00720F68" w:rsidRPr="00B84B0C" w:rsidRDefault="00720F68" w:rsidP="00904B54">
      <w:pPr>
        <w:pStyle w:val="02-TtulodeNota"/>
        <w:rPr>
          <w:rFonts w:cs="Arial"/>
          <w:color w:val="1F4E79" w:themeColor="accent1" w:themeShade="80"/>
        </w:rPr>
      </w:pPr>
      <w:bookmarkStart w:id="2" w:name="_Toc28866214"/>
      <w:bookmarkStart w:id="3" w:name="_Toc39131480"/>
      <w:r w:rsidRPr="00B84B0C">
        <w:rPr>
          <w:rFonts w:cs="Arial"/>
          <w:color w:val="1F4E79" w:themeColor="accent1" w:themeShade="80"/>
        </w:rPr>
        <w:lastRenderedPageBreak/>
        <w:t>BALANCE SHEET</w:t>
      </w:r>
      <w:bookmarkEnd w:id="2"/>
      <w:bookmarkEnd w:id="3"/>
    </w:p>
    <w:p w14:paraId="06C07FC5" w14:textId="77777777" w:rsidR="00720F68" w:rsidRPr="00B84B0C" w:rsidRDefault="00720F68" w:rsidP="00720F68">
      <w:pPr>
        <w:pStyle w:val="01-TtulodeNota"/>
        <w:spacing w:before="0" w:after="0"/>
        <w:jc w:val="right"/>
        <w:rPr>
          <w:rFonts w:cs="Arial"/>
          <w:sz w:val="12"/>
          <w:szCs w:val="12"/>
        </w:rPr>
      </w:pPr>
      <w:r w:rsidRPr="00B84B0C">
        <w:rPr>
          <w:rFonts w:cs="Arial"/>
          <w:sz w:val="12"/>
          <w:szCs w:val="12"/>
        </w:rPr>
        <w:t xml:space="preserve">R$ </w:t>
      </w:r>
      <w:proofErr w:type="spellStart"/>
      <w:r w:rsidRPr="00B84B0C">
        <w:rPr>
          <w:rFonts w:cs="Arial"/>
          <w:sz w:val="12"/>
          <w:szCs w:val="12"/>
        </w:rPr>
        <w:t>thousand</w:t>
      </w:r>
      <w:proofErr w:type="spellEnd"/>
    </w:p>
    <w:tbl>
      <w:tblPr>
        <w:tblStyle w:val="TabeladeLista6Colorida-nfase53"/>
        <w:tblW w:w="9639" w:type="dxa"/>
        <w:tblInd w:w="108" w:type="dxa"/>
        <w:tblLayout w:type="fixed"/>
        <w:tblLook w:val="04A0" w:firstRow="1" w:lastRow="0" w:firstColumn="1" w:lastColumn="0" w:noHBand="0" w:noVBand="1"/>
      </w:tblPr>
      <w:tblGrid>
        <w:gridCol w:w="4287"/>
        <w:gridCol w:w="567"/>
        <w:gridCol w:w="1134"/>
        <w:gridCol w:w="1134"/>
        <w:gridCol w:w="283"/>
        <w:gridCol w:w="1063"/>
        <w:gridCol w:w="1171"/>
      </w:tblGrid>
      <w:tr w:rsidR="00720F68" w:rsidRPr="00B84B0C" w14:paraId="6C196D0B" w14:textId="77777777" w:rsidTr="00904B5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287" w:type="dxa"/>
            <w:tcBorders>
              <w:top w:val="single" w:sz="2" w:space="0" w:color="8EAADB" w:themeColor="accent5" w:themeTint="99"/>
              <w:bottom w:val="nil"/>
            </w:tcBorders>
            <w:shd w:val="clear" w:color="auto" w:fill="D9E2F3" w:themeFill="accent5" w:themeFillTint="33"/>
            <w:vAlign w:val="center"/>
          </w:tcPr>
          <w:p w14:paraId="21F26350" w14:textId="77777777" w:rsidR="00720F68" w:rsidRPr="00B84B0C" w:rsidRDefault="00720F68" w:rsidP="00720F68">
            <w:pPr>
              <w:jc w:val="center"/>
              <w:rPr>
                <w:rFonts w:cs="Arial"/>
                <w:b w:val="0"/>
                <w:szCs w:val="18"/>
              </w:rPr>
            </w:pPr>
          </w:p>
        </w:tc>
        <w:tc>
          <w:tcPr>
            <w:tcW w:w="567" w:type="dxa"/>
            <w:tcBorders>
              <w:top w:val="single" w:sz="2" w:space="0" w:color="8EAADB" w:themeColor="accent5" w:themeTint="99"/>
              <w:bottom w:val="nil"/>
            </w:tcBorders>
            <w:shd w:val="clear" w:color="auto" w:fill="D9E2F3" w:themeFill="accent5" w:themeFillTint="33"/>
          </w:tcPr>
          <w:p w14:paraId="6AD8B71F"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268"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16F60FE8"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78CD03A1"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234"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C113B36"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720F68" w:rsidRPr="00B84B0C" w14:paraId="4A2B611E"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single" w:sz="2" w:space="0" w:color="8EAADB" w:themeColor="accent5" w:themeTint="99"/>
            </w:tcBorders>
          </w:tcPr>
          <w:p w14:paraId="26792487" w14:textId="77777777" w:rsidR="00720F68" w:rsidRPr="00B84B0C" w:rsidRDefault="00720F68" w:rsidP="00720F68">
            <w:pPr>
              <w:pStyle w:val="08-Tabelageral"/>
              <w:jc w:val="left"/>
              <w:rPr>
                <w:rFonts w:cs="Arial"/>
                <w:b w:val="0"/>
              </w:rPr>
            </w:pPr>
          </w:p>
        </w:tc>
        <w:tc>
          <w:tcPr>
            <w:tcW w:w="567" w:type="dxa"/>
            <w:tcBorders>
              <w:top w:val="nil"/>
              <w:bottom w:val="single" w:sz="2" w:space="0" w:color="8EAADB" w:themeColor="accent5" w:themeTint="99"/>
            </w:tcBorders>
          </w:tcPr>
          <w:p w14:paraId="107B0751"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Note</w:t>
            </w:r>
          </w:p>
        </w:tc>
        <w:tc>
          <w:tcPr>
            <w:tcW w:w="1134" w:type="dxa"/>
            <w:tcBorders>
              <w:top w:val="single" w:sz="2" w:space="0" w:color="8EAADB" w:themeColor="accent5" w:themeTint="99"/>
              <w:bottom w:val="single" w:sz="2" w:space="0" w:color="8EAADB" w:themeColor="accent5" w:themeTint="99"/>
            </w:tcBorders>
          </w:tcPr>
          <w:p w14:paraId="5AD471B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134" w:type="dxa"/>
            <w:tcBorders>
              <w:top w:val="single" w:sz="2" w:space="0" w:color="8EAADB" w:themeColor="accent5" w:themeTint="99"/>
              <w:bottom w:val="single" w:sz="2" w:space="0" w:color="8EAADB" w:themeColor="accent5" w:themeTint="99"/>
            </w:tcBorders>
          </w:tcPr>
          <w:p w14:paraId="231B314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c>
          <w:tcPr>
            <w:tcW w:w="283" w:type="dxa"/>
            <w:tcBorders>
              <w:top w:val="nil"/>
              <w:bottom w:val="single" w:sz="2" w:space="0" w:color="8EAADB" w:themeColor="accent5" w:themeTint="99"/>
            </w:tcBorders>
          </w:tcPr>
          <w:p w14:paraId="653F3D2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063" w:type="dxa"/>
            <w:tcBorders>
              <w:top w:val="single" w:sz="2" w:space="0" w:color="8EAADB" w:themeColor="accent5" w:themeTint="99"/>
              <w:bottom w:val="single" w:sz="2" w:space="0" w:color="8EAADB" w:themeColor="accent5" w:themeTint="99"/>
            </w:tcBorders>
          </w:tcPr>
          <w:p w14:paraId="461AB7E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171" w:type="dxa"/>
            <w:tcBorders>
              <w:top w:val="single" w:sz="2" w:space="0" w:color="8EAADB" w:themeColor="accent5" w:themeTint="99"/>
              <w:bottom w:val="single" w:sz="2" w:space="0" w:color="8EAADB" w:themeColor="accent5" w:themeTint="99"/>
            </w:tcBorders>
          </w:tcPr>
          <w:p w14:paraId="0A0DB02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720F68" w:rsidRPr="00B84B0C" w14:paraId="53043DAB" w14:textId="77777777" w:rsidTr="00904B54">
        <w:trPr>
          <w:trHeight w:hRule="exact" w:val="238"/>
        </w:trPr>
        <w:tc>
          <w:tcPr>
            <w:cnfStyle w:val="001000000000" w:firstRow="0" w:lastRow="0" w:firstColumn="1" w:lastColumn="0" w:oddVBand="0" w:evenVBand="0" w:oddHBand="0" w:evenHBand="0" w:firstRowFirstColumn="0" w:firstRowLastColumn="0" w:lastRowFirstColumn="0" w:lastRowLastColumn="0"/>
            <w:tcW w:w="4287" w:type="dxa"/>
            <w:tcBorders>
              <w:top w:val="single" w:sz="2" w:space="0" w:color="8EAADB" w:themeColor="accent5" w:themeTint="99"/>
              <w:bottom w:val="nil"/>
            </w:tcBorders>
            <w:vAlign w:val="center"/>
          </w:tcPr>
          <w:p w14:paraId="7D39A864" w14:textId="77777777" w:rsidR="00720F68" w:rsidRPr="00B84B0C" w:rsidRDefault="00720F68" w:rsidP="00720F68">
            <w:pPr>
              <w:pStyle w:val="08-Tabelageral"/>
              <w:jc w:val="left"/>
              <w:rPr>
                <w:rFonts w:cs="Arial"/>
                <w:szCs w:val="14"/>
              </w:rPr>
            </w:pPr>
            <w:r w:rsidRPr="00B84B0C">
              <w:rPr>
                <w:rFonts w:cs="Arial"/>
                <w:szCs w:val="14"/>
              </w:rPr>
              <w:t>CURRENT ASSETS</w:t>
            </w:r>
          </w:p>
        </w:tc>
        <w:tc>
          <w:tcPr>
            <w:tcW w:w="567" w:type="dxa"/>
            <w:tcBorders>
              <w:top w:val="single" w:sz="2" w:space="0" w:color="8EAADB" w:themeColor="accent5" w:themeTint="99"/>
              <w:bottom w:val="nil"/>
            </w:tcBorders>
            <w:vAlign w:val="center"/>
          </w:tcPr>
          <w:p w14:paraId="27FE0522"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single" w:sz="2" w:space="0" w:color="8EAADB" w:themeColor="accent5" w:themeTint="99"/>
              <w:bottom w:val="nil"/>
            </w:tcBorders>
            <w:vAlign w:val="center"/>
          </w:tcPr>
          <w:p w14:paraId="5717A61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2,488,779</w:t>
            </w:r>
          </w:p>
        </w:tc>
        <w:tc>
          <w:tcPr>
            <w:tcW w:w="1134" w:type="dxa"/>
            <w:tcBorders>
              <w:top w:val="single" w:sz="2" w:space="0" w:color="8EAADB" w:themeColor="accent5" w:themeTint="99"/>
              <w:bottom w:val="nil"/>
            </w:tcBorders>
            <w:vAlign w:val="center"/>
          </w:tcPr>
          <w:p w14:paraId="414CB2A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szCs w:val="14"/>
              </w:rPr>
              <w:t>6,257,083</w:t>
            </w:r>
          </w:p>
        </w:tc>
        <w:tc>
          <w:tcPr>
            <w:tcW w:w="283" w:type="dxa"/>
            <w:tcBorders>
              <w:top w:val="single" w:sz="2" w:space="0" w:color="8EAADB" w:themeColor="accent5" w:themeTint="99"/>
              <w:bottom w:val="nil"/>
            </w:tcBorders>
            <w:vAlign w:val="center"/>
          </w:tcPr>
          <w:p w14:paraId="366E7DC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063" w:type="dxa"/>
            <w:tcBorders>
              <w:top w:val="single" w:sz="2" w:space="0" w:color="8EAADB" w:themeColor="accent5" w:themeTint="99"/>
              <w:bottom w:val="nil"/>
            </w:tcBorders>
            <w:vAlign w:val="center"/>
          </w:tcPr>
          <w:p w14:paraId="47DBC4E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bCs/>
                <w:szCs w:val="14"/>
              </w:rPr>
              <w:t>5,387,167</w:t>
            </w:r>
          </w:p>
        </w:tc>
        <w:tc>
          <w:tcPr>
            <w:tcW w:w="1171" w:type="dxa"/>
            <w:tcBorders>
              <w:top w:val="single" w:sz="2" w:space="0" w:color="8EAADB" w:themeColor="accent5" w:themeTint="99"/>
              <w:bottom w:val="nil"/>
            </w:tcBorders>
            <w:vAlign w:val="center"/>
          </w:tcPr>
          <w:p w14:paraId="551CF58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szCs w:val="14"/>
              </w:rPr>
              <w:t>8,738,259</w:t>
            </w:r>
          </w:p>
        </w:tc>
      </w:tr>
      <w:tr w:rsidR="00720F68" w:rsidRPr="00B84B0C" w14:paraId="0CDA0C75"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64BEAC19" w14:textId="77777777" w:rsidR="00720F68" w:rsidRPr="00B84B0C" w:rsidRDefault="00720F68" w:rsidP="00720F68">
            <w:pPr>
              <w:pStyle w:val="08-Tabelageral"/>
              <w:ind w:left="113"/>
              <w:jc w:val="left"/>
              <w:rPr>
                <w:rFonts w:cs="Arial"/>
                <w:b w:val="0"/>
                <w:szCs w:val="14"/>
              </w:rPr>
            </w:pPr>
            <w:r w:rsidRPr="00B84B0C">
              <w:rPr>
                <w:rFonts w:cs="Arial"/>
                <w:b w:val="0"/>
                <w:szCs w:val="14"/>
              </w:rPr>
              <w:t xml:space="preserve">Cash </w:t>
            </w:r>
            <w:proofErr w:type="spellStart"/>
            <w:r w:rsidRPr="00B84B0C">
              <w:rPr>
                <w:rFonts w:cs="Arial"/>
                <w:b w:val="0"/>
                <w:szCs w:val="14"/>
              </w:rPr>
              <w:t>and</w:t>
            </w:r>
            <w:proofErr w:type="spellEnd"/>
            <w:r w:rsidRPr="00B84B0C">
              <w:rPr>
                <w:rFonts w:cs="Arial"/>
                <w:b w:val="0"/>
                <w:szCs w:val="14"/>
              </w:rPr>
              <w:t xml:space="preserve"> cash </w:t>
            </w:r>
            <w:proofErr w:type="spellStart"/>
            <w:r w:rsidRPr="00B84B0C">
              <w:rPr>
                <w:rFonts w:cs="Arial"/>
                <w:b w:val="0"/>
                <w:szCs w:val="14"/>
              </w:rPr>
              <w:t>equivalents</w:t>
            </w:r>
            <w:proofErr w:type="spellEnd"/>
          </w:p>
        </w:tc>
        <w:tc>
          <w:tcPr>
            <w:tcW w:w="567" w:type="dxa"/>
            <w:tcBorders>
              <w:top w:val="nil"/>
              <w:bottom w:val="nil"/>
            </w:tcBorders>
            <w:vAlign w:val="center"/>
          </w:tcPr>
          <w:p w14:paraId="01DD3944"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[07]</w:t>
            </w:r>
          </w:p>
        </w:tc>
        <w:tc>
          <w:tcPr>
            <w:tcW w:w="1134" w:type="dxa"/>
            <w:tcBorders>
              <w:top w:val="nil"/>
              <w:bottom w:val="nil"/>
            </w:tcBorders>
            <w:vAlign w:val="center"/>
          </w:tcPr>
          <w:p w14:paraId="1EEA94A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2,402,707</w:t>
            </w:r>
          </w:p>
        </w:tc>
        <w:tc>
          <w:tcPr>
            <w:tcW w:w="1134" w:type="dxa"/>
            <w:tcBorders>
              <w:top w:val="nil"/>
              <w:bottom w:val="nil"/>
            </w:tcBorders>
            <w:vAlign w:val="center"/>
          </w:tcPr>
          <w:p w14:paraId="2856D32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4,231,195</w:t>
            </w:r>
          </w:p>
        </w:tc>
        <w:tc>
          <w:tcPr>
            <w:tcW w:w="283" w:type="dxa"/>
            <w:tcBorders>
              <w:top w:val="nil"/>
              <w:bottom w:val="nil"/>
            </w:tcBorders>
            <w:vAlign w:val="center"/>
          </w:tcPr>
          <w:p w14:paraId="25EF0D8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5EE7D5A1"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4,110,033</w:t>
            </w:r>
          </w:p>
        </w:tc>
        <w:tc>
          <w:tcPr>
            <w:tcW w:w="1171" w:type="dxa"/>
            <w:tcBorders>
              <w:top w:val="nil"/>
              <w:bottom w:val="nil"/>
            </w:tcBorders>
            <w:vAlign w:val="center"/>
          </w:tcPr>
          <w:p w14:paraId="7EFB618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7,381,292</w:t>
            </w:r>
          </w:p>
        </w:tc>
      </w:tr>
      <w:tr w:rsidR="00720F68" w:rsidRPr="00B84B0C" w14:paraId="01EFECA7"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241C9AD4" w14:textId="77777777" w:rsidR="00720F68" w:rsidRPr="00B84B0C" w:rsidRDefault="00720F68" w:rsidP="00720F68">
            <w:pPr>
              <w:pStyle w:val="08-Tabelageral"/>
              <w:ind w:left="113"/>
              <w:jc w:val="left"/>
              <w:rPr>
                <w:rFonts w:cs="Arial"/>
                <w:b w:val="0"/>
                <w:szCs w:val="14"/>
                <w:lang w:val="en-US"/>
              </w:rPr>
            </w:pPr>
            <w:r w:rsidRPr="00B84B0C">
              <w:rPr>
                <w:rFonts w:cs="Arial"/>
                <w:b w:val="0"/>
                <w:szCs w:val="14"/>
                <w:lang w:val="en-US"/>
              </w:rPr>
              <w:t>Financial assets measured at amortized cost</w:t>
            </w:r>
          </w:p>
        </w:tc>
        <w:tc>
          <w:tcPr>
            <w:tcW w:w="567" w:type="dxa"/>
            <w:tcBorders>
              <w:top w:val="nil"/>
              <w:bottom w:val="nil"/>
            </w:tcBorders>
            <w:vAlign w:val="center"/>
          </w:tcPr>
          <w:p w14:paraId="786C84F0"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[08]</w:t>
            </w:r>
          </w:p>
        </w:tc>
        <w:tc>
          <w:tcPr>
            <w:tcW w:w="1134" w:type="dxa"/>
            <w:tcBorders>
              <w:top w:val="nil"/>
              <w:bottom w:val="nil"/>
            </w:tcBorders>
            <w:vAlign w:val="center"/>
          </w:tcPr>
          <w:p w14:paraId="7634E7CA"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134" w:type="dxa"/>
            <w:tcBorders>
              <w:top w:val="nil"/>
              <w:bottom w:val="nil"/>
            </w:tcBorders>
            <w:vAlign w:val="center"/>
          </w:tcPr>
          <w:p w14:paraId="66AD334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w:t>
            </w:r>
          </w:p>
        </w:tc>
        <w:tc>
          <w:tcPr>
            <w:tcW w:w="283" w:type="dxa"/>
            <w:tcBorders>
              <w:top w:val="nil"/>
              <w:bottom w:val="nil"/>
            </w:tcBorders>
            <w:vAlign w:val="center"/>
          </w:tcPr>
          <w:p w14:paraId="1D953796"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00823496"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435,939</w:t>
            </w:r>
          </w:p>
        </w:tc>
        <w:tc>
          <w:tcPr>
            <w:tcW w:w="1171" w:type="dxa"/>
            <w:tcBorders>
              <w:top w:val="nil"/>
              <w:bottom w:val="nil"/>
            </w:tcBorders>
            <w:vAlign w:val="center"/>
          </w:tcPr>
          <w:p w14:paraId="1E280FB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286,301</w:t>
            </w:r>
          </w:p>
        </w:tc>
      </w:tr>
      <w:tr w:rsidR="00720F68" w:rsidRPr="00B84B0C" w14:paraId="776234D6"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6C56635F" w14:textId="77777777" w:rsidR="00720F68" w:rsidRPr="00B84B0C" w:rsidRDefault="00720F68" w:rsidP="00720F68">
            <w:pPr>
              <w:pStyle w:val="08-Tabelageral"/>
              <w:ind w:left="113"/>
              <w:jc w:val="left"/>
              <w:rPr>
                <w:rFonts w:cs="Arial"/>
                <w:b w:val="0"/>
                <w:szCs w:val="14"/>
                <w:lang w:val="en-US"/>
              </w:rPr>
            </w:pPr>
            <w:r w:rsidRPr="00B84B0C">
              <w:rPr>
                <w:rFonts w:cs="Arial"/>
                <w:b w:val="0"/>
                <w:szCs w:val="14"/>
                <w:lang w:val="en-US"/>
              </w:rPr>
              <w:t>Dividends/interest on equity receivable</w:t>
            </w:r>
          </w:p>
        </w:tc>
        <w:tc>
          <w:tcPr>
            <w:tcW w:w="567" w:type="dxa"/>
            <w:tcBorders>
              <w:top w:val="nil"/>
              <w:bottom w:val="nil"/>
            </w:tcBorders>
            <w:vAlign w:val="center"/>
          </w:tcPr>
          <w:p w14:paraId="492F2B83"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[11]</w:t>
            </w:r>
          </w:p>
        </w:tc>
        <w:tc>
          <w:tcPr>
            <w:tcW w:w="1134" w:type="dxa"/>
            <w:tcBorders>
              <w:top w:val="nil"/>
              <w:bottom w:val="nil"/>
            </w:tcBorders>
            <w:vAlign w:val="center"/>
          </w:tcPr>
          <w:p w14:paraId="31A51A6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134" w:type="dxa"/>
            <w:tcBorders>
              <w:top w:val="nil"/>
              <w:bottom w:val="nil"/>
            </w:tcBorders>
            <w:vAlign w:val="center"/>
          </w:tcPr>
          <w:p w14:paraId="25F3BFA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1,961,491</w:t>
            </w:r>
          </w:p>
        </w:tc>
        <w:tc>
          <w:tcPr>
            <w:tcW w:w="283" w:type="dxa"/>
            <w:tcBorders>
              <w:top w:val="nil"/>
              <w:bottom w:val="nil"/>
            </w:tcBorders>
            <w:vAlign w:val="center"/>
          </w:tcPr>
          <w:p w14:paraId="130B833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3BB6AFC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171" w:type="dxa"/>
            <w:tcBorders>
              <w:top w:val="nil"/>
              <w:bottom w:val="nil"/>
            </w:tcBorders>
            <w:vAlign w:val="center"/>
          </w:tcPr>
          <w:p w14:paraId="6A81248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w:t>
            </w:r>
          </w:p>
        </w:tc>
      </w:tr>
      <w:tr w:rsidR="00720F68" w:rsidRPr="00B84B0C" w14:paraId="4AF19763"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0D91FCFE" w14:textId="77777777" w:rsidR="00720F68" w:rsidRPr="00B84B0C" w:rsidRDefault="00720F68" w:rsidP="00720F68">
            <w:pPr>
              <w:pStyle w:val="08-Tabelageral"/>
              <w:ind w:left="113"/>
              <w:jc w:val="left"/>
              <w:rPr>
                <w:rFonts w:cs="Arial"/>
                <w:b w:val="0"/>
                <w:szCs w:val="14"/>
              </w:rPr>
            </w:pPr>
            <w:proofErr w:type="spellStart"/>
            <w:r w:rsidRPr="00B84B0C">
              <w:rPr>
                <w:rFonts w:cs="Arial"/>
                <w:b w:val="0"/>
                <w:szCs w:val="14"/>
              </w:rPr>
              <w:t>Current</w:t>
            </w:r>
            <w:proofErr w:type="spellEnd"/>
            <w:r w:rsidRPr="00B84B0C">
              <w:rPr>
                <w:rFonts w:cs="Arial"/>
                <w:b w:val="0"/>
                <w:szCs w:val="14"/>
              </w:rPr>
              <w:t xml:space="preserve"> </w:t>
            </w: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assets</w:t>
            </w:r>
            <w:proofErr w:type="spellEnd"/>
          </w:p>
        </w:tc>
        <w:tc>
          <w:tcPr>
            <w:tcW w:w="567" w:type="dxa"/>
            <w:tcBorders>
              <w:top w:val="nil"/>
              <w:bottom w:val="nil"/>
            </w:tcBorders>
            <w:vAlign w:val="center"/>
          </w:tcPr>
          <w:p w14:paraId="34A34A81"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[12]</w:t>
            </w:r>
          </w:p>
        </w:tc>
        <w:tc>
          <w:tcPr>
            <w:tcW w:w="1134" w:type="dxa"/>
            <w:tcBorders>
              <w:top w:val="nil"/>
              <w:bottom w:val="nil"/>
            </w:tcBorders>
            <w:vAlign w:val="center"/>
          </w:tcPr>
          <w:p w14:paraId="776E137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74,487</w:t>
            </w:r>
          </w:p>
        </w:tc>
        <w:tc>
          <w:tcPr>
            <w:tcW w:w="1134" w:type="dxa"/>
            <w:tcBorders>
              <w:top w:val="nil"/>
              <w:bottom w:val="nil"/>
            </w:tcBorders>
            <w:vAlign w:val="center"/>
          </w:tcPr>
          <w:p w14:paraId="54EDF64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55,532</w:t>
            </w:r>
          </w:p>
        </w:tc>
        <w:tc>
          <w:tcPr>
            <w:tcW w:w="283" w:type="dxa"/>
            <w:tcBorders>
              <w:top w:val="nil"/>
              <w:bottom w:val="nil"/>
            </w:tcBorders>
            <w:vAlign w:val="center"/>
          </w:tcPr>
          <w:p w14:paraId="480DDC3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56C6A67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171,477</w:t>
            </w:r>
          </w:p>
        </w:tc>
        <w:tc>
          <w:tcPr>
            <w:tcW w:w="1171" w:type="dxa"/>
            <w:tcBorders>
              <w:top w:val="nil"/>
              <w:bottom w:val="nil"/>
            </w:tcBorders>
            <w:vAlign w:val="center"/>
          </w:tcPr>
          <w:p w14:paraId="1DEDE83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71,889</w:t>
            </w:r>
          </w:p>
        </w:tc>
      </w:tr>
      <w:tr w:rsidR="00720F68" w:rsidRPr="00B84B0C" w14:paraId="433FD9AC"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314986E9" w14:textId="77777777" w:rsidR="00720F68" w:rsidRPr="00B84B0C" w:rsidRDefault="00720F68" w:rsidP="00720F68">
            <w:pPr>
              <w:pStyle w:val="08-Tabelageral"/>
              <w:ind w:left="113"/>
              <w:jc w:val="left"/>
              <w:rPr>
                <w:rFonts w:cs="Arial"/>
                <w:b w:val="0"/>
                <w:szCs w:val="14"/>
              </w:rPr>
            </w:pPr>
            <w:proofErr w:type="spellStart"/>
            <w:r w:rsidRPr="00B84B0C">
              <w:rPr>
                <w:rFonts w:cs="Arial"/>
                <w:b w:val="0"/>
                <w:szCs w:val="14"/>
              </w:rPr>
              <w:t>Commissions</w:t>
            </w:r>
            <w:proofErr w:type="spellEnd"/>
            <w:r w:rsidRPr="00B84B0C">
              <w:rPr>
                <w:rFonts w:cs="Arial"/>
                <w:b w:val="0"/>
                <w:szCs w:val="14"/>
              </w:rPr>
              <w:t xml:space="preserve"> </w:t>
            </w:r>
            <w:proofErr w:type="spellStart"/>
            <w:r w:rsidRPr="00B84B0C">
              <w:rPr>
                <w:rFonts w:cs="Arial"/>
                <w:b w:val="0"/>
                <w:szCs w:val="14"/>
              </w:rPr>
              <w:t>receivable</w:t>
            </w:r>
            <w:proofErr w:type="spellEnd"/>
          </w:p>
        </w:tc>
        <w:tc>
          <w:tcPr>
            <w:tcW w:w="567" w:type="dxa"/>
            <w:tcBorders>
              <w:top w:val="nil"/>
              <w:bottom w:val="nil"/>
            </w:tcBorders>
            <w:vAlign w:val="center"/>
          </w:tcPr>
          <w:p w14:paraId="6CC9593B"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w:t>
            </w:r>
          </w:p>
        </w:tc>
        <w:tc>
          <w:tcPr>
            <w:tcW w:w="1134" w:type="dxa"/>
            <w:tcBorders>
              <w:top w:val="nil"/>
              <w:bottom w:val="nil"/>
            </w:tcBorders>
            <w:vAlign w:val="center"/>
          </w:tcPr>
          <w:p w14:paraId="03711C4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134" w:type="dxa"/>
            <w:tcBorders>
              <w:top w:val="nil"/>
              <w:bottom w:val="nil"/>
            </w:tcBorders>
            <w:vAlign w:val="center"/>
          </w:tcPr>
          <w:p w14:paraId="2557972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w:t>
            </w:r>
          </w:p>
        </w:tc>
        <w:tc>
          <w:tcPr>
            <w:tcW w:w="283" w:type="dxa"/>
            <w:tcBorders>
              <w:top w:val="nil"/>
              <w:bottom w:val="nil"/>
            </w:tcBorders>
            <w:vAlign w:val="center"/>
          </w:tcPr>
          <w:p w14:paraId="2C4EA39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5FE5907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662,137</w:t>
            </w:r>
          </w:p>
        </w:tc>
        <w:tc>
          <w:tcPr>
            <w:tcW w:w="1171" w:type="dxa"/>
            <w:tcBorders>
              <w:top w:val="nil"/>
              <w:bottom w:val="nil"/>
            </w:tcBorders>
            <w:vAlign w:val="center"/>
          </w:tcPr>
          <w:p w14:paraId="04E43E8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996,720</w:t>
            </w:r>
          </w:p>
        </w:tc>
      </w:tr>
      <w:tr w:rsidR="00720F68" w:rsidRPr="00B84B0C" w14:paraId="5A66F702"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038E7567" w14:textId="77777777" w:rsidR="00720F68" w:rsidRPr="00B84B0C" w:rsidRDefault="00720F68" w:rsidP="00720F68">
            <w:pPr>
              <w:pStyle w:val="08-Tabelageral"/>
              <w:ind w:left="113"/>
              <w:jc w:val="left"/>
              <w:rPr>
                <w:rFonts w:cs="Arial"/>
                <w:b w:val="0"/>
                <w:szCs w:val="14"/>
              </w:rPr>
            </w:pPr>
            <w:r w:rsidRPr="00B84B0C">
              <w:rPr>
                <w:rFonts w:cs="Arial"/>
                <w:b w:val="0"/>
                <w:szCs w:val="14"/>
              </w:rPr>
              <w:t xml:space="preserve">Other </w:t>
            </w:r>
            <w:proofErr w:type="spellStart"/>
            <w:r w:rsidRPr="00B84B0C">
              <w:rPr>
                <w:rFonts w:cs="Arial"/>
                <w:b w:val="0"/>
                <w:szCs w:val="14"/>
              </w:rPr>
              <w:t>assets</w:t>
            </w:r>
            <w:proofErr w:type="spellEnd"/>
          </w:p>
        </w:tc>
        <w:tc>
          <w:tcPr>
            <w:tcW w:w="567" w:type="dxa"/>
            <w:tcBorders>
              <w:top w:val="nil"/>
              <w:bottom w:val="nil"/>
            </w:tcBorders>
            <w:vAlign w:val="center"/>
          </w:tcPr>
          <w:p w14:paraId="0B3AA2B3"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[14]</w:t>
            </w:r>
          </w:p>
        </w:tc>
        <w:tc>
          <w:tcPr>
            <w:tcW w:w="1134" w:type="dxa"/>
            <w:tcBorders>
              <w:top w:val="nil"/>
              <w:bottom w:val="nil"/>
            </w:tcBorders>
            <w:vAlign w:val="center"/>
          </w:tcPr>
          <w:p w14:paraId="63805BEE"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11,585</w:t>
            </w:r>
          </w:p>
        </w:tc>
        <w:tc>
          <w:tcPr>
            <w:tcW w:w="1134" w:type="dxa"/>
            <w:tcBorders>
              <w:top w:val="nil"/>
              <w:bottom w:val="nil"/>
            </w:tcBorders>
            <w:vAlign w:val="center"/>
          </w:tcPr>
          <w:p w14:paraId="4E53AE6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8,865</w:t>
            </w:r>
          </w:p>
        </w:tc>
        <w:tc>
          <w:tcPr>
            <w:tcW w:w="283" w:type="dxa"/>
            <w:tcBorders>
              <w:top w:val="nil"/>
              <w:bottom w:val="nil"/>
            </w:tcBorders>
            <w:vAlign w:val="center"/>
          </w:tcPr>
          <w:p w14:paraId="7B5753D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6037C9C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7,581</w:t>
            </w:r>
          </w:p>
        </w:tc>
        <w:tc>
          <w:tcPr>
            <w:tcW w:w="1171" w:type="dxa"/>
            <w:tcBorders>
              <w:top w:val="nil"/>
              <w:bottom w:val="nil"/>
            </w:tcBorders>
            <w:vAlign w:val="center"/>
          </w:tcPr>
          <w:p w14:paraId="5743AD9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2,057</w:t>
            </w:r>
          </w:p>
        </w:tc>
      </w:tr>
      <w:tr w:rsidR="00720F68" w:rsidRPr="00B84B0C" w14:paraId="53EA9D58"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3B1EE550" w14:textId="77777777" w:rsidR="00720F68" w:rsidRPr="00B84B0C" w:rsidRDefault="00720F68" w:rsidP="00720F68">
            <w:pPr>
              <w:pStyle w:val="08-Tabelageral"/>
              <w:jc w:val="left"/>
              <w:rPr>
                <w:rFonts w:cs="Arial"/>
                <w:b w:val="0"/>
                <w:szCs w:val="14"/>
              </w:rPr>
            </w:pPr>
          </w:p>
        </w:tc>
        <w:tc>
          <w:tcPr>
            <w:tcW w:w="567" w:type="dxa"/>
            <w:tcBorders>
              <w:top w:val="nil"/>
              <w:bottom w:val="nil"/>
            </w:tcBorders>
            <w:vAlign w:val="center"/>
          </w:tcPr>
          <w:p w14:paraId="2B5002E2"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378B6341"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796B959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nil"/>
              <w:bottom w:val="nil"/>
            </w:tcBorders>
            <w:vAlign w:val="center"/>
          </w:tcPr>
          <w:p w14:paraId="2F55DD8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0C2055A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71" w:type="dxa"/>
            <w:tcBorders>
              <w:top w:val="nil"/>
              <w:bottom w:val="nil"/>
            </w:tcBorders>
            <w:vAlign w:val="center"/>
          </w:tcPr>
          <w:p w14:paraId="4F82470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720F68" w:rsidRPr="00B84B0C" w14:paraId="06736410"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6AA32AB5" w14:textId="77777777" w:rsidR="00720F68" w:rsidRPr="00B84B0C" w:rsidRDefault="00720F68" w:rsidP="00720F68">
            <w:pPr>
              <w:pStyle w:val="08-Tabelageral"/>
              <w:jc w:val="left"/>
              <w:rPr>
                <w:rFonts w:cs="Arial"/>
                <w:szCs w:val="14"/>
              </w:rPr>
            </w:pPr>
            <w:r w:rsidRPr="00B84B0C">
              <w:rPr>
                <w:rFonts w:cs="Arial"/>
                <w:szCs w:val="14"/>
              </w:rPr>
              <w:t>NON-CURRENT ASSETS</w:t>
            </w:r>
          </w:p>
        </w:tc>
        <w:tc>
          <w:tcPr>
            <w:tcW w:w="567" w:type="dxa"/>
            <w:tcBorders>
              <w:top w:val="nil"/>
              <w:bottom w:val="nil"/>
            </w:tcBorders>
            <w:vAlign w:val="center"/>
          </w:tcPr>
          <w:p w14:paraId="10AA579F"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nil"/>
              <w:bottom w:val="nil"/>
            </w:tcBorders>
            <w:vAlign w:val="center"/>
          </w:tcPr>
          <w:p w14:paraId="71F01785"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6,322,519</w:t>
            </w:r>
          </w:p>
        </w:tc>
        <w:tc>
          <w:tcPr>
            <w:tcW w:w="1134" w:type="dxa"/>
            <w:tcBorders>
              <w:top w:val="nil"/>
              <w:bottom w:val="nil"/>
            </w:tcBorders>
            <w:vAlign w:val="center"/>
          </w:tcPr>
          <w:p w14:paraId="22C3425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szCs w:val="14"/>
              </w:rPr>
              <w:t>5,491,635</w:t>
            </w:r>
          </w:p>
        </w:tc>
        <w:tc>
          <w:tcPr>
            <w:tcW w:w="283" w:type="dxa"/>
            <w:tcBorders>
              <w:top w:val="nil"/>
              <w:bottom w:val="nil"/>
            </w:tcBorders>
            <w:vAlign w:val="center"/>
          </w:tcPr>
          <w:p w14:paraId="37D4517B"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c>
          <w:tcPr>
            <w:tcW w:w="1063" w:type="dxa"/>
            <w:tcBorders>
              <w:top w:val="nil"/>
              <w:bottom w:val="nil"/>
            </w:tcBorders>
            <w:vAlign w:val="center"/>
          </w:tcPr>
          <w:p w14:paraId="6746A1AA"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bCs/>
                <w:szCs w:val="14"/>
              </w:rPr>
              <w:t>6,271,950</w:t>
            </w:r>
          </w:p>
        </w:tc>
        <w:tc>
          <w:tcPr>
            <w:tcW w:w="1171" w:type="dxa"/>
            <w:tcBorders>
              <w:top w:val="nil"/>
              <w:bottom w:val="nil"/>
            </w:tcBorders>
            <w:vAlign w:val="center"/>
          </w:tcPr>
          <w:p w14:paraId="1BB4E9A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szCs w:val="14"/>
              </w:rPr>
              <w:t>6,188,288</w:t>
            </w:r>
          </w:p>
        </w:tc>
      </w:tr>
      <w:tr w:rsidR="00720F68" w:rsidRPr="00B84B0C" w14:paraId="545ACE2B"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13D2717D" w14:textId="77777777" w:rsidR="00720F68" w:rsidRPr="00B84B0C" w:rsidRDefault="00720F68" w:rsidP="00720F68">
            <w:pPr>
              <w:pStyle w:val="08-Tabelageral"/>
              <w:ind w:left="113"/>
              <w:jc w:val="left"/>
              <w:rPr>
                <w:rFonts w:cs="Arial"/>
                <w:b w:val="0"/>
                <w:szCs w:val="14"/>
                <w:lang w:val="en-US"/>
              </w:rPr>
            </w:pPr>
            <w:r w:rsidRPr="00B84B0C">
              <w:rPr>
                <w:rFonts w:cs="Arial"/>
                <w:b w:val="0"/>
                <w:szCs w:val="14"/>
                <w:lang w:val="en-US"/>
              </w:rPr>
              <w:t>Financial assets at fair value through profit or loss</w:t>
            </w:r>
          </w:p>
        </w:tc>
        <w:tc>
          <w:tcPr>
            <w:tcW w:w="567" w:type="dxa"/>
            <w:tcBorders>
              <w:top w:val="nil"/>
              <w:bottom w:val="nil"/>
            </w:tcBorders>
            <w:vAlign w:val="center"/>
          </w:tcPr>
          <w:p w14:paraId="0B587A51"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[08]</w:t>
            </w:r>
          </w:p>
        </w:tc>
        <w:tc>
          <w:tcPr>
            <w:tcW w:w="1134" w:type="dxa"/>
            <w:tcBorders>
              <w:top w:val="nil"/>
              <w:bottom w:val="nil"/>
            </w:tcBorders>
            <w:vAlign w:val="center"/>
          </w:tcPr>
          <w:p w14:paraId="5C5927DA"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3,582</w:t>
            </w:r>
          </w:p>
        </w:tc>
        <w:tc>
          <w:tcPr>
            <w:tcW w:w="1134" w:type="dxa"/>
            <w:tcBorders>
              <w:top w:val="nil"/>
              <w:bottom w:val="nil"/>
            </w:tcBorders>
            <w:vAlign w:val="center"/>
          </w:tcPr>
          <w:p w14:paraId="635AB96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3,413</w:t>
            </w:r>
          </w:p>
        </w:tc>
        <w:tc>
          <w:tcPr>
            <w:tcW w:w="283" w:type="dxa"/>
            <w:tcBorders>
              <w:top w:val="nil"/>
              <w:bottom w:val="nil"/>
            </w:tcBorders>
            <w:vAlign w:val="center"/>
          </w:tcPr>
          <w:p w14:paraId="2A876AC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28181D46"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462,086</w:t>
            </w:r>
          </w:p>
        </w:tc>
        <w:tc>
          <w:tcPr>
            <w:tcW w:w="1171" w:type="dxa"/>
            <w:tcBorders>
              <w:top w:val="nil"/>
              <w:bottom w:val="nil"/>
            </w:tcBorders>
            <w:vAlign w:val="center"/>
          </w:tcPr>
          <w:p w14:paraId="4027DD1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460,147</w:t>
            </w:r>
          </w:p>
        </w:tc>
      </w:tr>
      <w:tr w:rsidR="00720F68" w:rsidRPr="00B84B0C" w14:paraId="00674267"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3AA434A4" w14:textId="77777777" w:rsidR="00720F68" w:rsidRPr="00B84B0C" w:rsidRDefault="00720F68" w:rsidP="00720F68">
            <w:pPr>
              <w:pStyle w:val="08-Tabelageral"/>
              <w:ind w:left="113"/>
              <w:jc w:val="left"/>
              <w:rPr>
                <w:rFonts w:cs="Arial"/>
                <w:b w:val="0"/>
                <w:szCs w:val="14"/>
                <w:lang w:val="en-US"/>
              </w:rPr>
            </w:pPr>
            <w:r w:rsidRPr="00B84B0C">
              <w:rPr>
                <w:rFonts w:cs="Arial"/>
                <w:b w:val="0"/>
                <w:szCs w:val="14"/>
                <w:lang w:val="en-US"/>
              </w:rPr>
              <w:t xml:space="preserve">Financial assets measured at </w:t>
            </w:r>
            <w:proofErr w:type="spellStart"/>
            <w:r w:rsidRPr="00B84B0C">
              <w:rPr>
                <w:rFonts w:cs="Arial"/>
                <w:b w:val="0"/>
                <w:szCs w:val="14"/>
                <w:lang w:val="en-US"/>
              </w:rPr>
              <w:t>amortised</w:t>
            </w:r>
            <w:proofErr w:type="spellEnd"/>
            <w:r w:rsidRPr="00B84B0C">
              <w:rPr>
                <w:rFonts w:cs="Arial"/>
                <w:b w:val="0"/>
                <w:szCs w:val="14"/>
                <w:lang w:val="en-US"/>
              </w:rPr>
              <w:t xml:space="preserve"> cost</w:t>
            </w:r>
          </w:p>
        </w:tc>
        <w:tc>
          <w:tcPr>
            <w:tcW w:w="567" w:type="dxa"/>
            <w:tcBorders>
              <w:top w:val="nil"/>
              <w:bottom w:val="nil"/>
            </w:tcBorders>
            <w:vAlign w:val="center"/>
          </w:tcPr>
          <w:p w14:paraId="48845C6E"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[08]</w:t>
            </w:r>
          </w:p>
        </w:tc>
        <w:tc>
          <w:tcPr>
            <w:tcW w:w="1134" w:type="dxa"/>
            <w:tcBorders>
              <w:top w:val="nil"/>
              <w:bottom w:val="nil"/>
            </w:tcBorders>
            <w:vAlign w:val="center"/>
          </w:tcPr>
          <w:p w14:paraId="18DAD48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134" w:type="dxa"/>
            <w:tcBorders>
              <w:top w:val="nil"/>
              <w:bottom w:val="nil"/>
            </w:tcBorders>
            <w:vAlign w:val="center"/>
          </w:tcPr>
          <w:p w14:paraId="1E1846D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w:t>
            </w:r>
          </w:p>
        </w:tc>
        <w:tc>
          <w:tcPr>
            <w:tcW w:w="283" w:type="dxa"/>
            <w:tcBorders>
              <w:top w:val="nil"/>
              <w:bottom w:val="nil"/>
            </w:tcBorders>
            <w:vAlign w:val="center"/>
          </w:tcPr>
          <w:p w14:paraId="2461788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4A587F4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294,791</w:t>
            </w:r>
          </w:p>
        </w:tc>
        <w:tc>
          <w:tcPr>
            <w:tcW w:w="1171" w:type="dxa"/>
            <w:tcBorders>
              <w:top w:val="nil"/>
              <w:bottom w:val="nil"/>
            </w:tcBorders>
            <w:vAlign w:val="center"/>
          </w:tcPr>
          <w:p w14:paraId="4018544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238,305</w:t>
            </w:r>
          </w:p>
        </w:tc>
      </w:tr>
      <w:tr w:rsidR="00720F68" w:rsidRPr="00B84B0C" w14:paraId="14A422F8"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146B2BE2" w14:textId="77777777" w:rsidR="00720F68" w:rsidRPr="00B84B0C" w:rsidRDefault="00720F68" w:rsidP="00720F68">
            <w:pPr>
              <w:pStyle w:val="08-Tabelageral"/>
              <w:ind w:left="113"/>
              <w:jc w:val="left"/>
              <w:rPr>
                <w:rFonts w:cs="Arial"/>
                <w:b w:val="0"/>
                <w:szCs w:val="14"/>
              </w:rPr>
            </w:pPr>
            <w:proofErr w:type="spellStart"/>
            <w:r w:rsidRPr="00B84B0C">
              <w:rPr>
                <w:rFonts w:cs="Arial"/>
                <w:b w:val="0"/>
                <w:szCs w:val="14"/>
              </w:rPr>
              <w:t>Investments</w:t>
            </w:r>
            <w:proofErr w:type="spellEnd"/>
            <w:r w:rsidRPr="00B84B0C">
              <w:rPr>
                <w:rFonts w:cs="Arial"/>
                <w:b w:val="0"/>
                <w:szCs w:val="14"/>
              </w:rPr>
              <w:t xml:space="preserve"> in </w:t>
            </w:r>
            <w:proofErr w:type="spellStart"/>
            <w:r w:rsidRPr="00B84B0C">
              <w:rPr>
                <w:rFonts w:cs="Arial"/>
                <w:b w:val="0"/>
                <w:szCs w:val="14"/>
              </w:rPr>
              <w:t>associates</w:t>
            </w:r>
            <w:proofErr w:type="spellEnd"/>
          </w:p>
        </w:tc>
        <w:tc>
          <w:tcPr>
            <w:tcW w:w="567" w:type="dxa"/>
            <w:tcBorders>
              <w:top w:val="nil"/>
              <w:bottom w:val="nil"/>
            </w:tcBorders>
            <w:vAlign w:val="center"/>
          </w:tcPr>
          <w:p w14:paraId="6E7F34FF"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[09]</w:t>
            </w:r>
          </w:p>
        </w:tc>
        <w:tc>
          <w:tcPr>
            <w:tcW w:w="1134" w:type="dxa"/>
            <w:tcBorders>
              <w:top w:val="nil"/>
              <w:bottom w:val="nil"/>
            </w:tcBorders>
            <w:vAlign w:val="center"/>
          </w:tcPr>
          <w:p w14:paraId="2121162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6,311,452</w:t>
            </w:r>
          </w:p>
        </w:tc>
        <w:tc>
          <w:tcPr>
            <w:tcW w:w="1134" w:type="dxa"/>
            <w:tcBorders>
              <w:top w:val="nil"/>
              <w:bottom w:val="nil"/>
            </w:tcBorders>
            <w:vAlign w:val="center"/>
          </w:tcPr>
          <w:p w14:paraId="0D5C8BD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5,478,303</w:t>
            </w:r>
          </w:p>
        </w:tc>
        <w:tc>
          <w:tcPr>
            <w:tcW w:w="283" w:type="dxa"/>
            <w:tcBorders>
              <w:top w:val="nil"/>
              <w:bottom w:val="nil"/>
            </w:tcBorders>
            <w:vAlign w:val="center"/>
          </w:tcPr>
          <w:p w14:paraId="326DD2F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3A42D3A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4,778,840</w:t>
            </w:r>
          </w:p>
        </w:tc>
        <w:tc>
          <w:tcPr>
            <w:tcW w:w="1171" w:type="dxa"/>
            <w:tcBorders>
              <w:top w:val="nil"/>
              <w:bottom w:val="nil"/>
            </w:tcBorders>
            <w:vAlign w:val="center"/>
          </w:tcPr>
          <w:p w14:paraId="30BE6E8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4,918,370</w:t>
            </w:r>
          </w:p>
        </w:tc>
      </w:tr>
      <w:tr w:rsidR="00720F68" w:rsidRPr="00B84B0C" w14:paraId="252EF7C0"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77DE2E5A" w14:textId="77777777" w:rsidR="00720F68" w:rsidRPr="00B84B0C" w:rsidRDefault="00720F68" w:rsidP="00720F68">
            <w:pPr>
              <w:pStyle w:val="08-Tabelageral"/>
              <w:ind w:left="113"/>
              <w:jc w:val="left"/>
              <w:rPr>
                <w:rFonts w:cs="Arial"/>
                <w:b w:val="0"/>
                <w:szCs w:val="14"/>
              </w:rPr>
            </w:pPr>
            <w:proofErr w:type="spellStart"/>
            <w:r w:rsidRPr="00B84B0C">
              <w:rPr>
                <w:rFonts w:cs="Arial"/>
                <w:b w:val="0"/>
                <w:szCs w:val="14"/>
              </w:rPr>
              <w:t>Intangible</w:t>
            </w:r>
            <w:proofErr w:type="spellEnd"/>
          </w:p>
        </w:tc>
        <w:tc>
          <w:tcPr>
            <w:tcW w:w="567" w:type="dxa"/>
            <w:tcBorders>
              <w:top w:val="nil"/>
              <w:bottom w:val="nil"/>
            </w:tcBorders>
            <w:vAlign w:val="center"/>
          </w:tcPr>
          <w:p w14:paraId="21A51D9F"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[10]</w:t>
            </w:r>
          </w:p>
        </w:tc>
        <w:tc>
          <w:tcPr>
            <w:tcW w:w="1134" w:type="dxa"/>
            <w:tcBorders>
              <w:top w:val="nil"/>
              <w:bottom w:val="nil"/>
            </w:tcBorders>
            <w:vAlign w:val="center"/>
          </w:tcPr>
          <w:p w14:paraId="566E1807"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5,726</w:t>
            </w:r>
          </w:p>
        </w:tc>
        <w:tc>
          <w:tcPr>
            <w:tcW w:w="1134" w:type="dxa"/>
            <w:tcBorders>
              <w:top w:val="nil"/>
              <w:bottom w:val="nil"/>
            </w:tcBorders>
            <w:vAlign w:val="center"/>
          </w:tcPr>
          <w:p w14:paraId="589CB86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5,901</w:t>
            </w:r>
          </w:p>
        </w:tc>
        <w:tc>
          <w:tcPr>
            <w:tcW w:w="283" w:type="dxa"/>
            <w:tcBorders>
              <w:top w:val="nil"/>
              <w:bottom w:val="nil"/>
            </w:tcBorders>
            <w:vAlign w:val="center"/>
          </w:tcPr>
          <w:p w14:paraId="0F5A5A67"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184AC9E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5,726</w:t>
            </w:r>
          </w:p>
        </w:tc>
        <w:tc>
          <w:tcPr>
            <w:tcW w:w="1171" w:type="dxa"/>
            <w:tcBorders>
              <w:top w:val="nil"/>
              <w:bottom w:val="nil"/>
            </w:tcBorders>
            <w:vAlign w:val="center"/>
          </w:tcPr>
          <w:p w14:paraId="082F99E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5,901</w:t>
            </w:r>
          </w:p>
        </w:tc>
      </w:tr>
      <w:tr w:rsidR="00720F68" w:rsidRPr="00B84B0C" w14:paraId="73E5DFDB"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15E33E45" w14:textId="77777777" w:rsidR="00720F68" w:rsidRPr="00B84B0C" w:rsidRDefault="00720F68" w:rsidP="00720F68">
            <w:pPr>
              <w:pStyle w:val="08-Tabelageral"/>
              <w:ind w:left="113"/>
              <w:jc w:val="left"/>
              <w:rPr>
                <w:rFonts w:cs="Arial"/>
                <w:b w:val="0"/>
                <w:szCs w:val="14"/>
              </w:rPr>
            </w:pPr>
            <w:proofErr w:type="spellStart"/>
            <w:r w:rsidRPr="00B84B0C">
              <w:rPr>
                <w:rFonts w:cs="Arial"/>
                <w:b w:val="0"/>
                <w:szCs w:val="14"/>
              </w:rPr>
              <w:t>Deferred</w:t>
            </w:r>
            <w:proofErr w:type="spellEnd"/>
            <w:r w:rsidRPr="00B84B0C">
              <w:rPr>
                <w:rFonts w:cs="Arial"/>
                <w:b w:val="0"/>
                <w:szCs w:val="14"/>
              </w:rPr>
              <w:t xml:space="preserve"> </w:t>
            </w: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assets</w:t>
            </w:r>
            <w:proofErr w:type="spellEnd"/>
          </w:p>
        </w:tc>
        <w:tc>
          <w:tcPr>
            <w:tcW w:w="567" w:type="dxa"/>
            <w:tcBorders>
              <w:top w:val="nil"/>
              <w:bottom w:val="nil"/>
            </w:tcBorders>
            <w:vAlign w:val="center"/>
          </w:tcPr>
          <w:p w14:paraId="49D8956A"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w:t>
            </w:r>
          </w:p>
        </w:tc>
        <w:tc>
          <w:tcPr>
            <w:tcW w:w="1134" w:type="dxa"/>
            <w:tcBorders>
              <w:top w:val="nil"/>
              <w:bottom w:val="nil"/>
            </w:tcBorders>
            <w:vAlign w:val="center"/>
          </w:tcPr>
          <w:p w14:paraId="14E8CDC4"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1,716</w:t>
            </w:r>
          </w:p>
        </w:tc>
        <w:tc>
          <w:tcPr>
            <w:tcW w:w="1134" w:type="dxa"/>
            <w:tcBorders>
              <w:top w:val="nil"/>
              <w:bottom w:val="nil"/>
            </w:tcBorders>
            <w:vAlign w:val="center"/>
          </w:tcPr>
          <w:p w14:paraId="422A8BE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3,974</w:t>
            </w:r>
          </w:p>
        </w:tc>
        <w:tc>
          <w:tcPr>
            <w:tcW w:w="283" w:type="dxa"/>
            <w:tcBorders>
              <w:top w:val="nil"/>
              <w:bottom w:val="nil"/>
            </w:tcBorders>
            <w:vAlign w:val="center"/>
          </w:tcPr>
          <w:p w14:paraId="7546037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1A00EC2A"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16,193</w:t>
            </w:r>
          </w:p>
        </w:tc>
        <w:tc>
          <w:tcPr>
            <w:tcW w:w="1171" w:type="dxa"/>
            <w:tcBorders>
              <w:top w:val="nil"/>
              <w:bottom w:val="nil"/>
            </w:tcBorders>
            <w:vAlign w:val="center"/>
          </w:tcPr>
          <w:p w14:paraId="3070D69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18,054</w:t>
            </w:r>
          </w:p>
        </w:tc>
      </w:tr>
      <w:tr w:rsidR="00720F68" w:rsidRPr="00B84B0C" w14:paraId="4CE353AF"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54C9D5CF" w14:textId="77777777" w:rsidR="00720F68" w:rsidRPr="00B84B0C" w:rsidRDefault="00720F68" w:rsidP="00720F68">
            <w:pPr>
              <w:pStyle w:val="08-Tabelageral"/>
              <w:ind w:left="113"/>
              <w:jc w:val="left"/>
              <w:rPr>
                <w:rFonts w:cs="Arial"/>
                <w:b w:val="0"/>
                <w:szCs w:val="14"/>
              </w:rPr>
            </w:pPr>
            <w:proofErr w:type="spellStart"/>
            <w:r w:rsidRPr="00B84B0C">
              <w:rPr>
                <w:rFonts w:cs="Arial"/>
                <w:b w:val="0"/>
                <w:szCs w:val="14"/>
              </w:rPr>
              <w:t>Commissions</w:t>
            </w:r>
            <w:proofErr w:type="spellEnd"/>
            <w:r w:rsidRPr="00B84B0C">
              <w:rPr>
                <w:rFonts w:cs="Arial"/>
                <w:b w:val="0"/>
                <w:szCs w:val="14"/>
              </w:rPr>
              <w:t xml:space="preserve"> </w:t>
            </w:r>
            <w:proofErr w:type="spellStart"/>
            <w:r w:rsidRPr="00B84B0C">
              <w:rPr>
                <w:rFonts w:cs="Arial"/>
                <w:b w:val="0"/>
                <w:szCs w:val="14"/>
              </w:rPr>
              <w:t>receivable</w:t>
            </w:r>
            <w:proofErr w:type="spellEnd"/>
          </w:p>
        </w:tc>
        <w:tc>
          <w:tcPr>
            <w:tcW w:w="567" w:type="dxa"/>
            <w:tcBorders>
              <w:top w:val="nil"/>
              <w:bottom w:val="nil"/>
            </w:tcBorders>
            <w:vAlign w:val="center"/>
          </w:tcPr>
          <w:p w14:paraId="5E1C4CC6"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[13]</w:t>
            </w:r>
          </w:p>
        </w:tc>
        <w:tc>
          <w:tcPr>
            <w:tcW w:w="1134" w:type="dxa"/>
            <w:tcBorders>
              <w:top w:val="nil"/>
              <w:bottom w:val="nil"/>
            </w:tcBorders>
            <w:vAlign w:val="center"/>
          </w:tcPr>
          <w:p w14:paraId="7EBA3B51"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134" w:type="dxa"/>
            <w:tcBorders>
              <w:top w:val="nil"/>
              <w:bottom w:val="nil"/>
            </w:tcBorders>
            <w:vAlign w:val="center"/>
          </w:tcPr>
          <w:p w14:paraId="4982882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w:t>
            </w:r>
          </w:p>
        </w:tc>
        <w:tc>
          <w:tcPr>
            <w:tcW w:w="283" w:type="dxa"/>
            <w:tcBorders>
              <w:top w:val="nil"/>
              <w:bottom w:val="nil"/>
            </w:tcBorders>
            <w:vAlign w:val="center"/>
          </w:tcPr>
          <w:p w14:paraId="2FAD8E58"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303A8177"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509,265</w:t>
            </w:r>
          </w:p>
        </w:tc>
        <w:tc>
          <w:tcPr>
            <w:tcW w:w="1171" w:type="dxa"/>
            <w:tcBorders>
              <w:top w:val="nil"/>
              <w:bottom w:val="nil"/>
            </w:tcBorders>
            <w:vAlign w:val="center"/>
          </w:tcPr>
          <w:p w14:paraId="4F856E3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343,595</w:t>
            </w:r>
          </w:p>
        </w:tc>
      </w:tr>
      <w:tr w:rsidR="00720F68" w:rsidRPr="00B84B0C" w14:paraId="220C8441"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480E3086" w14:textId="77777777" w:rsidR="00720F68" w:rsidRPr="00B84B0C" w:rsidRDefault="00720F68" w:rsidP="00720F68">
            <w:pPr>
              <w:pStyle w:val="08-Tabelageral"/>
              <w:ind w:left="113"/>
              <w:jc w:val="left"/>
              <w:rPr>
                <w:rFonts w:cs="Arial"/>
                <w:b w:val="0"/>
                <w:szCs w:val="14"/>
              </w:rPr>
            </w:pPr>
            <w:r w:rsidRPr="00B84B0C">
              <w:rPr>
                <w:rFonts w:cs="Arial"/>
                <w:b w:val="0"/>
                <w:szCs w:val="14"/>
              </w:rPr>
              <w:t xml:space="preserve">Other </w:t>
            </w:r>
            <w:proofErr w:type="spellStart"/>
            <w:r w:rsidRPr="00B84B0C">
              <w:rPr>
                <w:rFonts w:cs="Arial"/>
                <w:b w:val="0"/>
                <w:szCs w:val="14"/>
              </w:rPr>
              <w:t>assets</w:t>
            </w:r>
            <w:proofErr w:type="spellEnd"/>
          </w:p>
        </w:tc>
        <w:tc>
          <w:tcPr>
            <w:tcW w:w="567" w:type="dxa"/>
            <w:tcBorders>
              <w:top w:val="nil"/>
              <w:bottom w:val="nil"/>
            </w:tcBorders>
            <w:vAlign w:val="center"/>
          </w:tcPr>
          <w:p w14:paraId="63685740"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[14]</w:t>
            </w:r>
          </w:p>
        </w:tc>
        <w:tc>
          <w:tcPr>
            <w:tcW w:w="1134" w:type="dxa"/>
            <w:tcBorders>
              <w:top w:val="nil"/>
              <w:bottom w:val="nil"/>
            </w:tcBorders>
            <w:vAlign w:val="center"/>
          </w:tcPr>
          <w:p w14:paraId="34E8128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43</w:t>
            </w:r>
          </w:p>
        </w:tc>
        <w:tc>
          <w:tcPr>
            <w:tcW w:w="1134" w:type="dxa"/>
            <w:tcBorders>
              <w:top w:val="nil"/>
              <w:bottom w:val="nil"/>
            </w:tcBorders>
            <w:vAlign w:val="center"/>
          </w:tcPr>
          <w:p w14:paraId="461BD4E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44</w:t>
            </w:r>
          </w:p>
        </w:tc>
        <w:tc>
          <w:tcPr>
            <w:tcW w:w="283" w:type="dxa"/>
            <w:tcBorders>
              <w:top w:val="nil"/>
              <w:bottom w:val="nil"/>
            </w:tcBorders>
            <w:vAlign w:val="center"/>
          </w:tcPr>
          <w:p w14:paraId="34C3988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4EBF617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205,049</w:t>
            </w:r>
          </w:p>
        </w:tc>
        <w:tc>
          <w:tcPr>
            <w:tcW w:w="1171" w:type="dxa"/>
            <w:tcBorders>
              <w:top w:val="nil"/>
              <w:bottom w:val="nil"/>
            </w:tcBorders>
            <w:vAlign w:val="center"/>
          </w:tcPr>
          <w:p w14:paraId="1F0BC83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203,916</w:t>
            </w:r>
          </w:p>
        </w:tc>
      </w:tr>
      <w:tr w:rsidR="00720F68" w:rsidRPr="00B84B0C" w14:paraId="0F6CF639"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553A73C6" w14:textId="77777777" w:rsidR="00720F68" w:rsidRPr="00B84B0C" w:rsidRDefault="00720F68" w:rsidP="00720F68">
            <w:pPr>
              <w:pStyle w:val="08-Tabelageral"/>
              <w:jc w:val="left"/>
              <w:rPr>
                <w:rFonts w:cs="Arial"/>
                <w:b w:val="0"/>
                <w:szCs w:val="14"/>
              </w:rPr>
            </w:pPr>
          </w:p>
        </w:tc>
        <w:tc>
          <w:tcPr>
            <w:tcW w:w="567" w:type="dxa"/>
            <w:tcBorders>
              <w:top w:val="nil"/>
              <w:bottom w:val="nil"/>
            </w:tcBorders>
            <w:vAlign w:val="center"/>
          </w:tcPr>
          <w:p w14:paraId="3E785BAE"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134" w:type="dxa"/>
            <w:tcBorders>
              <w:top w:val="nil"/>
              <w:bottom w:val="nil"/>
            </w:tcBorders>
            <w:vAlign w:val="center"/>
          </w:tcPr>
          <w:p w14:paraId="2A61F98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0BAD94C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283" w:type="dxa"/>
            <w:tcBorders>
              <w:top w:val="nil"/>
              <w:bottom w:val="nil"/>
            </w:tcBorders>
            <w:vAlign w:val="center"/>
          </w:tcPr>
          <w:p w14:paraId="1D31FBC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2195A8F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center"/>
          </w:tcPr>
          <w:p w14:paraId="057FB5C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7CE44564"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622EB043" w14:textId="77777777" w:rsidR="00720F68" w:rsidRPr="00B84B0C" w:rsidRDefault="00720F68" w:rsidP="00720F68">
            <w:pPr>
              <w:pStyle w:val="08-Tabelageral"/>
              <w:jc w:val="left"/>
              <w:rPr>
                <w:rFonts w:cs="Arial"/>
                <w:szCs w:val="14"/>
              </w:rPr>
            </w:pPr>
            <w:r w:rsidRPr="00B84B0C">
              <w:rPr>
                <w:rFonts w:cs="Arial"/>
                <w:szCs w:val="14"/>
              </w:rPr>
              <w:t>TOTAL ASSETS</w:t>
            </w:r>
          </w:p>
        </w:tc>
        <w:tc>
          <w:tcPr>
            <w:tcW w:w="567" w:type="dxa"/>
            <w:tcBorders>
              <w:top w:val="nil"/>
              <w:bottom w:val="nil"/>
            </w:tcBorders>
            <w:vAlign w:val="center"/>
          </w:tcPr>
          <w:p w14:paraId="342CE616"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noProof/>
              </w:rPr>
            </w:pPr>
          </w:p>
        </w:tc>
        <w:tc>
          <w:tcPr>
            <w:tcW w:w="1134" w:type="dxa"/>
            <w:tcBorders>
              <w:top w:val="nil"/>
              <w:bottom w:val="nil"/>
            </w:tcBorders>
            <w:vAlign w:val="center"/>
          </w:tcPr>
          <w:p w14:paraId="3983BB7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8,811,298</w:t>
            </w:r>
          </w:p>
        </w:tc>
        <w:tc>
          <w:tcPr>
            <w:tcW w:w="1134" w:type="dxa"/>
            <w:tcBorders>
              <w:top w:val="nil"/>
              <w:bottom w:val="nil"/>
            </w:tcBorders>
            <w:vAlign w:val="center"/>
          </w:tcPr>
          <w:p w14:paraId="0DBBF6D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szCs w:val="14"/>
              </w:rPr>
              <w:t>11,748,718</w:t>
            </w:r>
          </w:p>
        </w:tc>
        <w:tc>
          <w:tcPr>
            <w:tcW w:w="283" w:type="dxa"/>
            <w:tcBorders>
              <w:top w:val="nil"/>
              <w:bottom w:val="nil"/>
            </w:tcBorders>
            <w:vAlign w:val="center"/>
          </w:tcPr>
          <w:p w14:paraId="7EFA30F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63" w:type="dxa"/>
            <w:tcBorders>
              <w:top w:val="nil"/>
              <w:bottom w:val="nil"/>
            </w:tcBorders>
            <w:vAlign w:val="center"/>
          </w:tcPr>
          <w:p w14:paraId="5F351B7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bCs/>
                <w:szCs w:val="14"/>
              </w:rPr>
              <w:t>11,659,117</w:t>
            </w:r>
          </w:p>
        </w:tc>
        <w:tc>
          <w:tcPr>
            <w:tcW w:w="1171" w:type="dxa"/>
            <w:tcBorders>
              <w:top w:val="nil"/>
              <w:bottom w:val="nil"/>
            </w:tcBorders>
            <w:vAlign w:val="center"/>
          </w:tcPr>
          <w:p w14:paraId="136AA26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szCs w:val="14"/>
              </w:rPr>
              <w:t>14,926,547</w:t>
            </w:r>
          </w:p>
        </w:tc>
      </w:tr>
      <w:tr w:rsidR="00720F68" w:rsidRPr="00B84B0C" w14:paraId="406E71B7"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5C470B95" w14:textId="77777777" w:rsidR="00720F68" w:rsidRPr="00B84B0C" w:rsidRDefault="00720F68" w:rsidP="00720F68">
            <w:pPr>
              <w:pStyle w:val="08-Tabelageral"/>
              <w:jc w:val="left"/>
              <w:rPr>
                <w:rFonts w:cs="Arial"/>
                <w:b w:val="0"/>
                <w:color w:val="FF0000"/>
                <w:szCs w:val="14"/>
              </w:rPr>
            </w:pPr>
          </w:p>
        </w:tc>
        <w:tc>
          <w:tcPr>
            <w:tcW w:w="567" w:type="dxa"/>
            <w:tcBorders>
              <w:top w:val="nil"/>
              <w:bottom w:val="nil"/>
            </w:tcBorders>
            <w:vAlign w:val="center"/>
          </w:tcPr>
          <w:p w14:paraId="2C942F84"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color w:val="FF0000"/>
                <w:szCs w:val="14"/>
              </w:rPr>
            </w:pPr>
          </w:p>
        </w:tc>
        <w:tc>
          <w:tcPr>
            <w:tcW w:w="1134" w:type="dxa"/>
            <w:tcBorders>
              <w:top w:val="nil"/>
              <w:bottom w:val="nil"/>
            </w:tcBorders>
            <w:vAlign w:val="center"/>
          </w:tcPr>
          <w:p w14:paraId="4BEFB35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45C103E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283" w:type="dxa"/>
            <w:tcBorders>
              <w:top w:val="nil"/>
              <w:bottom w:val="nil"/>
            </w:tcBorders>
            <w:vAlign w:val="center"/>
          </w:tcPr>
          <w:p w14:paraId="18BE835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5FC167B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center"/>
          </w:tcPr>
          <w:p w14:paraId="19B4996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1050A1FE"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680D5D22" w14:textId="77777777" w:rsidR="00720F68" w:rsidRPr="00B84B0C" w:rsidRDefault="00720F68" w:rsidP="00720F68">
            <w:pPr>
              <w:pStyle w:val="08-Tabelageral"/>
              <w:jc w:val="left"/>
              <w:rPr>
                <w:rFonts w:cs="Arial"/>
              </w:rPr>
            </w:pPr>
            <w:r w:rsidRPr="00B84B0C">
              <w:rPr>
                <w:rFonts w:cs="Arial"/>
              </w:rPr>
              <w:t>CURRENT LIABILITIES</w:t>
            </w:r>
          </w:p>
        </w:tc>
        <w:tc>
          <w:tcPr>
            <w:tcW w:w="567" w:type="dxa"/>
            <w:tcBorders>
              <w:top w:val="nil"/>
              <w:bottom w:val="nil"/>
            </w:tcBorders>
            <w:vAlign w:val="center"/>
          </w:tcPr>
          <w:p w14:paraId="63BAD184"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nil"/>
              <w:bottom w:val="nil"/>
            </w:tcBorders>
            <w:vAlign w:val="center"/>
          </w:tcPr>
          <w:p w14:paraId="1104B1F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2,714,797</w:t>
            </w:r>
          </w:p>
        </w:tc>
        <w:tc>
          <w:tcPr>
            <w:tcW w:w="1134" w:type="dxa"/>
            <w:tcBorders>
              <w:top w:val="nil"/>
              <w:bottom w:val="nil"/>
            </w:tcBorders>
            <w:vAlign w:val="center"/>
          </w:tcPr>
          <w:p w14:paraId="7C2AF6C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szCs w:val="14"/>
              </w:rPr>
              <w:t>6,499,861</w:t>
            </w:r>
          </w:p>
        </w:tc>
        <w:tc>
          <w:tcPr>
            <w:tcW w:w="283" w:type="dxa"/>
            <w:tcBorders>
              <w:top w:val="nil"/>
              <w:bottom w:val="nil"/>
            </w:tcBorders>
            <w:vAlign w:val="center"/>
          </w:tcPr>
          <w:p w14:paraId="174987F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7AF28CC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bCs/>
                <w:szCs w:val="14"/>
              </w:rPr>
              <w:t>4,026,535</w:t>
            </w:r>
          </w:p>
        </w:tc>
        <w:tc>
          <w:tcPr>
            <w:tcW w:w="1171" w:type="dxa"/>
            <w:tcBorders>
              <w:top w:val="nil"/>
              <w:bottom w:val="nil"/>
            </w:tcBorders>
            <w:vAlign w:val="center"/>
          </w:tcPr>
          <w:p w14:paraId="4610DF3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szCs w:val="14"/>
              </w:rPr>
              <w:t>8,215,728</w:t>
            </w:r>
          </w:p>
        </w:tc>
      </w:tr>
      <w:tr w:rsidR="00720F68" w:rsidRPr="00B84B0C" w14:paraId="32A004D4"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006352A9" w14:textId="77777777" w:rsidR="00720F68" w:rsidRPr="00B84B0C" w:rsidRDefault="00720F68" w:rsidP="00720F68">
            <w:pPr>
              <w:pStyle w:val="08-Tabelageral"/>
              <w:ind w:left="113"/>
              <w:jc w:val="left"/>
              <w:rPr>
                <w:rFonts w:cs="Arial"/>
                <w:b w:val="0"/>
              </w:rPr>
            </w:pPr>
            <w:proofErr w:type="spellStart"/>
            <w:r w:rsidRPr="00B84B0C">
              <w:rPr>
                <w:rFonts w:cs="Arial"/>
                <w:b w:val="0"/>
              </w:rPr>
              <w:t>Statutory</w:t>
            </w:r>
            <w:proofErr w:type="spellEnd"/>
            <w:r w:rsidRPr="00B84B0C">
              <w:rPr>
                <w:rFonts w:cs="Arial"/>
                <w:b w:val="0"/>
              </w:rPr>
              <w:t xml:space="preserve"> </w:t>
            </w:r>
            <w:proofErr w:type="spellStart"/>
            <w:r w:rsidRPr="00B84B0C">
              <w:rPr>
                <w:rFonts w:cs="Arial"/>
                <w:b w:val="0"/>
              </w:rPr>
              <w:t>obligation</w:t>
            </w:r>
            <w:proofErr w:type="spellEnd"/>
          </w:p>
        </w:tc>
        <w:tc>
          <w:tcPr>
            <w:tcW w:w="567" w:type="dxa"/>
            <w:tcBorders>
              <w:top w:val="nil"/>
              <w:bottom w:val="nil"/>
            </w:tcBorders>
            <w:vAlign w:val="center"/>
          </w:tcPr>
          <w:p w14:paraId="7D66D882"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[15]</w:t>
            </w:r>
          </w:p>
        </w:tc>
        <w:tc>
          <w:tcPr>
            <w:tcW w:w="1134" w:type="dxa"/>
            <w:tcBorders>
              <w:top w:val="nil"/>
              <w:bottom w:val="nil"/>
            </w:tcBorders>
            <w:vAlign w:val="center"/>
          </w:tcPr>
          <w:p w14:paraId="6D8CFF7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2,700,475</w:t>
            </w:r>
          </w:p>
        </w:tc>
        <w:tc>
          <w:tcPr>
            <w:tcW w:w="1134" w:type="dxa"/>
            <w:tcBorders>
              <w:top w:val="nil"/>
              <w:bottom w:val="nil"/>
            </w:tcBorders>
            <w:vAlign w:val="center"/>
          </w:tcPr>
          <w:p w14:paraId="55326E3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6,490,643</w:t>
            </w:r>
          </w:p>
        </w:tc>
        <w:tc>
          <w:tcPr>
            <w:tcW w:w="283" w:type="dxa"/>
            <w:tcBorders>
              <w:top w:val="nil"/>
              <w:bottom w:val="nil"/>
            </w:tcBorders>
            <w:vAlign w:val="center"/>
          </w:tcPr>
          <w:p w14:paraId="0ABA63E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2B96A84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2,700,475</w:t>
            </w:r>
          </w:p>
        </w:tc>
        <w:tc>
          <w:tcPr>
            <w:tcW w:w="1171" w:type="dxa"/>
            <w:tcBorders>
              <w:top w:val="nil"/>
              <w:bottom w:val="nil"/>
            </w:tcBorders>
            <w:vAlign w:val="center"/>
          </w:tcPr>
          <w:p w14:paraId="4DC250B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6,490,643</w:t>
            </w:r>
          </w:p>
        </w:tc>
      </w:tr>
      <w:tr w:rsidR="00720F68" w:rsidRPr="00B84B0C" w14:paraId="531680CB"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3FE60C43" w14:textId="77777777" w:rsidR="00720F68" w:rsidRPr="00B84B0C" w:rsidRDefault="00720F68" w:rsidP="00720F68">
            <w:pPr>
              <w:pStyle w:val="08-Tabelageral"/>
              <w:ind w:left="113"/>
              <w:jc w:val="left"/>
              <w:rPr>
                <w:rFonts w:cs="Arial"/>
                <w:b w:val="0"/>
              </w:rPr>
            </w:pPr>
            <w:proofErr w:type="spellStart"/>
            <w:r w:rsidRPr="00B84B0C">
              <w:rPr>
                <w:rFonts w:cs="Arial"/>
                <w:b w:val="0"/>
              </w:rPr>
              <w:t>Contingent</w:t>
            </w:r>
            <w:proofErr w:type="spellEnd"/>
            <w:r w:rsidRPr="00B84B0C">
              <w:rPr>
                <w:rFonts w:cs="Arial"/>
                <w:b w:val="0"/>
              </w:rPr>
              <w:t xml:space="preserve"> </w:t>
            </w:r>
            <w:proofErr w:type="spellStart"/>
            <w:r w:rsidRPr="00B84B0C">
              <w:rPr>
                <w:rFonts w:cs="Arial"/>
                <w:b w:val="0"/>
              </w:rPr>
              <w:t>liabilities</w:t>
            </w:r>
            <w:proofErr w:type="spellEnd"/>
          </w:p>
        </w:tc>
        <w:tc>
          <w:tcPr>
            <w:tcW w:w="567" w:type="dxa"/>
            <w:tcBorders>
              <w:top w:val="nil"/>
              <w:bottom w:val="nil"/>
            </w:tcBorders>
            <w:vAlign w:val="center"/>
          </w:tcPr>
          <w:p w14:paraId="7771389C"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[16]</w:t>
            </w:r>
          </w:p>
        </w:tc>
        <w:tc>
          <w:tcPr>
            <w:tcW w:w="1134" w:type="dxa"/>
            <w:tcBorders>
              <w:top w:val="nil"/>
              <w:bottom w:val="nil"/>
            </w:tcBorders>
            <w:vAlign w:val="center"/>
          </w:tcPr>
          <w:p w14:paraId="4D95A37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124</w:t>
            </w:r>
          </w:p>
        </w:tc>
        <w:tc>
          <w:tcPr>
            <w:tcW w:w="1134" w:type="dxa"/>
            <w:tcBorders>
              <w:top w:val="nil"/>
              <w:bottom w:val="nil"/>
            </w:tcBorders>
            <w:vAlign w:val="center"/>
          </w:tcPr>
          <w:p w14:paraId="00AC201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w:t>
            </w:r>
          </w:p>
        </w:tc>
        <w:tc>
          <w:tcPr>
            <w:tcW w:w="283" w:type="dxa"/>
            <w:tcBorders>
              <w:top w:val="nil"/>
              <w:bottom w:val="nil"/>
            </w:tcBorders>
            <w:vAlign w:val="center"/>
          </w:tcPr>
          <w:p w14:paraId="6658A7E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722DA7D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11,519</w:t>
            </w:r>
          </w:p>
        </w:tc>
        <w:tc>
          <w:tcPr>
            <w:tcW w:w="1171" w:type="dxa"/>
            <w:tcBorders>
              <w:top w:val="nil"/>
              <w:bottom w:val="nil"/>
            </w:tcBorders>
            <w:vAlign w:val="center"/>
          </w:tcPr>
          <w:p w14:paraId="5C8E1DB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11,248</w:t>
            </w:r>
          </w:p>
        </w:tc>
      </w:tr>
      <w:tr w:rsidR="00720F68" w:rsidRPr="00B84B0C" w14:paraId="36D1EB13"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2157D5FF" w14:textId="77777777" w:rsidR="00720F68" w:rsidRPr="00B84B0C" w:rsidRDefault="00720F68" w:rsidP="00720F68">
            <w:pPr>
              <w:pStyle w:val="08-Tabelageral"/>
              <w:ind w:left="113"/>
              <w:jc w:val="left"/>
              <w:rPr>
                <w:rFonts w:cs="Arial"/>
                <w:b w:val="0"/>
              </w:rPr>
            </w:pP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tax</w:t>
            </w:r>
            <w:proofErr w:type="spellEnd"/>
            <w:r w:rsidRPr="00B84B0C">
              <w:rPr>
                <w:rFonts w:cs="Arial"/>
                <w:b w:val="0"/>
              </w:rPr>
              <w:t xml:space="preserve"> </w:t>
            </w:r>
            <w:proofErr w:type="spellStart"/>
            <w:r w:rsidRPr="00B84B0C">
              <w:rPr>
                <w:rFonts w:cs="Arial"/>
                <w:b w:val="0"/>
              </w:rPr>
              <w:t>liabilities</w:t>
            </w:r>
            <w:proofErr w:type="spellEnd"/>
          </w:p>
        </w:tc>
        <w:tc>
          <w:tcPr>
            <w:tcW w:w="567" w:type="dxa"/>
            <w:tcBorders>
              <w:top w:val="nil"/>
              <w:bottom w:val="nil"/>
            </w:tcBorders>
            <w:vAlign w:val="center"/>
          </w:tcPr>
          <w:p w14:paraId="41B960D8"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[12]</w:t>
            </w:r>
          </w:p>
        </w:tc>
        <w:tc>
          <w:tcPr>
            <w:tcW w:w="1134" w:type="dxa"/>
            <w:tcBorders>
              <w:top w:val="nil"/>
              <w:bottom w:val="nil"/>
            </w:tcBorders>
            <w:vAlign w:val="center"/>
          </w:tcPr>
          <w:p w14:paraId="7FC503B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6,576</w:t>
            </w:r>
          </w:p>
        </w:tc>
        <w:tc>
          <w:tcPr>
            <w:tcW w:w="1134" w:type="dxa"/>
            <w:tcBorders>
              <w:top w:val="nil"/>
              <w:bottom w:val="nil"/>
            </w:tcBorders>
            <w:vAlign w:val="center"/>
          </w:tcPr>
          <w:p w14:paraId="442BE3F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980</w:t>
            </w:r>
          </w:p>
        </w:tc>
        <w:tc>
          <w:tcPr>
            <w:tcW w:w="283" w:type="dxa"/>
            <w:tcBorders>
              <w:top w:val="nil"/>
              <w:bottom w:val="nil"/>
            </w:tcBorders>
            <w:vAlign w:val="center"/>
          </w:tcPr>
          <w:p w14:paraId="62D4360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022A254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290,871</w:t>
            </w:r>
          </w:p>
        </w:tc>
        <w:tc>
          <w:tcPr>
            <w:tcW w:w="1171" w:type="dxa"/>
            <w:tcBorders>
              <w:top w:val="nil"/>
              <w:bottom w:val="nil"/>
            </w:tcBorders>
            <w:vAlign w:val="center"/>
          </w:tcPr>
          <w:p w14:paraId="25E3FF9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656,137</w:t>
            </w:r>
          </w:p>
        </w:tc>
      </w:tr>
      <w:tr w:rsidR="00720F68" w:rsidRPr="00B84B0C" w14:paraId="17F3749D"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2E341BDC" w14:textId="77777777" w:rsidR="00720F68" w:rsidRPr="00B84B0C" w:rsidRDefault="00720F68" w:rsidP="00720F68">
            <w:pPr>
              <w:pStyle w:val="08-Tabelageral"/>
              <w:ind w:left="113"/>
              <w:jc w:val="left"/>
              <w:rPr>
                <w:rFonts w:cs="Arial"/>
                <w:b w:val="0"/>
              </w:rPr>
            </w:pPr>
            <w:proofErr w:type="spellStart"/>
            <w:r w:rsidRPr="00B84B0C">
              <w:rPr>
                <w:rFonts w:cs="Arial"/>
                <w:b w:val="0"/>
              </w:rPr>
              <w:t>Unearned</w:t>
            </w:r>
            <w:proofErr w:type="spellEnd"/>
            <w:r w:rsidRPr="00B84B0C">
              <w:rPr>
                <w:rFonts w:cs="Arial"/>
                <w:b w:val="0"/>
              </w:rPr>
              <w:t xml:space="preserve"> </w:t>
            </w:r>
            <w:proofErr w:type="spellStart"/>
            <w:r w:rsidRPr="00B84B0C">
              <w:rPr>
                <w:rFonts w:cs="Arial"/>
                <w:b w:val="0"/>
              </w:rPr>
              <w:t>commissions</w:t>
            </w:r>
            <w:proofErr w:type="spellEnd"/>
          </w:p>
        </w:tc>
        <w:tc>
          <w:tcPr>
            <w:tcW w:w="567" w:type="dxa"/>
            <w:tcBorders>
              <w:top w:val="nil"/>
              <w:bottom w:val="nil"/>
            </w:tcBorders>
            <w:vAlign w:val="center"/>
          </w:tcPr>
          <w:p w14:paraId="201D863D"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[17]</w:t>
            </w:r>
          </w:p>
        </w:tc>
        <w:tc>
          <w:tcPr>
            <w:tcW w:w="1134" w:type="dxa"/>
            <w:tcBorders>
              <w:top w:val="nil"/>
              <w:bottom w:val="nil"/>
            </w:tcBorders>
            <w:vAlign w:val="center"/>
          </w:tcPr>
          <w:p w14:paraId="27B3984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134" w:type="dxa"/>
            <w:tcBorders>
              <w:top w:val="nil"/>
              <w:bottom w:val="nil"/>
            </w:tcBorders>
            <w:vAlign w:val="center"/>
          </w:tcPr>
          <w:p w14:paraId="2FE64FB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w:t>
            </w:r>
          </w:p>
        </w:tc>
        <w:tc>
          <w:tcPr>
            <w:tcW w:w="283" w:type="dxa"/>
            <w:tcBorders>
              <w:top w:val="nil"/>
              <w:bottom w:val="nil"/>
            </w:tcBorders>
            <w:vAlign w:val="center"/>
          </w:tcPr>
          <w:p w14:paraId="318BCFA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5BA9324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949,137</w:t>
            </w:r>
          </w:p>
        </w:tc>
        <w:tc>
          <w:tcPr>
            <w:tcW w:w="1171" w:type="dxa"/>
            <w:tcBorders>
              <w:top w:val="nil"/>
              <w:bottom w:val="nil"/>
            </w:tcBorders>
            <w:vAlign w:val="center"/>
          </w:tcPr>
          <w:p w14:paraId="04FA78A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993,057</w:t>
            </w:r>
          </w:p>
        </w:tc>
      </w:tr>
      <w:tr w:rsidR="00720F68" w:rsidRPr="00B84B0C" w14:paraId="6B348AEA"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71CD6B9F" w14:textId="77777777" w:rsidR="00720F68" w:rsidRPr="00B84B0C" w:rsidRDefault="00720F68" w:rsidP="00720F68">
            <w:pPr>
              <w:pStyle w:val="08-Tabelageral"/>
              <w:ind w:left="113"/>
              <w:jc w:val="left"/>
              <w:rPr>
                <w:rFonts w:cs="Arial"/>
                <w:b w:val="0"/>
              </w:rPr>
            </w:pPr>
            <w:r w:rsidRPr="00B84B0C">
              <w:rPr>
                <w:rFonts w:cs="Arial"/>
                <w:b w:val="0"/>
              </w:rPr>
              <w:t xml:space="preserve">Other </w:t>
            </w:r>
            <w:proofErr w:type="spellStart"/>
            <w:r w:rsidRPr="00B84B0C">
              <w:rPr>
                <w:rFonts w:cs="Arial"/>
                <w:b w:val="0"/>
              </w:rPr>
              <w:t>liabilities</w:t>
            </w:r>
            <w:proofErr w:type="spellEnd"/>
          </w:p>
        </w:tc>
        <w:tc>
          <w:tcPr>
            <w:tcW w:w="567" w:type="dxa"/>
            <w:tcBorders>
              <w:top w:val="nil"/>
              <w:bottom w:val="nil"/>
            </w:tcBorders>
            <w:vAlign w:val="center"/>
          </w:tcPr>
          <w:p w14:paraId="70A6A2A1"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[18]</w:t>
            </w:r>
          </w:p>
        </w:tc>
        <w:tc>
          <w:tcPr>
            <w:tcW w:w="1134" w:type="dxa"/>
            <w:tcBorders>
              <w:top w:val="nil"/>
              <w:bottom w:val="nil"/>
            </w:tcBorders>
            <w:vAlign w:val="center"/>
          </w:tcPr>
          <w:p w14:paraId="43B9DBA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7,622</w:t>
            </w:r>
          </w:p>
        </w:tc>
        <w:tc>
          <w:tcPr>
            <w:tcW w:w="1134" w:type="dxa"/>
            <w:tcBorders>
              <w:top w:val="nil"/>
              <w:bottom w:val="nil"/>
            </w:tcBorders>
            <w:vAlign w:val="center"/>
          </w:tcPr>
          <w:p w14:paraId="4C2D1F9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8,238</w:t>
            </w:r>
          </w:p>
        </w:tc>
        <w:tc>
          <w:tcPr>
            <w:tcW w:w="283" w:type="dxa"/>
            <w:tcBorders>
              <w:top w:val="nil"/>
              <w:bottom w:val="nil"/>
            </w:tcBorders>
            <w:vAlign w:val="center"/>
          </w:tcPr>
          <w:p w14:paraId="7A21AFF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79691F0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74,533</w:t>
            </w:r>
          </w:p>
        </w:tc>
        <w:tc>
          <w:tcPr>
            <w:tcW w:w="1171" w:type="dxa"/>
            <w:tcBorders>
              <w:top w:val="nil"/>
              <w:bottom w:val="nil"/>
            </w:tcBorders>
            <w:vAlign w:val="center"/>
          </w:tcPr>
          <w:p w14:paraId="50D735B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64,643</w:t>
            </w:r>
          </w:p>
        </w:tc>
      </w:tr>
      <w:tr w:rsidR="00720F68" w:rsidRPr="00B84B0C" w14:paraId="30A3F5CE"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59C22041" w14:textId="77777777" w:rsidR="00720F68" w:rsidRPr="00B84B0C" w:rsidRDefault="00720F68" w:rsidP="00720F68">
            <w:pPr>
              <w:pStyle w:val="08-Tabelageral"/>
              <w:jc w:val="left"/>
              <w:rPr>
                <w:rFonts w:cs="Arial"/>
                <w:b w:val="0"/>
              </w:rPr>
            </w:pPr>
          </w:p>
        </w:tc>
        <w:tc>
          <w:tcPr>
            <w:tcW w:w="567" w:type="dxa"/>
            <w:tcBorders>
              <w:top w:val="nil"/>
              <w:bottom w:val="nil"/>
            </w:tcBorders>
            <w:vAlign w:val="center"/>
          </w:tcPr>
          <w:p w14:paraId="075C312A"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76D6B9A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269DFC2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nil"/>
              <w:bottom w:val="nil"/>
            </w:tcBorders>
            <w:vAlign w:val="center"/>
          </w:tcPr>
          <w:p w14:paraId="15DE9FE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18A9754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71" w:type="dxa"/>
            <w:tcBorders>
              <w:top w:val="nil"/>
              <w:bottom w:val="nil"/>
            </w:tcBorders>
            <w:vAlign w:val="center"/>
          </w:tcPr>
          <w:p w14:paraId="3804F12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720F68" w:rsidRPr="00B84B0C" w14:paraId="4C49EB92"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1D199FC1" w14:textId="77777777" w:rsidR="00720F68" w:rsidRPr="00B84B0C" w:rsidRDefault="00720F68" w:rsidP="00720F68">
            <w:pPr>
              <w:pStyle w:val="08-Tabelageral"/>
              <w:jc w:val="left"/>
              <w:rPr>
                <w:rFonts w:cs="Arial"/>
              </w:rPr>
            </w:pPr>
            <w:r w:rsidRPr="00B84B0C">
              <w:rPr>
                <w:rFonts w:cs="Arial"/>
              </w:rPr>
              <w:t>NON-CURRENT LIABILITIES</w:t>
            </w:r>
          </w:p>
        </w:tc>
        <w:tc>
          <w:tcPr>
            <w:tcW w:w="567" w:type="dxa"/>
            <w:tcBorders>
              <w:top w:val="nil"/>
              <w:bottom w:val="nil"/>
            </w:tcBorders>
            <w:vAlign w:val="center"/>
          </w:tcPr>
          <w:p w14:paraId="7B126043"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34" w:type="dxa"/>
            <w:tcBorders>
              <w:top w:val="nil"/>
              <w:bottom w:val="nil"/>
            </w:tcBorders>
            <w:vAlign w:val="center"/>
          </w:tcPr>
          <w:p w14:paraId="0B03F08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106</w:t>
            </w:r>
          </w:p>
        </w:tc>
        <w:tc>
          <w:tcPr>
            <w:tcW w:w="1134" w:type="dxa"/>
            <w:tcBorders>
              <w:top w:val="nil"/>
              <w:bottom w:val="nil"/>
            </w:tcBorders>
            <w:vAlign w:val="center"/>
          </w:tcPr>
          <w:p w14:paraId="312F9DE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szCs w:val="14"/>
              </w:rPr>
              <w:t>103</w:t>
            </w:r>
          </w:p>
        </w:tc>
        <w:tc>
          <w:tcPr>
            <w:tcW w:w="283" w:type="dxa"/>
            <w:tcBorders>
              <w:top w:val="nil"/>
              <w:bottom w:val="nil"/>
            </w:tcBorders>
            <w:vAlign w:val="center"/>
          </w:tcPr>
          <w:p w14:paraId="0AC94A2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063" w:type="dxa"/>
            <w:tcBorders>
              <w:top w:val="nil"/>
              <w:bottom w:val="nil"/>
            </w:tcBorders>
            <w:vAlign w:val="center"/>
          </w:tcPr>
          <w:p w14:paraId="672DE26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bCs/>
                <w:szCs w:val="14"/>
              </w:rPr>
              <w:t>1,536,187</w:t>
            </w:r>
          </w:p>
        </w:tc>
        <w:tc>
          <w:tcPr>
            <w:tcW w:w="1171" w:type="dxa"/>
            <w:tcBorders>
              <w:top w:val="nil"/>
              <w:bottom w:val="nil"/>
            </w:tcBorders>
            <w:vAlign w:val="center"/>
          </w:tcPr>
          <w:p w14:paraId="665454E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szCs w:val="14"/>
              </w:rPr>
              <w:t>1,462,065</w:t>
            </w:r>
          </w:p>
        </w:tc>
      </w:tr>
      <w:tr w:rsidR="00720F68" w:rsidRPr="00B84B0C" w14:paraId="4E5A354E"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4ADF2F15" w14:textId="77777777" w:rsidR="00720F68" w:rsidRPr="00B84B0C" w:rsidRDefault="00720F68" w:rsidP="00720F68">
            <w:pPr>
              <w:pStyle w:val="08-Tabelageral"/>
              <w:ind w:left="113"/>
              <w:jc w:val="left"/>
              <w:rPr>
                <w:rFonts w:cs="Arial"/>
                <w:b w:val="0"/>
              </w:rPr>
            </w:pPr>
            <w:proofErr w:type="spellStart"/>
            <w:r w:rsidRPr="00B84B0C">
              <w:rPr>
                <w:rFonts w:cs="Arial"/>
                <w:b w:val="0"/>
              </w:rPr>
              <w:t>Contingent</w:t>
            </w:r>
            <w:proofErr w:type="spellEnd"/>
            <w:r w:rsidRPr="00B84B0C">
              <w:rPr>
                <w:rFonts w:cs="Arial"/>
                <w:b w:val="0"/>
              </w:rPr>
              <w:t xml:space="preserve"> </w:t>
            </w:r>
            <w:proofErr w:type="spellStart"/>
            <w:r w:rsidRPr="00B84B0C">
              <w:rPr>
                <w:rFonts w:cs="Arial"/>
                <w:b w:val="0"/>
              </w:rPr>
              <w:t>liabilities</w:t>
            </w:r>
            <w:proofErr w:type="spellEnd"/>
          </w:p>
        </w:tc>
        <w:tc>
          <w:tcPr>
            <w:tcW w:w="567" w:type="dxa"/>
            <w:tcBorders>
              <w:top w:val="nil"/>
              <w:bottom w:val="nil"/>
            </w:tcBorders>
            <w:vAlign w:val="center"/>
          </w:tcPr>
          <w:p w14:paraId="6F1E19CF"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[16]</w:t>
            </w:r>
          </w:p>
        </w:tc>
        <w:tc>
          <w:tcPr>
            <w:tcW w:w="1134" w:type="dxa"/>
            <w:tcBorders>
              <w:top w:val="nil"/>
              <w:bottom w:val="nil"/>
            </w:tcBorders>
            <w:vAlign w:val="center"/>
          </w:tcPr>
          <w:p w14:paraId="70D10A9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106</w:t>
            </w:r>
          </w:p>
        </w:tc>
        <w:tc>
          <w:tcPr>
            <w:tcW w:w="1134" w:type="dxa"/>
            <w:tcBorders>
              <w:top w:val="nil"/>
              <w:bottom w:val="nil"/>
            </w:tcBorders>
            <w:vAlign w:val="center"/>
          </w:tcPr>
          <w:p w14:paraId="1E902E6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103</w:t>
            </w:r>
          </w:p>
        </w:tc>
        <w:tc>
          <w:tcPr>
            <w:tcW w:w="283" w:type="dxa"/>
            <w:tcBorders>
              <w:top w:val="nil"/>
              <w:bottom w:val="nil"/>
            </w:tcBorders>
            <w:vAlign w:val="center"/>
          </w:tcPr>
          <w:p w14:paraId="1C500BE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45E4FCB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5,931</w:t>
            </w:r>
          </w:p>
        </w:tc>
        <w:tc>
          <w:tcPr>
            <w:tcW w:w="1171" w:type="dxa"/>
            <w:tcBorders>
              <w:top w:val="nil"/>
              <w:bottom w:val="nil"/>
            </w:tcBorders>
            <w:vAlign w:val="center"/>
          </w:tcPr>
          <w:p w14:paraId="7CBF34D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6,546</w:t>
            </w:r>
          </w:p>
        </w:tc>
      </w:tr>
      <w:tr w:rsidR="00720F68" w:rsidRPr="00B84B0C" w14:paraId="27BA4D37"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75BBC314" w14:textId="77777777" w:rsidR="00720F68" w:rsidRPr="00B84B0C" w:rsidRDefault="00720F68" w:rsidP="00720F68">
            <w:pPr>
              <w:pStyle w:val="08-Tabelageral"/>
              <w:ind w:left="113"/>
              <w:jc w:val="left"/>
              <w:rPr>
                <w:rFonts w:cs="Arial"/>
                <w:b w:val="0"/>
              </w:rPr>
            </w:pP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tax</w:t>
            </w:r>
            <w:proofErr w:type="spellEnd"/>
            <w:r w:rsidRPr="00B84B0C">
              <w:rPr>
                <w:rFonts w:cs="Arial"/>
                <w:b w:val="0"/>
              </w:rPr>
              <w:t xml:space="preserve"> </w:t>
            </w:r>
            <w:proofErr w:type="spellStart"/>
            <w:r w:rsidRPr="00B84B0C">
              <w:rPr>
                <w:rFonts w:cs="Arial"/>
                <w:b w:val="0"/>
              </w:rPr>
              <w:t>liabilities</w:t>
            </w:r>
            <w:proofErr w:type="spellEnd"/>
          </w:p>
        </w:tc>
        <w:tc>
          <w:tcPr>
            <w:tcW w:w="567" w:type="dxa"/>
            <w:tcBorders>
              <w:top w:val="nil"/>
              <w:bottom w:val="nil"/>
            </w:tcBorders>
            <w:vAlign w:val="center"/>
          </w:tcPr>
          <w:p w14:paraId="3F37DCFD"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[12]</w:t>
            </w:r>
          </w:p>
        </w:tc>
        <w:tc>
          <w:tcPr>
            <w:tcW w:w="1134" w:type="dxa"/>
            <w:tcBorders>
              <w:top w:val="nil"/>
              <w:bottom w:val="nil"/>
            </w:tcBorders>
            <w:vAlign w:val="center"/>
          </w:tcPr>
          <w:p w14:paraId="5D25A02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134" w:type="dxa"/>
            <w:tcBorders>
              <w:top w:val="nil"/>
              <w:bottom w:val="nil"/>
            </w:tcBorders>
            <w:vAlign w:val="center"/>
          </w:tcPr>
          <w:p w14:paraId="077E455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w:t>
            </w:r>
          </w:p>
        </w:tc>
        <w:tc>
          <w:tcPr>
            <w:tcW w:w="283" w:type="dxa"/>
            <w:tcBorders>
              <w:top w:val="nil"/>
              <w:bottom w:val="nil"/>
            </w:tcBorders>
            <w:vAlign w:val="center"/>
          </w:tcPr>
          <w:p w14:paraId="1236415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4676802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228,565</w:t>
            </w:r>
          </w:p>
        </w:tc>
        <w:tc>
          <w:tcPr>
            <w:tcW w:w="1171" w:type="dxa"/>
            <w:tcBorders>
              <w:top w:val="nil"/>
              <w:bottom w:val="nil"/>
            </w:tcBorders>
            <w:vAlign w:val="center"/>
          </w:tcPr>
          <w:p w14:paraId="4B200DB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228,564</w:t>
            </w:r>
          </w:p>
        </w:tc>
      </w:tr>
      <w:tr w:rsidR="00720F68" w:rsidRPr="00B84B0C" w14:paraId="2D02D18F"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313111DF" w14:textId="77777777" w:rsidR="00720F68" w:rsidRPr="00B84B0C" w:rsidRDefault="00720F68" w:rsidP="00720F68">
            <w:pPr>
              <w:pStyle w:val="08-Tabelageral"/>
              <w:ind w:left="113"/>
              <w:jc w:val="left"/>
              <w:rPr>
                <w:rFonts w:cs="Arial"/>
                <w:b w:val="0"/>
              </w:rPr>
            </w:pPr>
            <w:proofErr w:type="spellStart"/>
            <w:r w:rsidRPr="00B84B0C">
              <w:rPr>
                <w:rFonts w:cs="Arial"/>
                <w:b w:val="0"/>
              </w:rPr>
              <w:t>Unearned</w:t>
            </w:r>
            <w:proofErr w:type="spellEnd"/>
            <w:r w:rsidRPr="00B84B0C">
              <w:rPr>
                <w:rFonts w:cs="Arial"/>
                <w:b w:val="0"/>
              </w:rPr>
              <w:t xml:space="preserve"> </w:t>
            </w:r>
            <w:proofErr w:type="spellStart"/>
            <w:r w:rsidRPr="00B84B0C">
              <w:rPr>
                <w:rFonts w:cs="Arial"/>
                <w:b w:val="0"/>
              </w:rPr>
              <w:t>commissions</w:t>
            </w:r>
            <w:proofErr w:type="spellEnd"/>
          </w:p>
        </w:tc>
        <w:tc>
          <w:tcPr>
            <w:tcW w:w="567" w:type="dxa"/>
            <w:tcBorders>
              <w:top w:val="nil"/>
              <w:bottom w:val="nil"/>
            </w:tcBorders>
            <w:vAlign w:val="center"/>
          </w:tcPr>
          <w:p w14:paraId="42875827"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[17]</w:t>
            </w:r>
          </w:p>
        </w:tc>
        <w:tc>
          <w:tcPr>
            <w:tcW w:w="1134" w:type="dxa"/>
            <w:tcBorders>
              <w:top w:val="nil"/>
              <w:bottom w:val="nil"/>
            </w:tcBorders>
            <w:vAlign w:val="center"/>
          </w:tcPr>
          <w:p w14:paraId="5D4D963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134" w:type="dxa"/>
            <w:tcBorders>
              <w:top w:val="nil"/>
              <w:bottom w:val="nil"/>
            </w:tcBorders>
            <w:vAlign w:val="center"/>
          </w:tcPr>
          <w:p w14:paraId="0489028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w:t>
            </w:r>
          </w:p>
        </w:tc>
        <w:tc>
          <w:tcPr>
            <w:tcW w:w="283" w:type="dxa"/>
            <w:tcBorders>
              <w:top w:val="nil"/>
              <w:bottom w:val="nil"/>
            </w:tcBorders>
            <w:vAlign w:val="center"/>
          </w:tcPr>
          <w:p w14:paraId="17334F5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2676681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1,301,691</w:t>
            </w:r>
          </w:p>
        </w:tc>
        <w:tc>
          <w:tcPr>
            <w:tcW w:w="1171" w:type="dxa"/>
            <w:tcBorders>
              <w:top w:val="nil"/>
              <w:bottom w:val="nil"/>
            </w:tcBorders>
            <w:vAlign w:val="center"/>
          </w:tcPr>
          <w:p w14:paraId="2784CEE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1,226,955</w:t>
            </w:r>
          </w:p>
        </w:tc>
      </w:tr>
      <w:tr w:rsidR="00720F68" w:rsidRPr="00B84B0C" w14:paraId="1ADA51D1"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602E19AA" w14:textId="77777777" w:rsidR="00720F68" w:rsidRPr="00B84B0C" w:rsidRDefault="00720F68" w:rsidP="00720F68">
            <w:pPr>
              <w:pStyle w:val="08-Tabelageral"/>
              <w:jc w:val="left"/>
              <w:rPr>
                <w:rFonts w:cs="Arial"/>
                <w:b w:val="0"/>
              </w:rPr>
            </w:pPr>
          </w:p>
        </w:tc>
        <w:tc>
          <w:tcPr>
            <w:tcW w:w="567" w:type="dxa"/>
            <w:tcBorders>
              <w:top w:val="nil"/>
              <w:bottom w:val="nil"/>
            </w:tcBorders>
            <w:vAlign w:val="center"/>
          </w:tcPr>
          <w:p w14:paraId="639B69DE"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5C39650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20E6AA2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283" w:type="dxa"/>
            <w:tcBorders>
              <w:top w:val="nil"/>
              <w:bottom w:val="nil"/>
            </w:tcBorders>
            <w:vAlign w:val="center"/>
          </w:tcPr>
          <w:p w14:paraId="4C1A220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21988FE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center"/>
          </w:tcPr>
          <w:p w14:paraId="74D4980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7F51F664"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448174CD" w14:textId="77777777" w:rsidR="00720F68" w:rsidRPr="00B84B0C" w:rsidRDefault="00720F68" w:rsidP="00720F68">
            <w:pPr>
              <w:pStyle w:val="08-Tabelageral"/>
              <w:jc w:val="left"/>
              <w:rPr>
                <w:rFonts w:cs="Arial"/>
              </w:rPr>
            </w:pPr>
            <w:r w:rsidRPr="00B84B0C">
              <w:rPr>
                <w:rFonts w:cs="Arial"/>
              </w:rPr>
              <w:t>TOTAL LIABILITIES</w:t>
            </w:r>
          </w:p>
        </w:tc>
        <w:tc>
          <w:tcPr>
            <w:tcW w:w="567" w:type="dxa"/>
            <w:tcBorders>
              <w:top w:val="nil"/>
              <w:bottom w:val="nil"/>
            </w:tcBorders>
            <w:vAlign w:val="center"/>
          </w:tcPr>
          <w:p w14:paraId="356AA6F4"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34" w:type="dxa"/>
            <w:tcBorders>
              <w:top w:val="nil"/>
              <w:bottom w:val="nil"/>
            </w:tcBorders>
            <w:vAlign w:val="center"/>
          </w:tcPr>
          <w:p w14:paraId="5793A73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2,714,903</w:t>
            </w:r>
          </w:p>
        </w:tc>
        <w:tc>
          <w:tcPr>
            <w:tcW w:w="1134" w:type="dxa"/>
            <w:tcBorders>
              <w:top w:val="nil"/>
              <w:bottom w:val="nil"/>
            </w:tcBorders>
            <w:vAlign w:val="center"/>
          </w:tcPr>
          <w:p w14:paraId="5683F61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szCs w:val="14"/>
              </w:rPr>
              <w:t>6,499,964</w:t>
            </w:r>
          </w:p>
        </w:tc>
        <w:tc>
          <w:tcPr>
            <w:tcW w:w="283" w:type="dxa"/>
            <w:tcBorders>
              <w:top w:val="nil"/>
              <w:bottom w:val="nil"/>
            </w:tcBorders>
            <w:vAlign w:val="center"/>
          </w:tcPr>
          <w:p w14:paraId="1F85119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4F00DF5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bCs/>
                <w:szCs w:val="14"/>
              </w:rPr>
              <w:t>5,562,722</w:t>
            </w:r>
          </w:p>
        </w:tc>
        <w:tc>
          <w:tcPr>
            <w:tcW w:w="1171" w:type="dxa"/>
            <w:tcBorders>
              <w:top w:val="nil"/>
              <w:bottom w:val="nil"/>
            </w:tcBorders>
            <w:vAlign w:val="center"/>
          </w:tcPr>
          <w:p w14:paraId="6F85E93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szCs w:val="14"/>
              </w:rPr>
              <w:t>9,677,793</w:t>
            </w:r>
          </w:p>
        </w:tc>
      </w:tr>
      <w:tr w:rsidR="00720F68" w:rsidRPr="00B84B0C" w14:paraId="73E21C8F"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066658BC" w14:textId="77777777" w:rsidR="00720F68" w:rsidRPr="00B84B0C" w:rsidRDefault="00720F68" w:rsidP="00720F68">
            <w:pPr>
              <w:pStyle w:val="08-Tabelageral"/>
              <w:jc w:val="left"/>
              <w:rPr>
                <w:rFonts w:cs="Arial"/>
                <w:b w:val="0"/>
              </w:rPr>
            </w:pPr>
          </w:p>
        </w:tc>
        <w:tc>
          <w:tcPr>
            <w:tcW w:w="567" w:type="dxa"/>
            <w:tcBorders>
              <w:top w:val="nil"/>
              <w:bottom w:val="nil"/>
            </w:tcBorders>
            <w:vAlign w:val="center"/>
          </w:tcPr>
          <w:p w14:paraId="1F66E842"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49E8FC2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0A1E254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283" w:type="dxa"/>
            <w:tcBorders>
              <w:top w:val="nil"/>
              <w:bottom w:val="nil"/>
            </w:tcBorders>
            <w:vAlign w:val="center"/>
          </w:tcPr>
          <w:p w14:paraId="41890F1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4214368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center"/>
          </w:tcPr>
          <w:p w14:paraId="1C7C9EB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1E7AE117"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446E95BB" w14:textId="77777777" w:rsidR="00720F68" w:rsidRPr="00B84B0C" w:rsidRDefault="00720F68" w:rsidP="00720F68">
            <w:pPr>
              <w:pStyle w:val="08-Tabelageral"/>
              <w:jc w:val="left"/>
              <w:rPr>
                <w:rFonts w:cs="Arial"/>
              </w:rPr>
            </w:pPr>
            <w:r w:rsidRPr="00B84B0C">
              <w:rPr>
                <w:rFonts w:cs="Arial"/>
              </w:rPr>
              <w:t>EQUITY</w:t>
            </w:r>
          </w:p>
        </w:tc>
        <w:tc>
          <w:tcPr>
            <w:tcW w:w="567" w:type="dxa"/>
            <w:tcBorders>
              <w:top w:val="nil"/>
              <w:bottom w:val="nil"/>
            </w:tcBorders>
            <w:vAlign w:val="center"/>
          </w:tcPr>
          <w:p w14:paraId="61730378"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[19]</w:t>
            </w:r>
          </w:p>
        </w:tc>
        <w:tc>
          <w:tcPr>
            <w:tcW w:w="1134" w:type="dxa"/>
            <w:tcBorders>
              <w:top w:val="nil"/>
              <w:bottom w:val="nil"/>
            </w:tcBorders>
            <w:vAlign w:val="center"/>
          </w:tcPr>
          <w:p w14:paraId="1458F8F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6,096,395</w:t>
            </w:r>
          </w:p>
        </w:tc>
        <w:tc>
          <w:tcPr>
            <w:tcW w:w="1134" w:type="dxa"/>
            <w:tcBorders>
              <w:top w:val="nil"/>
              <w:bottom w:val="nil"/>
            </w:tcBorders>
            <w:vAlign w:val="center"/>
          </w:tcPr>
          <w:p w14:paraId="34533A6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szCs w:val="14"/>
              </w:rPr>
              <w:t>5,248,754</w:t>
            </w:r>
          </w:p>
        </w:tc>
        <w:tc>
          <w:tcPr>
            <w:tcW w:w="283" w:type="dxa"/>
            <w:tcBorders>
              <w:top w:val="nil"/>
              <w:bottom w:val="nil"/>
            </w:tcBorders>
            <w:vAlign w:val="center"/>
          </w:tcPr>
          <w:p w14:paraId="77F436C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6EE5E3A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bCs/>
                <w:szCs w:val="14"/>
              </w:rPr>
              <w:t>6,096,395</w:t>
            </w:r>
          </w:p>
        </w:tc>
        <w:tc>
          <w:tcPr>
            <w:tcW w:w="1171" w:type="dxa"/>
            <w:tcBorders>
              <w:top w:val="nil"/>
              <w:bottom w:val="nil"/>
            </w:tcBorders>
            <w:vAlign w:val="center"/>
          </w:tcPr>
          <w:p w14:paraId="045A7D0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szCs w:val="14"/>
              </w:rPr>
              <w:t>5,248,754</w:t>
            </w:r>
          </w:p>
        </w:tc>
      </w:tr>
      <w:tr w:rsidR="00720F68" w:rsidRPr="00B84B0C" w14:paraId="4DE14DA2"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6B19F2A4" w14:textId="77777777" w:rsidR="00720F68" w:rsidRPr="00B84B0C" w:rsidRDefault="00720F68" w:rsidP="00720F68">
            <w:pPr>
              <w:pStyle w:val="08-Tabelageral"/>
              <w:ind w:left="113"/>
              <w:jc w:val="left"/>
              <w:rPr>
                <w:rFonts w:cs="Arial"/>
                <w:b w:val="0"/>
              </w:rPr>
            </w:pPr>
            <w:r w:rsidRPr="00B84B0C">
              <w:rPr>
                <w:rFonts w:cs="Arial"/>
                <w:b w:val="0"/>
              </w:rPr>
              <w:t>Capital</w:t>
            </w:r>
          </w:p>
        </w:tc>
        <w:tc>
          <w:tcPr>
            <w:tcW w:w="567" w:type="dxa"/>
            <w:tcBorders>
              <w:top w:val="nil"/>
              <w:bottom w:val="nil"/>
            </w:tcBorders>
            <w:vAlign w:val="center"/>
          </w:tcPr>
          <w:p w14:paraId="5D7E5BC3"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53932E1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3,396,767</w:t>
            </w:r>
          </w:p>
        </w:tc>
        <w:tc>
          <w:tcPr>
            <w:tcW w:w="1134" w:type="dxa"/>
            <w:tcBorders>
              <w:top w:val="nil"/>
              <w:bottom w:val="nil"/>
            </w:tcBorders>
            <w:vAlign w:val="center"/>
          </w:tcPr>
          <w:p w14:paraId="505D0C6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3,396,767</w:t>
            </w:r>
          </w:p>
        </w:tc>
        <w:tc>
          <w:tcPr>
            <w:tcW w:w="283" w:type="dxa"/>
            <w:tcBorders>
              <w:top w:val="nil"/>
              <w:bottom w:val="nil"/>
            </w:tcBorders>
            <w:vAlign w:val="center"/>
          </w:tcPr>
          <w:p w14:paraId="1CB21E5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7842D5A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3,396,767</w:t>
            </w:r>
          </w:p>
        </w:tc>
        <w:tc>
          <w:tcPr>
            <w:tcW w:w="1171" w:type="dxa"/>
            <w:tcBorders>
              <w:top w:val="nil"/>
              <w:bottom w:val="nil"/>
            </w:tcBorders>
            <w:vAlign w:val="center"/>
          </w:tcPr>
          <w:p w14:paraId="370B770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3,396,767</w:t>
            </w:r>
          </w:p>
        </w:tc>
      </w:tr>
      <w:tr w:rsidR="00720F68" w:rsidRPr="00B84B0C" w14:paraId="4A3F6122"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576C2BBF" w14:textId="77777777" w:rsidR="00720F68" w:rsidRPr="00B84B0C" w:rsidRDefault="00720F68" w:rsidP="00720F68">
            <w:pPr>
              <w:pStyle w:val="08-Tabelageral"/>
              <w:ind w:left="113"/>
              <w:jc w:val="left"/>
              <w:rPr>
                <w:rFonts w:cs="Arial"/>
                <w:b w:val="0"/>
              </w:rPr>
            </w:pPr>
            <w:r w:rsidRPr="00B84B0C">
              <w:rPr>
                <w:rFonts w:cs="Arial"/>
                <w:b w:val="0"/>
              </w:rPr>
              <w:t>Capital reserves</w:t>
            </w:r>
          </w:p>
        </w:tc>
        <w:tc>
          <w:tcPr>
            <w:tcW w:w="567" w:type="dxa"/>
            <w:tcBorders>
              <w:top w:val="nil"/>
              <w:bottom w:val="nil"/>
            </w:tcBorders>
            <w:vAlign w:val="center"/>
          </w:tcPr>
          <w:p w14:paraId="6BD72DCE"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3905157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463</w:t>
            </w:r>
          </w:p>
        </w:tc>
        <w:tc>
          <w:tcPr>
            <w:tcW w:w="1134" w:type="dxa"/>
            <w:tcBorders>
              <w:top w:val="nil"/>
              <w:bottom w:val="nil"/>
            </w:tcBorders>
            <w:vAlign w:val="center"/>
          </w:tcPr>
          <w:p w14:paraId="1316851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1,117</w:t>
            </w:r>
          </w:p>
        </w:tc>
        <w:tc>
          <w:tcPr>
            <w:tcW w:w="283" w:type="dxa"/>
            <w:tcBorders>
              <w:top w:val="nil"/>
              <w:bottom w:val="nil"/>
            </w:tcBorders>
            <w:vAlign w:val="center"/>
          </w:tcPr>
          <w:p w14:paraId="61FBFED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1B6D8A1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463</w:t>
            </w:r>
          </w:p>
        </w:tc>
        <w:tc>
          <w:tcPr>
            <w:tcW w:w="1171" w:type="dxa"/>
            <w:tcBorders>
              <w:top w:val="nil"/>
              <w:bottom w:val="nil"/>
            </w:tcBorders>
            <w:vAlign w:val="center"/>
          </w:tcPr>
          <w:p w14:paraId="5457E02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1,117</w:t>
            </w:r>
          </w:p>
        </w:tc>
      </w:tr>
      <w:tr w:rsidR="00720F68" w:rsidRPr="00B84B0C" w14:paraId="1F32F519"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7C7E1FD4" w14:textId="77777777" w:rsidR="00720F68" w:rsidRPr="00B84B0C" w:rsidRDefault="00720F68" w:rsidP="00720F68">
            <w:pPr>
              <w:pStyle w:val="08-Tabelageral"/>
              <w:ind w:left="113"/>
              <w:jc w:val="left"/>
              <w:rPr>
                <w:rFonts w:cs="Arial"/>
                <w:b w:val="0"/>
              </w:rPr>
            </w:pPr>
            <w:r w:rsidRPr="00B84B0C">
              <w:rPr>
                <w:rFonts w:cs="Arial"/>
                <w:b w:val="0"/>
              </w:rPr>
              <w:t>Income reserves</w:t>
            </w:r>
          </w:p>
        </w:tc>
        <w:tc>
          <w:tcPr>
            <w:tcW w:w="567" w:type="dxa"/>
            <w:tcBorders>
              <w:top w:val="nil"/>
              <w:bottom w:val="nil"/>
            </w:tcBorders>
            <w:vAlign w:val="center"/>
          </w:tcPr>
          <w:p w14:paraId="0D97F6FD"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19EAFBD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1,905,725</w:t>
            </w:r>
          </w:p>
        </w:tc>
        <w:tc>
          <w:tcPr>
            <w:tcW w:w="1134" w:type="dxa"/>
            <w:tcBorders>
              <w:top w:val="nil"/>
              <w:bottom w:val="nil"/>
            </w:tcBorders>
            <w:vAlign w:val="center"/>
          </w:tcPr>
          <w:p w14:paraId="66CC15D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1,905,725</w:t>
            </w:r>
          </w:p>
        </w:tc>
        <w:tc>
          <w:tcPr>
            <w:tcW w:w="283" w:type="dxa"/>
            <w:tcBorders>
              <w:top w:val="nil"/>
              <w:bottom w:val="nil"/>
            </w:tcBorders>
            <w:vAlign w:val="center"/>
          </w:tcPr>
          <w:p w14:paraId="3E6F7FF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568C5DC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1,905,725</w:t>
            </w:r>
          </w:p>
        </w:tc>
        <w:tc>
          <w:tcPr>
            <w:tcW w:w="1171" w:type="dxa"/>
            <w:tcBorders>
              <w:top w:val="nil"/>
              <w:bottom w:val="nil"/>
            </w:tcBorders>
            <w:vAlign w:val="center"/>
          </w:tcPr>
          <w:p w14:paraId="61F56BB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szCs w:val="14"/>
              </w:rPr>
              <w:t>1,905,725</w:t>
            </w:r>
          </w:p>
        </w:tc>
      </w:tr>
      <w:tr w:rsidR="00720F68" w:rsidRPr="00B84B0C" w14:paraId="2345A209"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00F185D8" w14:textId="77777777" w:rsidR="00720F68" w:rsidRPr="00B84B0C" w:rsidRDefault="00720F68" w:rsidP="00720F68">
            <w:pPr>
              <w:pStyle w:val="08-Tabelageral"/>
              <w:ind w:left="113"/>
              <w:jc w:val="left"/>
              <w:rPr>
                <w:rFonts w:cs="Arial"/>
                <w:b w:val="0"/>
              </w:rPr>
            </w:pPr>
            <w:proofErr w:type="spellStart"/>
            <w:r w:rsidRPr="00B84B0C">
              <w:rPr>
                <w:rFonts w:cs="Arial"/>
                <w:b w:val="0"/>
              </w:rPr>
              <w:t>Treasury</w:t>
            </w:r>
            <w:proofErr w:type="spellEnd"/>
            <w:r w:rsidRPr="00B84B0C">
              <w:rPr>
                <w:rFonts w:cs="Arial"/>
                <w:b w:val="0"/>
              </w:rPr>
              <w:t xml:space="preserve"> </w:t>
            </w:r>
            <w:proofErr w:type="spellStart"/>
            <w:r w:rsidRPr="00B84B0C">
              <w:rPr>
                <w:rFonts w:cs="Arial"/>
                <w:b w:val="0"/>
              </w:rPr>
              <w:t>shares</w:t>
            </w:r>
            <w:proofErr w:type="spellEnd"/>
          </w:p>
        </w:tc>
        <w:tc>
          <w:tcPr>
            <w:tcW w:w="567" w:type="dxa"/>
            <w:tcBorders>
              <w:top w:val="nil"/>
              <w:bottom w:val="nil"/>
            </w:tcBorders>
            <w:vAlign w:val="center"/>
          </w:tcPr>
          <w:p w14:paraId="4CA86711"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7386C87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(82,652)</w:t>
            </w:r>
          </w:p>
        </w:tc>
        <w:tc>
          <w:tcPr>
            <w:tcW w:w="1134" w:type="dxa"/>
            <w:tcBorders>
              <w:top w:val="nil"/>
              <w:bottom w:val="nil"/>
            </w:tcBorders>
            <w:vAlign w:val="center"/>
          </w:tcPr>
          <w:p w14:paraId="14C5B25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(83,306)</w:t>
            </w:r>
          </w:p>
        </w:tc>
        <w:tc>
          <w:tcPr>
            <w:tcW w:w="283" w:type="dxa"/>
            <w:tcBorders>
              <w:top w:val="nil"/>
              <w:bottom w:val="nil"/>
            </w:tcBorders>
            <w:vAlign w:val="center"/>
          </w:tcPr>
          <w:p w14:paraId="7F5741C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5182E2B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(82,652)</w:t>
            </w:r>
          </w:p>
        </w:tc>
        <w:tc>
          <w:tcPr>
            <w:tcW w:w="1171" w:type="dxa"/>
            <w:tcBorders>
              <w:top w:val="nil"/>
              <w:bottom w:val="nil"/>
            </w:tcBorders>
            <w:vAlign w:val="center"/>
          </w:tcPr>
          <w:p w14:paraId="253FFFD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szCs w:val="14"/>
              </w:rPr>
              <w:t>(83,306)</w:t>
            </w:r>
          </w:p>
        </w:tc>
      </w:tr>
      <w:tr w:rsidR="00720F68" w:rsidRPr="00B84B0C" w14:paraId="5AD46FF5"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4165F415" w14:textId="77777777" w:rsidR="00720F68" w:rsidRPr="00B84B0C" w:rsidRDefault="00720F68" w:rsidP="00720F68">
            <w:pPr>
              <w:pStyle w:val="08-Tabelageral"/>
              <w:ind w:left="113"/>
              <w:jc w:val="left"/>
              <w:rPr>
                <w:rFonts w:cs="Arial"/>
                <w:b w:val="0"/>
              </w:rPr>
            </w:pPr>
            <w:r w:rsidRPr="00B84B0C">
              <w:rPr>
                <w:rFonts w:cs="Arial"/>
                <w:b w:val="0"/>
              </w:rPr>
              <w:t xml:space="preserve">Other </w:t>
            </w:r>
            <w:proofErr w:type="spellStart"/>
            <w:r w:rsidRPr="00B84B0C">
              <w:rPr>
                <w:rFonts w:cs="Arial"/>
                <w:b w:val="0"/>
              </w:rPr>
              <w:t>accumulated</w:t>
            </w:r>
            <w:proofErr w:type="spellEnd"/>
            <w:r w:rsidRPr="00B84B0C">
              <w:rPr>
                <w:rFonts w:cs="Arial"/>
                <w:b w:val="0"/>
              </w:rPr>
              <w:t xml:space="preserve"> </w:t>
            </w:r>
            <w:proofErr w:type="spellStart"/>
            <w:r w:rsidRPr="00B84B0C">
              <w:rPr>
                <w:rFonts w:cs="Arial"/>
                <w:b w:val="0"/>
              </w:rPr>
              <w:t>comprehensive</w:t>
            </w:r>
            <w:proofErr w:type="spellEnd"/>
            <w:r w:rsidRPr="00B84B0C">
              <w:rPr>
                <w:rFonts w:cs="Arial"/>
                <w:b w:val="0"/>
              </w:rPr>
              <w:t xml:space="preserve"> income</w:t>
            </w:r>
          </w:p>
        </w:tc>
        <w:tc>
          <w:tcPr>
            <w:tcW w:w="567" w:type="dxa"/>
            <w:tcBorders>
              <w:top w:val="nil"/>
              <w:bottom w:val="nil"/>
            </w:tcBorders>
            <w:vAlign w:val="center"/>
          </w:tcPr>
          <w:p w14:paraId="7F51A809" w14:textId="77777777" w:rsidR="00720F68" w:rsidRPr="00B84B0C" w:rsidRDefault="00720F68" w:rsidP="00720F68">
            <w:pPr>
              <w:pStyle w:val="08-Tabelageral"/>
              <w:ind w:left="113"/>
              <w:jc w:val="left"/>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nil"/>
              <w:bottom w:val="nil"/>
            </w:tcBorders>
            <w:vAlign w:val="center"/>
          </w:tcPr>
          <w:p w14:paraId="7AA85C6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(6,629)</w:t>
            </w:r>
          </w:p>
        </w:tc>
        <w:tc>
          <w:tcPr>
            <w:tcW w:w="1134" w:type="dxa"/>
            <w:tcBorders>
              <w:top w:val="nil"/>
              <w:bottom w:val="nil"/>
            </w:tcBorders>
            <w:vAlign w:val="center"/>
          </w:tcPr>
          <w:p w14:paraId="27ECB98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28,451</w:t>
            </w:r>
          </w:p>
        </w:tc>
        <w:tc>
          <w:tcPr>
            <w:tcW w:w="283" w:type="dxa"/>
            <w:tcBorders>
              <w:top w:val="nil"/>
              <w:bottom w:val="nil"/>
            </w:tcBorders>
            <w:vAlign w:val="center"/>
          </w:tcPr>
          <w:p w14:paraId="3F95294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063" w:type="dxa"/>
            <w:tcBorders>
              <w:top w:val="nil"/>
              <w:bottom w:val="nil"/>
            </w:tcBorders>
            <w:vAlign w:val="center"/>
          </w:tcPr>
          <w:p w14:paraId="585CA6E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(6,629)</w:t>
            </w:r>
          </w:p>
        </w:tc>
        <w:tc>
          <w:tcPr>
            <w:tcW w:w="1171" w:type="dxa"/>
            <w:tcBorders>
              <w:top w:val="nil"/>
              <w:bottom w:val="nil"/>
            </w:tcBorders>
            <w:vAlign w:val="center"/>
          </w:tcPr>
          <w:p w14:paraId="757D167B"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28,451</w:t>
            </w:r>
          </w:p>
        </w:tc>
      </w:tr>
      <w:tr w:rsidR="00720F68" w:rsidRPr="00B84B0C" w14:paraId="084E94E7"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22D7ECD6" w14:textId="77777777" w:rsidR="00720F68" w:rsidRPr="00B84B0C" w:rsidRDefault="00720F68" w:rsidP="00720F68">
            <w:pPr>
              <w:pStyle w:val="08-Tabelageral"/>
              <w:ind w:left="113"/>
              <w:jc w:val="left"/>
              <w:rPr>
                <w:rFonts w:cs="Arial"/>
                <w:b w:val="0"/>
              </w:rPr>
            </w:pPr>
            <w:proofErr w:type="spellStart"/>
            <w:r w:rsidRPr="00B84B0C">
              <w:rPr>
                <w:rFonts w:cs="Arial"/>
                <w:b w:val="0"/>
              </w:rPr>
              <w:t>Retained</w:t>
            </w:r>
            <w:proofErr w:type="spellEnd"/>
            <w:r w:rsidRPr="00B84B0C">
              <w:rPr>
                <w:rFonts w:cs="Arial"/>
                <w:b w:val="0"/>
              </w:rPr>
              <w:t xml:space="preserve"> </w:t>
            </w:r>
            <w:proofErr w:type="spellStart"/>
            <w:r w:rsidRPr="00B84B0C">
              <w:rPr>
                <w:rFonts w:cs="Arial"/>
                <w:b w:val="0"/>
              </w:rPr>
              <w:t>earnings</w:t>
            </w:r>
            <w:proofErr w:type="spellEnd"/>
          </w:p>
        </w:tc>
        <w:tc>
          <w:tcPr>
            <w:tcW w:w="567" w:type="dxa"/>
            <w:tcBorders>
              <w:top w:val="nil"/>
              <w:bottom w:val="nil"/>
            </w:tcBorders>
            <w:vAlign w:val="center"/>
          </w:tcPr>
          <w:p w14:paraId="50A5979F" w14:textId="77777777" w:rsidR="00720F68" w:rsidRPr="00B84B0C" w:rsidRDefault="00720F68" w:rsidP="00720F68">
            <w:pPr>
              <w:pStyle w:val="08-Tabelageral"/>
              <w:ind w:left="113"/>
              <w:jc w:val="left"/>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nil"/>
              <w:bottom w:val="nil"/>
            </w:tcBorders>
            <w:vAlign w:val="center"/>
          </w:tcPr>
          <w:p w14:paraId="7BB68C58"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882,721</w:t>
            </w:r>
          </w:p>
        </w:tc>
        <w:tc>
          <w:tcPr>
            <w:tcW w:w="1134" w:type="dxa"/>
            <w:tcBorders>
              <w:top w:val="nil"/>
              <w:bottom w:val="nil"/>
            </w:tcBorders>
            <w:vAlign w:val="center"/>
          </w:tcPr>
          <w:p w14:paraId="2533072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nil"/>
              <w:bottom w:val="nil"/>
            </w:tcBorders>
            <w:vAlign w:val="center"/>
          </w:tcPr>
          <w:p w14:paraId="31A62E52"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063" w:type="dxa"/>
            <w:tcBorders>
              <w:top w:val="nil"/>
              <w:bottom w:val="nil"/>
            </w:tcBorders>
            <w:vAlign w:val="center"/>
          </w:tcPr>
          <w:p w14:paraId="4F4BE0B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882,721</w:t>
            </w:r>
          </w:p>
        </w:tc>
        <w:tc>
          <w:tcPr>
            <w:tcW w:w="1171" w:type="dxa"/>
            <w:tcBorders>
              <w:top w:val="nil"/>
              <w:bottom w:val="nil"/>
            </w:tcBorders>
            <w:vAlign w:val="center"/>
          </w:tcPr>
          <w:p w14:paraId="2CF9DAE0"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r>
      <w:tr w:rsidR="00720F68" w:rsidRPr="00B84B0C" w14:paraId="439A3FF9"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49B30702" w14:textId="77777777" w:rsidR="00720F68" w:rsidRPr="00B84B0C" w:rsidRDefault="00720F68" w:rsidP="00720F68">
            <w:pPr>
              <w:pStyle w:val="08-Tabelageral"/>
              <w:jc w:val="left"/>
              <w:rPr>
                <w:rFonts w:cs="Arial"/>
              </w:rPr>
            </w:pPr>
            <w:r w:rsidRPr="00B84B0C">
              <w:rPr>
                <w:rFonts w:cs="Arial"/>
              </w:rPr>
              <w:t>TOTAL EQUITY</w:t>
            </w:r>
          </w:p>
        </w:tc>
        <w:tc>
          <w:tcPr>
            <w:tcW w:w="567" w:type="dxa"/>
            <w:tcBorders>
              <w:top w:val="nil"/>
              <w:bottom w:val="nil"/>
            </w:tcBorders>
            <w:vAlign w:val="center"/>
          </w:tcPr>
          <w:p w14:paraId="7420AE31"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nil"/>
              <w:bottom w:val="nil"/>
            </w:tcBorders>
            <w:vAlign w:val="center"/>
          </w:tcPr>
          <w:p w14:paraId="24C77F2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6,096,395</w:t>
            </w:r>
          </w:p>
        </w:tc>
        <w:tc>
          <w:tcPr>
            <w:tcW w:w="1134" w:type="dxa"/>
            <w:tcBorders>
              <w:top w:val="nil"/>
              <w:bottom w:val="nil"/>
            </w:tcBorders>
            <w:vAlign w:val="center"/>
          </w:tcPr>
          <w:p w14:paraId="146667B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5,248,754</w:t>
            </w:r>
          </w:p>
        </w:tc>
        <w:tc>
          <w:tcPr>
            <w:tcW w:w="283" w:type="dxa"/>
            <w:tcBorders>
              <w:top w:val="nil"/>
              <w:bottom w:val="nil"/>
            </w:tcBorders>
            <w:vAlign w:val="center"/>
          </w:tcPr>
          <w:p w14:paraId="37A5C22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063" w:type="dxa"/>
            <w:tcBorders>
              <w:top w:val="nil"/>
              <w:bottom w:val="nil"/>
            </w:tcBorders>
            <w:vAlign w:val="center"/>
          </w:tcPr>
          <w:p w14:paraId="6D172B5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6,096,395</w:t>
            </w:r>
          </w:p>
        </w:tc>
        <w:tc>
          <w:tcPr>
            <w:tcW w:w="1171" w:type="dxa"/>
            <w:tcBorders>
              <w:top w:val="nil"/>
              <w:bottom w:val="nil"/>
            </w:tcBorders>
            <w:vAlign w:val="center"/>
          </w:tcPr>
          <w:p w14:paraId="2CE761A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5,248,754</w:t>
            </w:r>
          </w:p>
        </w:tc>
      </w:tr>
      <w:tr w:rsidR="00720F68" w:rsidRPr="00B84B0C" w14:paraId="41FBEE2F"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vAlign w:val="center"/>
          </w:tcPr>
          <w:p w14:paraId="0F951A69" w14:textId="77777777" w:rsidR="00720F68" w:rsidRPr="00B84B0C" w:rsidRDefault="00720F68" w:rsidP="00720F68">
            <w:pPr>
              <w:pStyle w:val="08-Tabelageral"/>
              <w:ind w:left="113"/>
              <w:jc w:val="left"/>
              <w:rPr>
                <w:rFonts w:cs="Arial"/>
              </w:rPr>
            </w:pPr>
          </w:p>
        </w:tc>
        <w:tc>
          <w:tcPr>
            <w:tcW w:w="567" w:type="dxa"/>
            <w:tcBorders>
              <w:top w:val="nil"/>
              <w:bottom w:val="nil"/>
            </w:tcBorders>
            <w:vAlign w:val="center"/>
          </w:tcPr>
          <w:p w14:paraId="6622F7A6"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66837C6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5D48B19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3" w:type="dxa"/>
            <w:tcBorders>
              <w:top w:val="nil"/>
              <w:bottom w:val="nil"/>
            </w:tcBorders>
            <w:vAlign w:val="center"/>
          </w:tcPr>
          <w:p w14:paraId="48D0F75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13ACD0F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71" w:type="dxa"/>
            <w:tcBorders>
              <w:top w:val="nil"/>
              <w:bottom w:val="nil"/>
            </w:tcBorders>
            <w:vAlign w:val="center"/>
          </w:tcPr>
          <w:p w14:paraId="67DA6FB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720F68" w:rsidRPr="00B84B0C" w14:paraId="381515BF"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single" w:sz="2" w:space="0" w:color="8EAADB" w:themeColor="accent5" w:themeTint="99"/>
            </w:tcBorders>
            <w:vAlign w:val="center"/>
          </w:tcPr>
          <w:p w14:paraId="78ED57D7" w14:textId="77777777" w:rsidR="00720F68" w:rsidRPr="00B84B0C" w:rsidRDefault="00720F68" w:rsidP="00720F68">
            <w:pPr>
              <w:pStyle w:val="08-Tabelageral"/>
              <w:jc w:val="left"/>
              <w:rPr>
                <w:rFonts w:cs="Arial"/>
                <w:szCs w:val="14"/>
              </w:rPr>
            </w:pPr>
            <w:r w:rsidRPr="00B84B0C">
              <w:rPr>
                <w:rFonts w:cs="Arial"/>
              </w:rPr>
              <w:t>TOTAL LIABILITIES AND EQUITY</w:t>
            </w:r>
          </w:p>
        </w:tc>
        <w:tc>
          <w:tcPr>
            <w:tcW w:w="567" w:type="dxa"/>
            <w:tcBorders>
              <w:top w:val="nil"/>
              <w:bottom w:val="single" w:sz="2" w:space="0" w:color="8EAADB" w:themeColor="accent5" w:themeTint="99"/>
            </w:tcBorders>
            <w:vAlign w:val="center"/>
          </w:tcPr>
          <w:p w14:paraId="444FB9FB"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34" w:type="dxa"/>
            <w:tcBorders>
              <w:top w:val="nil"/>
              <w:bottom w:val="single" w:sz="2" w:space="0" w:color="8EAADB" w:themeColor="accent5" w:themeTint="99"/>
            </w:tcBorders>
            <w:vAlign w:val="center"/>
          </w:tcPr>
          <w:p w14:paraId="419EBB2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8,811,298</w:t>
            </w:r>
          </w:p>
        </w:tc>
        <w:tc>
          <w:tcPr>
            <w:tcW w:w="1134" w:type="dxa"/>
            <w:tcBorders>
              <w:top w:val="nil"/>
              <w:bottom w:val="single" w:sz="2" w:space="0" w:color="8EAADB" w:themeColor="accent5" w:themeTint="99"/>
            </w:tcBorders>
            <w:vAlign w:val="center"/>
          </w:tcPr>
          <w:p w14:paraId="017ED9B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szCs w:val="14"/>
              </w:rPr>
              <w:t>11,748,718</w:t>
            </w:r>
          </w:p>
        </w:tc>
        <w:tc>
          <w:tcPr>
            <w:tcW w:w="283" w:type="dxa"/>
            <w:tcBorders>
              <w:top w:val="nil"/>
              <w:bottom w:val="single" w:sz="2" w:space="0" w:color="8EAADB" w:themeColor="accent5" w:themeTint="99"/>
            </w:tcBorders>
            <w:vAlign w:val="center"/>
          </w:tcPr>
          <w:p w14:paraId="7A73997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063" w:type="dxa"/>
            <w:tcBorders>
              <w:top w:val="nil"/>
              <w:bottom w:val="single" w:sz="2" w:space="0" w:color="8EAADB" w:themeColor="accent5" w:themeTint="99"/>
            </w:tcBorders>
            <w:vAlign w:val="center"/>
          </w:tcPr>
          <w:p w14:paraId="3FD490A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bCs/>
                <w:szCs w:val="14"/>
              </w:rPr>
              <w:t>11,659,117</w:t>
            </w:r>
          </w:p>
        </w:tc>
        <w:tc>
          <w:tcPr>
            <w:tcW w:w="1171" w:type="dxa"/>
            <w:tcBorders>
              <w:top w:val="nil"/>
              <w:bottom w:val="single" w:sz="2" w:space="0" w:color="8EAADB" w:themeColor="accent5" w:themeTint="99"/>
            </w:tcBorders>
            <w:vAlign w:val="center"/>
          </w:tcPr>
          <w:p w14:paraId="58BF25A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szCs w:val="14"/>
              </w:rPr>
              <w:t>14,926,547</w:t>
            </w:r>
          </w:p>
        </w:tc>
      </w:tr>
    </w:tbl>
    <w:p w14:paraId="1BF00732" w14:textId="77777777" w:rsidR="00720F68" w:rsidRPr="00B84B0C" w:rsidRDefault="00720F68" w:rsidP="00720F68">
      <w:pPr>
        <w:rPr>
          <w:rFonts w:cs="Arial"/>
          <w:sz w:val="14"/>
          <w:szCs w:val="14"/>
          <w:lang w:val="en-US"/>
        </w:rPr>
      </w:pPr>
      <w:r w:rsidRPr="00B84B0C">
        <w:rPr>
          <w:rFonts w:cs="Arial"/>
          <w:sz w:val="14"/>
          <w:szCs w:val="14"/>
          <w:lang w:val="en-US"/>
        </w:rPr>
        <w:t>The accompanying notes are an integral part of these financial statements.</w:t>
      </w:r>
      <w:r w:rsidRPr="00B84B0C">
        <w:rPr>
          <w:rFonts w:cs="Arial"/>
          <w:lang w:val="en-US"/>
        </w:rPr>
        <w:br w:type="page"/>
      </w:r>
    </w:p>
    <w:p w14:paraId="6250D597" w14:textId="77777777" w:rsidR="00720F68" w:rsidRPr="00B84B0C" w:rsidRDefault="00720F68" w:rsidP="00904B54">
      <w:pPr>
        <w:pStyle w:val="02-TtulodeNota"/>
        <w:rPr>
          <w:rFonts w:cs="Arial"/>
          <w:color w:val="1F4E79" w:themeColor="accent1" w:themeShade="80"/>
          <w:lang w:val="en-US"/>
        </w:rPr>
      </w:pPr>
      <w:bookmarkStart w:id="4" w:name="_Toc39131481"/>
      <w:r w:rsidRPr="00B84B0C">
        <w:rPr>
          <w:rFonts w:cs="Arial"/>
          <w:color w:val="1F4E79" w:themeColor="accent1" w:themeShade="80"/>
          <w:lang w:val="en-US"/>
        </w:rPr>
        <w:lastRenderedPageBreak/>
        <w:t>STATEMENT OF CASH FLOWS</w:t>
      </w:r>
      <w:bookmarkEnd w:id="4"/>
    </w:p>
    <w:p w14:paraId="521EE62F" w14:textId="77777777" w:rsidR="00720F68" w:rsidRPr="00B84B0C" w:rsidRDefault="00720F68" w:rsidP="00720F68">
      <w:pPr>
        <w:pStyle w:val="01-TtulodeNota"/>
        <w:spacing w:before="0" w:after="0"/>
        <w:jc w:val="right"/>
        <w:rPr>
          <w:rFonts w:cs="Arial"/>
          <w:sz w:val="12"/>
          <w:szCs w:val="12"/>
          <w:lang w:val="en-US"/>
        </w:rPr>
      </w:pPr>
      <w:r w:rsidRPr="00B84B0C">
        <w:rPr>
          <w:rFonts w:cs="Arial"/>
          <w:sz w:val="12"/>
          <w:szCs w:val="12"/>
          <w:lang w:val="en-US"/>
        </w:rPr>
        <w:t>R$ thousand</w:t>
      </w:r>
    </w:p>
    <w:tbl>
      <w:tblPr>
        <w:tblStyle w:val="TabeladeLista6Colorida-nfase53"/>
        <w:tblW w:w="9639" w:type="dxa"/>
        <w:tblInd w:w="108" w:type="dxa"/>
        <w:tblLayout w:type="fixed"/>
        <w:tblLook w:val="04A0" w:firstRow="1" w:lastRow="0" w:firstColumn="1" w:lastColumn="0" w:noHBand="0" w:noVBand="1"/>
      </w:tblPr>
      <w:tblGrid>
        <w:gridCol w:w="3294"/>
        <w:gridCol w:w="567"/>
        <w:gridCol w:w="1347"/>
        <w:gridCol w:w="1347"/>
        <w:gridCol w:w="283"/>
        <w:gridCol w:w="236"/>
        <w:gridCol w:w="1130"/>
        <w:gridCol w:w="118"/>
        <w:gridCol w:w="1317"/>
      </w:tblGrid>
      <w:tr w:rsidR="00720F68" w:rsidRPr="00B84B0C" w14:paraId="0E2A3241" w14:textId="77777777" w:rsidTr="00904B54">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294" w:type="dxa"/>
            <w:tcBorders>
              <w:top w:val="single" w:sz="2" w:space="0" w:color="8EAADB" w:themeColor="accent5" w:themeTint="99"/>
              <w:bottom w:val="nil"/>
            </w:tcBorders>
            <w:shd w:val="clear" w:color="auto" w:fill="D9E2F3" w:themeFill="accent5" w:themeFillTint="33"/>
            <w:vAlign w:val="center"/>
          </w:tcPr>
          <w:p w14:paraId="06717B3C" w14:textId="77777777" w:rsidR="00720F68" w:rsidRPr="00B84B0C" w:rsidRDefault="00720F68" w:rsidP="00720F68">
            <w:pPr>
              <w:jc w:val="center"/>
              <w:rPr>
                <w:rFonts w:cs="Arial"/>
                <w:b w:val="0"/>
                <w:szCs w:val="18"/>
                <w:lang w:val="en-US"/>
              </w:rPr>
            </w:pPr>
          </w:p>
        </w:tc>
        <w:tc>
          <w:tcPr>
            <w:tcW w:w="567" w:type="dxa"/>
            <w:tcBorders>
              <w:top w:val="single" w:sz="2" w:space="0" w:color="8EAADB" w:themeColor="accent5" w:themeTint="99"/>
              <w:bottom w:val="nil"/>
            </w:tcBorders>
            <w:shd w:val="clear" w:color="auto" w:fill="D9E2F3" w:themeFill="accent5" w:themeFillTint="33"/>
          </w:tcPr>
          <w:p w14:paraId="4A915E53" w14:textId="77777777" w:rsidR="00720F68" w:rsidRPr="00B84B0C" w:rsidRDefault="00720F68" w:rsidP="00720F68">
            <w:pP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694"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5DC7277"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519" w:type="dxa"/>
            <w:gridSpan w:val="2"/>
            <w:tcBorders>
              <w:top w:val="single" w:sz="2" w:space="0" w:color="8EAADB" w:themeColor="accent5" w:themeTint="99"/>
              <w:bottom w:val="nil"/>
            </w:tcBorders>
            <w:shd w:val="clear" w:color="auto" w:fill="D9E2F3" w:themeFill="accent5" w:themeFillTint="33"/>
          </w:tcPr>
          <w:p w14:paraId="352010AE" w14:textId="77777777" w:rsidR="00720F68" w:rsidRPr="00B84B0C" w:rsidRDefault="00720F68" w:rsidP="00720F68">
            <w:pP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565" w:type="dxa"/>
            <w:gridSpan w:val="3"/>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A2CA7B2"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720F68" w:rsidRPr="00B84B0C" w14:paraId="38D2B888" w14:textId="77777777" w:rsidTr="00904B54">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single" w:sz="2" w:space="0" w:color="8EAADB" w:themeColor="accent5" w:themeTint="99"/>
            </w:tcBorders>
          </w:tcPr>
          <w:p w14:paraId="03D6B23F" w14:textId="77777777" w:rsidR="00720F68" w:rsidRPr="00B84B0C" w:rsidRDefault="00720F68" w:rsidP="00720F68">
            <w:pPr>
              <w:pStyle w:val="08-Tabelageral"/>
              <w:jc w:val="left"/>
              <w:rPr>
                <w:rFonts w:cs="Arial"/>
                <w:b w:val="0"/>
              </w:rPr>
            </w:pPr>
          </w:p>
        </w:tc>
        <w:tc>
          <w:tcPr>
            <w:tcW w:w="567" w:type="dxa"/>
            <w:tcBorders>
              <w:top w:val="nil"/>
              <w:bottom w:val="single" w:sz="2" w:space="0" w:color="8EAADB" w:themeColor="accent5" w:themeTint="99"/>
            </w:tcBorders>
          </w:tcPr>
          <w:p w14:paraId="5E80CB10"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Note</w:t>
            </w:r>
          </w:p>
        </w:tc>
        <w:tc>
          <w:tcPr>
            <w:tcW w:w="1347" w:type="dxa"/>
            <w:tcBorders>
              <w:top w:val="single" w:sz="2" w:space="0" w:color="8EAADB" w:themeColor="accent5" w:themeTint="99"/>
              <w:bottom w:val="single" w:sz="2" w:space="0" w:color="8EAADB" w:themeColor="accent5" w:themeTint="99"/>
            </w:tcBorders>
            <w:vAlign w:val="bottom"/>
          </w:tcPr>
          <w:p w14:paraId="0DFB1D2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347" w:type="dxa"/>
            <w:tcBorders>
              <w:top w:val="single" w:sz="2" w:space="0" w:color="8EAADB" w:themeColor="accent5" w:themeTint="99"/>
              <w:bottom w:val="single" w:sz="2" w:space="0" w:color="8EAADB" w:themeColor="accent5" w:themeTint="99"/>
            </w:tcBorders>
            <w:vAlign w:val="bottom"/>
          </w:tcPr>
          <w:p w14:paraId="759A09B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c>
          <w:tcPr>
            <w:tcW w:w="283" w:type="dxa"/>
            <w:tcBorders>
              <w:top w:val="nil"/>
              <w:bottom w:val="single" w:sz="2" w:space="0" w:color="8EAADB" w:themeColor="accent5" w:themeTint="99"/>
            </w:tcBorders>
            <w:vAlign w:val="center"/>
          </w:tcPr>
          <w:p w14:paraId="3173227F"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66" w:type="dxa"/>
            <w:gridSpan w:val="2"/>
            <w:tcBorders>
              <w:top w:val="single" w:sz="2" w:space="0" w:color="8EAADB" w:themeColor="accent5" w:themeTint="99"/>
              <w:bottom w:val="single" w:sz="2" w:space="0" w:color="8EAADB" w:themeColor="accent5" w:themeTint="99"/>
            </w:tcBorders>
            <w:vAlign w:val="bottom"/>
          </w:tcPr>
          <w:p w14:paraId="28FF2F6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435" w:type="dxa"/>
            <w:gridSpan w:val="2"/>
            <w:tcBorders>
              <w:top w:val="single" w:sz="2" w:space="0" w:color="8EAADB" w:themeColor="accent5" w:themeTint="99"/>
              <w:bottom w:val="single" w:sz="2" w:space="0" w:color="8EAADB" w:themeColor="accent5" w:themeTint="99"/>
            </w:tcBorders>
            <w:vAlign w:val="bottom"/>
          </w:tcPr>
          <w:p w14:paraId="60C9CD3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r>
      <w:tr w:rsidR="00720F68" w:rsidRPr="00B84B0C" w14:paraId="0F4B198D"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06FE156C" w14:textId="77777777" w:rsidR="00720F68" w:rsidRPr="00B84B0C" w:rsidRDefault="00720F68" w:rsidP="00720F68">
            <w:pPr>
              <w:pStyle w:val="08-Tabelageral"/>
              <w:jc w:val="left"/>
              <w:rPr>
                <w:rFonts w:cs="Arial"/>
                <w:b w:val="0"/>
                <w:lang w:val="en-US"/>
              </w:rPr>
            </w:pPr>
            <w:r w:rsidRPr="00B84B0C">
              <w:rPr>
                <w:rFonts w:cs="Arial"/>
                <w:lang w:val="en-US"/>
              </w:rPr>
              <w:t>Cash flow from operating activities</w:t>
            </w:r>
          </w:p>
        </w:tc>
        <w:tc>
          <w:tcPr>
            <w:tcW w:w="567" w:type="dxa"/>
            <w:tcBorders>
              <w:top w:val="nil"/>
              <w:bottom w:val="nil"/>
            </w:tcBorders>
            <w:vAlign w:val="center"/>
          </w:tcPr>
          <w:p w14:paraId="5C8885CF"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lang w:val="en-US"/>
              </w:rPr>
            </w:pPr>
          </w:p>
        </w:tc>
        <w:tc>
          <w:tcPr>
            <w:tcW w:w="1347" w:type="dxa"/>
            <w:tcBorders>
              <w:top w:val="nil"/>
              <w:bottom w:val="nil"/>
            </w:tcBorders>
            <w:vAlign w:val="center"/>
          </w:tcPr>
          <w:p w14:paraId="7C822B2A"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347" w:type="dxa"/>
            <w:tcBorders>
              <w:top w:val="nil"/>
              <w:bottom w:val="nil"/>
            </w:tcBorders>
            <w:vAlign w:val="center"/>
          </w:tcPr>
          <w:p w14:paraId="28BEE9B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p>
        </w:tc>
        <w:tc>
          <w:tcPr>
            <w:tcW w:w="519" w:type="dxa"/>
            <w:gridSpan w:val="2"/>
            <w:tcBorders>
              <w:top w:val="nil"/>
              <w:bottom w:val="nil"/>
            </w:tcBorders>
            <w:vAlign w:val="center"/>
          </w:tcPr>
          <w:p w14:paraId="3F18C3E8"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248" w:type="dxa"/>
            <w:gridSpan w:val="2"/>
            <w:tcBorders>
              <w:top w:val="nil"/>
              <w:bottom w:val="nil"/>
            </w:tcBorders>
            <w:vAlign w:val="center"/>
          </w:tcPr>
          <w:p w14:paraId="34207E7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317" w:type="dxa"/>
            <w:tcBorders>
              <w:top w:val="nil"/>
              <w:bottom w:val="nil"/>
            </w:tcBorders>
            <w:vAlign w:val="center"/>
          </w:tcPr>
          <w:p w14:paraId="5DA147C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p>
        </w:tc>
      </w:tr>
      <w:tr w:rsidR="00720F68" w:rsidRPr="00B84B0C" w14:paraId="649A3764"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4F1FE68D" w14:textId="77777777" w:rsidR="00720F68" w:rsidRPr="00B84B0C" w:rsidRDefault="00720F68" w:rsidP="00720F68">
            <w:pPr>
              <w:pStyle w:val="08-Tabelageral"/>
              <w:jc w:val="left"/>
              <w:rPr>
                <w:rFonts w:cs="Arial"/>
              </w:rPr>
            </w:pPr>
            <w:r w:rsidRPr="00B84B0C">
              <w:rPr>
                <w:rFonts w:cs="Arial"/>
              </w:rPr>
              <w:t xml:space="preserve">Net </w:t>
            </w:r>
            <w:proofErr w:type="spellStart"/>
            <w:r w:rsidRPr="00B84B0C">
              <w:rPr>
                <w:rFonts w:cs="Arial"/>
              </w:rPr>
              <w:t>profit</w:t>
            </w:r>
            <w:proofErr w:type="spellEnd"/>
            <w:r w:rsidRPr="00B84B0C">
              <w:rPr>
                <w:rFonts w:cs="Arial"/>
              </w:rPr>
              <w:t xml:space="preserve"> </w:t>
            </w:r>
          </w:p>
        </w:tc>
        <w:tc>
          <w:tcPr>
            <w:tcW w:w="567" w:type="dxa"/>
            <w:tcBorders>
              <w:top w:val="nil"/>
              <w:bottom w:val="nil"/>
            </w:tcBorders>
            <w:vAlign w:val="center"/>
          </w:tcPr>
          <w:p w14:paraId="15DC8F22"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47" w:type="dxa"/>
            <w:tcBorders>
              <w:top w:val="nil"/>
              <w:bottom w:val="nil"/>
            </w:tcBorders>
            <w:vAlign w:val="center"/>
          </w:tcPr>
          <w:p w14:paraId="496BD202"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882,721</w:t>
            </w:r>
          </w:p>
        </w:tc>
        <w:tc>
          <w:tcPr>
            <w:tcW w:w="1347" w:type="dxa"/>
            <w:tcBorders>
              <w:top w:val="nil"/>
              <w:bottom w:val="nil"/>
            </w:tcBorders>
            <w:vAlign w:val="center"/>
          </w:tcPr>
          <w:p w14:paraId="48647B9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1,013,758</w:t>
            </w:r>
          </w:p>
        </w:tc>
        <w:tc>
          <w:tcPr>
            <w:tcW w:w="519" w:type="dxa"/>
            <w:gridSpan w:val="2"/>
            <w:tcBorders>
              <w:top w:val="nil"/>
              <w:bottom w:val="nil"/>
            </w:tcBorders>
            <w:vAlign w:val="center"/>
          </w:tcPr>
          <w:p w14:paraId="51E5C956"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48" w:type="dxa"/>
            <w:gridSpan w:val="2"/>
            <w:tcBorders>
              <w:top w:val="nil"/>
              <w:bottom w:val="nil"/>
            </w:tcBorders>
            <w:vAlign w:val="center"/>
          </w:tcPr>
          <w:p w14:paraId="7769C9A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bCs/>
                <w:szCs w:val="14"/>
              </w:rPr>
              <w:t>882,721</w:t>
            </w:r>
          </w:p>
        </w:tc>
        <w:tc>
          <w:tcPr>
            <w:tcW w:w="1317" w:type="dxa"/>
            <w:tcBorders>
              <w:top w:val="nil"/>
              <w:bottom w:val="nil"/>
            </w:tcBorders>
            <w:vAlign w:val="center"/>
          </w:tcPr>
          <w:p w14:paraId="3069C43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1,013,758</w:t>
            </w:r>
          </w:p>
        </w:tc>
      </w:tr>
      <w:tr w:rsidR="00720F68" w:rsidRPr="00B84B0C" w14:paraId="0954D7DF"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0B4BF25D" w14:textId="77777777" w:rsidR="00720F68" w:rsidRPr="00B84B0C" w:rsidRDefault="00720F68" w:rsidP="00720F68">
            <w:pPr>
              <w:pStyle w:val="08-Tabelageral"/>
              <w:jc w:val="left"/>
              <w:rPr>
                <w:rFonts w:cs="Arial"/>
                <w:b w:val="0"/>
              </w:rPr>
            </w:pPr>
            <w:proofErr w:type="spellStart"/>
            <w:r w:rsidRPr="00B84B0C">
              <w:rPr>
                <w:rFonts w:cs="Arial"/>
              </w:rPr>
              <w:t>Adjustment</w:t>
            </w:r>
            <w:proofErr w:type="spellEnd"/>
            <w:r w:rsidRPr="00B84B0C">
              <w:rPr>
                <w:rFonts w:cs="Arial"/>
              </w:rPr>
              <w:t xml:space="preserve"> </w:t>
            </w:r>
            <w:proofErr w:type="spellStart"/>
            <w:r w:rsidRPr="00B84B0C">
              <w:rPr>
                <w:rFonts w:cs="Arial"/>
              </w:rPr>
              <w:t>to</w:t>
            </w:r>
            <w:proofErr w:type="spellEnd"/>
            <w:r w:rsidRPr="00B84B0C">
              <w:rPr>
                <w:rFonts w:cs="Arial"/>
              </w:rPr>
              <w:t xml:space="preserve"> net </w:t>
            </w:r>
            <w:proofErr w:type="spellStart"/>
            <w:r w:rsidRPr="00B84B0C">
              <w:rPr>
                <w:rFonts w:cs="Arial"/>
              </w:rPr>
              <w:t>profit</w:t>
            </w:r>
            <w:proofErr w:type="spellEnd"/>
            <w:r w:rsidRPr="00B84B0C">
              <w:rPr>
                <w:rFonts w:cs="Arial"/>
              </w:rPr>
              <w:t>:</w:t>
            </w:r>
          </w:p>
        </w:tc>
        <w:tc>
          <w:tcPr>
            <w:tcW w:w="567" w:type="dxa"/>
            <w:tcBorders>
              <w:top w:val="nil"/>
              <w:bottom w:val="nil"/>
            </w:tcBorders>
            <w:vAlign w:val="center"/>
          </w:tcPr>
          <w:p w14:paraId="7B9D9700"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rPr>
            </w:pPr>
          </w:p>
        </w:tc>
        <w:tc>
          <w:tcPr>
            <w:tcW w:w="1347" w:type="dxa"/>
            <w:tcBorders>
              <w:top w:val="nil"/>
              <w:bottom w:val="nil"/>
            </w:tcBorders>
            <w:vAlign w:val="center"/>
          </w:tcPr>
          <w:p w14:paraId="67B6C43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347" w:type="dxa"/>
            <w:tcBorders>
              <w:top w:val="nil"/>
              <w:bottom w:val="nil"/>
            </w:tcBorders>
            <w:vAlign w:val="center"/>
          </w:tcPr>
          <w:p w14:paraId="6991B34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519" w:type="dxa"/>
            <w:gridSpan w:val="2"/>
            <w:tcBorders>
              <w:top w:val="nil"/>
              <w:bottom w:val="nil"/>
            </w:tcBorders>
            <w:vAlign w:val="center"/>
          </w:tcPr>
          <w:p w14:paraId="15971045"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5F57F55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317" w:type="dxa"/>
            <w:tcBorders>
              <w:top w:val="nil"/>
              <w:bottom w:val="nil"/>
            </w:tcBorders>
            <w:vAlign w:val="center"/>
          </w:tcPr>
          <w:p w14:paraId="4C6CE9D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4D74570C"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16EA40E8" w14:textId="77777777" w:rsidR="00720F68" w:rsidRPr="00B84B0C" w:rsidRDefault="00720F68" w:rsidP="00720F68">
            <w:pPr>
              <w:pStyle w:val="08-Tabelageral"/>
              <w:ind w:left="113"/>
              <w:jc w:val="left"/>
              <w:rPr>
                <w:rFonts w:cs="Arial"/>
                <w:b w:val="0"/>
              </w:rPr>
            </w:pPr>
            <w:proofErr w:type="spellStart"/>
            <w:r w:rsidRPr="00B84B0C">
              <w:rPr>
                <w:rFonts w:cs="Arial"/>
                <w:b w:val="0"/>
              </w:rPr>
              <w:t>Equity</w:t>
            </w:r>
            <w:proofErr w:type="spellEnd"/>
            <w:r w:rsidRPr="00B84B0C">
              <w:rPr>
                <w:rFonts w:cs="Arial"/>
                <w:b w:val="0"/>
              </w:rPr>
              <w:t xml:space="preserve"> income</w:t>
            </w:r>
          </w:p>
        </w:tc>
        <w:tc>
          <w:tcPr>
            <w:tcW w:w="567" w:type="dxa"/>
            <w:tcBorders>
              <w:top w:val="nil"/>
              <w:bottom w:val="nil"/>
            </w:tcBorders>
            <w:vAlign w:val="center"/>
          </w:tcPr>
          <w:p w14:paraId="33C8D548"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[9.a]</w:t>
            </w:r>
          </w:p>
        </w:tc>
        <w:tc>
          <w:tcPr>
            <w:tcW w:w="1347" w:type="dxa"/>
            <w:tcBorders>
              <w:top w:val="nil"/>
              <w:bottom w:val="nil"/>
            </w:tcBorders>
            <w:vAlign w:val="center"/>
          </w:tcPr>
          <w:p w14:paraId="3AAAEC3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(868,229)</w:t>
            </w:r>
          </w:p>
        </w:tc>
        <w:tc>
          <w:tcPr>
            <w:tcW w:w="1347" w:type="dxa"/>
            <w:tcBorders>
              <w:top w:val="nil"/>
              <w:bottom w:val="nil"/>
            </w:tcBorders>
            <w:vAlign w:val="center"/>
          </w:tcPr>
          <w:p w14:paraId="4A34071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(1,002,039)</w:t>
            </w:r>
          </w:p>
        </w:tc>
        <w:tc>
          <w:tcPr>
            <w:tcW w:w="519" w:type="dxa"/>
            <w:gridSpan w:val="2"/>
            <w:tcBorders>
              <w:top w:val="nil"/>
              <w:bottom w:val="nil"/>
            </w:tcBorders>
            <w:vAlign w:val="center"/>
          </w:tcPr>
          <w:p w14:paraId="4901D247"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65ECD97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(388,758)</w:t>
            </w:r>
          </w:p>
        </w:tc>
        <w:tc>
          <w:tcPr>
            <w:tcW w:w="1317" w:type="dxa"/>
            <w:tcBorders>
              <w:top w:val="nil"/>
              <w:bottom w:val="nil"/>
            </w:tcBorders>
            <w:vAlign w:val="center"/>
          </w:tcPr>
          <w:p w14:paraId="4A5F84B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(586,673)</w:t>
            </w:r>
          </w:p>
        </w:tc>
      </w:tr>
      <w:tr w:rsidR="00720F68" w:rsidRPr="00B84B0C" w14:paraId="270EF807"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bottom"/>
          </w:tcPr>
          <w:p w14:paraId="033C4207" w14:textId="77777777" w:rsidR="00720F68" w:rsidRPr="00B84B0C" w:rsidRDefault="00720F68" w:rsidP="00720F68">
            <w:pPr>
              <w:pStyle w:val="08-Tabelageral"/>
              <w:ind w:left="113"/>
              <w:jc w:val="left"/>
              <w:rPr>
                <w:rFonts w:cs="Arial"/>
                <w:b w:val="0"/>
                <w:lang w:val="en-US"/>
              </w:rPr>
            </w:pPr>
            <w:r w:rsidRPr="00B84B0C">
              <w:rPr>
                <w:rFonts w:cs="Arial"/>
                <w:b w:val="0"/>
                <w:lang w:val="en-US"/>
              </w:rPr>
              <w:t>Net increase in dividends and interest on shareholders' equity</w:t>
            </w:r>
          </w:p>
        </w:tc>
        <w:tc>
          <w:tcPr>
            <w:tcW w:w="567" w:type="dxa"/>
            <w:tcBorders>
              <w:top w:val="nil"/>
              <w:bottom w:val="nil"/>
            </w:tcBorders>
            <w:vAlign w:val="center"/>
          </w:tcPr>
          <w:p w14:paraId="39BDB1C7"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lang w:val="en-US"/>
              </w:rPr>
            </w:pPr>
          </w:p>
        </w:tc>
        <w:tc>
          <w:tcPr>
            <w:tcW w:w="1347" w:type="dxa"/>
            <w:tcBorders>
              <w:top w:val="nil"/>
              <w:bottom w:val="nil"/>
            </w:tcBorders>
            <w:vAlign w:val="center"/>
          </w:tcPr>
          <w:p w14:paraId="3D59F1B8"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13,642</w:t>
            </w:r>
          </w:p>
        </w:tc>
        <w:tc>
          <w:tcPr>
            <w:tcW w:w="1347" w:type="dxa"/>
            <w:tcBorders>
              <w:top w:val="nil"/>
              <w:bottom w:val="nil"/>
            </w:tcBorders>
            <w:vAlign w:val="center"/>
          </w:tcPr>
          <w:p w14:paraId="3E9AE2D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7,892</w:t>
            </w:r>
          </w:p>
        </w:tc>
        <w:tc>
          <w:tcPr>
            <w:tcW w:w="519" w:type="dxa"/>
            <w:gridSpan w:val="2"/>
            <w:tcBorders>
              <w:top w:val="nil"/>
              <w:bottom w:val="nil"/>
            </w:tcBorders>
            <w:vAlign w:val="center"/>
          </w:tcPr>
          <w:p w14:paraId="56FCC7B0"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3A85A1A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24,871</w:t>
            </w:r>
          </w:p>
        </w:tc>
        <w:tc>
          <w:tcPr>
            <w:tcW w:w="1317" w:type="dxa"/>
            <w:tcBorders>
              <w:top w:val="nil"/>
              <w:bottom w:val="nil"/>
            </w:tcBorders>
            <w:vAlign w:val="center"/>
          </w:tcPr>
          <w:p w14:paraId="3396462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13,379</w:t>
            </w:r>
          </w:p>
        </w:tc>
      </w:tr>
      <w:tr w:rsidR="00720F68" w:rsidRPr="00B84B0C" w14:paraId="25D080D3"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bottom"/>
          </w:tcPr>
          <w:p w14:paraId="044DE98E" w14:textId="77777777" w:rsidR="00720F68" w:rsidRPr="00B84B0C" w:rsidRDefault="00720F68" w:rsidP="00720F68">
            <w:pPr>
              <w:pStyle w:val="08-Tabelageral"/>
              <w:ind w:left="113"/>
              <w:jc w:val="left"/>
              <w:rPr>
                <w:rFonts w:cs="Arial"/>
                <w:b w:val="0"/>
                <w:lang w:val="en-US"/>
              </w:rPr>
            </w:pPr>
            <w:r w:rsidRPr="00B84B0C">
              <w:rPr>
                <w:rFonts w:cs="Arial"/>
                <w:b w:val="0"/>
                <w:lang w:val="en-US"/>
              </w:rPr>
              <w:t>Net increase in financial assets at amortized cost</w:t>
            </w:r>
          </w:p>
        </w:tc>
        <w:tc>
          <w:tcPr>
            <w:tcW w:w="567" w:type="dxa"/>
            <w:tcBorders>
              <w:top w:val="nil"/>
              <w:bottom w:val="nil"/>
            </w:tcBorders>
            <w:vAlign w:val="center"/>
          </w:tcPr>
          <w:p w14:paraId="3C05AB3A"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lang w:val="en-US"/>
              </w:rPr>
            </w:pPr>
          </w:p>
        </w:tc>
        <w:tc>
          <w:tcPr>
            <w:tcW w:w="1347" w:type="dxa"/>
            <w:tcBorders>
              <w:top w:val="nil"/>
              <w:bottom w:val="nil"/>
            </w:tcBorders>
            <w:vAlign w:val="center"/>
          </w:tcPr>
          <w:p w14:paraId="4086A43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347" w:type="dxa"/>
            <w:tcBorders>
              <w:top w:val="nil"/>
              <w:bottom w:val="nil"/>
            </w:tcBorders>
            <w:vAlign w:val="center"/>
          </w:tcPr>
          <w:p w14:paraId="0856AB2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519" w:type="dxa"/>
            <w:gridSpan w:val="2"/>
            <w:tcBorders>
              <w:top w:val="nil"/>
              <w:bottom w:val="nil"/>
            </w:tcBorders>
            <w:vAlign w:val="center"/>
          </w:tcPr>
          <w:p w14:paraId="7FF08A1F"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49EFC5B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(6,124)</w:t>
            </w:r>
          </w:p>
        </w:tc>
        <w:tc>
          <w:tcPr>
            <w:tcW w:w="1317" w:type="dxa"/>
            <w:tcBorders>
              <w:top w:val="nil"/>
              <w:bottom w:val="nil"/>
            </w:tcBorders>
            <w:vAlign w:val="center"/>
          </w:tcPr>
          <w:p w14:paraId="0E81D4E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(7,869)</w:t>
            </w:r>
          </w:p>
        </w:tc>
      </w:tr>
      <w:tr w:rsidR="00720F68" w:rsidRPr="00B84B0C" w14:paraId="445D1081"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bottom"/>
          </w:tcPr>
          <w:p w14:paraId="4AEAE443" w14:textId="77777777" w:rsidR="00720F68" w:rsidRPr="00B84B0C" w:rsidRDefault="00720F68" w:rsidP="00720F68">
            <w:pPr>
              <w:pStyle w:val="08-Tabelageral"/>
              <w:ind w:left="113"/>
              <w:jc w:val="left"/>
              <w:rPr>
                <w:rFonts w:cs="Arial"/>
                <w:b w:val="0"/>
              </w:rPr>
            </w:pPr>
            <w:r w:rsidRPr="00B84B0C">
              <w:rPr>
                <w:rFonts w:cs="Arial"/>
                <w:b w:val="0"/>
              </w:rPr>
              <w:t xml:space="preserve">Other </w:t>
            </w:r>
            <w:proofErr w:type="spellStart"/>
            <w:r w:rsidRPr="00B84B0C">
              <w:rPr>
                <w:rFonts w:cs="Arial"/>
                <w:b w:val="0"/>
              </w:rPr>
              <w:t>adjustments</w:t>
            </w:r>
            <w:proofErr w:type="spellEnd"/>
          </w:p>
        </w:tc>
        <w:tc>
          <w:tcPr>
            <w:tcW w:w="567" w:type="dxa"/>
            <w:tcBorders>
              <w:top w:val="nil"/>
              <w:bottom w:val="nil"/>
            </w:tcBorders>
            <w:vAlign w:val="center"/>
          </w:tcPr>
          <w:p w14:paraId="3043AE5D"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rPr>
            </w:pPr>
          </w:p>
        </w:tc>
        <w:tc>
          <w:tcPr>
            <w:tcW w:w="1347" w:type="dxa"/>
            <w:tcBorders>
              <w:top w:val="nil"/>
              <w:bottom w:val="nil"/>
            </w:tcBorders>
            <w:vAlign w:val="center"/>
          </w:tcPr>
          <w:p w14:paraId="2F84FF5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316</w:t>
            </w:r>
          </w:p>
        </w:tc>
        <w:tc>
          <w:tcPr>
            <w:tcW w:w="1347" w:type="dxa"/>
            <w:tcBorders>
              <w:top w:val="nil"/>
              <w:bottom w:val="nil"/>
            </w:tcBorders>
            <w:vAlign w:val="center"/>
          </w:tcPr>
          <w:p w14:paraId="1C43EF5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156</w:t>
            </w:r>
          </w:p>
        </w:tc>
        <w:tc>
          <w:tcPr>
            <w:tcW w:w="519" w:type="dxa"/>
            <w:gridSpan w:val="2"/>
            <w:tcBorders>
              <w:top w:val="nil"/>
              <w:bottom w:val="nil"/>
            </w:tcBorders>
            <w:vAlign w:val="center"/>
          </w:tcPr>
          <w:p w14:paraId="7540B9EF"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4F29F8EA"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(155)</w:t>
            </w:r>
          </w:p>
        </w:tc>
        <w:tc>
          <w:tcPr>
            <w:tcW w:w="1317" w:type="dxa"/>
            <w:tcBorders>
              <w:top w:val="nil"/>
              <w:bottom w:val="nil"/>
            </w:tcBorders>
            <w:vAlign w:val="center"/>
          </w:tcPr>
          <w:p w14:paraId="183F02D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899</w:t>
            </w:r>
          </w:p>
        </w:tc>
      </w:tr>
      <w:tr w:rsidR="00720F68" w:rsidRPr="00B84B0C" w14:paraId="01A690B6"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bottom"/>
          </w:tcPr>
          <w:p w14:paraId="414EFE41" w14:textId="77777777" w:rsidR="00720F68" w:rsidRPr="00B84B0C" w:rsidRDefault="00720F68" w:rsidP="00720F68">
            <w:pPr>
              <w:pStyle w:val="08-Tabelageral"/>
              <w:jc w:val="left"/>
              <w:rPr>
                <w:rFonts w:cs="Arial"/>
                <w:b w:val="0"/>
              </w:rPr>
            </w:pPr>
            <w:proofErr w:type="spellStart"/>
            <w:r w:rsidRPr="00B84B0C">
              <w:rPr>
                <w:rFonts w:cs="Arial"/>
              </w:rPr>
              <w:t>Adjustment</w:t>
            </w:r>
            <w:proofErr w:type="spellEnd"/>
            <w:r w:rsidRPr="00B84B0C">
              <w:rPr>
                <w:rFonts w:cs="Arial"/>
              </w:rPr>
              <w:t xml:space="preserve"> </w:t>
            </w:r>
            <w:proofErr w:type="spellStart"/>
            <w:r w:rsidRPr="00B84B0C">
              <w:rPr>
                <w:rFonts w:cs="Arial"/>
              </w:rPr>
              <w:t>to</w:t>
            </w:r>
            <w:proofErr w:type="spellEnd"/>
            <w:r w:rsidRPr="00B84B0C">
              <w:rPr>
                <w:rFonts w:cs="Arial"/>
              </w:rPr>
              <w:t xml:space="preserve"> net </w:t>
            </w:r>
            <w:proofErr w:type="spellStart"/>
            <w:r w:rsidRPr="00B84B0C">
              <w:rPr>
                <w:rFonts w:cs="Arial"/>
              </w:rPr>
              <w:t>profit</w:t>
            </w:r>
            <w:proofErr w:type="spellEnd"/>
          </w:p>
        </w:tc>
        <w:tc>
          <w:tcPr>
            <w:tcW w:w="567" w:type="dxa"/>
            <w:tcBorders>
              <w:top w:val="nil"/>
              <w:bottom w:val="nil"/>
            </w:tcBorders>
            <w:vAlign w:val="center"/>
          </w:tcPr>
          <w:p w14:paraId="0E7CD1D7"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47" w:type="dxa"/>
            <w:tcBorders>
              <w:top w:val="nil"/>
              <w:bottom w:val="nil"/>
            </w:tcBorders>
            <w:vAlign w:val="center"/>
          </w:tcPr>
          <w:p w14:paraId="658AF0DB"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28,450</w:t>
            </w:r>
          </w:p>
        </w:tc>
        <w:tc>
          <w:tcPr>
            <w:tcW w:w="1347" w:type="dxa"/>
            <w:tcBorders>
              <w:top w:val="nil"/>
              <w:bottom w:val="nil"/>
            </w:tcBorders>
            <w:vAlign w:val="center"/>
          </w:tcPr>
          <w:p w14:paraId="1E46F3E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19,767</w:t>
            </w:r>
          </w:p>
        </w:tc>
        <w:tc>
          <w:tcPr>
            <w:tcW w:w="519" w:type="dxa"/>
            <w:gridSpan w:val="2"/>
            <w:tcBorders>
              <w:top w:val="nil"/>
              <w:bottom w:val="nil"/>
            </w:tcBorders>
            <w:vAlign w:val="center"/>
          </w:tcPr>
          <w:p w14:paraId="23079F70"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48" w:type="dxa"/>
            <w:gridSpan w:val="2"/>
            <w:tcBorders>
              <w:top w:val="nil"/>
              <w:bottom w:val="nil"/>
            </w:tcBorders>
            <w:vAlign w:val="center"/>
          </w:tcPr>
          <w:p w14:paraId="767C6034"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bCs/>
                <w:szCs w:val="14"/>
              </w:rPr>
              <w:t>512,555</w:t>
            </w:r>
          </w:p>
        </w:tc>
        <w:tc>
          <w:tcPr>
            <w:tcW w:w="1317" w:type="dxa"/>
            <w:tcBorders>
              <w:top w:val="nil"/>
              <w:bottom w:val="nil"/>
            </w:tcBorders>
            <w:vAlign w:val="center"/>
          </w:tcPr>
          <w:p w14:paraId="1C83A6E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433,494</w:t>
            </w:r>
          </w:p>
        </w:tc>
      </w:tr>
      <w:tr w:rsidR="00720F68" w:rsidRPr="00B84B0C" w14:paraId="6239CD11"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6E0A50B5" w14:textId="77777777" w:rsidR="00720F68" w:rsidRPr="00B84B0C" w:rsidRDefault="00720F68" w:rsidP="00720F68">
            <w:pPr>
              <w:pStyle w:val="08-Tabelageral"/>
              <w:ind w:left="113"/>
              <w:jc w:val="left"/>
              <w:rPr>
                <w:rFonts w:cs="Arial"/>
                <w:b w:val="0"/>
                <w:szCs w:val="14"/>
              </w:rPr>
            </w:pPr>
          </w:p>
        </w:tc>
        <w:tc>
          <w:tcPr>
            <w:tcW w:w="567" w:type="dxa"/>
            <w:tcBorders>
              <w:top w:val="nil"/>
              <w:bottom w:val="nil"/>
            </w:tcBorders>
            <w:vAlign w:val="center"/>
          </w:tcPr>
          <w:p w14:paraId="1CC7319C"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rPr>
            </w:pPr>
          </w:p>
        </w:tc>
        <w:tc>
          <w:tcPr>
            <w:tcW w:w="1347" w:type="dxa"/>
            <w:tcBorders>
              <w:top w:val="nil"/>
              <w:bottom w:val="nil"/>
            </w:tcBorders>
            <w:vAlign w:val="center"/>
          </w:tcPr>
          <w:p w14:paraId="20C6E47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347" w:type="dxa"/>
            <w:tcBorders>
              <w:top w:val="nil"/>
              <w:bottom w:val="nil"/>
            </w:tcBorders>
            <w:vAlign w:val="center"/>
          </w:tcPr>
          <w:p w14:paraId="0936BAC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519" w:type="dxa"/>
            <w:gridSpan w:val="2"/>
            <w:tcBorders>
              <w:top w:val="nil"/>
              <w:bottom w:val="nil"/>
            </w:tcBorders>
            <w:vAlign w:val="center"/>
          </w:tcPr>
          <w:p w14:paraId="13A894E7"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45651A4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317" w:type="dxa"/>
            <w:tcBorders>
              <w:top w:val="nil"/>
              <w:bottom w:val="nil"/>
            </w:tcBorders>
            <w:vAlign w:val="center"/>
          </w:tcPr>
          <w:p w14:paraId="52AD6CF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049734D1"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5E7CEBC0" w14:textId="77777777" w:rsidR="00720F68" w:rsidRPr="00B84B0C" w:rsidRDefault="00720F68" w:rsidP="00720F68">
            <w:pPr>
              <w:pStyle w:val="08-Tabelageral"/>
              <w:jc w:val="left"/>
              <w:rPr>
                <w:rFonts w:cs="Arial"/>
                <w:b w:val="0"/>
                <w:lang w:val="en-US"/>
              </w:rPr>
            </w:pPr>
            <w:r w:rsidRPr="00B84B0C">
              <w:rPr>
                <w:rFonts w:cs="Arial"/>
                <w:lang w:val="en-US"/>
              </w:rPr>
              <w:t>Changes in balance sheet items:</w:t>
            </w:r>
          </w:p>
        </w:tc>
        <w:tc>
          <w:tcPr>
            <w:tcW w:w="567" w:type="dxa"/>
            <w:tcBorders>
              <w:top w:val="nil"/>
              <w:bottom w:val="nil"/>
            </w:tcBorders>
            <w:vAlign w:val="center"/>
          </w:tcPr>
          <w:p w14:paraId="796D1823"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lang w:val="en-US"/>
              </w:rPr>
            </w:pPr>
          </w:p>
        </w:tc>
        <w:tc>
          <w:tcPr>
            <w:tcW w:w="1347" w:type="dxa"/>
            <w:tcBorders>
              <w:top w:val="nil"/>
              <w:bottom w:val="nil"/>
            </w:tcBorders>
            <w:vAlign w:val="center"/>
          </w:tcPr>
          <w:p w14:paraId="6943EC6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47" w:type="dxa"/>
            <w:tcBorders>
              <w:top w:val="nil"/>
              <w:bottom w:val="nil"/>
            </w:tcBorders>
            <w:vAlign w:val="center"/>
          </w:tcPr>
          <w:p w14:paraId="6DD1F93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p>
        </w:tc>
        <w:tc>
          <w:tcPr>
            <w:tcW w:w="519" w:type="dxa"/>
            <w:gridSpan w:val="2"/>
            <w:tcBorders>
              <w:top w:val="nil"/>
              <w:bottom w:val="nil"/>
            </w:tcBorders>
            <w:vAlign w:val="center"/>
          </w:tcPr>
          <w:p w14:paraId="2B52E191"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48" w:type="dxa"/>
            <w:gridSpan w:val="2"/>
            <w:tcBorders>
              <w:top w:val="nil"/>
              <w:bottom w:val="nil"/>
            </w:tcBorders>
            <w:vAlign w:val="center"/>
          </w:tcPr>
          <w:p w14:paraId="25A433D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17" w:type="dxa"/>
            <w:tcBorders>
              <w:top w:val="nil"/>
              <w:bottom w:val="nil"/>
            </w:tcBorders>
            <w:vAlign w:val="center"/>
          </w:tcPr>
          <w:p w14:paraId="2765B9D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p>
        </w:tc>
      </w:tr>
      <w:tr w:rsidR="00720F68" w:rsidRPr="00B84B0C" w14:paraId="6718E37F"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37D1E2E2" w14:textId="77777777" w:rsidR="00720F68" w:rsidRPr="00B84B0C" w:rsidRDefault="00720F68" w:rsidP="00720F68">
            <w:pPr>
              <w:pStyle w:val="08-Tabelageral"/>
              <w:ind w:left="113"/>
              <w:jc w:val="left"/>
              <w:rPr>
                <w:rFonts w:cs="Arial"/>
                <w:b w:val="0"/>
                <w:lang w:val="en-US"/>
              </w:rPr>
            </w:pPr>
            <w:r w:rsidRPr="00B84B0C">
              <w:rPr>
                <w:rFonts w:cs="Arial"/>
                <w:b w:val="0"/>
                <w:lang w:val="en-US"/>
              </w:rPr>
              <w:t>Financial assets at fair value through profit or loss</w:t>
            </w:r>
          </w:p>
        </w:tc>
        <w:tc>
          <w:tcPr>
            <w:tcW w:w="567" w:type="dxa"/>
            <w:tcBorders>
              <w:top w:val="nil"/>
              <w:bottom w:val="nil"/>
            </w:tcBorders>
            <w:vAlign w:val="center"/>
          </w:tcPr>
          <w:p w14:paraId="09F9D158"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lang w:val="en-US"/>
              </w:rPr>
            </w:pPr>
          </w:p>
        </w:tc>
        <w:tc>
          <w:tcPr>
            <w:tcW w:w="1347" w:type="dxa"/>
            <w:tcBorders>
              <w:top w:val="nil"/>
              <w:bottom w:val="nil"/>
            </w:tcBorders>
            <w:vAlign w:val="center"/>
          </w:tcPr>
          <w:p w14:paraId="4FE0DD4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(169)</w:t>
            </w:r>
          </w:p>
        </w:tc>
        <w:tc>
          <w:tcPr>
            <w:tcW w:w="1347" w:type="dxa"/>
            <w:tcBorders>
              <w:top w:val="nil"/>
              <w:bottom w:val="nil"/>
            </w:tcBorders>
            <w:vAlign w:val="center"/>
          </w:tcPr>
          <w:p w14:paraId="009500FA"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(829)</w:t>
            </w:r>
          </w:p>
        </w:tc>
        <w:tc>
          <w:tcPr>
            <w:tcW w:w="519" w:type="dxa"/>
            <w:gridSpan w:val="2"/>
            <w:tcBorders>
              <w:top w:val="nil"/>
              <w:bottom w:val="nil"/>
            </w:tcBorders>
            <w:vAlign w:val="center"/>
          </w:tcPr>
          <w:p w14:paraId="6F531BA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248" w:type="dxa"/>
            <w:gridSpan w:val="2"/>
            <w:tcBorders>
              <w:top w:val="nil"/>
              <w:bottom w:val="nil"/>
            </w:tcBorders>
            <w:vAlign w:val="center"/>
          </w:tcPr>
          <w:p w14:paraId="6259F08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(1,939)</w:t>
            </w:r>
          </w:p>
        </w:tc>
        <w:tc>
          <w:tcPr>
            <w:tcW w:w="1317" w:type="dxa"/>
            <w:tcBorders>
              <w:top w:val="nil"/>
              <w:bottom w:val="nil"/>
            </w:tcBorders>
            <w:vAlign w:val="center"/>
          </w:tcPr>
          <w:p w14:paraId="2F6C417B"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(7,549)</w:t>
            </w:r>
          </w:p>
        </w:tc>
      </w:tr>
      <w:tr w:rsidR="00720F68" w:rsidRPr="00B84B0C" w14:paraId="3A2BB0E7"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40DC7AD8" w14:textId="77777777" w:rsidR="00720F68" w:rsidRPr="00B84B0C" w:rsidRDefault="00720F68" w:rsidP="00720F68">
            <w:pPr>
              <w:pStyle w:val="08-Tabelageral"/>
              <w:ind w:left="113"/>
              <w:jc w:val="left"/>
              <w:rPr>
                <w:rFonts w:cs="Arial"/>
                <w:b w:val="0"/>
                <w:lang w:val="en-US"/>
              </w:rPr>
            </w:pPr>
            <w:r w:rsidRPr="00B84B0C">
              <w:rPr>
                <w:rFonts w:cs="Arial"/>
                <w:b w:val="0"/>
                <w:lang w:val="en-US"/>
              </w:rPr>
              <w:t>Current tax assets and deferred tax assets</w:t>
            </w:r>
          </w:p>
        </w:tc>
        <w:tc>
          <w:tcPr>
            <w:tcW w:w="567" w:type="dxa"/>
            <w:tcBorders>
              <w:top w:val="nil"/>
              <w:bottom w:val="nil"/>
            </w:tcBorders>
            <w:vAlign w:val="center"/>
          </w:tcPr>
          <w:p w14:paraId="65618609"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lang w:val="en-US"/>
              </w:rPr>
            </w:pPr>
          </w:p>
        </w:tc>
        <w:tc>
          <w:tcPr>
            <w:tcW w:w="1347" w:type="dxa"/>
            <w:tcBorders>
              <w:top w:val="nil"/>
              <w:bottom w:val="nil"/>
            </w:tcBorders>
            <w:vAlign w:val="center"/>
          </w:tcPr>
          <w:p w14:paraId="695FF1B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(16,697)</w:t>
            </w:r>
          </w:p>
        </w:tc>
        <w:tc>
          <w:tcPr>
            <w:tcW w:w="1347" w:type="dxa"/>
            <w:tcBorders>
              <w:top w:val="nil"/>
              <w:bottom w:val="nil"/>
            </w:tcBorders>
            <w:vAlign w:val="center"/>
          </w:tcPr>
          <w:p w14:paraId="20C9E423"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(14,434)</w:t>
            </w:r>
          </w:p>
        </w:tc>
        <w:tc>
          <w:tcPr>
            <w:tcW w:w="519" w:type="dxa"/>
            <w:gridSpan w:val="2"/>
            <w:tcBorders>
              <w:top w:val="nil"/>
              <w:bottom w:val="nil"/>
            </w:tcBorders>
            <w:vAlign w:val="center"/>
          </w:tcPr>
          <w:p w14:paraId="7C41CB9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48" w:type="dxa"/>
            <w:gridSpan w:val="2"/>
            <w:tcBorders>
              <w:top w:val="nil"/>
              <w:bottom w:val="nil"/>
            </w:tcBorders>
            <w:vAlign w:val="center"/>
          </w:tcPr>
          <w:p w14:paraId="032C0E2A"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(97,727)</w:t>
            </w:r>
          </w:p>
        </w:tc>
        <w:tc>
          <w:tcPr>
            <w:tcW w:w="1317" w:type="dxa"/>
            <w:tcBorders>
              <w:top w:val="nil"/>
              <w:bottom w:val="nil"/>
            </w:tcBorders>
            <w:vAlign w:val="center"/>
          </w:tcPr>
          <w:p w14:paraId="4C281EA0"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(37,154)</w:t>
            </w:r>
          </w:p>
        </w:tc>
      </w:tr>
      <w:tr w:rsidR="00720F68" w:rsidRPr="00B84B0C" w14:paraId="7835E2C4"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392E510E" w14:textId="77777777" w:rsidR="00720F68" w:rsidRPr="00B84B0C" w:rsidRDefault="00720F68" w:rsidP="00720F68">
            <w:pPr>
              <w:pStyle w:val="08-Tabelageral"/>
              <w:ind w:left="113"/>
              <w:jc w:val="left"/>
              <w:rPr>
                <w:rFonts w:cs="Arial"/>
                <w:b w:val="0"/>
              </w:rPr>
            </w:pPr>
            <w:proofErr w:type="spellStart"/>
            <w:r w:rsidRPr="00B84B0C">
              <w:rPr>
                <w:rFonts w:cs="Arial"/>
                <w:b w:val="0"/>
              </w:rPr>
              <w:t>Commissions</w:t>
            </w:r>
            <w:proofErr w:type="spellEnd"/>
            <w:r w:rsidRPr="00B84B0C">
              <w:rPr>
                <w:rFonts w:cs="Arial"/>
                <w:b w:val="0"/>
              </w:rPr>
              <w:t xml:space="preserve"> </w:t>
            </w:r>
            <w:proofErr w:type="spellStart"/>
            <w:r w:rsidRPr="00B84B0C">
              <w:rPr>
                <w:rFonts w:cs="Arial"/>
                <w:b w:val="0"/>
              </w:rPr>
              <w:t>receivable</w:t>
            </w:r>
            <w:proofErr w:type="spellEnd"/>
          </w:p>
        </w:tc>
        <w:tc>
          <w:tcPr>
            <w:tcW w:w="567" w:type="dxa"/>
            <w:tcBorders>
              <w:top w:val="nil"/>
              <w:bottom w:val="nil"/>
            </w:tcBorders>
            <w:vAlign w:val="center"/>
          </w:tcPr>
          <w:p w14:paraId="40E85656"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rPr>
            </w:pPr>
          </w:p>
        </w:tc>
        <w:tc>
          <w:tcPr>
            <w:tcW w:w="1347" w:type="dxa"/>
            <w:tcBorders>
              <w:top w:val="nil"/>
              <w:bottom w:val="nil"/>
            </w:tcBorders>
            <w:vAlign w:val="center"/>
          </w:tcPr>
          <w:p w14:paraId="2C44E95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347" w:type="dxa"/>
            <w:tcBorders>
              <w:top w:val="nil"/>
              <w:bottom w:val="nil"/>
            </w:tcBorders>
            <w:vAlign w:val="center"/>
          </w:tcPr>
          <w:p w14:paraId="6AB7E4F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519" w:type="dxa"/>
            <w:gridSpan w:val="2"/>
            <w:tcBorders>
              <w:top w:val="nil"/>
              <w:bottom w:val="nil"/>
            </w:tcBorders>
            <w:vAlign w:val="center"/>
          </w:tcPr>
          <w:p w14:paraId="2BD72947"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248" w:type="dxa"/>
            <w:gridSpan w:val="2"/>
            <w:tcBorders>
              <w:top w:val="nil"/>
              <w:bottom w:val="nil"/>
            </w:tcBorders>
            <w:vAlign w:val="center"/>
          </w:tcPr>
          <w:p w14:paraId="78574AF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168,913</w:t>
            </w:r>
          </w:p>
        </w:tc>
        <w:tc>
          <w:tcPr>
            <w:tcW w:w="1317" w:type="dxa"/>
            <w:tcBorders>
              <w:top w:val="nil"/>
              <w:bottom w:val="nil"/>
            </w:tcBorders>
            <w:vAlign w:val="center"/>
          </w:tcPr>
          <w:p w14:paraId="47E35B6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192,970</w:t>
            </w:r>
          </w:p>
        </w:tc>
      </w:tr>
      <w:tr w:rsidR="00720F68" w:rsidRPr="00B84B0C" w14:paraId="4CCBF33F"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4649786E" w14:textId="77777777" w:rsidR="00720F68" w:rsidRPr="00B84B0C" w:rsidRDefault="00720F68" w:rsidP="00720F68">
            <w:pPr>
              <w:pStyle w:val="08-Tabelageral"/>
              <w:ind w:left="113"/>
              <w:jc w:val="left"/>
              <w:rPr>
                <w:rFonts w:cs="Arial"/>
                <w:b w:val="0"/>
              </w:rPr>
            </w:pPr>
            <w:r w:rsidRPr="00B84B0C">
              <w:rPr>
                <w:rFonts w:cs="Arial"/>
                <w:b w:val="0"/>
              </w:rPr>
              <w:t xml:space="preserve">Other </w:t>
            </w:r>
            <w:proofErr w:type="spellStart"/>
            <w:r w:rsidRPr="00B84B0C">
              <w:rPr>
                <w:rFonts w:cs="Arial"/>
                <w:b w:val="0"/>
              </w:rPr>
              <w:t>assets</w:t>
            </w:r>
            <w:proofErr w:type="spellEnd"/>
          </w:p>
        </w:tc>
        <w:tc>
          <w:tcPr>
            <w:tcW w:w="567" w:type="dxa"/>
            <w:tcBorders>
              <w:top w:val="nil"/>
              <w:bottom w:val="nil"/>
            </w:tcBorders>
            <w:vAlign w:val="center"/>
          </w:tcPr>
          <w:p w14:paraId="0B9DFE4A"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p>
        </w:tc>
        <w:tc>
          <w:tcPr>
            <w:tcW w:w="1347" w:type="dxa"/>
            <w:tcBorders>
              <w:top w:val="nil"/>
              <w:bottom w:val="nil"/>
            </w:tcBorders>
            <w:vAlign w:val="center"/>
          </w:tcPr>
          <w:p w14:paraId="473106B1"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(2,722)</w:t>
            </w:r>
          </w:p>
        </w:tc>
        <w:tc>
          <w:tcPr>
            <w:tcW w:w="1347" w:type="dxa"/>
            <w:tcBorders>
              <w:top w:val="nil"/>
              <w:bottom w:val="nil"/>
            </w:tcBorders>
            <w:vAlign w:val="center"/>
          </w:tcPr>
          <w:p w14:paraId="3EDA9BC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717</w:t>
            </w:r>
          </w:p>
        </w:tc>
        <w:tc>
          <w:tcPr>
            <w:tcW w:w="519" w:type="dxa"/>
            <w:gridSpan w:val="2"/>
            <w:tcBorders>
              <w:top w:val="nil"/>
              <w:bottom w:val="nil"/>
            </w:tcBorders>
            <w:vAlign w:val="center"/>
          </w:tcPr>
          <w:p w14:paraId="6396F536"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48" w:type="dxa"/>
            <w:gridSpan w:val="2"/>
            <w:tcBorders>
              <w:top w:val="nil"/>
              <w:bottom w:val="nil"/>
            </w:tcBorders>
            <w:vAlign w:val="center"/>
          </w:tcPr>
          <w:p w14:paraId="314A033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(6,660)</w:t>
            </w:r>
          </w:p>
        </w:tc>
        <w:tc>
          <w:tcPr>
            <w:tcW w:w="1317" w:type="dxa"/>
            <w:tcBorders>
              <w:top w:val="nil"/>
              <w:bottom w:val="nil"/>
            </w:tcBorders>
            <w:vAlign w:val="center"/>
          </w:tcPr>
          <w:p w14:paraId="7F6B2734"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(7,984)</w:t>
            </w:r>
          </w:p>
        </w:tc>
      </w:tr>
      <w:tr w:rsidR="00720F68" w:rsidRPr="00B84B0C" w14:paraId="58C00546"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473F8D61" w14:textId="77777777" w:rsidR="00720F68" w:rsidRPr="00B84B0C" w:rsidRDefault="00720F68" w:rsidP="00720F68">
            <w:pPr>
              <w:pStyle w:val="08-Tabelageral"/>
              <w:ind w:left="113"/>
              <w:jc w:val="left"/>
              <w:rPr>
                <w:rFonts w:cs="Arial"/>
                <w:b w:val="0"/>
              </w:rPr>
            </w:pPr>
            <w:proofErr w:type="spellStart"/>
            <w:r w:rsidRPr="00B84B0C">
              <w:rPr>
                <w:rFonts w:cs="Arial"/>
                <w:b w:val="0"/>
              </w:rPr>
              <w:t>Unearned</w:t>
            </w:r>
            <w:proofErr w:type="spellEnd"/>
            <w:r w:rsidRPr="00B84B0C">
              <w:rPr>
                <w:rFonts w:cs="Arial"/>
                <w:b w:val="0"/>
              </w:rPr>
              <w:t xml:space="preserve"> </w:t>
            </w:r>
            <w:proofErr w:type="spellStart"/>
            <w:r w:rsidRPr="00B84B0C">
              <w:rPr>
                <w:rFonts w:cs="Arial"/>
                <w:b w:val="0"/>
              </w:rPr>
              <w:t>commissions</w:t>
            </w:r>
            <w:proofErr w:type="spellEnd"/>
          </w:p>
        </w:tc>
        <w:tc>
          <w:tcPr>
            <w:tcW w:w="567" w:type="dxa"/>
            <w:tcBorders>
              <w:top w:val="nil"/>
              <w:bottom w:val="nil"/>
            </w:tcBorders>
            <w:vAlign w:val="center"/>
          </w:tcPr>
          <w:p w14:paraId="6C1FA5BE"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rPr>
            </w:pPr>
          </w:p>
        </w:tc>
        <w:tc>
          <w:tcPr>
            <w:tcW w:w="1347" w:type="dxa"/>
            <w:tcBorders>
              <w:top w:val="nil"/>
              <w:bottom w:val="nil"/>
            </w:tcBorders>
            <w:vAlign w:val="center"/>
          </w:tcPr>
          <w:p w14:paraId="15264C4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347" w:type="dxa"/>
            <w:tcBorders>
              <w:top w:val="nil"/>
              <w:bottom w:val="nil"/>
            </w:tcBorders>
            <w:vAlign w:val="center"/>
          </w:tcPr>
          <w:p w14:paraId="7948388B"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519" w:type="dxa"/>
            <w:gridSpan w:val="2"/>
            <w:tcBorders>
              <w:top w:val="nil"/>
              <w:bottom w:val="nil"/>
            </w:tcBorders>
            <w:vAlign w:val="center"/>
          </w:tcPr>
          <w:p w14:paraId="62AE320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248" w:type="dxa"/>
            <w:gridSpan w:val="2"/>
            <w:tcBorders>
              <w:top w:val="nil"/>
              <w:bottom w:val="nil"/>
            </w:tcBorders>
            <w:vAlign w:val="center"/>
          </w:tcPr>
          <w:p w14:paraId="4FC1B7AB"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30,817</w:t>
            </w:r>
          </w:p>
        </w:tc>
        <w:tc>
          <w:tcPr>
            <w:tcW w:w="1317" w:type="dxa"/>
            <w:tcBorders>
              <w:top w:val="nil"/>
              <w:bottom w:val="nil"/>
            </w:tcBorders>
            <w:vAlign w:val="center"/>
          </w:tcPr>
          <w:p w14:paraId="55AFEA65"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5,982</w:t>
            </w:r>
          </w:p>
        </w:tc>
      </w:tr>
      <w:tr w:rsidR="00720F68" w:rsidRPr="00B84B0C" w14:paraId="437D78C3"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59972D70" w14:textId="77777777" w:rsidR="00720F68" w:rsidRPr="00B84B0C" w:rsidRDefault="00720F68" w:rsidP="00720F68">
            <w:pPr>
              <w:pStyle w:val="08-Tabelageral"/>
              <w:ind w:left="113"/>
              <w:jc w:val="left"/>
              <w:rPr>
                <w:rFonts w:cs="Arial"/>
                <w:b w:val="0"/>
                <w:lang w:val="en-US"/>
              </w:rPr>
            </w:pPr>
            <w:r w:rsidRPr="00B84B0C">
              <w:rPr>
                <w:rFonts w:cs="Arial"/>
                <w:b w:val="0"/>
                <w:lang w:val="en-US"/>
              </w:rPr>
              <w:t>Current tax liabilities and deferred tax liabilities</w:t>
            </w:r>
          </w:p>
        </w:tc>
        <w:tc>
          <w:tcPr>
            <w:tcW w:w="567" w:type="dxa"/>
            <w:tcBorders>
              <w:top w:val="nil"/>
              <w:bottom w:val="nil"/>
            </w:tcBorders>
            <w:vAlign w:val="center"/>
          </w:tcPr>
          <w:p w14:paraId="17B707D1"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lang w:val="en-US"/>
              </w:rPr>
            </w:pPr>
          </w:p>
        </w:tc>
        <w:tc>
          <w:tcPr>
            <w:tcW w:w="1347" w:type="dxa"/>
            <w:tcBorders>
              <w:top w:val="nil"/>
              <w:bottom w:val="nil"/>
            </w:tcBorders>
            <w:vAlign w:val="center"/>
          </w:tcPr>
          <w:p w14:paraId="63B3A681"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5,596</w:t>
            </w:r>
          </w:p>
        </w:tc>
        <w:tc>
          <w:tcPr>
            <w:tcW w:w="1347" w:type="dxa"/>
            <w:tcBorders>
              <w:top w:val="nil"/>
              <w:bottom w:val="nil"/>
            </w:tcBorders>
            <w:vAlign w:val="center"/>
          </w:tcPr>
          <w:p w14:paraId="7E078AE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(931)</w:t>
            </w:r>
          </w:p>
        </w:tc>
        <w:tc>
          <w:tcPr>
            <w:tcW w:w="519" w:type="dxa"/>
            <w:gridSpan w:val="2"/>
            <w:tcBorders>
              <w:top w:val="nil"/>
              <w:bottom w:val="nil"/>
            </w:tcBorders>
            <w:vAlign w:val="center"/>
          </w:tcPr>
          <w:p w14:paraId="0269FE7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48" w:type="dxa"/>
            <w:gridSpan w:val="2"/>
            <w:tcBorders>
              <w:top w:val="nil"/>
              <w:bottom w:val="nil"/>
            </w:tcBorders>
            <w:vAlign w:val="center"/>
          </w:tcPr>
          <w:p w14:paraId="3754F16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(365,267)</w:t>
            </w:r>
          </w:p>
        </w:tc>
        <w:tc>
          <w:tcPr>
            <w:tcW w:w="1317" w:type="dxa"/>
            <w:tcBorders>
              <w:top w:val="nil"/>
              <w:bottom w:val="nil"/>
            </w:tcBorders>
            <w:vAlign w:val="center"/>
          </w:tcPr>
          <w:p w14:paraId="50BED1A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(389,333)</w:t>
            </w:r>
          </w:p>
        </w:tc>
      </w:tr>
      <w:tr w:rsidR="00720F68" w:rsidRPr="00B84B0C" w14:paraId="135575D7"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3F8EB82B" w14:textId="77777777" w:rsidR="00720F68" w:rsidRPr="00B84B0C" w:rsidRDefault="00720F68" w:rsidP="00720F68">
            <w:pPr>
              <w:pStyle w:val="08-Tabelageral"/>
              <w:ind w:left="113"/>
              <w:jc w:val="left"/>
              <w:rPr>
                <w:rFonts w:cs="Arial"/>
                <w:b w:val="0"/>
              </w:rPr>
            </w:pPr>
            <w:r w:rsidRPr="00B84B0C">
              <w:rPr>
                <w:rFonts w:cs="Arial"/>
                <w:b w:val="0"/>
              </w:rPr>
              <w:t xml:space="preserve">Other </w:t>
            </w:r>
            <w:proofErr w:type="spellStart"/>
            <w:r w:rsidRPr="00B84B0C">
              <w:rPr>
                <w:rFonts w:cs="Arial"/>
                <w:b w:val="0"/>
              </w:rPr>
              <w:t>liabilities</w:t>
            </w:r>
            <w:proofErr w:type="spellEnd"/>
          </w:p>
        </w:tc>
        <w:tc>
          <w:tcPr>
            <w:tcW w:w="567" w:type="dxa"/>
            <w:tcBorders>
              <w:top w:val="nil"/>
              <w:bottom w:val="nil"/>
            </w:tcBorders>
            <w:vAlign w:val="center"/>
          </w:tcPr>
          <w:p w14:paraId="613C0F9A"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rPr>
            </w:pPr>
          </w:p>
        </w:tc>
        <w:tc>
          <w:tcPr>
            <w:tcW w:w="1347" w:type="dxa"/>
            <w:tcBorders>
              <w:top w:val="nil"/>
              <w:bottom w:val="nil"/>
            </w:tcBorders>
            <w:vAlign w:val="center"/>
          </w:tcPr>
          <w:p w14:paraId="582F79C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(617)</w:t>
            </w:r>
          </w:p>
        </w:tc>
        <w:tc>
          <w:tcPr>
            <w:tcW w:w="1347" w:type="dxa"/>
            <w:tcBorders>
              <w:top w:val="nil"/>
              <w:bottom w:val="nil"/>
            </w:tcBorders>
            <w:vAlign w:val="center"/>
          </w:tcPr>
          <w:p w14:paraId="3060E57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(2,810)</w:t>
            </w:r>
          </w:p>
        </w:tc>
        <w:tc>
          <w:tcPr>
            <w:tcW w:w="519" w:type="dxa"/>
            <w:gridSpan w:val="2"/>
            <w:tcBorders>
              <w:top w:val="nil"/>
              <w:bottom w:val="nil"/>
            </w:tcBorders>
            <w:vAlign w:val="center"/>
          </w:tcPr>
          <w:p w14:paraId="1051172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248" w:type="dxa"/>
            <w:gridSpan w:val="2"/>
            <w:tcBorders>
              <w:top w:val="nil"/>
              <w:bottom w:val="nil"/>
            </w:tcBorders>
            <w:vAlign w:val="center"/>
          </w:tcPr>
          <w:p w14:paraId="11F2CB41"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9,889</w:t>
            </w:r>
          </w:p>
        </w:tc>
        <w:tc>
          <w:tcPr>
            <w:tcW w:w="1317" w:type="dxa"/>
            <w:tcBorders>
              <w:top w:val="nil"/>
              <w:bottom w:val="nil"/>
            </w:tcBorders>
            <w:vAlign w:val="center"/>
          </w:tcPr>
          <w:p w14:paraId="2A6C2F0B"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6,419</w:t>
            </w:r>
          </w:p>
        </w:tc>
      </w:tr>
      <w:tr w:rsidR="00720F68" w:rsidRPr="00B84B0C" w14:paraId="6CB74940"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50967F76" w14:textId="77777777" w:rsidR="00720F68" w:rsidRPr="00B84B0C" w:rsidRDefault="00720F68" w:rsidP="00720F68">
            <w:pPr>
              <w:pStyle w:val="08-Tabelageral"/>
              <w:jc w:val="left"/>
              <w:rPr>
                <w:rFonts w:cs="Arial"/>
                <w:b w:val="0"/>
                <w:lang w:val="en-US"/>
              </w:rPr>
            </w:pPr>
            <w:r w:rsidRPr="00B84B0C">
              <w:rPr>
                <w:rFonts w:cs="Arial"/>
                <w:lang w:val="en-US"/>
              </w:rPr>
              <w:t>Cash provided by operating activities</w:t>
            </w:r>
          </w:p>
        </w:tc>
        <w:tc>
          <w:tcPr>
            <w:tcW w:w="567" w:type="dxa"/>
            <w:tcBorders>
              <w:top w:val="nil"/>
              <w:bottom w:val="nil"/>
            </w:tcBorders>
            <w:vAlign w:val="center"/>
          </w:tcPr>
          <w:p w14:paraId="38A4C136"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47" w:type="dxa"/>
            <w:tcBorders>
              <w:top w:val="nil"/>
              <w:bottom w:val="nil"/>
            </w:tcBorders>
            <w:vAlign w:val="center"/>
          </w:tcPr>
          <w:p w14:paraId="23950B5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13,841</w:t>
            </w:r>
          </w:p>
        </w:tc>
        <w:tc>
          <w:tcPr>
            <w:tcW w:w="1347" w:type="dxa"/>
            <w:tcBorders>
              <w:top w:val="nil"/>
              <w:bottom w:val="nil"/>
            </w:tcBorders>
            <w:vAlign w:val="center"/>
          </w:tcPr>
          <w:p w14:paraId="27DFB59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1,480</w:t>
            </w:r>
          </w:p>
        </w:tc>
        <w:tc>
          <w:tcPr>
            <w:tcW w:w="519" w:type="dxa"/>
            <w:gridSpan w:val="2"/>
            <w:tcBorders>
              <w:top w:val="nil"/>
              <w:bottom w:val="nil"/>
            </w:tcBorders>
            <w:vAlign w:val="center"/>
          </w:tcPr>
          <w:p w14:paraId="4C46E85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48" w:type="dxa"/>
            <w:gridSpan w:val="2"/>
            <w:tcBorders>
              <w:top w:val="nil"/>
              <w:bottom w:val="nil"/>
            </w:tcBorders>
            <w:vAlign w:val="center"/>
          </w:tcPr>
          <w:p w14:paraId="574BC35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256,705</w:t>
            </w:r>
          </w:p>
        </w:tc>
        <w:tc>
          <w:tcPr>
            <w:tcW w:w="1317" w:type="dxa"/>
            <w:tcBorders>
              <w:top w:val="nil"/>
              <w:bottom w:val="nil"/>
            </w:tcBorders>
            <w:vAlign w:val="center"/>
          </w:tcPr>
          <w:p w14:paraId="1092D9B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204,714</w:t>
            </w:r>
          </w:p>
        </w:tc>
      </w:tr>
      <w:tr w:rsidR="00720F68" w:rsidRPr="00B84B0C" w14:paraId="188AD3F5"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4E81FB2F" w14:textId="77777777" w:rsidR="00720F68" w:rsidRPr="00B84B0C" w:rsidRDefault="00720F68" w:rsidP="00720F68">
            <w:pPr>
              <w:pStyle w:val="08-Tabelageral"/>
              <w:ind w:left="113"/>
              <w:jc w:val="left"/>
              <w:rPr>
                <w:rFonts w:cs="Arial"/>
                <w:b w:val="0"/>
              </w:rPr>
            </w:pPr>
          </w:p>
        </w:tc>
        <w:tc>
          <w:tcPr>
            <w:tcW w:w="567" w:type="dxa"/>
            <w:tcBorders>
              <w:top w:val="nil"/>
              <w:bottom w:val="nil"/>
            </w:tcBorders>
            <w:vAlign w:val="center"/>
          </w:tcPr>
          <w:p w14:paraId="6B8E194E"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347" w:type="dxa"/>
            <w:tcBorders>
              <w:top w:val="nil"/>
              <w:bottom w:val="nil"/>
            </w:tcBorders>
            <w:vAlign w:val="center"/>
          </w:tcPr>
          <w:p w14:paraId="456DC05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347" w:type="dxa"/>
            <w:tcBorders>
              <w:top w:val="nil"/>
              <w:bottom w:val="nil"/>
            </w:tcBorders>
            <w:vAlign w:val="center"/>
          </w:tcPr>
          <w:p w14:paraId="1E79B9E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519" w:type="dxa"/>
            <w:gridSpan w:val="2"/>
            <w:tcBorders>
              <w:top w:val="nil"/>
              <w:bottom w:val="nil"/>
            </w:tcBorders>
            <w:vAlign w:val="center"/>
          </w:tcPr>
          <w:p w14:paraId="3EDCBD8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355F1D1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317" w:type="dxa"/>
            <w:tcBorders>
              <w:top w:val="nil"/>
              <w:bottom w:val="nil"/>
            </w:tcBorders>
            <w:vAlign w:val="center"/>
          </w:tcPr>
          <w:p w14:paraId="1CEBAE4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51E5935A"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20F22DE1" w14:textId="77777777" w:rsidR="00720F68" w:rsidRPr="00B84B0C" w:rsidRDefault="00720F68" w:rsidP="00720F68">
            <w:pPr>
              <w:pStyle w:val="08-Tabelageral"/>
              <w:jc w:val="left"/>
              <w:rPr>
                <w:rFonts w:cs="Arial"/>
                <w:b w:val="0"/>
                <w:lang w:val="en-US"/>
              </w:rPr>
            </w:pPr>
            <w:r w:rsidRPr="00B84B0C">
              <w:rPr>
                <w:rFonts w:cs="Arial"/>
                <w:lang w:val="en-US"/>
              </w:rPr>
              <w:t>Cash flow from investment activities</w:t>
            </w:r>
          </w:p>
        </w:tc>
        <w:tc>
          <w:tcPr>
            <w:tcW w:w="567" w:type="dxa"/>
            <w:tcBorders>
              <w:top w:val="nil"/>
              <w:bottom w:val="nil"/>
            </w:tcBorders>
            <w:vAlign w:val="center"/>
          </w:tcPr>
          <w:p w14:paraId="05D6DC58"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47" w:type="dxa"/>
            <w:tcBorders>
              <w:top w:val="nil"/>
              <w:bottom w:val="nil"/>
            </w:tcBorders>
            <w:vAlign w:val="center"/>
          </w:tcPr>
          <w:p w14:paraId="1ECFDA0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47" w:type="dxa"/>
            <w:tcBorders>
              <w:top w:val="nil"/>
              <w:bottom w:val="nil"/>
            </w:tcBorders>
            <w:vAlign w:val="center"/>
          </w:tcPr>
          <w:p w14:paraId="26EB67D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p>
        </w:tc>
        <w:tc>
          <w:tcPr>
            <w:tcW w:w="519" w:type="dxa"/>
            <w:gridSpan w:val="2"/>
            <w:tcBorders>
              <w:top w:val="nil"/>
              <w:bottom w:val="nil"/>
            </w:tcBorders>
            <w:vAlign w:val="center"/>
          </w:tcPr>
          <w:p w14:paraId="2FFBE9F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248" w:type="dxa"/>
            <w:gridSpan w:val="2"/>
            <w:tcBorders>
              <w:top w:val="nil"/>
              <w:bottom w:val="nil"/>
            </w:tcBorders>
            <w:vAlign w:val="center"/>
          </w:tcPr>
          <w:p w14:paraId="6E4B856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17" w:type="dxa"/>
            <w:tcBorders>
              <w:top w:val="nil"/>
              <w:bottom w:val="nil"/>
            </w:tcBorders>
            <w:vAlign w:val="center"/>
          </w:tcPr>
          <w:p w14:paraId="624A27C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p>
        </w:tc>
      </w:tr>
      <w:tr w:rsidR="00720F68" w:rsidRPr="00B84B0C" w14:paraId="4547A79A"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6F52C027" w14:textId="77777777" w:rsidR="00720F68" w:rsidRPr="00B84B0C" w:rsidRDefault="00720F68" w:rsidP="00720F68">
            <w:pPr>
              <w:pStyle w:val="08-Tabelageral"/>
              <w:ind w:left="113"/>
              <w:jc w:val="left"/>
              <w:rPr>
                <w:rFonts w:cs="Arial"/>
                <w:b w:val="0"/>
              </w:rPr>
            </w:pPr>
            <w:proofErr w:type="spellStart"/>
            <w:r w:rsidRPr="00B84B0C">
              <w:rPr>
                <w:rFonts w:cs="Arial"/>
                <w:b w:val="0"/>
              </w:rPr>
              <w:t>Dividends</w:t>
            </w:r>
            <w:proofErr w:type="spellEnd"/>
            <w:r w:rsidRPr="00B84B0C">
              <w:rPr>
                <w:rFonts w:cs="Arial"/>
                <w:b w:val="0"/>
              </w:rPr>
              <w:t xml:space="preserve"> </w:t>
            </w:r>
            <w:proofErr w:type="spellStart"/>
            <w:r w:rsidRPr="00B84B0C">
              <w:rPr>
                <w:rFonts w:cs="Arial"/>
                <w:b w:val="0"/>
              </w:rPr>
              <w:t>received</w:t>
            </w:r>
            <w:proofErr w:type="spellEnd"/>
          </w:p>
        </w:tc>
        <w:tc>
          <w:tcPr>
            <w:tcW w:w="567" w:type="dxa"/>
            <w:tcBorders>
              <w:top w:val="nil"/>
              <w:bottom w:val="nil"/>
            </w:tcBorders>
            <w:vAlign w:val="center"/>
          </w:tcPr>
          <w:p w14:paraId="54A29DEA"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[9.b]</w:t>
            </w:r>
          </w:p>
        </w:tc>
        <w:tc>
          <w:tcPr>
            <w:tcW w:w="1347" w:type="dxa"/>
            <w:tcBorders>
              <w:top w:val="nil"/>
              <w:bottom w:val="nil"/>
            </w:tcBorders>
            <w:vAlign w:val="center"/>
          </w:tcPr>
          <w:p w14:paraId="7D90FCA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1,972,721</w:t>
            </w:r>
          </w:p>
        </w:tc>
        <w:tc>
          <w:tcPr>
            <w:tcW w:w="1347" w:type="dxa"/>
            <w:tcBorders>
              <w:top w:val="nil"/>
              <w:bottom w:val="nil"/>
            </w:tcBorders>
            <w:vAlign w:val="center"/>
          </w:tcPr>
          <w:p w14:paraId="3E3ACE3E"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1,221,089</w:t>
            </w:r>
          </w:p>
        </w:tc>
        <w:tc>
          <w:tcPr>
            <w:tcW w:w="519" w:type="dxa"/>
            <w:gridSpan w:val="2"/>
            <w:tcBorders>
              <w:top w:val="nil"/>
              <w:bottom w:val="nil"/>
            </w:tcBorders>
            <w:vAlign w:val="center"/>
          </w:tcPr>
          <w:p w14:paraId="71070659"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248" w:type="dxa"/>
            <w:gridSpan w:val="2"/>
            <w:tcBorders>
              <w:top w:val="nil"/>
              <w:bottom w:val="nil"/>
            </w:tcBorders>
            <w:vAlign w:val="center"/>
          </w:tcPr>
          <w:p w14:paraId="358B7EC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505,960</w:t>
            </w:r>
          </w:p>
        </w:tc>
        <w:tc>
          <w:tcPr>
            <w:tcW w:w="1317" w:type="dxa"/>
            <w:tcBorders>
              <w:top w:val="nil"/>
              <w:bottom w:val="nil"/>
            </w:tcBorders>
            <w:vAlign w:val="center"/>
          </w:tcPr>
          <w:p w14:paraId="438AF78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484,033</w:t>
            </w:r>
          </w:p>
        </w:tc>
      </w:tr>
      <w:tr w:rsidR="00720F68" w:rsidRPr="00B84B0C" w14:paraId="5F488581"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68F58E71" w14:textId="77777777" w:rsidR="00720F68" w:rsidRPr="00B84B0C" w:rsidRDefault="00720F68" w:rsidP="00720F68">
            <w:pPr>
              <w:pStyle w:val="08-Tabelageral"/>
              <w:ind w:left="113"/>
              <w:jc w:val="left"/>
              <w:rPr>
                <w:rFonts w:cs="Arial"/>
                <w:b w:val="0"/>
                <w:highlight w:val="yellow"/>
                <w:lang w:val="en-US"/>
              </w:rPr>
            </w:pPr>
            <w:r w:rsidRPr="00B84B0C">
              <w:rPr>
                <w:rFonts w:cs="Arial"/>
                <w:b w:val="0"/>
                <w:lang w:val="en-US"/>
              </w:rPr>
              <w:t>Investments in financial assets measured at amortized cost</w:t>
            </w:r>
          </w:p>
        </w:tc>
        <w:tc>
          <w:tcPr>
            <w:tcW w:w="567" w:type="dxa"/>
            <w:tcBorders>
              <w:top w:val="nil"/>
              <w:bottom w:val="nil"/>
            </w:tcBorders>
            <w:vAlign w:val="center"/>
          </w:tcPr>
          <w:p w14:paraId="2F667A8A"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347" w:type="dxa"/>
            <w:tcBorders>
              <w:top w:val="nil"/>
              <w:bottom w:val="nil"/>
            </w:tcBorders>
            <w:vAlign w:val="center"/>
          </w:tcPr>
          <w:p w14:paraId="0977D2C8"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47" w:type="dxa"/>
            <w:tcBorders>
              <w:top w:val="nil"/>
              <w:bottom w:val="nil"/>
            </w:tcBorders>
            <w:vAlign w:val="center"/>
          </w:tcPr>
          <w:p w14:paraId="54DE038B"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519" w:type="dxa"/>
            <w:gridSpan w:val="2"/>
            <w:tcBorders>
              <w:top w:val="nil"/>
              <w:bottom w:val="nil"/>
            </w:tcBorders>
            <w:vAlign w:val="center"/>
          </w:tcPr>
          <w:p w14:paraId="643AD0D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48" w:type="dxa"/>
            <w:gridSpan w:val="2"/>
            <w:tcBorders>
              <w:top w:val="nil"/>
              <w:bottom w:val="nil"/>
            </w:tcBorders>
            <w:vAlign w:val="center"/>
          </w:tcPr>
          <w:p w14:paraId="3F6BF200"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(200,000)</w:t>
            </w:r>
          </w:p>
        </w:tc>
        <w:tc>
          <w:tcPr>
            <w:tcW w:w="1317" w:type="dxa"/>
            <w:tcBorders>
              <w:top w:val="nil"/>
              <w:bottom w:val="nil"/>
            </w:tcBorders>
            <w:vAlign w:val="center"/>
          </w:tcPr>
          <w:p w14:paraId="2B2FAE90"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20F68" w:rsidRPr="00B84B0C" w14:paraId="035EC5A5"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7C3692BB" w14:textId="77777777" w:rsidR="00720F68" w:rsidRPr="00B84B0C" w:rsidRDefault="00720F68" w:rsidP="00720F68">
            <w:pPr>
              <w:pStyle w:val="08-Tabelageral"/>
              <w:ind w:left="113"/>
              <w:jc w:val="left"/>
              <w:rPr>
                <w:rFonts w:cs="Arial"/>
                <w:b w:val="0"/>
              </w:rPr>
            </w:pPr>
            <w:proofErr w:type="spellStart"/>
            <w:r w:rsidRPr="00B84B0C">
              <w:rPr>
                <w:rFonts w:cs="Arial"/>
                <w:b w:val="0"/>
              </w:rPr>
              <w:t>Acquisition</w:t>
            </w:r>
            <w:proofErr w:type="spellEnd"/>
            <w:r w:rsidRPr="00B84B0C">
              <w:rPr>
                <w:rFonts w:cs="Arial"/>
                <w:b w:val="0"/>
              </w:rPr>
              <w:t xml:space="preserve"> </w:t>
            </w:r>
            <w:proofErr w:type="spellStart"/>
            <w:r w:rsidRPr="00B84B0C">
              <w:rPr>
                <w:rFonts w:cs="Arial"/>
                <w:b w:val="0"/>
              </w:rPr>
              <w:t>of</w:t>
            </w:r>
            <w:proofErr w:type="spellEnd"/>
            <w:r w:rsidRPr="00B84B0C">
              <w:rPr>
                <w:rFonts w:cs="Arial"/>
                <w:b w:val="0"/>
              </w:rPr>
              <w:t xml:space="preserve"> </w:t>
            </w:r>
            <w:proofErr w:type="spellStart"/>
            <w:r w:rsidRPr="00B84B0C">
              <w:rPr>
                <w:rFonts w:cs="Arial"/>
                <w:b w:val="0"/>
              </w:rPr>
              <w:t>investments</w:t>
            </w:r>
            <w:proofErr w:type="spellEnd"/>
            <w:r w:rsidRPr="00B84B0C">
              <w:rPr>
                <w:rFonts w:cs="Arial"/>
                <w:b w:val="0"/>
              </w:rPr>
              <w:t xml:space="preserve"> - </w:t>
            </w:r>
            <w:proofErr w:type="spellStart"/>
            <w:r w:rsidRPr="00B84B0C">
              <w:rPr>
                <w:rFonts w:cs="Arial"/>
                <w:b w:val="0"/>
              </w:rPr>
              <w:t>Ciclic</w:t>
            </w:r>
            <w:proofErr w:type="spellEnd"/>
          </w:p>
        </w:tc>
        <w:tc>
          <w:tcPr>
            <w:tcW w:w="567" w:type="dxa"/>
            <w:tcBorders>
              <w:top w:val="nil"/>
              <w:bottom w:val="nil"/>
            </w:tcBorders>
            <w:vAlign w:val="center"/>
          </w:tcPr>
          <w:p w14:paraId="54A80D36"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b/>
              </w:rPr>
            </w:pPr>
          </w:p>
        </w:tc>
        <w:tc>
          <w:tcPr>
            <w:tcW w:w="1347" w:type="dxa"/>
            <w:tcBorders>
              <w:top w:val="nil"/>
              <w:bottom w:val="nil"/>
            </w:tcBorders>
            <w:vAlign w:val="center"/>
          </w:tcPr>
          <w:p w14:paraId="4E0FC56E"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347" w:type="dxa"/>
            <w:tcBorders>
              <w:top w:val="nil"/>
              <w:bottom w:val="nil"/>
            </w:tcBorders>
            <w:vAlign w:val="center"/>
          </w:tcPr>
          <w:p w14:paraId="4E15ED9E"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519" w:type="dxa"/>
            <w:gridSpan w:val="2"/>
            <w:tcBorders>
              <w:top w:val="nil"/>
              <w:bottom w:val="nil"/>
            </w:tcBorders>
            <w:vAlign w:val="center"/>
          </w:tcPr>
          <w:p w14:paraId="3A49AC6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248" w:type="dxa"/>
            <w:gridSpan w:val="2"/>
            <w:tcBorders>
              <w:top w:val="nil"/>
              <w:bottom w:val="nil"/>
            </w:tcBorders>
            <w:vAlign w:val="center"/>
          </w:tcPr>
          <w:p w14:paraId="3766C0E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(12,750)</w:t>
            </w:r>
          </w:p>
        </w:tc>
        <w:tc>
          <w:tcPr>
            <w:tcW w:w="1317" w:type="dxa"/>
            <w:tcBorders>
              <w:top w:val="nil"/>
              <w:bottom w:val="nil"/>
            </w:tcBorders>
            <w:vAlign w:val="center"/>
          </w:tcPr>
          <w:p w14:paraId="7C02680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r>
      <w:tr w:rsidR="00720F68" w:rsidRPr="00B84B0C" w14:paraId="5BBF0269"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65D0F56C" w14:textId="77777777" w:rsidR="00720F68" w:rsidRPr="00B84B0C" w:rsidRDefault="00720F68" w:rsidP="00720F68">
            <w:pPr>
              <w:pStyle w:val="08-Tabelageral"/>
              <w:ind w:left="113"/>
              <w:jc w:val="left"/>
              <w:rPr>
                <w:rFonts w:cs="Arial"/>
                <w:b w:val="0"/>
              </w:rPr>
            </w:pPr>
            <w:proofErr w:type="spellStart"/>
            <w:r w:rsidRPr="00B84B0C">
              <w:rPr>
                <w:rFonts w:cs="Arial"/>
                <w:b w:val="0"/>
              </w:rPr>
              <w:t>Acquisition</w:t>
            </w:r>
            <w:proofErr w:type="spellEnd"/>
            <w:r w:rsidRPr="00B84B0C">
              <w:rPr>
                <w:rFonts w:cs="Arial"/>
                <w:b w:val="0"/>
              </w:rPr>
              <w:t xml:space="preserve"> </w:t>
            </w:r>
            <w:proofErr w:type="spellStart"/>
            <w:r w:rsidRPr="00B84B0C">
              <w:rPr>
                <w:rFonts w:cs="Arial"/>
                <w:b w:val="0"/>
              </w:rPr>
              <w:t>Asset</w:t>
            </w:r>
            <w:proofErr w:type="spellEnd"/>
          </w:p>
        </w:tc>
        <w:tc>
          <w:tcPr>
            <w:tcW w:w="567" w:type="dxa"/>
            <w:tcBorders>
              <w:top w:val="nil"/>
              <w:bottom w:val="nil"/>
            </w:tcBorders>
            <w:vAlign w:val="center"/>
          </w:tcPr>
          <w:p w14:paraId="1C643011"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p>
        </w:tc>
        <w:tc>
          <w:tcPr>
            <w:tcW w:w="1347" w:type="dxa"/>
            <w:tcBorders>
              <w:top w:val="nil"/>
              <w:bottom w:val="nil"/>
            </w:tcBorders>
            <w:vAlign w:val="center"/>
          </w:tcPr>
          <w:p w14:paraId="4A94AB01"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(11)</w:t>
            </w:r>
          </w:p>
        </w:tc>
        <w:tc>
          <w:tcPr>
            <w:tcW w:w="1347" w:type="dxa"/>
            <w:tcBorders>
              <w:top w:val="nil"/>
              <w:bottom w:val="nil"/>
            </w:tcBorders>
            <w:vAlign w:val="center"/>
          </w:tcPr>
          <w:p w14:paraId="4471335C"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519" w:type="dxa"/>
            <w:gridSpan w:val="2"/>
            <w:tcBorders>
              <w:top w:val="nil"/>
              <w:bottom w:val="nil"/>
            </w:tcBorders>
            <w:vAlign w:val="center"/>
          </w:tcPr>
          <w:p w14:paraId="45CC1CC6"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48" w:type="dxa"/>
            <w:gridSpan w:val="2"/>
            <w:tcBorders>
              <w:top w:val="nil"/>
              <w:bottom w:val="nil"/>
            </w:tcBorders>
            <w:vAlign w:val="center"/>
          </w:tcPr>
          <w:p w14:paraId="4278B54A"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(11)</w:t>
            </w:r>
          </w:p>
        </w:tc>
        <w:tc>
          <w:tcPr>
            <w:tcW w:w="1317" w:type="dxa"/>
            <w:tcBorders>
              <w:top w:val="nil"/>
              <w:bottom w:val="nil"/>
            </w:tcBorders>
            <w:vAlign w:val="center"/>
          </w:tcPr>
          <w:p w14:paraId="2BCFBE29"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20F68" w:rsidRPr="00B84B0C" w14:paraId="43478AED"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49CC55FA" w14:textId="77777777" w:rsidR="00720F68" w:rsidRPr="00B84B0C" w:rsidRDefault="00720F68" w:rsidP="00720F68">
            <w:pPr>
              <w:pStyle w:val="08-Tabelageral"/>
              <w:jc w:val="left"/>
              <w:rPr>
                <w:rFonts w:cs="Arial"/>
                <w:b w:val="0"/>
                <w:lang w:val="en-US"/>
              </w:rPr>
            </w:pPr>
            <w:r w:rsidRPr="00B84B0C">
              <w:rPr>
                <w:rFonts w:cs="Arial"/>
                <w:lang w:val="en-US"/>
              </w:rPr>
              <w:t>Cash provided by investment activities</w:t>
            </w:r>
          </w:p>
        </w:tc>
        <w:tc>
          <w:tcPr>
            <w:tcW w:w="567" w:type="dxa"/>
            <w:tcBorders>
              <w:top w:val="nil"/>
              <w:bottom w:val="nil"/>
            </w:tcBorders>
            <w:vAlign w:val="center"/>
          </w:tcPr>
          <w:p w14:paraId="3F0B3DDF"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347" w:type="dxa"/>
            <w:tcBorders>
              <w:top w:val="nil"/>
              <w:bottom w:val="nil"/>
            </w:tcBorders>
            <w:vAlign w:val="center"/>
          </w:tcPr>
          <w:p w14:paraId="2D517CF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1,972,710</w:t>
            </w:r>
          </w:p>
        </w:tc>
        <w:tc>
          <w:tcPr>
            <w:tcW w:w="1347" w:type="dxa"/>
            <w:tcBorders>
              <w:top w:val="nil"/>
              <w:bottom w:val="nil"/>
            </w:tcBorders>
            <w:vAlign w:val="center"/>
          </w:tcPr>
          <w:p w14:paraId="2A34BBB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1,221,089</w:t>
            </w:r>
          </w:p>
        </w:tc>
        <w:tc>
          <w:tcPr>
            <w:tcW w:w="519" w:type="dxa"/>
            <w:gridSpan w:val="2"/>
            <w:tcBorders>
              <w:top w:val="nil"/>
              <w:bottom w:val="nil"/>
            </w:tcBorders>
            <w:vAlign w:val="center"/>
          </w:tcPr>
          <w:p w14:paraId="44134CF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248" w:type="dxa"/>
            <w:gridSpan w:val="2"/>
            <w:tcBorders>
              <w:top w:val="nil"/>
              <w:bottom w:val="nil"/>
            </w:tcBorders>
            <w:vAlign w:val="center"/>
          </w:tcPr>
          <w:p w14:paraId="337BF9D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293,199</w:t>
            </w:r>
          </w:p>
        </w:tc>
        <w:tc>
          <w:tcPr>
            <w:tcW w:w="1317" w:type="dxa"/>
            <w:tcBorders>
              <w:top w:val="nil"/>
              <w:bottom w:val="nil"/>
            </w:tcBorders>
            <w:vAlign w:val="center"/>
          </w:tcPr>
          <w:p w14:paraId="362BA43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484,033</w:t>
            </w:r>
          </w:p>
        </w:tc>
      </w:tr>
      <w:tr w:rsidR="00720F68" w:rsidRPr="00B84B0C" w14:paraId="19CAF240"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2AA981BD" w14:textId="77777777" w:rsidR="00720F68" w:rsidRPr="00B84B0C" w:rsidRDefault="00720F68" w:rsidP="00720F68">
            <w:pPr>
              <w:pStyle w:val="08-Tabelageral"/>
              <w:jc w:val="left"/>
              <w:rPr>
                <w:rFonts w:cs="Arial"/>
              </w:rPr>
            </w:pPr>
          </w:p>
        </w:tc>
        <w:tc>
          <w:tcPr>
            <w:tcW w:w="567" w:type="dxa"/>
            <w:tcBorders>
              <w:top w:val="nil"/>
              <w:bottom w:val="nil"/>
            </w:tcBorders>
            <w:vAlign w:val="center"/>
          </w:tcPr>
          <w:p w14:paraId="43E2E8C1"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47" w:type="dxa"/>
            <w:tcBorders>
              <w:top w:val="nil"/>
              <w:bottom w:val="nil"/>
            </w:tcBorders>
            <w:vAlign w:val="center"/>
          </w:tcPr>
          <w:p w14:paraId="73081DA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47" w:type="dxa"/>
            <w:tcBorders>
              <w:top w:val="nil"/>
              <w:bottom w:val="nil"/>
            </w:tcBorders>
            <w:vAlign w:val="center"/>
          </w:tcPr>
          <w:p w14:paraId="1967C02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519" w:type="dxa"/>
            <w:gridSpan w:val="2"/>
            <w:tcBorders>
              <w:top w:val="nil"/>
              <w:bottom w:val="nil"/>
            </w:tcBorders>
            <w:vAlign w:val="center"/>
          </w:tcPr>
          <w:p w14:paraId="3C43827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04F1EBF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17" w:type="dxa"/>
            <w:tcBorders>
              <w:top w:val="nil"/>
              <w:bottom w:val="nil"/>
            </w:tcBorders>
            <w:vAlign w:val="center"/>
          </w:tcPr>
          <w:p w14:paraId="4FF58A6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720F68" w:rsidRPr="00B84B0C" w14:paraId="4DA39F54"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19BC4583" w14:textId="77777777" w:rsidR="00720F68" w:rsidRPr="00B84B0C" w:rsidRDefault="00720F68" w:rsidP="00720F68">
            <w:pPr>
              <w:pStyle w:val="08-Tabelageral"/>
              <w:jc w:val="left"/>
              <w:rPr>
                <w:rFonts w:cs="Arial"/>
                <w:lang w:val="en-US"/>
              </w:rPr>
            </w:pPr>
            <w:r w:rsidRPr="00B84B0C">
              <w:rPr>
                <w:rFonts w:cs="Arial"/>
                <w:lang w:val="en-US"/>
              </w:rPr>
              <w:t>Cash flow from financing activities</w:t>
            </w:r>
          </w:p>
        </w:tc>
        <w:tc>
          <w:tcPr>
            <w:tcW w:w="567" w:type="dxa"/>
            <w:tcBorders>
              <w:top w:val="nil"/>
              <w:bottom w:val="nil"/>
            </w:tcBorders>
            <w:vAlign w:val="center"/>
          </w:tcPr>
          <w:p w14:paraId="66C37845"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347" w:type="dxa"/>
            <w:tcBorders>
              <w:top w:val="nil"/>
              <w:bottom w:val="nil"/>
            </w:tcBorders>
            <w:vAlign w:val="center"/>
          </w:tcPr>
          <w:p w14:paraId="73E9EC6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347" w:type="dxa"/>
            <w:tcBorders>
              <w:top w:val="nil"/>
              <w:bottom w:val="nil"/>
            </w:tcBorders>
            <w:vAlign w:val="center"/>
          </w:tcPr>
          <w:p w14:paraId="701FC0A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519" w:type="dxa"/>
            <w:gridSpan w:val="2"/>
            <w:tcBorders>
              <w:top w:val="nil"/>
              <w:bottom w:val="nil"/>
            </w:tcBorders>
            <w:vAlign w:val="center"/>
          </w:tcPr>
          <w:p w14:paraId="0D2EA33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248" w:type="dxa"/>
            <w:gridSpan w:val="2"/>
            <w:tcBorders>
              <w:top w:val="nil"/>
              <w:bottom w:val="nil"/>
            </w:tcBorders>
            <w:vAlign w:val="center"/>
          </w:tcPr>
          <w:p w14:paraId="5137E85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317" w:type="dxa"/>
            <w:tcBorders>
              <w:top w:val="nil"/>
              <w:bottom w:val="nil"/>
            </w:tcBorders>
            <w:vAlign w:val="center"/>
          </w:tcPr>
          <w:p w14:paraId="68D850E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r>
      <w:tr w:rsidR="00720F68" w:rsidRPr="00B84B0C" w14:paraId="0FD95492"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19244052" w14:textId="77777777" w:rsidR="00720F68" w:rsidRPr="00B84B0C" w:rsidRDefault="00720F68" w:rsidP="00720F68">
            <w:pPr>
              <w:pStyle w:val="08-Tabelageral"/>
              <w:ind w:left="113"/>
              <w:jc w:val="left"/>
              <w:rPr>
                <w:rFonts w:cs="Arial"/>
                <w:b w:val="0"/>
              </w:rPr>
            </w:pPr>
            <w:proofErr w:type="spellStart"/>
            <w:r w:rsidRPr="00B84B0C">
              <w:rPr>
                <w:rFonts w:cs="Arial"/>
                <w:b w:val="0"/>
              </w:rPr>
              <w:t>Dividends</w:t>
            </w:r>
            <w:proofErr w:type="spellEnd"/>
            <w:r w:rsidRPr="00B84B0C">
              <w:rPr>
                <w:rFonts w:cs="Arial"/>
                <w:b w:val="0"/>
              </w:rPr>
              <w:t xml:space="preserve"> </w:t>
            </w:r>
            <w:proofErr w:type="spellStart"/>
            <w:r w:rsidRPr="00B84B0C">
              <w:rPr>
                <w:rFonts w:cs="Arial"/>
                <w:b w:val="0"/>
              </w:rPr>
              <w:t>paid</w:t>
            </w:r>
            <w:proofErr w:type="spellEnd"/>
          </w:p>
        </w:tc>
        <w:tc>
          <w:tcPr>
            <w:tcW w:w="567" w:type="dxa"/>
            <w:tcBorders>
              <w:top w:val="nil"/>
              <w:bottom w:val="nil"/>
            </w:tcBorders>
            <w:vAlign w:val="center"/>
          </w:tcPr>
          <w:p w14:paraId="1EC4455C"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47" w:type="dxa"/>
            <w:tcBorders>
              <w:top w:val="nil"/>
              <w:bottom w:val="nil"/>
            </w:tcBorders>
            <w:vAlign w:val="center"/>
          </w:tcPr>
          <w:p w14:paraId="6AA59D68"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(3,815,039)</w:t>
            </w:r>
          </w:p>
        </w:tc>
        <w:tc>
          <w:tcPr>
            <w:tcW w:w="1347" w:type="dxa"/>
            <w:tcBorders>
              <w:top w:val="nil"/>
              <w:bottom w:val="nil"/>
            </w:tcBorders>
            <w:vAlign w:val="center"/>
          </w:tcPr>
          <w:p w14:paraId="6E948774"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(4,065,557)</w:t>
            </w:r>
          </w:p>
        </w:tc>
        <w:tc>
          <w:tcPr>
            <w:tcW w:w="519" w:type="dxa"/>
            <w:gridSpan w:val="2"/>
            <w:tcBorders>
              <w:top w:val="nil"/>
              <w:bottom w:val="nil"/>
            </w:tcBorders>
            <w:vAlign w:val="center"/>
          </w:tcPr>
          <w:p w14:paraId="531D63D4"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48" w:type="dxa"/>
            <w:gridSpan w:val="2"/>
            <w:tcBorders>
              <w:top w:val="nil"/>
              <w:bottom w:val="nil"/>
            </w:tcBorders>
            <w:vAlign w:val="center"/>
          </w:tcPr>
          <w:p w14:paraId="298B8B11"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(3,815,039)</w:t>
            </w:r>
          </w:p>
        </w:tc>
        <w:tc>
          <w:tcPr>
            <w:tcW w:w="1317" w:type="dxa"/>
            <w:tcBorders>
              <w:top w:val="nil"/>
              <w:bottom w:val="nil"/>
            </w:tcBorders>
            <w:vAlign w:val="center"/>
          </w:tcPr>
          <w:p w14:paraId="6962D6DA"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(4,065,557)</w:t>
            </w:r>
          </w:p>
        </w:tc>
      </w:tr>
      <w:tr w:rsidR="00720F68" w:rsidRPr="00B84B0C" w14:paraId="604891C6"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1F8E23AE" w14:textId="77777777" w:rsidR="00720F68" w:rsidRPr="00B84B0C" w:rsidRDefault="00720F68" w:rsidP="00720F68">
            <w:pPr>
              <w:pStyle w:val="08-Tabelageral"/>
              <w:jc w:val="left"/>
              <w:rPr>
                <w:rFonts w:cs="Arial"/>
                <w:lang w:val="en-US"/>
              </w:rPr>
            </w:pPr>
            <w:r w:rsidRPr="00B84B0C">
              <w:rPr>
                <w:rFonts w:cs="Arial"/>
                <w:lang w:val="en-US"/>
              </w:rPr>
              <w:t>Cash flow provided by financing activities</w:t>
            </w:r>
          </w:p>
        </w:tc>
        <w:tc>
          <w:tcPr>
            <w:tcW w:w="567" w:type="dxa"/>
            <w:tcBorders>
              <w:top w:val="nil"/>
              <w:bottom w:val="nil"/>
            </w:tcBorders>
            <w:vAlign w:val="center"/>
          </w:tcPr>
          <w:p w14:paraId="2AFB9E5B"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lang w:val="en-US"/>
              </w:rPr>
            </w:pPr>
          </w:p>
        </w:tc>
        <w:tc>
          <w:tcPr>
            <w:tcW w:w="1347" w:type="dxa"/>
            <w:tcBorders>
              <w:top w:val="nil"/>
              <w:bottom w:val="nil"/>
            </w:tcBorders>
            <w:vAlign w:val="center"/>
          </w:tcPr>
          <w:p w14:paraId="11F6E23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(3,815,039)</w:t>
            </w:r>
          </w:p>
        </w:tc>
        <w:tc>
          <w:tcPr>
            <w:tcW w:w="1347" w:type="dxa"/>
            <w:tcBorders>
              <w:top w:val="nil"/>
              <w:bottom w:val="nil"/>
            </w:tcBorders>
            <w:vAlign w:val="center"/>
          </w:tcPr>
          <w:p w14:paraId="4751846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(4,065,557)</w:t>
            </w:r>
          </w:p>
        </w:tc>
        <w:tc>
          <w:tcPr>
            <w:tcW w:w="519" w:type="dxa"/>
            <w:gridSpan w:val="2"/>
            <w:tcBorders>
              <w:top w:val="nil"/>
              <w:bottom w:val="nil"/>
            </w:tcBorders>
            <w:vAlign w:val="center"/>
          </w:tcPr>
          <w:p w14:paraId="1D50C872"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b/>
              </w:rPr>
            </w:pPr>
          </w:p>
        </w:tc>
        <w:tc>
          <w:tcPr>
            <w:tcW w:w="1248" w:type="dxa"/>
            <w:gridSpan w:val="2"/>
            <w:tcBorders>
              <w:top w:val="nil"/>
              <w:bottom w:val="nil"/>
            </w:tcBorders>
            <w:vAlign w:val="center"/>
          </w:tcPr>
          <w:p w14:paraId="3F26884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(3,815,039)</w:t>
            </w:r>
          </w:p>
        </w:tc>
        <w:tc>
          <w:tcPr>
            <w:tcW w:w="1317" w:type="dxa"/>
            <w:tcBorders>
              <w:top w:val="nil"/>
              <w:bottom w:val="nil"/>
            </w:tcBorders>
            <w:vAlign w:val="center"/>
          </w:tcPr>
          <w:p w14:paraId="4446842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(4,065,557)</w:t>
            </w:r>
          </w:p>
        </w:tc>
      </w:tr>
      <w:tr w:rsidR="00720F68" w:rsidRPr="00B84B0C" w14:paraId="0A847E46"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5B0D4F51" w14:textId="77777777" w:rsidR="00720F68" w:rsidRPr="00B84B0C" w:rsidRDefault="00720F68" w:rsidP="00720F68">
            <w:pPr>
              <w:pStyle w:val="08-Tabelageral"/>
              <w:ind w:left="113"/>
              <w:jc w:val="left"/>
              <w:rPr>
                <w:rFonts w:cs="Arial"/>
                <w:b w:val="0"/>
              </w:rPr>
            </w:pPr>
          </w:p>
        </w:tc>
        <w:tc>
          <w:tcPr>
            <w:tcW w:w="567" w:type="dxa"/>
            <w:tcBorders>
              <w:top w:val="nil"/>
              <w:bottom w:val="nil"/>
            </w:tcBorders>
            <w:vAlign w:val="center"/>
          </w:tcPr>
          <w:p w14:paraId="28A8AFF8"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347" w:type="dxa"/>
            <w:tcBorders>
              <w:top w:val="nil"/>
              <w:bottom w:val="nil"/>
            </w:tcBorders>
            <w:vAlign w:val="center"/>
          </w:tcPr>
          <w:p w14:paraId="6A7372E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47" w:type="dxa"/>
            <w:tcBorders>
              <w:top w:val="nil"/>
              <w:bottom w:val="nil"/>
            </w:tcBorders>
            <w:vAlign w:val="center"/>
          </w:tcPr>
          <w:p w14:paraId="6A0B7EB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519" w:type="dxa"/>
            <w:gridSpan w:val="2"/>
            <w:tcBorders>
              <w:top w:val="nil"/>
              <w:bottom w:val="nil"/>
            </w:tcBorders>
            <w:vAlign w:val="center"/>
          </w:tcPr>
          <w:p w14:paraId="56088C1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20F434B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17" w:type="dxa"/>
            <w:tcBorders>
              <w:top w:val="nil"/>
              <w:bottom w:val="nil"/>
            </w:tcBorders>
            <w:vAlign w:val="center"/>
          </w:tcPr>
          <w:p w14:paraId="5398085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720F68" w:rsidRPr="00B84B0C" w14:paraId="27560219"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17ECEB4B" w14:textId="77777777" w:rsidR="00720F68" w:rsidRPr="00B84B0C" w:rsidRDefault="00720F68" w:rsidP="00720F68">
            <w:pPr>
              <w:pStyle w:val="08-Tabelageral"/>
              <w:jc w:val="left"/>
              <w:rPr>
                <w:rFonts w:cs="Arial"/>
                <w:lang w:val="en-US"/>
              </w:rPr>
            </w:pPr>
            <w:r w:rsidRPr="00B84B0C">
              <w:rPr>
                <w:rFonts w:cs="Arial"/>
                <w:lang w:val="en-US"/>
              </w:rPr>
              <w:t>Net change in cash and cash equivalents</w:t>
            </w:r>
          </w:p>
        </w:tc>
        <w:tc>
          <w:tcPr>
            <w:tcW w:w="567" w:type="dxa"/>
            <w:tcBorders>
              <w:top w:val="nil"/>
              <w:bottom w:val="nil"/>
            </w:tcBorders>
            <w:vAlign w:val="center"/>
          </w:tcPr>
          <w:p w14:paraId="770B67FF"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[7]</w:t>
            </w:r>
          </w:p>
        </w:tc>
        <w:tc>
          <w:tcPr>
            <w:tcW w:w="1347" w:type="dxa"/>
            <w:tcBorders>
              <w:top w:val="nil"/>
              <w:bottom w:val="nil"/>
            </w:tcBorders>
            <w:vAlign w:val="center"/>
          </w:tcPr>
          <w:p w14:paraId="0BA193F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(1,828,488)</w:t>
            </w:r>
          </w:p>
        </w:tc>
        <w:tc>
          <w:tcPr>
            <w:tcW w:w="1347" w:type="dxa"/>
            <w:tcBorders>
              <w:top w:val="nil"/>
              <w:bottom w:val="nil"/>
            </w:tcBorders>
            <w:vAlign w:val="center"/>
          </w:tcPr>
          <w:p w14:paraId="50B6BED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(2,842,988)</w:t>
            </w:r>
          </w:p>
        </w:tc>
        <w:tc>
          <w:tcPr>
            <w:tcW w:w="519" w:type="dxa"/>
            <w:gridSpan w:val="2"/>
            <w:tcBorders>
              <w:top w:val="nil"/>
              <w:bottom w:val="nil"/>
            </w:tcBorders>
            <w:vAlign w:val="center"/>
          </w:tcPr>
          <w:p w14:paraId="0DC493A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248" w:type="dxa"/>
            <w:gridSpan w:val="2"/>
            <w:tcBorders>
              <w:top w:val="nil"/>
              <w:bottom w:val="nil"/>
            </w:tcBorders>
            <w:vAlign w:val="center"/>
          </w:tcPr>
          <w:p w14:paraId="49613B1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(3,271,259)</w:t>
            </w:r>
          </w:p>
        </w:tc>
        <w:tc>
          <w:tcPr>
            <w:tcW w:w="1317" w:type="dxa"/>
            <w:tcBorders>
              <w:top w:val="nil"/>
              <w:bottom w:val="nil"/>
            </w:tcBorders>
            <w:vAlign w:val="center"/>
          </w:tcPr>
          <w:p w14:paraId="3223ED5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(3,384,679)</w:t>
            </w:r>
          </w:p>
        </w:tc>
      </w:tr>
      <w:tr w:rsidR="00720F68" w:rsidRPr="00B84B0C" w14:paraId="444E4E23"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299B2F7B" w14:textId="77777777" w:rsidR="00720F68" w:rsidRPr="00B84B0C" w:rsidRDefault="00720F68" w:rsidP="00720F68">
            <w:pPr>
              <w:pStyle w:val="08-Tabelageral"/>
              <w:ind w:left="113"/>
              <w:jc w:val="left"/>
              <w:rPr>
                <w:rFonts w:cs="Arial"/>
                <w:b w:val="0"/>
              </w:rPr>
            </w:pPr>
            <w:proofErr w:type="spellStart"/>
            <w:r w:rsidRPr="00B84B0C">
              <w:rPr>
                <w:rFonts w:cs="Arial"/>
                <w:b w:val="0"/>
              </w:rPr>
              <w:t>Opening</w:t>
            </w:r>
            <w:proofErr w:type="spellEnd"/>
            <w:r w:rsidRPr="00B84B0C">
              <w:rPr>
                <w:rFonts w:cs="Arial"/>
                <w:b w:val="0"/>
              </w:rPr>
              <w:t xml:space="preserve"> balance</w:t>
            </w:r>
          </w:p>
        </w:tc>
        <w:tc>
          <w:tcPr>
            <w:tcW w:w="567" w:type="dxa"/>
            <w:tcBorders>
              <w:top w:val="nil"/>
              <w:bottom w:val="nil"/>
            </w:tcBorders>
            <w:vAlign w:val="center"/>
          </w:tcPr>
          <w:p w14:paraId="41795694"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47" w:type="dxa"/>
            <w:tcBorders>
              <w:top w:val="nil"/>
              <w:bottom w:val="nil"/>
            </w:tcBorders>
            <w:vAlign w:val="center"/>
          </w:tcPr>
          <w:p w14:paraId="66FB3DE3"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4,231,195</w:t>
            </w:r>
          </w:p>
        </w:tc>
        <w:tc>
          <w:tcPr>
            <w:tcW w:w="1347" w:type="dxa"/>
            <w:tcBorders>
              <w:top w:val="nil"/>
              <w:bottom w:val="nil"/>
            </w:tcBorders>
            <w:vAlign w:val="center"/>
          </w:tcPr>
          <w:p w14:paraId="4F820A4D"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4,428,956</w:t>
            </w:r>
          </w:p>
        </w:tc>
        <w:tc>
          <w:tcPr>
            <w:tcW w:w="519" w:type="dxa"/>
            <w:gridSpan w:val="2"/>
            <w:tcBorders>
              <w:top w:val="nil"/>
              <w:bottom w:val="nil"/>
            </w:tcBorders>
            <w:vAlign w:val="center"/>
          </w:tcPr>
          <w:p w14:paraId="4AD207D6"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48" w:type="dxa"/>
            <w:gridSpan w:val="2"/>
            <w:tcBorders>
              <w:top w:val="nil"/>
              <w:bottom w:val="nil"/>
            </w:tcBorders>
            <w:vAlign w:val="center"/>
          </w:tcPr>
          <w:p w14:paraId="76836ABD"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7,381,292</w:t>
            </w:r>
          </w:p>
        </w:tc>
        <w:tc>
          <w:tcPr>
            <w:tcW w:w="1317" w:type="dxa"/>
            <w:tcBorders>
              <w:top w:val="nil"/>
              <w:bottom w:val="nil"/>
            </w:tcBorders>
            <w:vAlign w:val="center"/>
          </w:tcPr>
          <w:p w14:paraId="2AA2D83C"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6,056,247</w:t>
            </w:r>
          </w:p>
        </w:tc>
      </w:tr>
      <w:tr w:rsidR="00720F68" w:rsidRPr="00B84B0C" w14:paraId="587521A1"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0B18747A" w14:textId="77777777" w:rsidR="00720F68" w:rsidRPr="00B84B0C" w:rsidRDefault="00720F68" w:rsidP="00720F68">
            <w:pPr>
              <w:pStyle w:val="08-Tabelageral"/>
              <w:ind w:left="113"/>
              <w:jc w:val="left"/>
              <w:rPr>
                <w:rFonts w:cs="Arial"/>
                <w:b w:val="0"/>
              </w:rPr>
            </w:pPr>
            <w:proofErr w:type="spellStart"/>
            <w:r w:rsidRPr="00B84B0C">
              <w:rPr>
                <w:rFonts w:cs="Arial"/>
                <w:b w:val="0"/>
              </w:rPr>
              <w:t>Closing</w:t>
            </w:r>
            <w:proofErr w:type="spellEnd"/>
            <w:r w:rsidRPr="00B84B0C">
              <w:rPr>
                <w:rFonts w:cs="Arial"/>
                <w:b w:val="0"/>
              </w:rPr>
              <w:t xml:space="preserve"> balance</w:t>
            </w:r>
          </w:p>
        </w:tc>
        <w:tc>
          <w:tcPr>
            <w:tcW w:w="567" w:type="dxa"/>
            <w:tcBorders>
              <w:top w:val="nil"/>
              <w:bottom w:val="nil"/>
            </w:tcBorders>
            <w:vAlign w:val="center"/>
          </w:tcPr>
          <w:p w14:paraId="4439250B"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b/>
              </w:rPr>
            </w:pPr>
          </w:p>
        </w:tc>
        <w:tc>
          <w:tcPr>
            <w:tcW w:w="1347" w:type="dxa"/>
            <w:tcBorders>
              <w:top w:val="nil"/>
              <w:bottom w:val="nil"/>
            </w:tcBorders>
            <w:vAlign w:val="center"/>
          </w:tcPr>
          <w:p w14:paraId="5F4EDDBA"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2,402,707</w:t>
            </w:r>
          </w:p>
        </w:tc>
        <w:tc>
          <w:tcPr>
            <w:tcW w:w="1347" w:type="dxa"/>
            <w:tcBorders>
              <w:top w:val="nil"/>
              <w:bottom w:val="nil"/>
            </w:tcBorders>
            <w:vAlign w:val="center"/>
          </w:tcPr>
          <w:p w14:paraId="6F9D146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1,585,968</w:t>
            </w:r>
          </w:p>
        </w:tc>
        <w:tc>
          <w:tcPr>
            <w:tcW w:w="519" w:type="dxa"/>
            <w:gridSpan w:val="2"/>
            <w:tcBorders>
              <w:top w:val="nil"/>
              <w:bottom w:val="nil"/>
            </w:tcBorders>
            <w:vAlign w:val="center"/>
          </w:tcPr>
          <w:p w14:paraId="782428C6"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248" w:type="dxa"/>
            <w:gridSpan w:val="2"/>
            <w:tcBorders>
              <w:top w:val="nil"/>
              <w:bottom w:val="nil"/>
            </w:tcBorders>
            <w:vAlign w:val="center"/>
          </w:tcPr>
          <w:p w14:paraId="1E3D3C3A"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4,110,033</w:t>
            </w:r>
          </w:p>
        </w:tc>
        <w:tc>
          <w:tcPr>
            <w:tcW w:w="1317" w:type="dxa"/>
            <w:tcBorders>
              <w:top w:val="nil"/>
              <w:bottom w:val="nil"/>
            </w:tcBorders>
            <w:vAlign w:val="center"/>
          </w:tcPr>
          <w:p w14:paraId="2E3C402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2,671,568</w:t>
            </w:r>
          </w:p>
        </w:tc>
      </w:tr>
      <w:tr w:rsidR="00720F68" w:rsidRPr="00B84B0C" w14:paraId="5287EC53"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2098100E" w14:textId="77777777" w:rsidR="00720F68" w:rsidRPr="00B84B0C" w:rsidRDefault="00720F68" w:rsidP="00720F68">
            <w:pPr>
              <w:pStyle w:val="08-Tabelageral"/>
              <w:jc w:val="left"/>
              <w:rPr>
                <w:rFonts w:cs="Arial"/>
                <w:lang w:val="en-US"/>
              </w:rPr>
            </w:pPr>
            <w:r w:rsidRPr="00B84B0C">
              <w:rPr>
                <w:rFonts w:cs="Arial"/>
                <w:lang w:val="en-US"/>
              </w:rPr>
              <w:t>Increase (decrease) in cash and cash equivalents</w:t>
            </w:r>
          </w:p>
        </w:tc>
        <w:tc>
          <w:tcPr>
            <w:tcW w:w="567" w:type="dxa"/>
            <w:tcBorders>
              <w:top w:val="nil"/>
              <w:bottom w:val="nil"/>
            </w:tcBorders>
            <w:vAlign w:val="center"/>
          </w:tcPr>
          <w:p w14:paraId="04ACB884"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347" w:type="dxa"/>
            <w:tcBorders>
              <w:top w:val="nil"/>
              <w:bottom w:val="nil"/>
            </w:tcBorders>
            <w:vAlign w:val="center"/>
          </w:tcPr>
          <w:p w14:paraId="712F41B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(1,828,488)</w:t>
            </w:r>
          </w:p>
        </w:tc>
        <w:tc>
          <w:tcPr>
            <w:tcW w:w="1347" w:type="dxa"/>
            <w:tcBorders>
              <w:top w:val="nil"/>
              <w:bottom w:val="nil"/>
            </w:tcBorders>
            <w:vAlign w:val="center"/>
          </w:tcPr>
          <w:p w14:paraId="3CFA132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(2,842,988)</w:t>
            </w:r>
          </w:p>
        </w:tc>
        <w:tc>
          <w:tcPr>
            <w:tcW w:w="519" w:type="dxa"/>
            <w:gridSpan w:val="2"/>
            <w:tcBorders>
              <w:top w:val="nil"/>
              <w:bottom w:val="nil"/>
            </w:tcBorders>
            <w:vAlign w:val="center"/>
          </w:tcPr>
          <w:p w14:paraId="60BDA63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48" w:type="dxa"/>
            <w:gridSpan w:val="2"/>
            <w:tcBorders>
              <w:top w:val="nil"/>
              <w:bottom w:val="nil"/>
            </w:tcBorders>
            <w:vAlign w:val="center"/>
          </w:tcPr>
          <w:p w14:paraId="669D9CA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(3,271,259)</w:t>
            </w:r>
          </w:p>
        </w:tc>
        <w:tc>
          <w:tcPr>
            <w:tcW w:w="1317" w:type="dxa"/>
            <w:tcBorders>
              <w:top w:val="nil"/>
              <w:bottom w:val="nil"/>
            </w:tcBorders>
            <w:vAlign w:val="center"/>
          </w:tcPr>
          <w:p w14:paraId="478EF63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(3,384,679)</w:t>
            </w:r>
          </w:p>
        </w:tc>
      </w:tr>
      <w:tr w:rsidR="00720F68" w:rsidRPr="00B84B0C" w14:paraId="420895B8"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43821846" w14:textId="77777777" w:rsidR="00720F68" w:rsidRPr="00B84B0C" w:rsidRDefault="00720F68" w:rsidP="00720F68">
            <w:pPr>
              <w:pStyle w:val="08-Tabelageral"/>
              <w:ind w:left="113"/>
              <w:jc w:val="left"/>
              <w:rPr>
                <w:rFonts w:cs="Arial"/>
                <w:b w:val="0"/>
              </w:rPr>
            </w:pPr>
          </w:p>
        </w:tc>
        <w:tc>
          <w:tcPr>
            <w:tcW w:w="567" w:type="dxa"/>
            <w:tcBorders>
              <w:top w:val="nil"/>
              <w:bottom w:val="nil"/>
            </w:tcBorders>
            <w:vAlign w:val="center"/>
          </w:tcPr>
          <w:p w14:paraId="70EA1363"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
        </w:tc>
        <w:tc>
          <w:tcPr>
            <w:tcW w:w="1347" w:type="dxa"/>
            <w:tcBorders>
              <w:top w:val="nil"/>
              <w:bottom w:val="nil"/>
            </w:tcBorders>
            <w:vAlign w:val="center"/>
          </w:tcPr>
          <w:p w14:paraId="5EF6B4A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347" w:type="dxa"/>
            <w:tcBorders>
              <w:top w:val="nil"/>
              <w:bottom w:val="nil"/>
            </w:tcBorders>
            <w:vAlign w:val="center"/>
          </w:tcPr>
          <w:p w14:paraId="397C3B1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519" w:type="dxa"/>
            <w:gridSpan w:val="2"/>
            <w:tcBorders>
              <w:top w:val="nil"/>
              <w:bottom w:val="nil"/>
            </w:tcBorders>
            <w:vAlign w:val="center"/>
          </w:tcPr>
          <w:p w14:paraId="6DF48AF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5984383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317" w:type="dxa"/>
            <w:tcBorders>
              <w:top w:val="nil"/>
              <w:bottom w:val="nil"/>
            </w:tcBorders>
            <w:vAlign w:val="center"/>
          </w:tcPr>
          <w:p w14:paraId="406D740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638D58D6"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5E648CA2" w14:textId="77777777" w:rsidR="00720F68" w:rsidRPr="00B84B0C" w:rsidRDefault="00720F68" w:rsidP="00720F68">
            <w:pPr>
              <w:pStyle w:val="08-Tabelageral"/>
              <w:jc w:val="left"/>
              <w:rPr>
                <w:rFonts w:cs="Arial"/>
              </w:rPr>
            </w:pPr>
            <w:proofErr w:type="spellStart"/>
            <w:r w:rsidRPr="00B84B0C">
              <w:rPr>
                <w:rFonts w:cs="Arial"/>
              </w:rPr>
              <w:t>Complementary</w:t>
            </w:r>
            <w:proofErr w:type="spellEnd"/>
            <w:r w:rsidRPr="00B84B0C">
              <w:rPr>
                <w:rFonts w:cs="Arial"/>
              </w:rPr>
              <w:t xml:space="preserve"> </w:t>
            </w:r>
            <w:proofErr w:type="spellStart"/>
            <w:r w:rsidRPr="00B84B0C">
              <w:rPr>
                <w:rFonts w:cs="Arial"/>
              </w:rPr>
              <w:t>information</w:t>
            </w:r>
            <w:proofErr w:type="spellEnd"/>
            <w:r w:rsidRPr="00B84B0C">
              <w:rPr>
                <w:rFonts w:cs="Arial"/>
              </w:rPr>
              <w:t xml:space="preserve"> </w:t>
            </w:r>
            <w:proofErr w:type="spellStart"/>
            <w:r w:rsidRPr="00B84B0C">
              <w:rPr>
                <w:rFonts w:cs="Arial"/>
              </w:rPr>
              <w:t>on</w:t>
            </w:r>
            <w:proofErr w:type="spellEnd"/>
            <w:r w:rsidRPr="00B84B0C">
              <w:rPr>
                <w:rFonts w:cs="Arial"/>
              </w:rPr>
              <w:t xml:space="preserve"> </w:t>
            </w:r>
            <w:proofErr w:type="spellStart"/>
            <w:r w:rsidRPr="00B84B0C">
              <w:rPr>
                <w:rFonts w:cs="Arial"/>
              </w:rPr>
              <w:t>operations</w:t>
            </w:r>
            <w:proofErr w:type="spellEnd"/>
          </w:p>
        </w:tc>
        <w:tc>
          <w:tcPr>
            <w:tcW w:w="567" w:type="dxa"/>
            <w:tcBorders>
              <w:top w:val="nil"/>
              <w:bottom w:val="nil"/>
            </w:tcBorders>
            <w:vAlign w:val="center"/>
          </w:tcPr>
          <w:p w14:paraId="5274060E"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rPr>
            </w:pPr>
          </w:p>
        </w:tc>
        <w:tc>
          <w:tcPr>
            <w:tcW w:w="1347" w:type="dxa"/>
            <w:tcBorders>
              <w:top w:val="nil"/>
              <w:bottom w:val="nil"/>
            </w:tcBorders>
            <w:vAlign w:val="center"/>
          </w:tcPr>
          <w:p w14:paraId="481933C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47" w:type="dxa"/>
            <w:tcBorders>
              <w:top w:val="nil"/>
              <w:bottom w:val="nil"/>
            </w:tcBorders>
            <w:vAlign w:val="center"/>
          </w:tcPr>
          <w:p w14:paraId="09E5552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519" w:type="dxa"/>
            <w:gridSpan w:val="2"/>
            <w:tcBorders>
              <w:top w:val="nil"/>
              <w:bottom w:val="nil"/>
            </w:tcBorders>
            <w:vAlign w:val="center"/>
          </w:tcPr>
          <w:p w14:paraId="3E019C6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8" w:type="dxa"/>
            <w:gridSpan w:val="2"/>
            <w:tcBorders>
              <w:top w:val="nil"/>
              <w:bottom w:val="nil"/>
            </w:tcBorders>
            <w:vAlign w:val="center"/>
          </w:tcPr>
          <w:p w14:paraId="5ED9FB5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17" w:type="dxa"/>
            <w:tcBorders>
              <w:top w:val="nil"/>
              <w:bottom w:val="nil"/>
            </w:tcBorders>
            <w:vAlign w:val="center"/>
          </w:tcPr>
          <w:p w14:paraId="6B8B8C2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r>
      <w:tr w:rsidR="00720F68" w:rsidRPr="00B84B0C" w14:paraId="75D7848B"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4095F677" w14:textId="77777777" w:rsidR="00720F68" w:rsidRPr="00B84B0C" w:rsidRDefault="00720F68" w:rsidP="00720F68">
            <w:pPr>
              <w:pStyle w:val="08-Tabelageral"/>
              <w:ind w:left="113"/>
              <w:jc w:val="left"/>
              <w:rPr>
                <w:rFonts w:cs="Arial"/>
                <w:b w:val="0"/>
              </w:rPr>
            </w:pPr>
            <w:r w:rsidRPr="00B84B0C">
              <w:rPr>
                <w:rFonts w:cs="Arial"/>
                <w:b w:val="0"/>
              </w:rPr>
              <w:t xml:space="preserve">Income </w:t>
            </w:r>
            <w:proofErr w:type="spellStart"/>
            <w:r w:rsidRPr="00B84B0C">
              <w:rPr>
                <w:rFonts w:cs="Arial"/>
                <w:b w:val="0"/>
              </w:rPr>
              <w:t>tax</w:t>
            </w:r>
            <w:proofErr w:type="spellEnd"/>
            <w:r w:rsidRPr="00B84B0C">
              <w:rPr>
                <w:rFonts w:cs="Arial"/>
                <w:b w:val="0"/>
              </w:rPr>
              <w:t xml:space="preserve"> </w:t>
            </w:r>
            <w:proofErr w:type="spellStart"/>
            <w:r w:rsidRPr="00B84B0C">
              <w:rPr>
                <w:rFonts w:cs="Arial"/>
                <w:b w:val="0"/>
              </w:rPr>
              <w:t>paid</w:t>
            </w:r>
            <w:proofErr w:type="spellEnd"/>
          </w:p>
        </w:tc>
        <w:tc>
          <w:tcPr>
            <w:tcW w:w="567" w:type="dxa"/>
            <w:tcBorders>
              <w:top w:val="nil"/>
              <w:bottom w:val="nil"/>
            </w:tcBorders>
            <w:vAlign w:val="center"/>
          </w:tcPr>
          <w:p w14:paraId="541CFC36"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b/>
              </w:rPr>
            </w:pPr>
          </w:p>
        </w:tc>
        <w:tc>
          <w:tcPr>
            <w:tcW w:w="1347" w:type="dxa"/>
            <w:tcBorders>
              <w:top w:val="nil"/>
              <w:bottom w:val="nil"/>
            </w:tcBorders>
            <w:vAlign w:val="center"/>
          </w:tcPr>
          <w:p w14:paraId="77047A4E"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1,175</w:t>
            </w:r>
          </w:p>
        </w:tc>
        <w:tc>
          <w:tcPr>
            <w:tcW w:w="1347" w:type="dxa"/>
            <w:tcBorders>
              <w:top w:val="nil"/>
              <w:bottom w:val="nil"/>
            </w:tcBorders>
            <w:vAlign w:val="center"/>
          </w:tcPr>
          <w:p w14:paraId="01D5089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519" w:type="dxa"/>
            <w:gridSpan w:val="2"/>
            <w:tcBorders>
              <w:top w:val="nil"/>
              <w:bottom w:val="nil"/>
            </w:tcBorders>
            <w:vAlign w:val="center"/>
          </w:tcPr>
          <w:p w14:paraId="64B80F5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248" w:type="dxa"/>
            <w:gridSpan w:val="2"/>
            <w:tcBorders>
              <w:top w:val="nil"/>
              <w:bottom w:val="nil"/>
            </w:tcBorders>
            <w:vAlign w:val="center"/>
          </w:tcPr>
          <w:p w14:paraId="0430EE6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479,961</w:t>
            </w:r>
          </w:p>
        </w:tc>
        <w:tc>
          <w:tcPr>
            <w:tcW w:w="1317" w:type="dxa"/>
            <w:tcBorders>
              <w:top w:val="nil"/>
              <w:bottom w:val="nil"/>
            </w:tcBorders>
            <w:vAlign w:val="center"/>
          </w:tcPr>
          <w:p w14:paraId="64358FB8"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418,105</w:t>
            </w:r>
          </w:p>
        </w:tc>
      </w:tr>
      <w:tr w:rsidR="00720F68" w:rsidRPr="00B84B0C" w14:paraId="00C3BE7A" w14:textId="77777777" w:rsidTr="00904B5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vAlign w:val="center"/>
          </w:tcPr>
          <w:p w14:paraId="6804CE9E" w14:textId="77777777" w:rsidR="00720F68" w:rsidRPr="00B84B0C" w:rsidRDefault="00720F68" w:rsidP="00720F68">
            <w:pPr>
              <w:pStyle w:val="08-Tabelageral"/>
              <w:ind w:left="113"/>
              <w:jc w:val="left"/>
              <w:rPr>
                <w:rFonts w:cs="Arial"/>
                <w:b w:val="0"/>
              </w:rPr>
            </w:pPr>
            <w:r w:rsidRPr="00B84B0C">
              <w:rPr>
                <w:rFonts w:cs="Arial"/>
                <w:b w:val="0"/>
              </w:rPr>
              <w:t xml:space="preserve">Social </w:t>
            </w:r>
            <w:proofErr w:type="spellStart"/>
            <w:r w:rsidRPr="00B84B0C">
              <w:rPr>
                <w:rFonts w:cs="Arial"/>
                <w:b w:val="0"/>
              </w:rPr>
              <w:t>contribution</w:t>
            </w:r>
            <w:proofErr w:type="spellEnd"/>
            <w:r w:rsidRPr="00B84B0C">
              <w:rPr>
                <w:rFonts w:cs="Arial"/>
                <w:b w:val="0"/>
              </w:rPr>
              <w:t xml:space="preserve"> </w:t>
            </w:r>
            <w:proofErr w:type="spellStart"/>
            <w:r w:rsidRPr="00B84B0C">
              <w:rPr>
                <w:rFonts w:cs="Arial"/>
                <w:b w:val="0"/>
              </w:rPr>
              <w:t>paid</w:t>
            </w:r>
            <w:proofErr w:type="spellEnd"/>
          </w:p>
        </w:tc>
        <w:tc>
          <w:tcPr>
            <w:tcW w:w="567" w:type="dxa"/>
            <w:tcBorders>
              <w:top w:val="nil"/>
              <w:bottom w:val="nil"/>
            </w:tcBorders>
            <w:vAlign w:val="center"/>
          </w:tcPr>
          <w:p w14:paraId="1B7762A3"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47" w:type="dxa"/>
            <w:tcBorders>
              <w:top w:val="nil"/>
              <w:bottom w:val="nil"/>
            </w:tcBorders>
            <w:vAlign w:val="center"/>
          </w:tcPr>
          <w:p w14:paraId="4E0FB58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1,612</w:t>
            </w:r>
          </w:p>
        </w:tc>
        <w:tc>
          <w:tcPr>
            <w:tcW w:w="1347" w:type="dxa"/>
            <w:tcBorders>
              <w:top w:val="nil"/>
              <w:bottom w:val="nil"/>
            </w:tcBorders>
            <w:vAlign w:val="center"/>
          </w:tcPr>
          <w:p w14:paraId="4BB392E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1,769</w:t>
            </w:r>
          </w:p>
        </w:tc>
        <w:tc>
          <w:tcPr>
            <w:tcW w:w="519" w:type="dxa"/>
            <w:gridSpan w:val="2"/>
            <w:tcBorders>
              <w:top w:val="nil"/>
              <w:bottom w:val="nil"/>
            </w:tcBorders>
            <w:vAlign w:val="center"/>
          </w:tcPr>
          <w:p w14:paraId="43174464"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248" w:type="dxa"/>
            <w:gridSpan w:val="2"/>
            <w:tcBorders>
              <w:top w:val="nil"/>
              <w:bottom w:val="nil"/>
            </w:tcBorders>
            <w:vAlign w:val="center"/>
          </w:tcPr>
          <w:p w14:paraId="6EA78B10"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185,657</w:t>
            </w:r>
          </w:p>
        </w:tc>
        <w:tc>
          <w:tcPr>
            <w:tcW w:w="1317" w:type="dxa"/>
            <w:tcBorders>
              <w:top w:val="nil"/>
              <w:bottom w:val="nil"/>
            </w:tcBorders>
            <w:vAlign w:val="center"/>
          </w:tcPr>
          <w:p w14:paraId="2C8EE3B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168,445</w:t>
            </w:r>
          </w:p>
        </w:tc>
      </w:tr>
      <w:tr w:rsidR="00720F68" w:rsidRPr="00B84B0C" w14:paraId="4E46CCA9" w14:textId="77777777" w:rsidTr="00904B54">
        <w:trPr>
          <w:trHeigh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single" w:sz="2" w:space="0" w:color="8EAADB" w:themeColor="accent5" w:themeTint="99"/>
            </w:tcBorders>
            <w:vAlign w:val="center"/>
          </w:tcPr>
          <w:p w14:paraId="706F089D" w14:textId="77777777" w:rsidR="00720F68" w:rsidRPr="00B84B0C" w:rsidRDefault="00720F68" w:rsidP="00720F68">
            <w:pPr>
              <w:pStyle w:val="08-Tabelageral"/>
              <w:jc w:val="left"/>
              <w:rPr>
                <w:rFonts w:cs="Arial"/>
                <w:szCs w:val="14"/>
              </w:rPr>
            </w:pPr>
            <w:r w:rsidRPr="00B84B0C">
              <w:rPr>
                <w:rFonts w:cs="Arial"/>
                <w:szCs w:val="14"/>
              </w:rPr>
              <w:t xml:space="preserve">Total taxes </w:t>
            </w:r>
            <w:proofErr w:type="spellStart"/>
            <w:r w:rsidRPr="00B84B0C">
              <w:rPr>
                <w:rFonts w:cs="Arial"/>
                <w:szCs w:val="14"/>
              </w:rPr>
              <w:t>paid</w:t>
            </w:r>
            <w:proofErr w:type="spellEnd"/>
          </w:p>
        </w:tc>
        <w:tc>
          <w:tcPr>
            <w:tcW w:w="567" w:type="dxa"/>
            <w:tcBorders>
              <w:top w:val="nil"/>
              <w:bottom w:val="single" w:sz="2" w:space="0" w:color="8EAADB" w:themeColor="accent5" w:themeTint="99"/>
            </w:tcBorders>
            <w:vAlign w:val="center"/>
          </w:tcPr>
          <w:p w14:paraId="6EAA5503" w14:textId="77777777" w:rsidR="00720F68" w:rsidRPr="00B84B0C" w:rsidRDefault="00720F68" w:rsidP="00720F68">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347" w:type="dxa"/>
            <w:tcBorders>
              <w:top w:val="nil"/>
              <w:bottom w:val="single" w:sz="2" w:space="0" w:color="8EAADB" w:themeColor="accent5" w:themeTint="99"/>
            </w:tcBorders>
            <w:vAlign w:val="center"/>
          </w:tcPr>
          <w:p w14:paraId="178C41B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2,787</w:t>
            </w:r>
          </w:p>
        </w:tc>
        <w:tc>
          <w:tcPr>
            <w:tcW w:w="1347" w:type="dxa"/>
            <w:tcBorders>
              <w:top w:val="nil"/>
              <w:bottom w:val="single" w:sz="2" w:space="0" w:color="8EAADB" w:themeColor="accent5" w:themeTint="99"/>
            </w:tcBorders>
            <w:vAlign w:val="center"/>
          </w:tcPr>
          <w:p w14:paraId="7AC1B31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1,769</w:t>
            </w:r>
          </w:p>
        </w:tc>
        <w:tc>
          <w:tcPr>
            <w:tcW w:w="519" w:type="dxa"/>
            <w:gridSpan w:val="2"/>
            <w:tcBorders>
              <w:top w:val="nil"/>
              <w:bottom w:val="single" w:sz="2" w:space="0" w:color="8EAADB" w:themeColor="accent5" w:themeTint="99"/>
            </w:tcBorders>
            <w:vAlign w:val="center"/>
          </w:tcPr>
          <w:p w14:paraId="73FF65B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248" w:type="dxa"/>
            <w:gridSpan w:val="2"/>
            <w:tcBorders>
              <w:top w:val="nil"/>
              <w:bottom w:val="single" w:sz="2" w:space="0" w:color="8EAADB" w:themeColor="accent5" w:themeTint="99"/>
            </w:tcBorders>
            <w:vAlign w:val="center"/>
          </w:tcPr>
          <w:p w14:paraId="27EF30D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665,618</w:t>
            </w:r>
          </w:p>
        </w:tc>
        <w:tc>
          <w:tcPr>
            <w:tcW w:w="1317" w:type="dxa"/>
            <w:tcBorders>
              <w:top w:val="nil"/>
              <w:bottom w:val="single" w:sz="2" w:space="0" w:color="8EAADB" w:themeColor="accent5" w:themeTint="99"/>
            </w:tcBorders>
            <w:vAlign w:val="center"/>
          </w:tcPr>
          <w:p w14:paraId="1E30B97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586,550</w:t>
            </w:r>
          </w:p>
        </w:tc>
      </w:tr>
    </w:tbl>
    <w:p w14:paraId="0D265A78" w14:textId="77777777" w:rsidR="00720F68" w:rsidRPr="00B84B0C" w:rsidRDefault="00720F68" w:rsidP="00720F68">
      <w:pPr>
        <w:rPr>
          <w:rFonts w:cs="Arial"/>
          <w:sz w:val="14"/>
          <w:szCs w:val="14"/>
          <w:lang w:val="en-US"/>
        </w:rPr>
      </w:pPr>
      <w:r w:rsidRPr="00B84B0C">
        <w:rPr>
          <w:rFonts w:cs="Arial"/>
          <w:sz w:val="14"/>
          <w:szCs w:val="14"/>
          <w:lang w:val="en-US"/>
        </w:rPr>
        <w:t>The accompanying notes are an integral part of these financial statements.</w:t>
      </w:r>
    </w:p>
    <w:p w14:paraId="755CD71C" w14:textId="77777777" w:rsidR="00C91206" w:rsidRPr="00B84B0C" w:rsidRDefault="00C91206" w:rsidP="00C91206">
      <w:pPr>
        <w:rPr>
          <w:rFonts w:cs="Arial"/>
          <w:sz w:val="14"/>
          <w:szCs w:val="14"/>
        </w:rPr>
        <w:sectPr w:rsidR="00C91206" w:rsidRPr="00B84B0C" w:rsidSect="00C91206">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134" w:right="1134" w:bottom="851" w:left="1134" w:header="851" w:footer="284" w:gutter="0"/>
          <w:pgNumType w:start="1"/>
          <w:cols w:space="708"/>
          <w:docGrid w:linePitch="360"/>
        </w:sectPr>
      </w:pPr>
      <w:r w:rsidRPr="00B84B0C">
        <w:rPr>
          <w:rFonts w:cs="Arial"/>
          <w:sz w:val="14"/>
          <w:szCs w:val="14"/>
        </w:rPr>
        <w:br w:type="page"/>
      </w:r>
    </w:p>
    <w:p w14:paraId="38E030E0" w14:textId="22C186CB" w:rsidR="00C91206" w:rsidRPr="00B84B0C" w:rsidRDefault="00C91206" w:rsidP="00C91206">
      <w:pPr>
        <w:rPr>
          <w:rFonts w:cs="Arial"/>
          <w:sz w:val="14"/>
          <w:szCs w:val="14"/>
        </w:rPr>
      </w:pPr>
    </w:p>
    <w:p w14:paraId="136976BA" w14:textId="77777777" w:rsidR="00720F68" w:rsidRPr="00B84B0C" w:rsidRDefault="00720F68" w:rsidP="00720F68">
      <w:pPr>
        <w:rPr>
          <w:rFonts w:cs="Arial"/>
          <w:sz w:val="14"/>
          <w:szCs w:val="14"/>
          <w:lang w:val="en-US"/>
        </w:rPr>
      </w:pPr>
    </w:p>
    <w:p w14:paraId="1E0EBB8E" w14:textId="77777777" w:rsidR="00720F68" w:rsidRPr="00B84B0C" w:rsidRDefault="00720F68" w:rsidP="00720F68">
      <w:pPr>
        <w:tabs>
          <w:tab w:val="left" w:pos="10089"/>
        </w:tabs>
        <w:rPr>
          <w:rFonts w:cs="Arial"/>
          <w:sz w:val="14"/>
          <w:szCs w:val="14"/>
          <w:lang w:val="en-US"/>
        </w:rPr>
      </w:pPr>
      <w:r w:rsidRPr="00B84B0C">
        <w:rPr>
          <w:rFonts w:cs="Arial"/>
          <w:sz w:val="14"/>
          <w:szCs w:val="14"/>
          <w:lang w:val="en-US"/>
        </w:rPr>
        <w:tab/>
      </w:r>
    </w:p>
    <w:p w14:paraId="363DEE09" w14:textId="77777777" w:rsidR="00720F68" w:rsidRPr="00B84B0C" w:rsidRDefault="00720F68" w:rsidP="00904B54">
      <w:pPr>
        <w:pStyle w:val="02-TtulodeNota"/>
        <w:rPr>
          <w:rFonts w:cs="Arial"/>
          <w:color w:val="1F4E79" w:themeColor="accent1" w:themeShade="80"/>
          <w:lang w:val="en-US"/>
        </w:rPr>
      </w:pPr>
      <w:bookmarkStart w:id="5" w:name="_Toc39131482"/>
      <w:r w:rsidRPr="00B84B0C">
        <w:rPr>
          <w:rFonts w:cs="Arial"/>
          <w:color w:val="1F4E79" w:themeColor="accent1" w:themeShade="80"/>
          <w:lang w:val="en-US"/>
        </w:rPr>
        <w:t>STATEMENT OF CHANGES IN EQUITY</w:t>
      </w:r>
      <w:bookmarkEnd w:id="5"/>
    </w:p>
    <w:p w14:paraId="00E192A2" w14:textId="77777777" w:rsidR="00720F68" w:rsidRPr="00B84B0C" w:rsidRDefault="00720F68" w:rsidP="00720F68">
      <w:pPr>
        <w:pStyle w:val="06-Rmil"/>
        <w:rPr>
          <w:rFonts w:cs="Arial"/>
        </w:rPr>
      </w:pPr>
      <w:r w:rsidRPr="00B84B0C">
        <w:rPr>
          <w:rFonts w:cs="Arial"/>
        </w:rPr>
        <w:t xml:space="preserve">R$ </w:t>
      </w:r>
      <w:proofErr w:type="spellStart"/>
      <w:r w:rsidRPr="00B84B0C">
        <w:rPr>
          <w:rFonts w:cs="Arial"/>
        </w:rPr>
        <w:t>thousand</w:t>
      </w:r>
      <w:proofErr w:type="spellEnd"/>
    </w:p>
    <w:tbl>
      <w:tblPr>
        <w:tblStyle w:val="TabeladeLista6Colorida-nfase51"/>
        <w:tblW w:w="14882" w:type="dxa"/>
        <w:tblInd w:w="108" w:type="dxa"/>
        <w:tblLayout w:type="fixed"/>
        <w:tblLook w:val="04A0" w:firstRow="1" w:lastRow="0" w:firstColumn="1" w:lastColumn="0" w:noHBand="0" w:noVBand="1"/>
      </w:tblPr>
      <w:tblGrid>
        <w:gridCol w:w="3686"/>
        <w:gridCol w:w="851"/>
        <w:gridCol w:w="1275"/>
        <w:gridCol w:w="992"/>
        <w:gridCol w:w="1276"/>
        <w:gridCol w:w="1844"/>
        <w:gridCol w:w="1121"/>
        <w:gridCol w:w="1145"/>
        <w:gridCol w:w="1571"/>
        <w:gridCol w:w="1121"/>
      </w:tblGrid>
      <w:tr w:rsidR="00720F68" w:rsidRPr="00B84B0C" w14:paraId="48FBBF03" w14:textId="77777777" w:rsidTr="00720F68">
        <w:trPr>
          <w:cnfStyle w:val="100000000000" w:firstRow="1" w:lastRow="0" w:firstColumn="0" w:lastColumn="0" w:oddVBand="0" w:evenVBand="0" w:oddHBand="0" w:evenHBand="0" w:firstRowFirstColumn="0" w:firstRowLastColumn="0" w:lastRowFirstColumn="0" w:lastRowLastColumn="0"/>
          <w:trHeight w:hRule="exact" w:val="309"/>
        </w:trPr>
        <w:tc>
          <w:tcPr>
            <w:cnfStyle w:val="001000000000" w:firstRow="0" w:lastRow="0" w:firstColumn="1" w:lastColumn="0" w:oddVBand="0" w:evenVBand="0" w:oddHBand="0" w:evenHBand="0" w:firstRowFirstColumn="0" w:firstRowLastColumn="0" w:lastRowFirstColumn="0" w:lastRowLastColumn="0"/>
            <w:tcW w:w="3686" w:type="dxa"/>
            <w:vMerge w:val="restart"/>
            <w:tcBorders>
              <w:top w:val="single" w:sz="2" w:space="0" w:color="8EAADB" w:themeColor="accent5" w:themeTint="99"/>
            </w:tcBorders>
            <w:shd w:val="clear" w:color="auto" w:fill="D9E2F3" w:themeFill="accent5" w:themeFillTint="33"/>
            <w:vAlign w:val="center"/>
          </w:tcPr>
          <w:p w14:paraId="68C30FA4" w14:textId="77777777" w:rsidR="00720F68" w:rsidRPr="00B84B0C" w:rsidRDefault="00720F68" w:rsidP="00720F68">
            <w:pPr>
              <w:rPr>
                <w:rFonts w:cs="Arial"/>
                <w:bCs w:val="0"/>
                <w:sz w:val="14"/>
                <w:szCs w:val="14"/>
              </w:rPr>
            </w:pPr>
            <w:proofErr w:type="spellStart"/>
            <w:r w:rsidRPr="00B84B0C">
              <w:rPr>
                <w:rFonts w:cs="Arial"/>
                <w:sz w:val="14"/>
                <w:szCs w:val="14"/>
              </w:rPr>
              <w:t>Event</w:t>
            </w:r>
            <w:proofErr w:type="spellEnd"/>
          </w:p>
        </w:tc>
        <w:tc>
          <w:tcPr>
            <w:tcW w:w="851" w:type="dxa"/>
            <w:vMerge w:val="restart"/>
            <w:tcBorders>
              <w:top w:val="single" w:sz="2" w:space="0" w:color="8EAADB" w:themeColor="accent5" w:themeTint="99"/>
            </w:tcBorders>
            <w:shd w:val="clear" w:color="auto" w:fill="D9E2F3" w:themeFill="accent5" w:themeFillTint="33"/>
            <w:vAlign w:val="center"/>
          </w:tcPr>
          <w:p w14:paraId="1E3BE8AA"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B84B0C">
              <w:rPr>
                <w:rFonts w:cs="Arial"/>
                <w:bCs w:val="0"/>
                <w:sz w:val="14"/>
                <w:szCs w:val="14"/>
              </w:rPr>
              <w:t>Note</w:t>
            </w:r>
          </w:p>
        </w:tc>
        <w:tc>
          <w:tcPr>
            <w:tcW w:w="1275" w:type="dxa"/>
            <w:vMerge w:val="restart"/>
            <w:tcBorders>
              <w:top w:val="single" w:sz="2" w:space="0" w:color="8EAADB" w:themeColor="accent5" w:themeTint="99"/>
            </w:tcBorders>
            <w:shd w:val="clear" w:color="auto" w:fill="D9E2F3" w:themeFill="accent5" w:themeFillTint="33"/>
            <w:vAlign w:val="center"/>
          </w:tcPr>
          <w:p w14:paraId="7B5977C7"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Capital</w:t>
            </w:r>
          </w:p>
        </w:tc>
        <w:tc>
          <w:tcPr>
            <w:tcW w:w="992" w:type="dxa"/>
            <w:vMerge w:val="restart"/>
            <w:tcBorders>
              <w:top w:val="single" w:sz="2" w:space="0" w:color="8EAADB" w:themeColor="accent5" w:themeTint="99"/>
            </w:tcBorders>
            <w:shd w:val="clear" w:color="auto" w:fill="D9E2F3" w:themeFill="accent5" w:themeFillTint="33"/>
            <w:vAlign w:val="center"/>
          </w:tcPr>
          <w:p w14:paraId="32550C13"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4"/>
              </w:rPr>
            </w:pPr>
            <w:r w:rsidRPr="00B84B0C">
              <w:rPr>
                <w:rFonts w:cs="Arial"/>
                <w:sz w:val="14"/>
                <w:szCs w:val="14"/>
              </w:rPr>
              <w:t>Capital Reserves</w:t>
            </w:r>
          </w:p>
        </w:tc>
        <w:tc>
          <w:tcPr>
            <w:tcW w:w="3120"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03BCF545"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B84B0C">
              <w:rPr>
                <w:rFonts w:cs="Arial"/>
                <w:sz w:val="14"/>
                <w:szCs w:val="14"/>
              </w:rPr>
              <w:t>Profit Reserves</w:t>
            </w:r>
          </w:p>
        </w:tc>
        <w:tc>
          <w:tcPr>
            <w:tcW w:w="1121" w:type="dxa"/>
            <w:vMerge w:val="restart"/>
            <w:tcBorders>
              <w:top w:val="single" w:sz="2" w:space="0" w:color="8EAADB" w:themeColor="accent5" w:themeTint="99"/>
            </w:tcBorders>
            <w:shd w:val="clear" w:color="auto" w:fill="D9E2F3" w:themeFill="accent5" w:themeFillTint="33"/>
            <w:vAlign w:val="center"/>
          </w:tcPr>
          <w:p w14:paraId="031A0CAC"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proofErr w:type="spellStart"/>
            <w:r w:rsidRPr="00B84B0C">
              <w:rPr>
                <w:rFonts w:cs="Arial"/>
                <w:sz w:val="14"/>
                <w:szCs w:val="14"/>
              </w:rPr>
              <w:t>Treasury</w:t>
            </w:r>
            <w:proofErr w:type="spellEnd"/>
            <w:r w:rsidRPr="00B84B0C">
              <w:rPr>
                <w:rFonts w:cs="Arial"/>
                <w:sz w:val="14"/>
                <w:szCs w:val="14"/>
              </w:rPr>
              <w:t xml:space="preserve"> </w:t>
            </w:r>
            <w:proofErr w:type="spellStart"/>
            <w:r w:rsidRPr="00B84B0C">
              <w:rPr>
                <w:rFonts w:cs="Arial"/>
                <w:sz w:val="14"/>
                <w:szCs w:val="14"/>
              </w:rPr>
              <w:t>Shares</w:t>
            </w:r>
            <w:proofErr w:type="spellEnd"/>
          </w:p>
        </w:tc>
        <w:tc>
          <w:tcPr>
            <w:tcW w:w="1145" w:type="dxa"/>
            <w:vMerge w:val="restart"/>
            <w:tcBorders>
              <w:top w:val="single" w:sz="2" w:space="0" w:color="8EAADB" w:themeColor="accent5" w:themeTint="99"/>
            </w:tcBorders>
            <w:shd w:val="clear" w:color="auto" w:fill="D9E2F3" w:themeFill="accent5" w:themeFillTint="33"/>
            <w:vAlign w:val="center"/>
          </w:tcPr>
          <w:p w14:paraId="1964C33B"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Retained</w:t>
            </w:r>
            <w:proofErr w:type="spellEnd"/>
            <w:r w:rsidRPr="00B84B0C">
              <w:rPr>
                <w:rFonts w:cs="Arial"/>
                <w:sz w:val="14"/>
                <w:szCs w:val="14"/>
              </w:rPr>
              <w:t xml:space="preserve"> </w:t>
            </w:r>
            <w:proofErr w:type="spellStart"/>
            <w:r w:rsidRPr="00B84B0C">
              <w:rPr>
                <w:rFonts w:cs="Arial"/>
                <w:sz w:val="14"/>
                <w:szCs w:val="14"/>
              </w:rPr>
              <w:t>Earnings</w:t>
            </w:r>
            <w:proofErr w:type="spellEnd"/>
            <w:r w:rsidRPr="00B84B0C">
              <w:rPr>
                <w:rFonts w:cs="Arial"/>
                <w:sz w:val="14"/>
                <w:szCs w:val="14"/>
              </w:rPr>
              <w:t xml:space="preserve">/ </w:t>
            </w:r>
            <w:proofErr w:type="spellStart"/>
            <w:r w:rsidRPr="00B84B0C">
              <w:rPr>
                <w:rFonts w:cs="Arial"/>
                <w:sz w:val="14"/>
                <w:szCs w:val="14"/>
              </w:rPr>
              <w:t>Accumulated</w:t>
            </w:r>
            <w:proofErr w:type="spellEnd"/>
            <w:r w:rsidRPr="00B84B0C">
              <w:rPr>
                <w:rFonts w:cs="Arial"/>
                <w:sz w:val="14"/>
                <w:szCs w:val="14"/>
              </w:rPr>
              <w:t xml:space="preserve"> </w:t>
            </w:r>
            <w:proofErr w:type="spellStart"/>
            <w:r w:rsidRPr="00B84B0C">
              <w:rPr>
                <w:rFonts w:cs="Arial"/>
                <w:sz w:val="14"/>
                <w:szCs w:val="14"/>
              </w:rPr>
              <w:t>Losses</w:t>
            </w:r>
            <w:proofErr w:type="spellEnd"/>
          </w:p>
        </w:tc>
        <w:tc>
          <w:tcPr>
            <w:tcW w:w="1571" w:type="dxa"/>
            <w:vMerge w:val="restart"/>
            <w:tcBorders>
              <w:top w:val="single" w:sz="2" w:space="0" w:color="8EAADB" w:themeColor="accent5" w:themeTint="99"/>
            </w:tcBorders>
            <w:shd w:val="clear" w:color="auto" w:fill="D9E2F3" w:themeFill="accent5" w:themeFillTint="33"/>
            <w:vAlign w:val="center"/>
          </w:tcPr>
          <w:p w14:paraId="49A2705F"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B84B0C">
              <w:rPr>
                <w:rFonts w:cs="Arial"/>
                <w:sz w:val="14"/>
                <w:szCs w:val="14"/>
              </w:rPr>
              <w:t xml:space="preserve">Other </w:t>
            </w:r>
            <w:proofErr w:type="spellStart"/>
            <w:proofErr w:type="gramStart"/>
            <w:r w:rsidRPr="00B84B0C">
              <w:rPr>
                <w:rFonts w:cs="Arial"/>
                <w:sz w:val="14"/>
                <w:szCs w:val="14"/>
              </w:rPr>
              <w:t>Accumulated</w:t>
            </w:r>
            <w:proofErr w:type="spellEnd"/>
            <w:r w:rsidRPr="00B84B0C">
              <w:rPr>
                <w:rFonts w:cs="Arial"/>
                <w:sz w:val="14"/>
                <w:szCs w:val="14"/>
              </w:rPr>
              <w:t xml:space="preserve">  </w:t>
            </w:r>
            <w:proofErr w:type="spellStart"/>
            <w:r w:rsidRPr="00B84B0C">
              <w:rPr>
                <w:rFonts w:cs="Arial"/>
                <w:sz w:val="14"/>
                <w:szCs w:val="14"/>
              </w:rPr>
              <w:t>Comprehensive</w:t>
            </w:r>
            <w:proofErr w:type="spellEnd"/>
            <w:proofErr w:type="gramEnd"/>
            <w:r w:rsidRPr="00B84B0C">
              <w:rPr>
                <w:rFonts w:cs="Arial"/>
                <w:sz w:val="14"/>
                <w:szCs w:val="14"/>
              </w:rPr>
              <w:t xml:space="preserve"> Income</w:t>
            </w:r>
          </w:p>
        </w:tc>
        <w:tc>
          <w:tcPr>
            <w:tcW w:w="1121" w:type="dxa"/>
            <w:vMerge w:val="restart"/>
            <w:tcBorders>
              <w:top w:val="single" w:sz="2" w:space="0" w:color="8EAADB" w:themeColor="accent5" w:themeTint="99"/>
            </w:tcBorders>
            <w:shd w:val="clear" w:color="auto" w:fill="D9E2F3" w:themeFill="accent5" w:themeFillTint="33"/>
            <w:vAlign w:val="center"/>
          </w:tcPr>
          <w:p w14:paraId="77BDD75B"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B84B0C">
              <w:rPr>
                <w:rFonts w:cs="Arial"/>
                <w:bCs w:val="0"/>
                <w:sz w:val="14"/>
                <w:szCs w:val="14"/>
              </w:rPr>
              <w:t>Total</w:t>
            </w:r>
          </w:p>
        </w:tc>
      </w:tr>
      <w:tr w:rsidR="00720F68" w:rsidRPr="00B84B0C" w14:paraId="08B9BCCD" w14:textId="77777777" w:rsidTr="00720F68">
        <w:trPr>
          <w:cnfStyle w:val="000000100000" w:firstRow="0" w:lastRow="0" w:firstColumn="0" w:lastColumn="0" w:oddVBand="0" w:evenVBand="0" w:oddHBand="1" w:evenHBand="0" w:firstRowFirstColumn="0" w:firstRowLastColumn="0" w:lastRowFirstColumn="0" w:lastRowLastColumn="0"/>
          <w:trHeight w:hRule="exact" w:val="408"/>
        </w:trPr>
        <w:tc>
          <w:tcPr>
            <w:cnfStyle w:val="001000000000" w:firstRow="0" w:lastRow="0" w:firstColumn="1" w:lastColumn="0" w:oddVBand="0" w:evenVBand="0" w:oddHBand="0" w:evenHBand="0" w:firstRowFirstColumn="0" w:firstRowLastColumn="0" w:lastRowFirstColumn="0" w:lastRowLastColumn="0"/>
            <w:tcW w:w="3686" w:type="dxa"/>
            <w:vMerge/>
            <w:tcBorders>
              <w:bottom w:val="single" w:sz="4" w:space="0" w:color="8EAADB" w:themeColor="accent5" w:themeTint="99"/>
            </w:tcBorders>
          </w:tcPr>
          <w:p w14:paraId="7CDBA0CA" w14:textId="77777777" w:rsidR="00720F68" w:rsidRPr="00B84B0C" w:rsidRDefault="00720F68" w:rsidP="00720F68">
            <w:pPr>
              <w:rPr>
                <w:rFonts w:cs="Arial"/>
                <w:sz w:val="14"/>
                <w:szCs w:val="14"/>
              </w:rPr>
            </w:pPr>
          </w:p>
        </w:tc>
        <w:tc>
          <w:tcPr>
            <w:tcW w:w="851" w:type="dxa"/>
            <w:vMerge/>
            <w:tcBorders>
              <w:bottom w:val="single" w:sz="4" w:space="0" w:color="8EAADB" w:themeColor="accent5" w:themeTint="99"/>
            </w:tcBorders>
          </w:tcPr>
          <w:p w14:paraId="10B46943"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75" w:type="dxa"/>
            <w:vMerge/>
            <w:tcBorders>
              <w:bottom w:val="single" w:sz="4" w:space="0" w:color="8EAADB" w:themeColor="accent5" w:themeTint="99"/>
            </w:tcBorders>
          </w:tcPr>
          <w:p w14:paraId="7436D6D3"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992" w:type="dxa"/>
            <w:vMerge/>
            <w:tcBorders>
              <w:bottom w:val="single" w:sz="4" w:space="0" w:color="8EAADB" w:themeColor="accent5" w:themeTint="99"/>
            </w:tcBorders>
          </w:tcPr>
          <w:p w14:paraId="76DC5249"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76" w:type="dxa"/>
            <w:tcBorders>
              <w:top w:val="single" w:sz="2" w:space="0" w:color="8EAADB" w:themeColor="accent5" w:themeTint="99"/>
              <w:bottom w:val="single" w:sz="4" w:space="0" w:color="8EAADB" w:themeColor="accent5" w:themeTint="99"/>
            </w:tcBorders>
            <w:vAlign w:val="center"/>
          </w:tcPr>
          <w:p w14:paraId="7D4DC19D"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Legal Reserve</w:t>
            </w:r>
          </w:p>
        </w:tc>
        <w:tc>
          <w:tcPr>
            <w:tcW w:w="1844" w:type="dxa"/>
            <w:tcBorders>
              <w:top w:val="single" w:sz="2" w:space="0" w:color="8EAADB" w:themeColor="accent5" w:themeTint="99"/>
              <w:bottom w:val="single" w:sz="4" w:space="0" w:color="8EAADB" w:themeColor="accent5" w:themeTint="99"/>
            </w:tcBorders>
            <w:vAlign w:val="center"/>
          </w:tcPr>
          <w:p w14:paraId="2B09910F"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Statutory</w:t>
            </w:r>
            <w:proofErr w:type="spellEnd"/>
            <w:r w:rsidRPr="00B84B0C">
              <w:rPr>
                <w:rFonts w:cs="Arial"/>
                <w:b/>
                <w:sz w:val="14"/>
                <w:szCs w:val="14"/>
              </w:rPr>
              <w:t xml:space="preserve"> Reserve</w:t>
            </w:r>
          </w:p>
        </w:tc>
        <w:tc>
          <w:tcPr>
            <w:tcW w:w="1121" w:type="dxa"/>
            <w:vMerge/>
            <w:tcBorders>
              <w:bottom w:val="single" w:sz="4" w:space="0" w:color="8EAADB" w:themeColor="accent5" w:themeTint="99"/>
            </w:tcBorders>
            <w:vAlign w:val="center"/>
          </w:tcPr>
          <w:p w14:paraId="290EAB04"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45" w:type="dxa"/>
            <w:vMerge/>
            <w:tcBorders>
              <w:bottom w:val="single" w:sz="4" w:space="0" w:color="8EAADB" w:themeColor="accent5" w:themeTint="99"/>
            </w:tcBorders>
          </w:tcPr>
          <w:p w14:paraId="32C385A1"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571" w:type="dxa"/>
            <w:vMerge/>
            <w:tcBorders>
              <w:bottom w:val="single" w:sz="4" w:space="0" w:color="8EAADB" w:themeColor="accent5" w:themeTint="99"/>
            </w:tcBorders>
            <w:vAlign w:val="center"/>
          </w:tcPr>
          <w:p w14:paraId="11EA4EC7"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1" w:type="dxa"/>
            <w:vMerge/>
            <w:tcBorders>
              <w:bottom w:val="single" w:sz="4" w:space="0" w:color="8EAADB" w:themeColor="accent5" w:themeTint="99"/>
            </w:tcBorders>
            <w:vAlign w:val="center"/>
          </w:tcPr>
          <w:p w14:paraId="64DCE13D"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sz w:val="14"/>
                <w:szCs w:val="14"/>
              </w:rPr>
            </w:pPr>
          </w:p>
        </w:tc>
      </w:tr>
      <w:tr w:rsidR="00720F68" w:rsidRPr="00B84B0C" w14:paraId="295C69AC" w14:textId="77777777" w:rsidTr="00720F68">
        <w:trPr>
          <w:trHeight w:val="134"/>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588CBD91" w14:textId="77777777" w:rsidR="00720F68" w:rsidRPr="00B84B0C" w:rsidRDefault="00720F68" w:rsidP="00720F68">
            <w:pPr>
              <w:keepNext/>
              <w:keepLines/>
              <w:spacing w:before="40" w:after="40"/>
              <w:rPr>
                <w:rFonts w:eastAsia="Times New Roman" w:cs="Arial"/>
                <w:spacing w:val="-2"/>
                <w:sz w:val="14"/>
                <w:szCs w:val="14"/>
                <w:lang w:eastAsia="pt-BR"/>
              </w:rPr>
            </w:pPr>
            <w:r w:rsidRPr="00B84B0C">
              <w:rPr>
                <w:rFonts w:eastAsia="Times New Roman" w:cs="Arial"/>
                <w:spacing w:val="-2"/>
                <w:sz w:val="14"/>
                <w:szCs w:val="14"/>
                <w:lang w:eastAsia="pt-BR"/>
              </w:rPr>
              <w:t xml:space="preserve">Balances </w:t>
            </w:r>
            <w:proofErr w:type="spellStart"/>
            <w:r w:rsidRPr="00B84B0C">
              <w:rPr>
                <w:rFonts w:eastAsia="Times New Roman" w:cs="Arial"/>
                <w:spacing w:val="-2"/>
                <w:sz w:val="14"/>
                <w:szCs w:val="14"/>
                <w:lang w:eastAsia="pt-BR"/>
              </w:rPr>
              <w:t>at</w:t>
            </w:r>
            <w:proofErr w:type="spellEnd"/>
            <w:r w:rsidRPr="00B84B0C">
              <w:rPr>
                <w:rFonts w:eastAsia="Times New Roman" w:cs="Arial"/>
                <w:spacing w:val="-2"/>
                <w:sz w:val="14"/>
                <w:szCs w:val="14"/>
                <w:lang w:eastAsia="pt-BR"/>
              </w:rPr>
              <w:t xml:space="preserve"> </w:t>
            </w:r>
            <w:proofErr w:type="spellStart"/>
            <w:r w:rsidRPr="00B84B0C">
              <w:rPr>
                <w:rFonts w:eastAsia="Times New Roman" w:cs="Arial"/>
                <w:spacing w:val="-2"/>
                <w:sz w:val="14"/>
                <w:szCs w:val="14"/>
                <w:lang w:eastAsia="pt-BR"/>
              </w:rPr>
              <w:t>Dec</w:t>
            </w:r>
            <w:proofErr w:type="spellEnd"/>
            <w:r w:rsidRPr="00B84B0C">
              <w:rPr>
                <w:rFonts w:eastAsia="Times New Roman" w:cs="Arial"/>
                <w:spacing w:val="-2"/>
                <w:sz w:val="14"/>
                <w:szCs w:val="14"/>
                <w:lang w:eastAsia="pt-BR"/>
              </w:rPr>
              <w:t xml:space="preserve"> 31, 2018</w:t>
            </w:r>
          </w:p>
        </w:tc>
        <w:tc>
          <w:tcPr>
            <w:tcW w:w="851"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2A514D40"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275"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0C0D6778"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5,646,767</w:t>
            </w:r>
          </w:p>
        </w:tc>
        <w:tc>
          <w:tcPr>
            <w:tcW w:w="992"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79472A8D"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1,262</w:t>
            </w:r>
          </w:p>
        </w:tc>
        <w:tc>
          <w:tcPr>
            <w:tcW w:w="1276"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3A3859C3"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1,087,026</w:t>
            </w:r>
          </w:p>
        </w:tc>
        <w:tc>
          <w:tcPr>
            <w:tcW w:w="1844"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1ED84F1B"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178,549</w:t>
            </w:r>
          </w:p>
        </w:tc>
        <w:tc>
          <w:tcPr>
            <w:tcW w:w="1121"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6B5F7A4D"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(83,451)</w:t>
            </w:r>
          </w:p>
        </w:tc>
        <w:tc>
          <w:tcPr>
            <w:tcW w:w="1145"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48E3BE5A"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571"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640A6F90"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232</w:t>
            </w:r>
          </w:p>
        </w:tc>
        <w:tc>
          <w:tcPr>
            <w:tcW w:w="1121" w:type="dxa"/>
            <w:tcBorders>
              <w:top w:val="single" w:sz="4" w:space="0" w:color="8EAADB" w:themeColor="accent5" w:themeTint="99"/>
              <w:bottom w:val="single" w:sz="4" w:space="0" w:color="8EAADB" w:themeColor="accent5" w:themeTint="99"/>
            </w:tcBorders>
            <w:shd w:val="clear" w:color="auto" w:fill="FFFFFF" w:themeFill="background1"/>
            <w:vAlign w:val="center"/>
          </w:tcPr>
          <w:p w14:paraId="7F66E497"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6,830,385</w:t>
            </w:r>
          </w:p>
        </w:tc>
      </w:tr>
      <w:tr w:rsidR="00720F68" w:rsidRPr="00B84B0C" w14:paraId="7E8BAB09" w14:textId="77777777" w:rsidTr="00720F68">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8EAADB" w:themeColor="accent5" w:themeTint="99"/>
              <w:bottom w:val="nil"/>
            </w:tcBorders>
            <w:vAlign w:val="center"/>
          </w:tcPr>
          <w:p w14:paraId="594EA5DA" w14:textId="77777777" w:rsidR="00720F68" w:rsidRPr="00B84B0C" w:rsidRDefault="00720F68" w:rsidP="00720F68">
            <w:pPr>
              <w:keepNext/>
              <w:keepLines/>
              <w:spacing w:before="40" w:after="40"/>
              <w:rPr>
                <w:rFonts w:eastAsia="Times New Roman" w:cs="Arial"/>
                <w:b w:val="0"/>
                <w:spacing w:val="-2"/>
                <w:sz w:val="14"/>
                <w:szCs w:val="14"/>
                <w:lang w:eastAsia="pt-BR"/>
              </w:rPr>
            </w:pPr>
            <w:proofErr w:type="spellStart"/>
            <w:r w:rsidRPr="00B84B0C">
              <w:rPr>
                <w:rFonts w:eastAsia="Times New Roman" w:cs="Arial"/>
                <w:b w:val="0"/>
                <w:spacing w:val="-2"/>
                <w:sz w:val="14"/>
                <w:szCs w:val="14"/>
                <w:lang w:eastAsia="pt-BR"/>
              </w:rPr>
              <w:t>Share-based</w:t>
            </w:r>
            <w:proofErr w:type="spellEnd"/>
            <w:r w:rsidRPr="00B84B0C">
              <w:rPr>
                <w:rFonts w:eastAsia="Times New Roman" w:cs="Arial"/>
                <w:b w:val="0"/>
                <w:spacing w:val="-2"/>
                <w:sz w:val="14"/>
                <w:szCs w:val="14"/>
                <w:lang w:eastAsia="pt-BR"/>
              </w:rPr>
              <w:t xml:space="preserve"> </w:t>
            </w:r>
            <w:proofErr w:type="spellStart"/>
            <w:r w:rsidRPr="00B84B0C">
              <w:rPr>
                <w:rFonts w:eastAsia="Times New Roman" w:cs="Arial"/>
                <w:b w:val="0"/>
                <w:spacing w:val="-2"/>
                <w:sz w:val="14"/>
                <w:szCs w:val="14"/>
                <w:lang w:eastAsia="pt-BR"/>
              </w:rPr>
              <w:t>payment</w:t>
            </w:r>
            <w:proofErr w:type="spellEnd"/>
            <w:r w:rsidRPr="00B84B0C">
              <w:rPr>
                <w:rFonts w:eastAsia="Times New Roman" w:cs="Arial"/>
                <w:b w:val="0"/>
                <w:spacing w:val="-2"/>
                <w:sz w:val="14"/>
                <w:szCs w:val="14"/>
                <w:lang w:eastAsia="pt-BR"/>
              </w:rPr>
              <w:t xml:space="preserve"> </w:t>
            </w:r>
            <w:proofErr w:type="spellStart"/>
            <w:r w:rsidRPr="00B84B0C">
              <w:rPr>
                <w:rFonts w:eastAsia="Times New Roman" w:cs="Arial"/>
                <w:b w:val="0"/>
                <w:spacing w:val="-2"/>
                <w:sz w:val="14"/>
                <w:szCs w:val="14"/>
                <w:lang w:eastAsia="pt-BR"/>
              </w:rPr>
              <w:t>transactions</w:t>
            </w:r>
            <w:proofErr w:type="spellEnd"/>
          </w:p>
        </w:tc>
        <w:tc>
          <w:tcPr>
            <w:tcW w:w="851" w:type="dxa"/>
            <w:tcBorders>
              <w:top w:val="single" w:sz="4" w:space="0" w:color="8EAADB" w:themeColor="accent5" w:themeTint="99"/>
              <w:bottom w:val="nil"/>
            </w:tcBorders>
            <w:vAlign w:val="center"/>
          </w:tcPr>
          <w:p w14:paraId="393D8924"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75" w:type="dxa"/>
            <w:tcBorders>
              <w:top w:val="single" w:sz="4" w:space="0" w:color="8EAADB" w:themeColor="accent5" w:themeTint="99"/>
              <w:bottom w:val="nil"/>
            </w:tcBorders>
            <w:vAlign w:val="center"/>
          </w:tcPr>
          <w:p w14:paraId="08C307F8"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992" w:type="dxa"/>
            <w:tcBorders>
              <w:top w:val="single" w:sz="4" w:space="0" w:color="8EAADB" w:themeColor="accent5" w:themeTint="99"/>
              <w:bottom w:val="nil"/>
            </w:tcBorders>
            <w:vAlign w:val="center"/>
          </w:tcPr>
          <w:p w14:paraId="3D15590F"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(145)</w:t>
            </w:r>
          </w:p>
        </w:tc>
        <w:tc>
          <w:tcPr>
            <w:tcW w:w="1276" w:type="dxa"/>
            <w:tcBorders>
              <w:top w:val="single" w:sz="4" w:space="0" w:color="8EAADB" w:themeColor="accent5" w:themeTint="99"/>
              <w:bottom w:val="nil"/>
            </w:tcBorders>
            <w:vAlign w:val="center"/>
          </w:tcPr>
          <w:p w14:paraId="7706757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844" w:type="dxa"/>
            <w:tcBorders>
              <w:top w:val="single" w:sz="4" w:space="0" w:color="8EAADB" w:themeColor="accent5" w:themeTint="99"/>
              <w:bottom w:val="nil"/>
            </w:tcBorders>
            <w:vAlign w:val="center"/>
          </w:tcPr>
          <w:p w14:paraId="4DD5D224"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121" w:type="dxa"/>
            <w:tcBorders>
              <w:top w:val="single" w:sz="4" w:space="0" w:color="8EAADB" w:themeColor="accent5" w:themeTint="99"/>
              <w:bottom w:val="nil"/>
            </w:tcBorders>
            <w:vAlign w:val="center"/>
          </w:tcPr>
          <w:p w14:paraId="1EEB7CA2"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145</w:t>
            </w:r>
          </w:p>
        </w:tc>
        <w:tc>
          <w:tcPr>
            <w:tcW w:w="1145" w:type="dxa"/>
            <w:tcBorders>
              <w:top w:val="single" w:sz="4" w:space="0" w:color="8EAADB" w:themeColor="accent5" w:themeTint="99"/>
              <w:bottom w:val="nil"/>
            </w:tcBorders>
            <w:vAlign w:val="center"/>
          </w:tcPr>
          <w:p w14:paraId="4B190641"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571" w:type="dxa"/>
            <w:tcBorders>
              <w:top w:val="single" w:sz="4" w:space="0" w:color="8EAADB" w:themeColor="accent5" w:themeTint="99"/>
              <w:bottom w:val="nil"/>
            </w:tcBorders>
            <w:vAlign w:val="center"/>
          </w:tcPr>
          <w:p w14:paraId="1A11B652"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121" w:type="dxa"/>
            <w:tcBorders>
              <w:top w:val="single" w:sz="4" w:space="0" w:color="8EAADB" w:themeColor="accent5" w:themeTint="99"/>
              <w:bottom w:val="nil"/>
            </w:tcBorders>
            <w:vAlign w:val="center"/>
          </w:tcPr>
          <w:p w14:paraId="348C1EF0"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r>
      <w:tr w:rsidR="00720F68" w:rsidRPr="00B84B0C" w14:paraId="36EC228D" w14:textId="77777777" w:rsidTr="00720F68">
        <w:trPr>
          <w:trHeight w:val="222"/>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vAlign w:val="center"/>
          </w:tcPr>
          <w:p w14:paraId="4F2D6DE8" w14:textId="77777777" w:rsidR="00720F68" w:rsidRPr="00B84B0C" w:rsidRDefault="00720F68" w:rsidP="00720F68">
            <w:pPr>
              <w:keepNext/>
              <w:keepLines/>
              <w:spacing w:before="40" w:after="40"/>
              <w:rPr>
                <w:rFonts w:eastAsia="Times New Roman" w:cs="Arial"/>
                <w:b w:val="0"/>
                <w:spacing w:val="-2"/>
                <w:sz w:val="14"/>
                <w:szCs w:val="14"/>
                <w:lang w:eastAsia="pt-BR"/>
              </w:rPr>
            </w:pPr>
            <w:r w:rsidRPr="00B84B0C">
              <w:rPr>
                <w:rFonts w:eastAsia="Times New Roman" w:cs="Arial"/>
                <w:b w:val="0"/>
                <w:spacing w:val="-2"/>
                <w:sz w:val="14"/>
                <w:szCs w:val="14"/>
                <w:lang w:eastAsia="pt-BR"/>
              </w:rPr>
              <w:t xml:space="preserve">Other </w:t>
            </w:r>
            <w:proofErr w:type="spellStart"/>
            <w:r w:rsidRPr="00B84B0C">
              <w:rPr>
                <w:rFonts w:eastAsia="Times New Roman" w:cs="Arial"/>
                <w:b w:val="0"/>
                <w:spacing w:val="-2"/>
                <w:sz w:val="14"/>
                <w:szCs w:val="14"/>
                <w:lang w:eastAsia="pt-BR"/>
              </w:rPr>
              <w:t>accumulated</w:t>
            </w:r>
            <w:proofErr w:type="spellEnd"/>
            <w:r w:rsidRPr="00B84B0C">
              <w:rPr>
                <w:rFonts w:eastAsia="Times New Roman" w:cs="Arial"/>
                <w:b w:val="0"/>
                <w:spacing w:val="-2"/>
                <w:sz w:val="14"/>
                <w:szCs w:val="14"/>
                <w:lang w:eastAsia="pt-BR"/>
              </w:rPr>
              <w:t xml:space="preserve"> </w:t>
            </w:r>
            <w:proofErr w:type="spellStart"/>
            <w:r w:rsidRPr="00B84B0C">
              <w:rPr>
                <w:rFonts w:eastAsia="Times New Roman" w:cs="Arial"/>
                <w:b w:val="0"/>
                <w:spacing w:val="-2"/>
                <w:sz w:val="14"/>
                <w:szCs w:val="14"/>
                <w:lang w:eastAsia="pt-BR"/>
              </w:rPr>
              <w:t>comprehensive</w:t>
            </w:r>
            <w:proofErr w:type="spellEnd"/>
            <w:r w:rsidRPr="00B84B0C">
              <w:rPr>
                <w:rFonts w:eastAsia="Times New Roman" w:cs="Arial"/>
                <w:b w:val="0"/>
                <w:spacing w:val="-2"/>
                <w:sz w:val="14"/>
                <w:szCs w:val="14"/>
                <w:lang w:eastAsia="pt-BR"/>
              </w:rPr>
              <w:t xml:space="preserve"> income</w:t>
            </w:r>
          </w:p>
        </w:tc>
        <w:tc>
          <w:tcPr>
            <w:tcW w:w="851" w:type="dxa"/>
            <w:tcBorders>
              <w:top w:val="nil"/>
              <w:bottom w:val="nil"/>
            </w:tcBorders>
            <w:vAlign w:val="center"/>
          </w:tcPr>
          <w:p w14:paraId="1CDE3E04"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[09.a]</w:t>
            </w:r>
          </w:p>
        </w:tc>
        <w:tc>
          <w:tcPr>
            <w:tcW w:w="1275" w:type="dxa"/>
            <w:tcBorders>
              <w:top w:val="nil"/>
              <w:bottom w:val="nil"/>
            </w:tcBorders>
            <w:vAlign w:val="center"/>
          </w:tcPr>
          <w:p w14:paraId="14FDE60A"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992" w:type="dxa"/>
            <w:tcBorders>
              <w:top w:val="nil"/>
              <w:bottom w:val="nil"/>
            </w:tcBorders>
            <w:vAlign w:val="center"/>
          </w:tcPr>
          <w:p w14:paraId="6B6EC527"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276" w:type="dxa"/>
            <w:tcBorders>
              <w:top w:val="nil"/>
              <w:bottom w:val="nil"/>
            </w:tcBorders>
            <w:vAlign w:val="center"/>
          </w:tcPr>
          <w:p w14:paraId="138E59DD"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844" w:type="dxa"/>
            <w:tcBorders>
              <w:top w:val="nil"/>
              <w:bottom w:val="nil"/>
            </w:tcBorders>
            <w:vAlign w:val="center"/>
          </w:tcPr>
          <w:p w14:paraId="571A2DF4"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121" w:type="dxa"/>
            <w:tcBorders>
              <w:top w:val="nil"/>
              <w:bottom w:val="nil"/>
            </w:tcBorders>
            <w:vAlign w:val="center"/>
          </w:tcPr>
          <w:p w14:paraId="2261CC19"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145" w:type="dxa"/>
            <w:tcBorders>
              <w:top w:val="nil"/>
              <w:bottom w:val="nil"/>
            </w:tcBorders>
            <w:vAlign w:val="center"/>
          </w:tcPr>
          <w:p w14:paraId="1CDFA87C"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571" w:type="dxa"/>
            <w:tcBorders>
              <w:top w:val="nil"/>
              <w:bottom w:val="nil"/>
            </w:tcBorders>
            <w:vAlign w:val="center"/>
          </w:tcPr>
          <w:p w14:paraId="4B4F68E0"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(52,088)</w:t>
            </w:r>
          </w:p>
        </w:tc>
        <w:tc>
          <w:tcPr>
            <w:tcW w:w="1121" w:type="dxa"/>
            <w:tcBorders>
              <w:top w:val="nil"/>
              <w:bottom w:val="nil"/>
            </w:tcBorders>
            <w:vAlign w:val="center"/>
          </w:tcPr>
          <w:p w14:paraId="40772C52"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(52,088)</w:t>
            </w:r>
          </w:p>
        </w:tc>
      </w:tr>
      <w:tr w:rsidR="00720F68" w:rsidRPr="00B84B0C" w14:paraId="73D9CC2C" w14:textId="77777777" w:rsidTr="00720F68">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vAlign w:val="center"/>
          </w:tcPr>
          <w:p w14:paraId="1BF6501E" w14:textId="77777777" w:rsidR="00720F68" w:rsidRPr="00B84B0C" w:rsidRDefault="00720F68" w:rsidP="00720F68">
            <w:pPr>
              <w:keepNext/>
              <w:keepLines/>
              <w:spacing w:before="40" w:after="40"/>
              <w:rPr>
                <w:rFonts w:eastAsia="Times New Roman" w:cs="Arial"/>
                <w:spacing w:val="-2"/>
                <w:sz w:val="14"/>
                <w:szCs w:val="14"/>
                <w:lang w:val="en-US" w:eastAsia="pt-BR"/>
              </w:rPr>
            </w:pPr>
            <w:r w:rsidRPr="00B84B0C">
              <w:rPr>
                <w:rFonts w:cs="Arial"/>
                <w:sz w:val="14"/>
                <w:szCs w:val="14"/>
                <w:lang w:val="en-US"/>
              </w:rPr>
              <w:t>Net income for the period</w:t>
            </w:r>
          </w:p>
        </w:tc>
        <w:tc>
          <w:tcPr>
            <w:tcW w:w="851" w:type="dxa"/>
            <w:tcBorders>
              <w:top w:val="nil"/>
              <w:bottom w:val="nil"/>
            </w:tcBorders>
            <w:vAlign w:val="center"/>
          </w:tcPr>
          <w:p w14:paraId="536C6105"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[19.c]</w:t>
            </w:r>
          </w:p>
        </w:tc>
        <w:tc>
          <w:tcPr>
            <w:tcW w:w="1275" w:type="dxa"/>
            <w:tcBorders>
              <w:top w:val="nil"/>
              <w:bottom w:val="nil"/>
            </w:tcBorders>
            <w:vAlign w:val="center"/>
          </w:tcPr>
          <w:p w14:paraId="7FD2D9A6"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992" w:type="dxa"/>
            <w:tcBorders>
              <w:top w:val="nil"/>
              <w:bottom w:val="nil"/>
            </w:tcBorders>
            <w:vAlign w:val="center"/>
          </w:tcPr>
          <w:p w14:paraId="56F4B787"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276" w:type="dxa"/>
            <w:tcBorders>
              <w:top w:val="nil"/>
              <w:bottom w:val="nil"/>
            </w:tcBorders>
            <w:vAlign w:val="center"/>
          </w:tcPr>
          <w:p w14:paraId="0531AA8F"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844" w:type="dxa"/>
            <w:tcBorders>
              <w:top w:val="nil"/>
              <w:bottom w:val="nil"/>
            </w:tcBorders>
            <w:vAlign w:val="center"/>
          </w:tcPr>
          <w:p w14:paraId="5D68F4BB"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121" w:type="dxa"/>
            <w:tcBorders>
              <w:top w:val="nil"/>
              <w:bottom w:val="nil"/>
            </w:tcBorders>
            <w:vAlign w:val="center"/>
          </w:tcPr>
          <w:p w14:paraId="1E81A066"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145" w:type="dxa"/>
            <w:tcBorders>
              <w:top w:val="nil"/>
              <w:bottom w:val="nil"/>
            </w:tcBorders>
            <w:vAlign w:val="center"/>
          </w:tcPr>
          <w:p w14:paraId="6DF32332"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1,013,758</w:t>
            </w:r>
          </w:p>
        </w:tc>
        <w:tc>
          <w:tcPr>
            <w:tcW w:w="1571" w:type="dxa"/>
            <w:tcBorders>
              <w:top w:val="nil"/>
              <w:bottom w:val="nil"/>
            </w:tcBorders>
            <w:vAlign w:val="center"/>
          </w:tcPr>
          <w:p w14:paraId="239A3392"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121" w:type="dxa"/>
            <w:tcBorders>
              <w:top w:val="nil"/>
              <w:bottom w:val="nil"/>
            </w:tcBorders>
            <w:vAlign w:val="center"/>
          </w:tcPr>
          <w:p w14:paraId="6DB92BFF"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1,013,758</w:t>
            </w:r>
          </w:p>
        </w:tc>
      </w:tr>
      <w:tr w:rsidR="00720F68" w:rsidRPr="00B84B0C" w14:paraId="522B2577" w14:textId="77777777" w:rsidTr="00720F68">
        <w:trPr>
          <w:trHeight w:val="27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8EAADB" w:themeColor="accent5" w:themeTint="99"/>
              <w:bottom w:val="single" w:sz="4" w:space="0" w:color="8EAADB" w:themeColor="accent5" w:themeTint="99"/>
            </w:tcBorders>
            <w:vAlign w:val="center"/>
          </w:tcPr>
          <w:p w14:paraId="057A9B9D" w14:textId="77777777" w:rsidR="00720F68" w:rsidRPr="00B84B0C" w:rsidRDefault="00720F68" w:rsidP="00720F68">
            <w:pPr>
              <w:keepNext/>
              <w:keepLines/>
              <w:spacing w:before="40" w:after="40"/>
              <w:rPr>
                <w:rFonts w:eastAsia="Times New Roman" w:cs="Arial"/>
                <w:spacing w:val="-2"/>
                <w:sz w:val="14"/>
                <w:szCs w:val="14"/>
                <w:lang w:eastAsia="pt-BR"/>
              </w:rPr>
            </w:pPr>
            <w:r w:rsidRPr="00B84B0C">
              <w:rPr>
                <w:rFonts w:cs="Arial"/>
                <w:sz w:val="14"/>
                <w:szCs w:val="14"/>
              </w:rPr>
              <w:t xml:space="preserve">Balances </w:t>
            </w:r>
            <w:proofErr w:type="spellStart"/>
            <w:r w:rsidRPr="00B84B0C">
              <w:rPr>
                <w:rFonts w:cs="Arial"/>
                <w:sz w:val="14"/>
                <w:szCs w:val="14"/>
              </w:rPr>
              <w:t>at</w:t>
            </w:r>
            <w:proofErr w:type="spellEnd"/>
            <w:r w:rsidRPr="00B84B0C">
              <w:rPr>
                <w:rFonts w:cs="Arial"/>
                <w:sz w:val="14"/>
                <w:szCs w:val="14"/>
              </w:rPr>
              <w:t xml:space="preserve"> Mar 31, 2019</w:t>
            </w:r>
          </w:p>
        </w:tc>
        <w:tc>
          <w:tcPr>
            <w:tcW w:w="851" w:type="dxa"/>
            <w:tcBorders>
              <w:top w:val="single" w:sz="4" w:space="0" w:color="8EAADB" w:themeColor="accent5" w:themeTint="99"/>
              <w:bottom w:val="single" w:sz="4" w:space="0" w:color="8EAADB" w:themeColor="accent5" w:themeTint="99"/>
            </w:tcBorders>
            <w:vAlign w:val="center"/>
          </w:tcPr>
          <w:p w14:paraId="4BB0919A"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275" w:type="dxa"/>
            <w:tcBorders>
              <w:top w:val="single" w:sz="4" w:space="0" w:color="8EAADB" w:themeColor="accent5" w:themeTint="99"/>
              <w:bottom w:val="single" w:sz="4" w:space="0" w:color="8EAADB" w:themeColor="accent5" w:themeTint="99"/>
            </w:tcBorders>
            <w:vAlign w:val="center"/>
          </w:tcPr>
          <w:p w14:paraId="4FCEAA4B"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5,646,767</w:t>
            </w:r>
          </w:p>
        </w:tc>
        <w:tc>
          <w:tcPr>
            <w:tcW w:w="992" w:type="dxa"/>
            <w:tcBorders>
              <w:top w:val="single" w:sz="4" w:space="0" w:color="8EAADB" w:themeColor="accent5" w:themeTint="99"/>
              <w:bottom w:val="single" w:sz="4" w:space="0" w:color="8EAADB" w:themeColor="accent5" w:themeTint="99"/>
            </w:tcBorders>
            <w:vAlign w:val="center"/>
          </w:tcPr>
          <w:p w14:paraId="4667E7EC"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1,117</w:t>
            </w:r>
          </w:p>
        </w:tc>
        <w:tc>
          <w:tcPr>
            <w:tcW w:w="1276" w:type="dxa"/>
            <w:tcBorders>
              <w:top w:val="single" w:sz="4" w:space="0" w:color="8EAADB" w:themeColor="accent5" w:themeTint="99"/>
              <w:bottom w:val="single" w:sz="4" w:space="0" w:color="8EAADB" w:themeColor="accent5" w:themeTint="99"/>
            </w:tcBorders>
            <w:vAlign w:val="center"/>
          </w:tcPr>
          <w:p w14:paraId="1B39190F"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1,087,026</w:t>
            </w:r>
          </w:p>
        </w:tc>
        <w:tc>
          <w:tcPr>
            <w:tcW w:w="1844" w:type="dxa"/>
            <w:tcBorders>
              <w:top w:val="single" w:sz="4" w:space="0" w:color="8EAADB" w:themeColor="accent5" w:themeTint="99"/>
              <w:bottom w:val="single" w:sz="4" w:space="0" w:color="8EAADB" w:themeColor="accent5" w:themeTint="99"/>
            </w:tcBorders>
            <w:vAlign w:val="center"/>
          </w:tcPr>
          <w:p w14:paraId="7883237F"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178,549</w:t>
            </w:r>
          </w:p>
        </w:tc>
        <w:tc>
          <w:tcPr>
            <w:tcW w:w="1121" w:type="dxa"/>
            <w:tcBorders>
              <w:top w:val="single" w:sz="4" w:space="0" w:color="8EAADB" w:themeColor="accent5" w:themeTint="99"/>
              <w:bottom w:val="single" w:sz="4" w:space="0" w:color="8EAADB" w:themeColor="accent5" w:themeTint="99"/>
            </w:tcBorders>
            <w:vAlign w:val="center"/>
          </w:tcPr>
          <w:p w14:paraId="59F5B12D"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(83,306)</w:t>
            </w:r>
          </w:p>
        </w:tc>
        <w:tc>
          <w:tcPr>
            <w:tcW w:w="1145" w:type="dxa"/>
            <w:tcBorders>
              <w:top w:val="single" w:sz="4" w:space="0" w:color="8EAADB" w:themeColor="accent5" w:themeTint="99"/>
              <w:bottom w:val="single" w:sz="4" w:space="0" w:color="8EAADB" w:themeColor="accent5" w:themeTint="99"/>
            </w:tcBorders>
            <w:vAlign w:val="center"/>
          </w:tcPr>
          <w:p w14:paraId="419AF6DF"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1,013,758</w:t>
            </w:r>
          </w:p>
        </w:tc>
        <w:tc>
          <w:tcPr>
            <w:tcW w:w="1571" w:type="dxa"/>
            <w:tcBorders>
              <w:top w:val="single" w:sz="4" w:space="0" w:color="8EAADB" w:themeColor="accent5" w:themeTint="99"/>
              <w:bottom w:val="single" w:sz="4" w:space="0" w:color="8EAADB" w:themeColor="accent5" w:themeTint="99"/>
            </w:tcBorders>
            <w:vAlign w:val="center"/>
          </w:tcPr>
          <w:p w14:paraId="70FD9596"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(51,856)</w:t>
            </w:r>
          </w:p>
        </w:tc>
        <w:tc>
          <w:tcPr>
            <w:tcW w:w="1121" w:type="dxa"/>
            <w:tcBorders>
              <w:top w:val="single" w:sz="4" w:space="0" w:color="8EAADB" w:themeColor="accent5" w:themeTint="99"/>
              <w:bottom w:val="single" w:sz="4" w:space="0" w:color="8EAADB" w:themeColor="accent5" w:themeTint="99"/>
            </w:tcBorders>
            <w:vAlign w:val="center"/>
          </w:tcPr>
          <w:p w14:paraId="4B608DC2"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7,792,055</w:t>
            </w:r>
          </w:p>
        </w:tc>
      </w:tr>
      <w:tr w:rsidR="00720F68" w:rsidRPr="00B84B0C" w14:paraId="27C4A3F9" w14:textId="77777777" w:rsidTr="00720F68">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8EAADB" w:themeColor="accent5" w:themeTint="99"/>
              <w:bottom w:val="single" w:sz="4" w:space="0" w:color="8EAADB" w:themeColor="accent5" w:themeTint="99"/>
            </w:tcBorders>
            <w:vAlign w:val="center"/>
          </w:tcPr>
          <w:p w14:paraId="5C4925D6" w14:textId="77777777" w:rsidR="00720F68" w:rsidRPr="00B84B0C" w:rsidRDefault="00720F68" w:rsidP="00720F68">
            <w:pPr>
              <w:keepNext/>
              <w:keepLines/>
              <w:spacing w:before="40" w:after="40"/>
              <w:rPr>
                <w:rFonts w:eastAsia="Times New Roman" w:cs="Arial"/>
                <w:spacing w:val="-2"/>
                <w:sz w:val="14"/>
                <w:szCs w:val="14"/>
                <w:lang w:eastAsia="pt-BR"/>
              </w:rPr>
            </w:pPr>
            <w:proofErr w:type="spellStart"/>
            <w:r w:rsidRPr="00B84B0C">
              <w:rPr>
                <w:rFonts w:cs="Arial"/>
                <w:color w:val="000000"/>
                <w:sz w:val="14"/>
                <w:szCs w:val="14"/>
              </w:rPr>
              <w:t>Changes</w:t>
            </w:r>
            <w:proofErr w:type="spellEnd"/>
            <w:r w:rsidRPr="00B84B0C">
              <w:rPr>
                <w:rFonts w:cs="Arial"/>
                <w:color w:val="000000"/>
                <w:sz w:val="14"/>
                <w:szCs w:val="14"/>
              </w:rPr>
              <w:t xml:space="preserve"> in </w:t>
            </w:r>
            <w:proofErr w:type="spellStart"/>
            <w:r w:rsidRPr="00B84B0C">
              <w:rPr>
                <w:rFonts w:cs="Arial"/>
                <w:color w:val="000000"/>
                <w:sz w:val="14"/>
                <w:szCs w:val="14"/>
              </w:rPr>
              <w:t>the</w:t>
            </w:r>
            <w:proofErr w:type="spellEnd"/>
            <w:r w:rsidRPr="00B84B0C">
              <w:rPr>
                <w:rFonts w:cs="Arial"/>
                <w:color w:val="000000"/>
                <w:sz w:val="14"/>
                <w:szCs w:val="14"/>
              </w:rPr>
              <w:t xml:space="preserve"> </w:t>
            </w:r>
            <w:proofErr w:type="spellStart"/>
            <w:r w:rsidRPr="00B84B0C">
              <w:rPr>
                <w:rFonts w:cs="Arial"/>
                <w:color w:val="000000"/>
                <w:sz w:val="14"/>
                <w:szCs w:val="14"/>
              </w:rPr>
              <w:t>Period</w:t>
            </w:r>
            <w:proofErr w:type="spellEnd"/>
          </w:p>
        </w:tc>
        <w:tc>
          <w:tcPr>
            <w:tcW w:w="851" w:type="dxa"/>
            <w:tcBorders>
              <w:top w:val="single" w:sz="4" w:space="0" w:color="8EAADB" w:themeColor="accent5" w:themeTint="99"/>
              <w:bottom w:val="single" w:sz="4" w:space="0" w:color="8EAADB" w:themeColor="accent5" w:themeTint="99"/>
            </w:tcBorders>
            <w:vAlign w:val="center"/>
          </w:tcPr>
          <w:p w14:paraId="7D3D7A40"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5" w:type="dxa"/>
            <w:tcBorders>
              <w:top w:val="single" w:sz="4" w:space="0" w:color="8EAADB" w:themeColor="accent5" w:themeTint="99"/>
              <w:bottom w:val="single" w:sz="4" w:space="0" w:color="8EAADB" w:themeColor="accent5" w:themeTint="99"/>
            </w:tcBorders>
            <w:vAlign w:val="center"/>
          </w:tcPr>
          <w:p w14:paraId="3A87DE97"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992" w:type="dxa"/>
            <w:tcBorders>
              <w:top w:val="single" w:sz="4" w:space="0" w:color="8EAADB" w:themeColor="accent5" w:themeTint="99"/>
              <w:bottom w:val="single" w:sz="4" w:space="0" w:color="8EAADB" w:themeColor="accent5" w:themeTint="99"/>
            </w:tcBorders>
            <w:vAlign w:val="center"/>
          </w:tcPr>
          <w:p w14:paraId="09730BB8"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(145)</w:t>
            </w:r>
          </w:p>
        </w:tc>
        <w:tc>
          <w:tcPr>
            <w:tcW w:w="1276" w:type="dxa"/>
            <w:tcBorders>
              <w:top w:val="single" w:sz="4" w:space="0" w:color="8EAADB" w:themeColor="accent5" w:themeTint="99"/>
              <w:bottom w:val="single" w:sz="4" w:space="0" w:color="8EAADB" w:themeColor="accent5" w:themeTint="99"/>
            </w:tcBorders>
            <w:vAlign w:val="center"/>
          </w:tcPr>
          <w:p w14:paraId="1D95428D"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844" w:type="dxa"/>
            <w:tcBorders>
              <w:top w:val="single" w:sz="4" w:space="0" w:color="8EAADB" w:themeColor="accent5" w:themeTint="99"/>
              <w:bottom w:val="single" w:sz="4" w:space="0" w:color="8EAADB" w:themeColor="accent5" w:themeTint="99"/>
            </w:tcBorders>
            <w:vAlign w:val="center"/>
          </w:tcPr>
          <w:p w14:paraId="0226D140"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121" w:type="dxa"/>
            <w:tcBorders>
              <w:top w:val="single" w:sz="4" w:space="0" w:color="8EAADB" w:themeColor="accent5" w:themeTint="99"/>
              <w:bottom w:val="single" w:sz="4" w:space="0" w:color="8EAADB" w:themeColor="accent5" w:themeTint="99"/>
            </w:tcBorders>
            <w:vAlign w:val="center"/>
          </w:tcPr>
          <w:p w14:paraId="2636364E"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145</w:t>
            </w:r>
          </w:p>
        </w:tc>
        <w:tc>
          <w:tcPr>
            <w:tcW w:w="1145" w:type="dxa"/>
            <w:tcBorders>
              <w:top w:val="single" w:sz="4" w:space="0" w:color="8EAADB" w:themeColor="accent5" w:themeTint="99"/>
              <w:bottom w:val="single" w:sz="4" w:space="0" w:color="8EAADB" w:themeColor="accent5" w:themeTint="99"/>
            </w:tcBorders>
            <w:vAlign w:val="center"/>
          </w:tcPr>
          <w:p w14:paraId="08CE0EB5"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1,013,758</w:t>
            </w:r>
          </w:p>
        </w:tc>
        <w:tc>
          <w:tcPr>
            <w:tcW w:w="1571" w:type="dxa"/>
            <w:tcBorders>
              <w:top w:val="single" w:sz="4" w:space="0" w:color="8EAADB" w:themeColor="accent5" w:themeTint="99"/>
              <w:bottom w:val="single" w:sz="4" w:space="0" w:color="8EAADB" w:themeColor="accent5" w:themeTint="99"/>
            </w:tcBorders>
            <w:vAlign w:val="center"/>
          </w:tcPr>
          <w:p w14:paraId="6416DAFE"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(52,088)</w:t>
            </w:r>
          </w:p>
        </w:tc>
        <w:tc>
          <w:tcPr>
            <w:tcW w:w="1121" w:type="dxa"/>
            <w:tcBorders>
              <w:top w:val="single" w:sz="4" w:space="0" w:color="8EAADB" w:themeColor="accent5" w:themeTint="99"/>
              <w:bottom w:val="single" w:sz="4" w:space="0" w:color="8EAADB" w:themeColor="accent5" w:themeTint="99"/>
            </w:tcBorders>
            <w:vAlign w:val="center"/>
          </w:tcPr>
          <w:p w14:paraId="5BDC26AD"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961,670</w:t>
            </w:r>
          </w:p>
        </w:tc>
      </w:tr>
      <w:tr w:rsidR="00720F68" w:rsidRPr="00B84B0C" w14:paraId="163304E2" w14:textId="77777777" w:rsidTr="00720F68">
        <w:trPr>
          <w:trHeight w:val="166"/>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8EAADB" w:themeColor="accent5" w:themeTint="99"/>
              <w:bottom w:val="single" w:sz="4" w:space="0" w:color="8EAADB" w:themeColor="accent5" w:themeTint="99"/>
            </w:tcBorders>
            <w:vAlign w:val="center"/>
          </w:tcPr>
          <w:p w14:paraId="3DD35B3A" w14:textId="77777777" w:rsidR="00720F68" w:rsidRPr="00B84B0C" w:rsidRDefault="00720F68" w:rsidP="00720F68">
            <w:pPr>
              <w:keepNext/>
              <w:keepLines/>
              <w:spacing w:before="40" w:after="40"/>
              <w:rPr>
                <w:rFonts w:cs="Arial"/>
                <w:color w:val="000000"/>
                <w:sz w:val="14"/>
                <w:szCs w:val="14"/>
              </w:rPr>
            </w:pPr>
          </w:p>
        </w:tc>
        <w:tc>
          <w:tcPr>
            <w:tcW w:w="851" w:type="dxa"/>
            <w:tcBorders>
              <w:top w:val="single" w:sz="4" w:space="0" w:color="8EAADB" w:themeColor="accent5" w:themeTint="99"/>
              <w:bottom w:val="single" w:sz="4" w:space="0" w:color="8EAADB" w:themeColor="accent5" w:themeTint="99"/>
            </w:tcBorders>
            <w:vAlign w:val="center"/>
          </w:tcPr>
          <w:p w14:paraId="705F9CC1"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275" w:type="dxa"/>
            <w:tcBorders>
              <w:top w:val="single" w:sz="4" w:space="0" w:color="8EAADB" w:themeColor="accent5" w:themeTint="99"/>
              <w:bottom w:val="single" w:sz="4" w:space="0" w:color="8EAADB" w:themeColor="accent5" w:themeTint="99"/>
            </w:tcBorders>
            <w:vAlign w:val="center"/>
          </w:tcPr>
          <w:p w14:paraId="1F0D8C68"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992" w:type="dxa"/>
            <w:tcBorders>
              <w:top w:val="single" w:sz="4" w:space="0" w:color="8EAADB" w:themeColor="accent5" w:themeTint="99"/>
              <w:bottom w:val="single" w:sz="4" w:space="0" w:color="8EAADB" w:themeColor="accent5" w:themeTint="99"/>
            </w:tcBorders>
            <w:vAlign w:val="center"/>
          </w:tcPr>
          <w:p w14:paraId="65D021A9"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276" w:type="dxa"/>
            <w:tcBorders>
              <w:top w:val="single" w:sz="4" w:space="0" w:color="8EAADB" w:themeColor="accent5" w:themeTint="99"/>
              <w:bottom w:val="single" w:sz="4" w:space="0" w:color="8EAADB" w:themeColor="accent5" w:themeTint="99"/>
            </w:tcBorders>
            <w:vAlign w:val="center"/>
          </w:tcPr>
          <w:p w14:paraId="7CA82CDA"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844" w:type="dxa"/>
            <w:tcBorders>
              <w:top w:val="single" w:sz="4" w:space="0" w:color="8EAADB" w:themeColor="accent5" w:themeTint="99"/>
              <w:bottom w:val="single" w:sz="4" w:space="0" w:color="8EAADB" w:themeColor="accent5" w:themeTint="99"/>
            </w:tcBorders>
            <w:vAlign w:val="center"/>
          </w:tcPr>
          <w:p w14:paraId="5ACDACF1"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121" w:type="dxa"/>
            <w:tcBorders>
              <w:top w:val="single" w:sz="4" w:space="0" w:color="8EAADB" w:themeColor="accent5" w:themeTint="99"/>
              <w:bottom w:val="single" w:sz="4" w:space="0" w:color="8EAADB" w:themeColor="accent5" w:themeTint="99"/>
            </w:tcBorders>
            <w:vAlign w:val="center"/>
          </w:tcPr>
          <w:p w14:paraId="1F707C3C"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145" w:type="dxa"/>
            <w:tcBorders>
              <w:top w:val="single" w:sz="4" w:space="0" w:color="8EAADB" w:themeColor="accent5" w:themeTint="99"/>
              <w:bottom w:val="single" w:sz="4" w:space="0" w:color="8EAADB" w:themeColor="accent5" w:themeTint="99"/>
            </w:tcBorders>
            <w:vAlign w:val="center"/>
          </w:tcPr>
          <w:p w14:paraId="395AC5BE"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571" w:type="dxa"/>
            <w:tcBorders>
              <w:top w:val="single" w:sz="4" w:space="0" w:color="8EAADB" w:themeColor="accent5" w:themeTint="99"/>
              <w:bottom w:val="single" w:sz="4" w:space="0" w:color="8EAADB" w:themeColor="accent5" w:themeTint="99"/>
            </w:tcBorders>
            <w:vAlign w:val="center"/>
          </w:tcPr>
          <w:p w14:paraId="6A60C97C"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121" w:type="dxa"/>
            <w:tcBorders>
              <w:top w:val="single" w:sz="4" w:space="0" w:color="8EAADB" w:themeColor="accent5" w:themeTint="99"/>
              <w:bottom w:val="single" w:sz="4" w:space="0" w:color="8EAADB" w:themeColor="accent5" w:themeTint="99"/>
            </w:tcBorders>
            <w:vAlign w:val="center"/>
          </w:tcPr>
          <w:p w14:paraId="1E1E947B"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r>
      <w:tr w:rsidR="00720F68" w:rsidRPr="00B84B0C" w14:paraId="7B65B88E" w14:textId="77777777" w:rsidTr="00720F68">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8EAADB" w:themeColor="accent5" w:themeTint="99"/>
              <w:bottom w:val="single" w:sz="4" w:space="0" w:color="8EAADB" w:themeColor="accent5" w:themeTint="99"/>
            </w:tcBorders>
            <w:vAlign w:val="center"/>
          </w:tcPr>
          <w:p w14:paraId="3E4F0F8B" w14:textId="77777777" w:rsidR="00720F68" w:rsidRPr="00B84B0C" w:rsidRDefault="00720F68" w:rsidP="00720F68">
            <w:pPr>
              <w:keepNext/>
              <w:keepLines/>
              <w:spacing w:before="40" w:after="40"/>
              <w:rPr>
                <w:rFonts w:eastAsia="Times New Roman" w:cs="Arial"/>
                <w:spacing w:val="-2"/>
                <w:sz w:val="14"/>
                <w:szCs w:val="14"/>
                <w:lang w:eastAsia="pt-BR"/>
              </w:rPr>
            </w:pPr>
            <w:r w:rsidRPr="00B84B0C">
              <w:rPr>
                <w:rFonts w:cs="Arial"/>
                <w:color w:val="000000"/>
                <w:sz w:val="14"/>
                <w:szCs w:val="14"/>
              </w:rPr>
              <w:t xml:space="preserve">Balances </w:t>
            </w:r>
            <w:proofErr w:type="spellStart"/>
            <w:r w:rsidRPr="00B84B0C">
              <w:rPr>
                <w:rFonts w:cs="Arial"/>
                <w:color w:val="000000"/>
                <w:sz w:val="14"/>
                <w:szCs w:val="14"/>
              </w:rPr>
              <w:t>at</w:t>
            </w:r>
            <w:proofErr w:type="spellEnd"/>
            <w:r w:rsidRPr="00B84B0C">
              <w:rPr>
                <w:rFonts w:cs="Arial"/>
                <w:color w:val="000000"/>
                <w:sz w:val="14"/>
                <w:szCs w:val="14"/>
              </w:rPr>
              <w:t xml:space="preserve"> </w:t>
            </w:r>
            <w:proofErr w:type="spellStart"/>
            <w:r w:rsidRPr="00B84B0C">
              <w:rPr>
                <w:rFonts w:cs="Arial"/>
                <w:color w:val="000000"/>
                <w:sz w:val="14"/>
                <w:szCs w:val="14"/>
              </w:rPr>
              <w:t>Dec</w:t>
            </w:r>
            <w:proofErr w:type="spellEnd"/>
            <w:r w:rsidRPr="00B84B0C">
              <w:rPr>
                <w:rFonts w:cs="Arial"/>
                <w:color w:val="000000"/>
                <w:sz w:val="14"/>
                <w:szCs w:val="14"/>
              </w:rPr>
              <w:t xml:space="preserve"> 31, 2019</w:t>
            </w:r>
          </w:p>
        </w:tc>
        <w:tc>
          <w:tcPr>
            <w:tcW w:w="851" w:type="dxa"/>
            <w:tcBorders>
              <w:top w:val="single" w:sz="4" w:space="0" w:color="8EAADB" w:themeColor="accent5" w:themeTint="99"/>
              <w:bottom w:val="single" w:sz="4" w:space="0" w:color="8EAADB" w:themeColor="accent5" w:themeTint="99"/>
            </w:tcBorders>
            <w:vAlign w:val="center"/>
          </w:tcPr>
          <w:p w14:paraId="7A141F3C"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5" w:type="dxa"/>
            <w:tcBorders>
              <w:top w:val="single" w:sz="4" w:space="0" w:color="8EAADB" w:themeColor="accent5" w:themeTint="99"/>
              <w:bottom w:val="single" w:sz="4" w:space="0" w:color="8EAADB" w:themeColor="accent5" w:themeTint="99"/>
            </w:tcBorders>
            <w:vAlign w:val="center"/>
          </w:tcPr>
          <w:p w14:paraId="70FF3588"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3,396,767</w:t>
            </w:r>
          </w:p>
        </w:tc>
        <w:tc>
          <w:tcPr>
            <w:tcW w:w="992" w:type="dxa"/>
            <w:tcBorders>
              <w:top w:val="single" w:sz="4" w:space="0" w:color="8EAADB" w:themeColor="accent5" w:themeTint="99"/>
              <w:bottom w:val="single" w:sz="4" w:space="0" w:color="8EAADB" w:themeColor="accent5" w:themeTint="99"/>
            </w:tcBorders>
            <w:vAlign w:val="center"/>
          </w:tcPr>
          <w:p w14:paraId="09B5A29D"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1,117</w:t>
            </w:r>
          </w:p>
        </w:tc>
        <w:tc>
          <w:tcPr>
            <w:tcW w:w="1276" w:type="dxa"/>
            <w:tcBorders>
              <w:top w:val="single" w:sz="4" w:space="0" w:color="8EAADB" w:themeColor="accent5" w:themeTint="99"/>
              <w:bottom w:val="single" w:sz="4" w:space="0" w:color="8EAADB" w:themeColor="accent5" w:themeTint="99"/>
            </w:tcBorders>
            <w:vAlign w:val="center"/>
          </w:tcPr>
          <w:p w14:paraId="182C0C6C"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679,354</w:t>
            </w:r>
          </w:p>
        </w:tc>
        <w:tc>
          <w:tcPr>
            <w:tcW w:w="1844" w:type="dxa"/>
            <w:tcBorders>
              <w:top w:val="single" w:sz="4" w:space="0" w:color="8EAADB" w:themeColor="accent5" w:themeTint="99"/>
              <w:bottom w:val="single" w:sz="4" w:space="0" w:color="8EAADB" w:themeColor="accent5" w:themeTint="99"/>
            </w:tcBorders>
            <w:vAlign w:val="center"/>
          </w:tcPr>
          <w:p w14:paraId="6CE5453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1,226,371</w:t>
            </w:r>
          </w:p>
        </w:tc>
        <w:tc>
          <w:tcPr>
            <w:tcW w:w="1121" w:type="dxa"/>
            <w:tcBorders>
              <w:top w:val="single" w:sz="4" w:space="0" w:color="8EAADB" w:themeColor="accent5" w:themeTint="99"/>
              <w:bottom w:val="single" w:sz="4" w:space="0" w:color="8EAADB" w:themeColor="accent5" w:themeTint="99"/>
            </w:tcBorders>
            <w:vAlign w:val="center"/>
          </w:tcPr>
          <w:p w14:paraId="329DB28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(83,306)</w:t>
            </w:r>
          </w:p>
        </w:tc>
        <w:tc>
          <w:tcPr>
            <w:tcW w:w="1145" w:type="dxa"/>
            <w:tcBorders>
              <w:top w:val="single" w:sz="4" w:space="0" w:color="8EAADB" w:themeColor="accent5" w:themeTint="99"/>
              <w:bottom w:val="single" w:sz="4" w:space="0" w:color="8EAADB" w:themeColor="accent5" w:themeTint="99"/>
            </w:tcBorders>
            <w:vAlign w:val="center"/>
          </w:tcPr>
          <w:p w14:paraId="66D72455"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571" w:type="dxa"/>
            <w:tcBorders>
              <w:top w:val="single" w:sz="4" w:space="0" w:color="8EAADB" w:themeColor="accent5" w:themeTint="99"/>
              <w:bottom w:val="single" w:sz="4" w:space="0" w:color="8EAADB" w:themeColor="accent5" w:themeTint="99"/>
            </w:tcBorders>
            <w:vAlign w:val="center"/>
          </w:tcPr>
          <w:p w14:paraId="6699C6A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28,451</w:t>
            </w:r>
          </w:p>
        </w:tc>
        <w:tc>
          <w:tcPr>
            <w:tcW w:w="1121" w:type="dxa"/>
            <w:tcBorders>
              <w:top w:val="single" w:sz="4" w:space="0" w:color="8EAADB" w:themeColor="accent5" w:themeTint="99"/>
              <w:bottom w:val="single" w:sz="4" w:space="0" w:color="8EAADB" w:themeColor="accent5" w:themeTint="99"/>
            </w:tcBorders>
            <w:vAlign w:val="center"/>
          </w:tcPr>
          <w:p w14:paraId="34675647"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5,248,754</w:t>
            </w:r>
          </w:p>
        </w:tc>
      </w:tr>
      <w:tr w:rsidR="00720F68" w:rsidRPr="00B84B0C" w14:paraId="487A1E63" w14:textId="77777777" w:rsidTr="00720F68">
        <w:trPr>
          <w:trHeight w:val="98"/>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vAlign w:val="center"/>
          </w:tcPr>
          <w:p w14:paraId="08662CD4" w14:textId="77777777" w:rsidR="00720F68" w:rsidRPr="00B84B0C" w:rsidRDefault="00720F68" w:rsidP="00720F68">
            <w:pPr>
              <w:keepNext/>
              <w:keepLines/>
              <w:spacing w:before="40" w:after="40"/>
              <w:rPr>
                <w:rFonts w:eastAsia="Times New Roman" w:cs="Arial"/>
                <w:b w:val="0"/>
                <w:spacing w:val="-2"/>
                <w:sz w:val="14"/>
                <w:szCs w:val="14"/>
                <w:lang w:eastAsia="pt-BR"/>
              </w:rPr>
            </w:pPr>
            <w:proofErr w:type="spellStart"/>
            <w:r w:rsidRPr="00B84B0C">
              <w:rPr>
                <w:rFonts w:eastAsia="Times New Roman" w:cs="Arial"/>
                <w:b w:val="0"/>
                <w:spacing w:val="-2"/>
                <w:sz w:val="14"/>
                <w:szCs w:val="14"/>
                <w:lang w:eastAsia="pt-BR"/>
              </w:rPr>
              <w:t>Share-based</w:t>
            </w:r>
            <w:proofErr w:type="spellEnd"/>
            <w:r w:rsidRPr="00B84B0C">
              <w:rPr>
                <w:rFonts w:eastAsia="Times New Roman" w:cs="Arial"/>
                <w:b w:val="0"/>
                <w:spacing w:val="-2"/>
                <w:sz w:val="14"/>
                <w:szCs w:val="14"/>
                <w:lang w:eastAsia="pt-BR"/>
              </w:rPr>
              <w:t xml:space="preserve"> </w:t>
            </w:r>
            <w:proofErr w:type="spellStart"/>
            <w:r w:rsidRPr="00B84B0C">
              <w:rPr>
                <w:rFonts w:eastAsia="Times New Roman" w:cs="Arial"/>
                <w:b w:val="0"/>
                <w:spacing w:val="-2"/>
                <w:sz w:val="14"/>
                <w:szCs w:val="14"/>
                <w:lang w:eastAsia="pt-BR"/>
              </w:rPr>
              <w:t>payment</w:t>
            </w:r>
            <w:proofErr w:type="spellEnd"/>
            <w:r w:rsidRPr="00B84B0C">
              <w:rPr>
                <w:rFonts w:eastAsia="Times New Roman" w:cs="Arial"/>
                <w:b w:val="0"/>
                <w:spacing w:val="-2"/>
                <w:sz w:val="14"/>
                <w:szCs w:val="14"/>
                <w:lang w:eastAsia="pt-BR"/>
              </w:rPr>
              <w:t xml:space="preserve"> </w:t>
            </w:r>
            <w:proofErr w:type="spellStart"/>
            <w:r w:rsidRPr="00B84B0C">
              <w:rPr>
                <w:rFonts w:eastAsia="Times New Roman" w:cs="Arial"/>
                <w:b w:val="0"/>
                <w:spacing w:val="-2"/>
                <w:sz w:val="14"/>
                <w:szCs w:val="14"/>
                <w:lang w:eastAsia="pt-BR"/>
              </w:rPr>
              <w:t>transactions</w:t>
            </w:r>
            <w:proofErr w:type="spellEnd"/>
          </w:p>
        </w:tc>
        <w:tc>
          <w:tcPr>
            <w:tcW w:w="851" w:type="dxa"/>
            <w:tcBorders>
              <w:top w:val="nil"/>
              <w:bottom w:val="nil"/>
            </w:tcBorders>
          </w:tcPr>
          <w:p w14:paraId="52D283A0"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75" w:type="dxa"/>
            <w:tcBorders>
              <w:top w:val="nil"/>
              <w:bottom w:val="nil"/>
            </w:tcBorders>
            <w:vAlign w:val="center"/>
          </w:tcPr>
          <w:p w14:paraId="71107D52"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992" w:type="dxa"/>
            <w:tcBorders>
              <w:top w:val="nil"/>
              <w:bottom w:val="nil"/>
            </w:tcBorders>
            <w:vAlign w:val="center"/>
          </w:tcPr>
          <w:p w14:paraId="20A497B8"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(654)</w:t>
            </w:r>
          </w:p>
        </w:tc>
        <w:tc>
          <w:tcPr>
            <w:tcW w:w="1276" w:type="dxa"/>
            <w:tcBorders>
              <w:top w:val="nil"/>
              <w:bottom w:val="nil"/>
            </w:tcBorders>
            <w:vAlign w:val="center"/>
          </w:tcPr>
          <w:p w14:paraId="655D3B18"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844" w:type="dxa"/>
            <w:tcBorders>
              <w:top w:val="nil"/>
              <w:bottom w:val="nil"/>
            </w:tcBorders>
            <w:vAlign w:val="center"/>
          </w:tcPr>
          <w:p w14:paraId="44B0EBF9"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121" w:type="dxa"/>
            <w:tcBorders>
              <w:top w:val="nil"/>
              <w:bottom w:val="nil"/>
            </w:tcBorders>
            <w:vAlign w:val="center"/>
          </w:tcPr>
          <w:p w14:paraId="52598AA5"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654</w:t>
            </w:r>
          </w:p>
        </w:tc>
        <w:tc>
          <w:tcPr>
            <w:tcW w:w="1145" w:type="dxa"/>
            <w:tcBorders>
              <w:top w:val="nil"/>
              <w:bottom w:val="nil"/>
            </w:tcBorders>
            <w:vAlign w:val="center"/>
          </w:tcPr>
          <w:p w14:paraId="5028B7F4"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571" w:type="dxa"/>
            <w:tcBorders>
              <w:top w:val="nil"/>
              <w:bottom w:val="nil"/>
            </w:tcBorders>
            <w:vAlign w:val="center"/>
          </w:tcPr>
          <w:p w14:paraId="4525E794"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121" w:type="dxa"/>
            <w:tcBorders>
              <w:top w:val="nil"/>
              <w:bottom w:val="nil"/>
            </w:tcBorders>
            <w:vAlign w:val="center"/>
          </w:tcPr>
          <w:p w14:paraId="5A31EDBC"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r>
      <w:tr w:rsidR="00720F68" w:rsidRPr="00B84B0C" w14:paraId="790F7EA7" w14:textId="77777777" w:rsidTr="00720F68">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vAlign w:val="center"/>
          </w:tcPr>
          <w:p w14:paraId="0FEC94AF" w14:textId="77777777" w:rsidR="00720F68" w:rsidRPr="00B84B0C" w:rsidRDefault="00720F68" w:rsidP="00720F68">
            <w:pPr>
              <w:keepNext/>
              <w:keepLines/>
              <w:spacing w:before="40" w:after="40"/>
              <w:rPr>
                <w:rFonts w:eastAsia="Times New Roman" w:cs="Arial"/>
                <w:b w:val="0"/>
                <w:spacing w:val="-2"/>
                <w:sz w:val="14"/>
                <w:szCs w:val="14"/>
                <w:lang w:eastAsia="pt-BR"/>
              </w:rPr>
            </w:pPr>
            <w:r w:rsidRPr="00B84B0C">
              <w:rPr>
                <w:rFonts w:cs="Arial"/>
                <w:b w:val="0"/>
                <w:sz w:val="14"/>
                <w:szCs w:val="14"/>
              </w:rPr>
              <w:t xml:space="preserve">Other </w:t>
            </w:r>
            <w:proofErr w:type="spellStart"/>
            <w:r w:rsidRPr="00B84B0C">
              <w:rPr>
                <w:rFonts w:cs="Arial"/>
                <w:b w:val="0"/>
                <w:sz w:val="14"/>
                <w:szCs w:val="14"/>
              </w:rPr>
              <w:t>accumulated</w:t>
            </w:r>
            <w:proofErr w:type="spellEnd"/>
            <w:r w:rsidRPr="00B84B0C">
              <w:rPr>
                <w:rFonts w:cs="Arial"/>
                <w:b w:val="0"/>
                <w:sz w:val="14"/>
                <w:szCs w:val="14"/>
              </w:rPr>
              <w:t xml:space="preserve"> </w:t>
            </w:r>
            <w:proofErr w:type="spellStart"/>
            <w:r w:rsidRPr="00B84B0C">
              <w:rPr>
                <w:rFonts w:cs="Arial"/>
                <w:b w:val="0"/>
                <w:sz w:val="14"/>
                <w:szCs w:val="14"/>
              </w:rPr>
              <w:t>comprehensive</w:t>
            </w:r>
            <w:proofErr w:type="spellEnd"/>
            <w:r w:rsidRPr="00B84B0C">
              <w:rPr>
                <w:rFonts w:cs="Arial"/>
                <w:b w:val="0"/>
                <w:sz w:val="14"/>
                <w:szCs w:val="14"/>
              </w:rPr>
              <w:t xml:space="preserve"> income</w:t>
            </w:r>
          </w:p>
        </w:tc>
        <w:tc>
          <w:tcPr>
            <w:tcW w:w="851" w:type="dxa"/>
            <w:tcBorders>
              <w:top w:val="nil"/>
              <w:bottom w:val="nil"/>
            </w:tcBorders>
          </w:tcPr>
          <w:p w14:paraId="0210B374"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[09.a]</w:t>
            </w:r>
          </w:p>
        </w:tc>
        <w:tc>
          <w:tcPr>
            <w:tcW w:w="1275" w:type="dxa"/>
            <w:tcBorders>
              <w:top w:val="nil"/>
              <w:bottom w:val="nil"/>
            </w:tcBorders>
            <w:vAlign w:val="center"/>
          </w:tcPr>
          <w:p w14:paraId="55C10D41"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992" w:type="dxa"/>
            <w:tcBorders>
              <w:top w:val="nil"/>
              <w:bottom w:val="nil"/>
            </w:tcBorders>
            <w:vAlign w:val="center"/>
          </w:tcPr>
          <w:p w14:paraId="6A266595"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276" w:type="dxa"/>
            <w:tcBorders>
              <w:top w:val="nil"/>
              <w:bottom w:val="nil"/>
            </w:tcBorders>
            <w:vAlign w:val="center"/>
          </w:tcPr>
          <w:p w14:paraId="5E13F658"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844" w:type="dxa"/>
            <w:tcBorders>
              <w:top w:val="nil"/>
              <w:bottom w:val="nil"/>
            </w:tcBorders>
            <w:vAlign w:val="center"/>
          </w:tcPr>
          <w:p w14:paraId="3EDE796B"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121" w:type="dxa"/>
            <w:tcBorders>
              <w:top w:val="nil"/>
              <w:bottom w:val="nil"/>
            </w:tcBorders>
            <w:vAlign w:val="center"/>
          </w:tcPr>
          <w:p w14:paraId="77E4C37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145" w:type="dxa"/>
            <w:tcBorders>
              <w:top w:val="nil"/>
              <w:bottom w:val="nil"/>
            </w:tcBorders>
            <w:vAlign w:val="center"/>
          </w:tcPr>
          <w:p w14:paraId="1E2C15B6"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w:t>
            </w:r>
          </w:p>
        </w:tc>
        <w:tc>
          <w:tcPr>
            <w:tcW w:w="1571" w:type="dxa"/>
            <w:tcBorders>
              <w:top w:val="nil"/>
              <w:bottom w:val="nil"/>
            </w:tcBorders>
            <w:vAlign w:val="center"/>
          </w:tcPr>
          <w:p w14:paraId="1C499A4C"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(35,080)</w:t>
            </w:r>
          </w:p>
        </w:tc>
        <w:tc>
          <w:tcPr>
            <w:tcW w:w="1121" w:type="dxa"/>
            <w:tcBorders>
              <w:top w:val="nil"/>
              <w:bottom w:val="nil"/>
            </w:tcBorders>
            <w:vAlign w:val="center"/>
          </w:tcPr>
          <w:p w14:paraId="4EB10B68"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spacing w:val="-2"/>
                <w:sz w:val="14"/>
                <w:szCs w:val="14"/>
                <w:lang w:eastAsia="pt-BR"/>
              </w:rPr>
              <w:t>(35,080)</w:t>
            </w:r>
          </w:p>
        </w:tc>
      </w:tr>
      <w:tr w:rsidR="00720F68" w:rsidRPr="00B84B0C" w14:paraId="12C7273B" w14:textId="77777777" w:rsidTr="00720F68">
        <w:trPr>
          <w:trHeight w:val="175"/>
        </w:trPr>
        <w:tc>
          <w:tcPr>
            <w:cnfStyle w:val="001000000000" w:firstRow="0" w:lastRow="0" w:firstColumn="1" w:lastColumn="0" w:oddVBand="0" w:evenVBand="0" w:oddHBand="0" w:evenHBand="0" w:firstRowFirstColumn="0" w:firstRowLastColumn="0" w:lastRowFirstColumn="0" w:lastRowLastColumn="0"/>
            <w:tcW w:w="3686" w:type="dxa"/>
            <w:tcBorders>
              <w:top w:val="nil"/>
              <w:bottom w:val="nil"/>
            </w:tcBorders>
            <w:vAlign w:val="center"/>
          </w:tcPr>
          <w:p w14:paraId="627ABFC2" w14:textId="77777777" w:rsidR="00720F68" w:rsidRPr="00B84B0C" w:rsidRDefault="00720F68" w:rsidP="00720F68">
            <w:pPr>
              <w:keepNext/>
              <w:keepLines/>
              <w:spacing w:before="40" w:after="40"/>
              <w:rPr>
                <w:rFonts w:eastAsia="Times New Roman" w:cs="Arial"/>
                <w:spacing w:val="-2"/>
                <w:sz w:val="14"/>
                <w:szCs w:val="14"/>
                <w:lang w:val="en-US" w:eastAsia="pt-BR"/>
              </w:rPr>
            </w:pPr>
            <w:r w:rsidRPr="00B84B0C">
              <w:rPr>
                <w:rFonts w:cs="Arial"/>
                <w:sz w:val="14"/>
                <w:szCs w:val="14"/>
                <w:lang w:val="en-US"/>
              </w:rPr>
              <w:t>Net income for the period</w:t>
            </w:r>
          </w:p>
        </w:tc>
        <w:tc>
          <w:tcPr>
            <w:tcW w:w="851" w:type="dxa"/>
            <w:tcBorders>
              <w:top w:val="nil"/>
              <w:bottom w:val="nil"/>
            </w:tcBorders>
          </w:tcPr>
          <w:p w14:paraId="1A1B4F51"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[19.c]</w:t>
            </w:r>
          </w:p>
        </w:tc>
        <w:tc>
          <w:tcPr>
            <w:tcW w:w="1275" w:type="dxa"/>
            <w:tcBorders>
              <w:top w:val="nil"/>
              <w:bottom w:val="nil"/>
            </w:tcBorders>
            <w:vAlign w:val="center"/>
          </w:tcPr>
          <w:p w14:paraId="24BEA81A"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992" w:type="dxa"/>
            <w:tcBorders>
              <w:top w:val="nil"/>
              <w:bottom w:val="nil"/>
            </w:tcBorders>
            <w:vAlign w:val="center"/>
          </w:tcPr>
          <w:p w14:paraId="4143A079"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276" w:type="dxa"/>
            <w:tcBorders>
              <w:top w:val="nil"/>
              <w:bottom w:val="nil"/>
            </w:tcBorders>
            <w:vAlign w:val="center"/>
          </w:tcPr>
          <w:p w14:paraId="5A70102E"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844" w:type="dxa"/>
            <w:tcBorders>
              <w:top w:val="nil"/>
              <w:bottom w:val="nil"/>
            </w:tcBorders>
            <w:vAlign w:val="center"/>
          </w:tcPr>
          <w:p w14:paraId="1829A6D4"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121" w:type="dxa"/>
            <w:tcBorders>
              <w:top w:val="nil"/>
              <w:bottom w:val="nil"/>
            </w:tcBorders>
            <w:vAlign w:val="center"/>
          </w:tcPr>
          <w:p w14:paraId="10F1DEFF"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145" w:type="dxa"/>
            <w:tcBorders>
              <w:top w:val="nil"/>
              <w:bottom w:val="nil"/>
            </w:tcBorders>
            <w:vAlign w:val="center"/>
          </w:tcPr>
          <w:p w14:paraId="2A049728"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882,721</w:t>
            </w:r>
          </w:p>
        </w:tc>
        <w:tc>
          <w:tcPr>
            <w:tcW w:w="1571" w:type="dxa"/>
            <w:tcBorders>
              <w:top w:val="nil"/>
              <w:bottom w:val="nil"/>
            </w:tcBorders>
            <w:vAlign w:val="center"/>
          </w:tcPr>
          <w:p w14:paraId="0D27AE0E"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w:t>
            </w:r>
          </w:p>
        </w:tc>
        <w:tc>
          <w:tcPr>
            <w:tcW w:w="1121" w:type="dxa"/>
            <w:tcBorders>
              <w:top w:val="nil"/>
              <w:bottom w:val="nil"/>
            </w:tcBorders>
            <w:vAlign w:val="center"/>
          </w:tcPr>
          <w:p w14:paraId="464CFE5E"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882,721</w:t>
            </w:r>
          </w:p>
        </w:tc>
      </w:tr>
      <w:tr w:rsidR="00720F68" w:rsidRPr="00B84B0C" w14:paraId="35B70753" w14:textId="77777777" w:rsidTr="00720F68">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8EAADB" w:themeColor="accent5" w:themeTint="99"/>
              <w:bottom w:val="single" w:sz="4" w:space="0" w:color="8EAADB" w:themeColor="accent5" w:themeTint="99"/>
            </w:tcBorders>
            <w:vAlign w:val="center"/>
          </w:tcPr>
          <w:p w14:paraId="7D38B60E" w14:textId="77777777" w:rsidR="00720F68" w:rsidRPr="00B84B0C" w:rsidRDefault="00720F68" w:rsidP="00720F68">
            <w:pPr>
              <w:keepNext/>
              <w:keepLines/>
              <w:spacing w:before="40" w:after="40"/>
              <w:rPr>
                <w:rFonts w:eastAsia="Times New Roman" w:cs="Arial"/>
                <w:spacing w:val="-2"/>
                <w:sz w:val="14"/>
                <w:szCs w:val="14"/>
                <w:lang w:eastAsia="pt-BR"/>
              </w:rPr>
            </w:pPr>
            <w:r w:rsidRPr="00B84B0C">
              <w:rPr>
                <w:rFonts w:cs="Arial"/>
                <w:sz w:val="14"/>
                <w:szCs w:val="14"/>
              </w:rPr>
              <w:t xml:space="preserve">Balances </w:t>
            </w:r>
            <w:proofErr w:type="spellStart"/>
            <w:r w:rsidRPr="00B84B0C">
              <w:rPr>
                <w:rFonts w:cs="Arial"/>
                <w:sz w:val="14"/>
                <w:szCs w:val="14"/>
              </w:rPr>
              <w:t>at</w:t>
            </w:r>
            <w:proofErr w:type="spellEnd"/>
            <w:r w:rsidRPr="00B84B0C">
              <w:rPr>
                <w:rFonts w:cs="Arial"/>
                <w:sz w:val="14"/>
                <w:szCs w:val="14"/>
              </w:rPr>
              <w:t xml:space="preserve"> Mar 31, 2020</w:t>
            </w:r>
          </w:p>
        </w:tc>
        <w:tc>
          <w:tcPr>
            <w:tcW w:w="851" w:type="dxa"/>
            <w:tcBorders>
              <w:top w:val="single" w:sz="4" w:space="0" w:color="8EAADB" w:themeColor="accent5" w:themeTint="99"/>
              <w:bottom w:val="single" w:sz="4" w:space="0" w:color="8EAADB" w:themeColor="accent5" w:themeTint="99"/>
            </w:tcBorders>
            <w:vAlign w:val="center"/>
          </w:tcPr>
          <w:p w14:paraId="03AD3D10"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75" w:type="dxa"/>
            <w:tcBorders>
              <w:top w:val="single" w:sz="4" w:space="0" w:color="8EAADB" w:themeColor="accent5" w:themeTint="99"/>
              <w:bottom w:val="single" w:sz="4" w:space="0" w:color="8EAADB" w:themeColor="accent5" w:themeTint="99"/>
            </w:tcBorders>
            <w:vAlign w:val="center"/>
          </w:tcPr>
          <w:p w14:paraId="280C3999"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3,396,767</w:t>
            </w:r>
          </w:p>
        </w:tc>
        <w:tc>
          <w:tcPr>
            <w:tcW w:w="992" w:type="dxa"/>
            <w:tcBorders>
              <w:top w:val="single" w:sz="4" w:space="0" w:color="8EAADB" w:themeColor="accent5" w:themeTint="99"/>
              <w:bottom w:val="single" w:sz="4" w:space="0" w:color="8EAADB" w:themeColor="accent5" w:themeTint="99"/>
            </w:tcBorders>
            <w:vAlign w:val="center"/>
          </w:tcPr>
          <w:p w14:paraId="780A718E"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463</w:t>
            </w:r>
          </w:p>
        </w:tc>
        <w:tc>
          <w:tcPr>
            <w:tcW w:w="1276" w:type="dxa"/>
            <w:tcBorders>
              <w:top w:val="single" w:sz="4" w:space="0" w:color="8EAADB" w:themeColor="accent5" w:themeTint="99"/>
              <w:bottom w:val="single" w:sz="4" w:space="0" w:color="8EAADB" w:themeColor="accent5" w:themeTint="99"/>
            </w:tcBorders>
            <w:vAlign w:val="center"/>
          </w:tcPr>
          <w:p w14:paraId="43B33FA9"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679,354</w:t>
            </w:r>
          </w:p>
        </w:tc>
        <w:tc>
          <w:tcPr>
            <w:tcW w:w="1844" w:type="dxa"/>
            <w:tcBorders>
              <w:top w:val="single" w:sz="4" w:space="0" w:color="8EAADB" w:themeColor="accent5" w:themeTint="99"/>
              <w:bottom w:val="single" w:sz="4" w:space="0" w:color="8EAADB" w:themeColor="accent5" w:themeTint="99"/>
            </w:tcBorders>
            <w:vAlign w:val="center"/>
          </w:tcPr>
          <w:p w14:paraId="4E9DFF99"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1,226,371</w:t>
            </w:r>
          </w:p>
        </w:tc>
        <w:tc>
          <w:tcPr>
            <w:tcW w:w="1121" w:type="dxa"/>
            <w:tcBorders>
              <w:top w:val="single" w:sz="4" w:space="0" w:color="8EAADB" w:themeColor="accent5" w:themeTint="99"/>
              <w:bottom w:val="single" w:sz="4" w:space="0" w:color="8EAADB" w:themeColor="accent5" w:themeTint="99"/>
            </w:tcBorders>
            <w:vAlign w:val="center"/>
          </w:tcPr>
          <w:p w14:paraId="1E637C2E"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(82,652)</w:t>
            </w:r>
          </w:p>
        </w:tc>
        <w:tc>
          <w:tcPr>
            <w:tcW w:w="1145" w:type="dxa"/>
            <w:tcBorders>
              <w:top w:val="single" w:sz="4" w:space="0" w:color="8EAADB" w:themeColor="accent5" w:themeTint="99"/>
              <w:bottom w:val="single" w:sz="4" w:space="0" w:color="8EAADB" w:themeColor="accent5" w:themeTint="99"/>
            </w:tcBorders>
            <w:vAlign w:val="center"/>
          </w:tcPr>
          <w:p w14:paraId="699FC441"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882,721</w:t>
            </w:r>
          </w:p>
        </w:tc>
        <w:tc>
          <w:tcPr>
            <w:tcW w:w="1571" w:type="dxa"/>
            <w:tcBorders>
              <w:top w:val="single" w:sz="4" w:space="0" w:color="8EAADB" w:themeColor="accent5" w:themeTint="99"/>
              <w:bottom w:val="single" w:sz="4" w:space="0" w:color="8EAADB" w:themeColor="accent5" w:themeTint="99"/>
            </w:tcBorders>
            <w:vAlign w:val="center"/>
          </w:tcPr>
          <w:p w14:paraId="3138DFC2"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(6,629)</w:t>
            </w:r>
          </w:p>
        </w:tc>
        <w:tc>
          <w:tcPr>
            <w:tcW w:w="1121" w:type="dxa"/>
            <w:tcBorders>
              <w:top w:val="single" w:sz="4" w:space="0" w:color="8EAADB" w:themeColor="accent5" w:themeTint="99"/>
              <w:bottom w:val="single" w:sz="4" w:space="0" w:color="8EAADB" w:themeColor="accent5" w:themeTint="99"/>
            </w:tcBorders>
            <w:vAlign w:val="center"/>
          </w:tcPr>
          <w:p w14:paraId="6DECEFC3"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B84B0C">
              <w:rPr>
                <w:rFonts w:eastAsia="Times New Roman" w:cs="Arial"/>
                <w:b/>
                <w:spacing w:val="-2"/>
                <w:sz w:val="14"/>
                <w:szCs w:val="14"/>
                <w:lang w:eastAsia="pt-BR"/>
              </w:rPr>
              <w:t>6,096,395</w:t>
            </w:r>
          </w:p>
        </w:tc>
      </w:tr>
      <w:tr w:rsidR="00720F68" w:rsidRPr="00B84B0C" w14:paraId="4F32EEF4" w14:textId="77777777" w:rsidTr="00720F68">
        <w:trPr>
          <w:trHeight w:val="218"/>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8EAADB" w:themeColor="accent5" w:themeTint="99"/>
              <w:bottom w:val="single" w:sz="2" w:space="0" w:color="8EAADB" w:themeColor="accent5" w:themeTint="99"/>
            </w:tcBorders>
            <w:vAlign w:val="center"/>
          </w:tcPr>
          <w:p w14:paraId="49A0BBD1" w14:textId="77777777" w:rsidR="00720F68" w:rsidRPr="00B84B0C" w:rsidRDefault="00720F68" w:rsidP="00720F68">
            <w:pPr>
              <w:keepNext/>
              <w:keepLines/>
              <w:spacing w:before="40" w:after="40"/>
              <w:rPr>
                <w:rFonts w:eastAsia="Times New Roman" w:cs="Arial"/>
                <w:spacing w:val="-2"/>
                <w:sz w:val="14"/>
                <w:szCs w:val="14"/>
                <w:lang w:eastAsia="pt-BR"/>
              </w:rPr>
            </w:pPr>
            <w:proofErr w:type="spellStart"/>
            <w:r w:rsidRPr="00B84B0C">
              <w:rPr>
                <w:rFonts w:cs="Arial"/>
                <w:color w:val="000000"/>
                <w:sz w:val="14"/>
                <w:szCs w:val="14"/>
              </w:rPr>
              <w:t>Changes</w:t>
            </w:r>
            <w:proofErr w:type="spellEnd"/>
            <w:r w:rsidRPr="00B84B0C">
              <w:rPr>
                <w:rFonts w:cs="Arial"/>
                <w:color w:val="000000"/>
                <w:sz w:val="14"/>
                <w:szCs w:val="14"/>
              </w:rPr>
              <w:t xml:space="preserve"> in </w:t>
            </w:r>
            <w:proofErr w:type="spellStart"/>
            <w:r w:rsidRPr="00B84B0C">
              <w:rPr>
                <w:rFonts w:cs="Arial"/>
                <w:color w:val="000000"/>
                <w:sz w:val="14"/>
                <w:szCs w:val="14"/>
              </w:rPr>
              <w:t>the</w:t>
            </w:r>
            <w:proofErr w:type="spellEnd"/>
            <w:r w:rsidRPr="00B84B0C">
              <w:rPr>
                <w:rFonts w:cs="Arial"/>
                <w:color w:val="000000"/>
                <w:sz w:val="14"/>
                <w:szCs w:val="14"/>
              </w:rPr>
              <w:t xml:space="preserve"> </w:t>
            </w:r>
            <w:proofErr w:type="spellStart"/>
            <w:r w:rsidRPr="00B84B0C">
              <w:rPr>
                <w:rFonts w:cs="Arial"/>
                <w:color w:val="000000"/>
                <w:sz w:val="14"/>
                <w:szCs w:val="14"/>
              </w:rPr>
              <w:t>Period</w:t>
            </w:r>
            <w:proofErr w:type="spellEnd"/>
          </w:p>
        </w:tc>
        <w:tc>
          <w:tcPr>
            <w:tcW w:w="851" w:type="dxa"/>
            <w:tcBorders>
              <w:top w:val="single" w:sz="4" w:space="0" w:color="8EAADB" w:themeColor="accent5" w:themeTint="99"/>
              <w:bottom w:val="single" w:sz="2" w:space="0" w:color="8EAADB" w:themeColor="accent5" w:themeTint="99"/>
            </w:tcBorders>
            <w:vAlign w:val="center"/>
          </w:tcPr>
          <w:p w14:paraId="36521166"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75" w:type="dxa"/>
            <w:tcBorders>
              <w:top w:val="single" w:sz="4" w:space="0" w:color="8EAADB" w:themeColor="accent5" w:themeTint="99"/>
              <w:bottom w:val="single" w:sz="2" w:space="0" w:color="8EAADB" w:themeColor="accent5" w:themeTint="99"/>
            </w:tcBorders>
            <w:vAlign w:val="center"/>
          </w:tcPr>
          <w:p w14:paraId="0572530B"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b/>
                <w:spacing w:val="-2"/>
                <w:sz w:val="14"/>
                <w:szCs w:val="14"/>
                <w:lang w:eastAsia="pt-BR"/>
              </w:rPr>
              <w:t>--</w:t>
            </w:r>
          </w:p>
        </w:tc>
        <w:tc>
          <w:tcPr>
            <w:tcW w:w="992" w:type="dxa"/>
            <w:tcBorders>
              <w:top w:val="single" w:sz="4" w:space="0" w:color="8EAADB" w:themeColor="accent5" w:themeTint="99"/>
              <w:bottom w:val="single" w:sz="2" w:space="0" w:color="8EAADB" w:themeColor="accent5" w:themeTint="99"/>
            </w:tcBorders>
            <w:vAlign w:val="center"/>
          </w:tcPr>
          <w:p w14:paraId="0DE8906F"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b/>
                <w:spacing w:val="-2"/>
                <w:sz w:val="14"/>
                <w:szCs w:val="14"/>
                <w:lang w:eastAsia="pt-BR"/>
              </w:rPr>
              <w:t>(654)</w:t>
            </w:r>
          </w:p>
        </w:tc>
        <w:tc>
          <w:tcPr>
            <w:tcW w:w="1276" w:type="dxa"/>
            <w:tcBorders>
              <w:top w:val="single" w:sz="4" w:space="0" w:color="8EAADB" w:themeColor="accent5" w:themeTint="99"/>
              <w:bottom w:val="single" w:sz="2" w:space="0" w:color="8EAADB" w:themeColor="accent5" w:themeTint="99"/>
            </w:tcBorders>
            <w:vAlign w:val="center"/>
          </w:tcPr>
          <w:p w14:paraId="2DF9B815"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b/>
                <w:spacing w:val="-2"/>
                <w:sz w:val="14"/>
                <w:szCs w:val="14"/>
                <w:lang w:eastAsia="pt-BR"/>
              </w:rPr>
              <w:t>--</w:t>
            </w:r>
          </w:p>
        </w:tc>
        <w:tc>
          <w:tcPr>
            <w:tcW w:w="1844" w:type="dxa"/>
            <w:tcBorders>
              <w:top w:val="single" w:sz="4" w:space="0" w:color="8EAADB" w:themeColor="accent5" w:themeTint="99"/>
              <w:bottom w:val="single" w:sz="2" w:space="0" w:color="8EAADB" w:themeColor="accent5" w:themeTint="99"/>
            </w:tcBorders>
            <w:vAlign w:val="center"/>
          </w:tcPr>
          <w:p w14:paraId="6017DB96"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b/>
                <w:spacing w:val="-2"/>
                <w:sz w:val="14"/>
                <w:szCs w:val="14"/>
                <w:lang w:eastAsia="pt-BR"/>
              </w:rPr>
              <w:t>--</w:t>
            </w:r>
          </w:p>
        </w:tc>
        <w:tc>
          <w:tcPr>
            <w:tcW w:w="1121" w:type="dxa"/>
            <w:tcBorders>
              <w:top w:val="single" w:sz="4" w:space="0" w:color="8EAADB" w:themeColor="accent5" w:themeTint="99"/>
              <w:bottom w:val="single" w:sz="2" w:space="0" w:color="8EAADB" w:themeColor="accent5" w:themeTint="99"/>
            </w:tcBorders>
            <w:vAlign w:val="center"/>
          </w:tcPr>
          <w:p w14:paraId="0E500128"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b/>
                <w:spacing w:val="-2"/>
                <w:sz w:val="14"/>
                <w:szCs w:val="14"/>
                <w:lang w:eastAsia="pt-BR"/>
              </w:rPr>
              <w:t>654</w:t>
            </w:r>
          </w:p>
        </w:tc>
        <w:tc>
          <w:tcPr>
            <w:tcW w:w="1145" w:type="dxa"/>
            <w:tcBorders>
              <w:top w:val="single" w:sz="4" w:space="0" w:color="8EAADB" w:themeColor="accent5" w:themeTint="99"/>
              <w:bottom w:val="single" w:sz="2" w:space="0" w:color="8EAADB" w:themeColor="accent5" w:themeTint="99"/>
            </w:tcBorders>
            <w:vAlign w:val="center"/>
          </w:tcPr>
          <w:p w14:paraId="2E491215"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b/>
                <w:spacing w:val="-2"/>
                <w:sz w:val="14"/>
                <w:szCs w:val="14"/>
                <w:lang w:eastAsia="pt-BR"/>
              </w:rPr>
              <w:t>882,721</w:t>
            </w:r>
          </w:p>
        </w:tc>
        <w:tc>
          <w:tcPr>
            <w:tcW w:w="1571" w:type="dxa"/>
            <w:tcBorders>
              <w:top w:val="single" w:sz="4" w:space="0" w:color="8EAADB" w:themeColor="accent5" w:themeTint="99"/>
              <w:bottom w:val="single" w:sz="2" w:space="0" w:color="8EAADB" w:themeColor="accent5" w:themeTint="99"/>
            </w:tcBorders>
            <w:vAlign w:val="center"/>
          </w:tcPr>
          <w:p w14:paraId="44476C19"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b/>
                <w:spacing w:val="-2"/>
                <w:sz w:val="14"/>
                <w:szCs w:val="14"/>
                <w:lang w:eastAsia="pt-BR"/>
              </w:rPr>
              <w:t>(35,080)</w:t>
            </w:r>
          </w:p>
        </w:tc>
        <w:tc>
          <w:tcPr>
            <w:tcW w:w="1121" w:type="dxa"/>
            <w:tcBorders>
              <w:top w:val="single" w:sz="4" w:space="0" w:color="8EAADB" w:themeColor="accent5" w:themeTint="99"/>
              <w:bottom w:val="single" w:sz="2" w:space="0" w:color="8EAADB" w:themeColor="accent5" w:themeTint="99"/>
            </w:tcBorders>
            <w:vAlign w:val="center"/>
          </w:tcPr>
          <w:p w14:paraId="030AC4F7"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B84B0C">
              <w:rPr>
                <w:rFonts w:eastAsia="Times New Roman" w:cs="Arial"/>
                <w:b/>
                <w:spacing w:val="-2"/>
                <w:sz w:val="14"/>
                <w:szCs w:val="14"/>
                <w:lang w:eastAsia="pt-BR"/>
              </w:rPr>
              <w:t>847,641</w:t>
            </w:r>
          </w:p>
        </w:tc>
      </w:tr>
    </w:tbl>
    <w:p w14:paraId="7005DB76" w14:textId="77777777" w:rsidR="00720F68" w:rsidRPr="00B84B0C" w:rsidRDefault="00720F68" w:rsidP="00720F68">
      <w:pPr>
        <w:rPr>
          <w:rFonts w:cs="Arial"/>
          <w:sz w:val="14"/>
          <w:szCs w:val="14"/>
          <w:lang w:val="en-US"/>
        </w:rPr>
      </w:pPr>
      <w:r w:rsidRPr="00B84B0C">
        <w:rPr>
          <w:rFonts w:cs="Arial"/>
          <w:spacing w:val="-2"/>
          <w:sz w:val="14"/>
          <w:szCs w:val="18"/>
          <w:lang w:val="en-US"/>
        </w:rPr>
        <w:t>The accompanying notes are an integral part of these financial statements.</w:t>
      </w:r>
    </w:p>
    <w:p w14:paraId="173325F1" w14:textId="77777777" w:rsidR="00C91206" w:rsidRPr="00B84B0C" w:rsidRDefault="00C91206" w:rsidP="00904B54">
      <w:pPr>
        <w:pStyle w:val="02-TtulodeNota"/>
        <w:rPr>
          <w:rFonts w:cs="Arial"/>
          <w:color w:val="1F4E79" w:themeColor="accent1" w:themeShade="80"/>
        </w:rPr>
        <w:sectPr w:rsidR="00C91206" w:rsidRPr="00B84B0C" w:rsidSect="0038404A">
          <w:pgSz w:w="16838" w:h="11906" w:orient="landscape" w:code="9"/>
          <w:pgMar w:top="1134" w:right="851" w:bottom="1134" w:left="1134" w:header="851" w:footer="284" w:gutter="0"/>
          <w:cols w:space="708"/>
          <w:titlePg/>
          <w:docGrid w:linePitch="360"/>
        </w:sectPr>
      </w:pPr>
    </w:p>
    <w:p w14:paraId="48897498" w14:textId="7C0CEED4" w:rsidR="00720F68" w:rsidRPr="00B84B0C" w:rsidRDefault="00720F68" w:rsidP="00904B54">
      <w:pPr>
        <w:pStyle w:val="02-TtulodeNota"/>
        <w:rPr>
          <w:rFonts w:cs="Arial"/>
          <w:color w:val="1F4E79" w:themeColor="accent1" w:themeShade="80"/>
        </w:rPr>
      </w:pPr>
      <w:bookmarkStart w:id="6" w:name="_Toc39131483"/>
      <w:r w:rsidRPr="00B84B0C">
        <w:rPr>
          <w:rFonts w:cs="Arial"/>
          <w:color w:val="1F4E79" w:themeColor="accent1" w:themeShade="80"/>
        </w:rPr>
        <w:lastRenderedPageBreak/>
        <w:t>STATEMENT OF VALUE ADDED</w:t>
      </w:r>
      <w:bookmarkEnd w:id="6"/>
    </w:p>
    <w:p w14:paraId="5C4AB46C" w14:textId="77777777" w:rsidR="00720F68" w:rsidRPr="00B84B0C" w:rsidRDefault="00720F68" w:rsidP="00720F68">
      <w:pPr>
        <w:pStyle w:val="06-Rmil"/>
        <w:rPr>
          <w:rFonts w:cs="Arial"/>
        </w:rPr>
      </w:pPr>
      <w:r w:rsidRPr="00B84B0C">
        <w:rPr>
          <w:rFonts w:cs="Arial"/>
        </w:rPr>
        <w:t xml:space="preserve">R$ </w:t>
      </w:r>
      <w:proofErr w:type="spellStart"/>
      <w:r w:rsidRPr="00B84B0C">
        <w:rPr>
          <w:rFonts w:cs="Arial"/>
        </w:rPr>
        <w:t>thousand</w:t>
      </w:r>
      <w:proofErr w:type="spellEnd"/>
    </w:p>
    <w:tbl>
      <w:tblPr>
        <w:tblStyle w:val="TabeladeLista6Colorida-nfase53"/>
        <w:tblW w:w="9639" w:type="dxa"/>
        <w:jc w:val="center"/>
        <w:tblLayout w:type="fixed"/>
        <w:tblLook w:val="04A0" w:firstRow="1" w:lastRow="0" w:firstColumn="1" w:lastColumn="0" w:noHBand="0" w:noVBand="1"/>
      </w:tblPr>
      <w:tblGrid>
        <w:gridCol w:w="3119"/>
        <w:gridCol w:w="678"/>
        <w:gridCol w:w="1306"/>
        <w:gridCol w:w="1418"/>
        <w:gridCol w:w="280"/>
        <w:gridCol w:w="1421"/>
        <w:gridCol w:w="1417"/>
      </w:tblGrid>
      <w:tr w:rsidR="00720F68" w:rsidRPr="00B84B0C" w14:paraId="0808D46D" w14:textId="77777777" w:rsidTr="00720F68">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119" w:type="dxa"/>
            <w:tcBorders>
              <w:top w:val="single" w:sz="2" w:space="0" w:color="8EAADB" w:themeColor="accent5" w:themeTint="99"/>
              <w:bottom w:val="nil"/>
            </w:tcBorders>
            <w:shd w:val="clear" w:color="auto" w:fill="D9E2F3" w:themeFill="accent5" w:themeFillTint="33"/>
            <w:vAlign w:val="center"/>
          </w:tcPr>
          <w:p w14:paraId="38F87ED5" w14:textId="77777777" w:rsidR="00720F68" w:rsidRPr="00B84B0C" w:rsidRDefault="00720F68" w:rsidP="00720F68">
            <w:pPr>
              <w:jc w:val="center"/>
              <w:rPr>
                <w:rFonts w:cs="Arial"/>
                <w:b w:val="0"/>
                <w:szCs w:val="18"/>
              </w:rPr>
            </w:pPr>
          </w:p>
        </w:tc>
        <w:tc>
          <w:tcPr>
            <w:tcW w:w="678" w:type="dxa"/>
            <w:tcBorders>
              <w:top w:val="single" w:sz="2" w:space="0" w:color="8EAADB" w:themeColor="accent5" w:themeTint="99"/>
              <w:bottom w:val="nil"/>
            </w:tcBorders>
            <w:shd w:val="clear" w:color="auto" w:fill="D9E2F3" w:themeFill="accent5" w:themeFillTint="33"/>
          </w:tcPr>
          <w:p w14:paraId="302684ED"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724"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0C63FE1"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0" w:type="dxa"/>
            <w:tcBorders>
              <w:top w:val="single" w:sz="2" w:space="0" w:color="8EAADB" w:themeColor="accent5" w:themeTint="99"/>
              <w:bottom w:val="nil"/>
            </w:tcBorders>
            <w:shd w:val="clear" w:color="auto" w:fill="D9E2F3" w:themeFill="accent5" w:themeFillTint="33"/>
          </w:tcPr>
          <w:p w14:paraId="608D7506"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38"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DCF62AA"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720F68" w:rsidRPr="00B84B0C" w14:paraId="07F1815D" w14:textId="77777777" w:rsidTr="00720F6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8EAADB" w:themeColor="accent5" w:themeTint="99"/>
            </w:tcBorders>
          </w:tcPr>
          <w:p w14:paraId="55CA03B5" w14:textId="77777777" w:rsidR="00720F68" w:rsidRPr="00B84B0C" w:rsidRDefault="00720F68" w:rsidP="00720F68">
            <w:pPr>
              <w:pStyle w:val="08-Tabelageral"/>
              <w:jc w:val="left"/>
              <w:rPr>
                <w:rFonts w:cs="Arial"/>
                <w:b w:val="0"/>
              </w:rPr>
            </w:pPr>
          </w:p>
        </w:tc>
        <w:tc>
          <w:tcPr>
            <w:tcW w:w="678" w:type="dxa"/>
            <w:tcBorders>
              <w:top w:val="nil"/>
              <w:bottom w:val="single" w:sz="2" w:space="0" w:color="8EAADB" w:themeColor="accent5" w:themeTint="99"/>
            </w:tcBorders>
          </w:tcPr>
          <w:p w14:paraId="41FD13BD"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Note</w:t>
            </w:r>
          </w:p>
        </w:tc>
        <w:tc>
          <w:tcPr>
            <w:tcW w:w="1306" w:type="dxa"/>
            <w:tcBorders>
              <w:top w:val="single" w:sz="2" w:space="0" w:color="8EAADB" w:themeColor="accent5" w:themeTint="99"/>
              <w:bottom w:val="single" w:sz="2" w:space="0" w:color="8EAADB" w:themeColor="accent5" w:themeTint="99"/>
            </w:tcBorders>
            <w:vAlign w:val="bottom"/>
          </w:tcPr>
          <w:p w14:paraId="24EB237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418" w:type="dxa"/>
            <w:tcBorders>
              <w:top w:val="single" w:sz="2" w:space="0" w:color="8EAADB" w:themeColor="accent5" w:themeTint="99"/>
              <w:bottom w:val="single" w:sz="2" w:space="0" w:color="8EAADB" w:themeColor="accent5" w:themeTint="99"/>
            </w:tcBorders>
            <w:vAlign w:val="bottom"/>
          </w:tcPr>
          <w:p w14:paraId="6BBC2BA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c>
          <w:tcPr>
            <w:tcW w:w="280" w:type="dxa"/>
            <w:tcBorders>
              <w:top w:val="nil"/>
              <w:bottom w:val="single" w:sz="2" w:space="0" w:color="8EAADB" w:themeColor="accent5" w:themeTint="99"/>
            </w:tcBorders>
            <w:vAlign w:val="center"/>
          </w:tcPr>
          <w:p w14:paraId="2CE2771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p>
        </w:tc>
        <w:tc>
          <w:tcPr>
            <w:tcW w:w="1421" w:type="dxa"/>
            <w:tcBorders>
              <w:top w:val="single" w:sz="2" w:space="0" w:color="8EAADB" w:themeColor="accent5" w:themeTint="99"/>
              <w:bottom w:val="single" w:sz="2" w:space="0" w:color="8EAADB" w:themeColor="accent5" w:themeTint="99"/>
            </w:tcBorders>
            <w:vAlign w:val="bottom"/>
          </w:tcPr>
          <w:p w14:paraId="06FF587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417" w:type="dxa"/>
            <w:tcBorders>
              <w:top w:val="single" w:sz="2" w:space="0" w:color="8EAADB" w:themeColor="accent5" w:themeTint="99"/>
              <w:bottom w:val="single" w:sz="2" w:space="0" w:color="8EAADB" w:themeColor="accent5" w:themeTint="99"/>
            </w:tcBorders>
            <w:vAlign w:val="bottom"/>
          </w:tcPr>
          <w:p w14:paraId="0CF0AB8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r>
      <w:tr w:rsidR="00720F68" w:rsidRPr="00B84B0C" w14:paraId="3F502062"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56FC710D" w14:textId="77777777" w:rsidR="00720F68" w:rsidRPr="00B84B0C" w:rsidRDefault="00720F68" w:rsidP="00720F68">
            <w:pPr>
              <w:pStyle w:val="08-Tabelageral"/>
              <w:jc w:val="left"/>
              <w:rPr>
                <w:rFonts w:cs="Arial"/>
                <w:b w:val="0"/>
              </w:rPr>
            </w:pPr>
          </w:p>
        </w:tc>
        <w:tc>
          <w:tcPr>
            <w:tcW w:w="678" w:type="dxa"/>
            <w:tcBorders>
              <w:top w:val="nil"/>
              <w:bottom w:val="nil"/>
            </w:tcBorders>
            <w:vAlign w:val="center"/>
          </w:tcPr>
          <w:p w14:paraId="2D89D644"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306" w:type="dxa"/>
            <w:tcBorders>
              <w:top w:val="nil"/>
              <w:bottom w:val="nil"/>
            </w:tcBorders>
            <w:vAlign w:val="center"/>
          </w:tcPr>
          <w:p w14:paraId="1BEDC0A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8" w:type="dxa"/>
            <w:tcBorders>
              <w:top w:val="nil"/>
              <w:bottom w:val="nil"/>
            </w:tcBorders>
            <w:vAlign w:val="center"/>
          </w:tcPr>
          <w:p w14:paraId="0B057BC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280" w:type="dxa"/>
            <w:tcBorders>
              <w:top w:val="nil"/>
              <w:bottom w:val="nil"/>
            </w:tcBorders>
            <w:vAlign w:val="center"/>
          </w:tcPr>
          <w:p w14:paraId="6C69327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21" w:type="dxa"/>
            <w:tcBorders>
              <w:top w:val="nil"/>
              <w:bottom w:val="nil"/>
            </w:tcBorders>
            <w:vAlign w:val="center"/>
          </w:tcPr>
          <w:p w14:paraId="1AC2D907"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400C9F8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50E8E2AD"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7FF7277D" w14:textId="77777777" w:rsidR="00720F68" w:rsidRPr="00B84B0C" w:rsidRDefault="00720F68" w:rsidP="00720F68">
            <w:pPr>
              <w:pStyle w:val="08-Tabelageral"/>
              <w:jc w:val="left"/>
              <w:rPr>
                <w:rFonts w:cs="Arial"/>
              </w:rPr>
            </w:pPr>
            <w:r w:rsidRPr="00B84B0C">
              <w:rPr>
                <w:rFonts w:cs="Arial"/>
              </w:rPr>
              <w:t>Income</w:t>
            </w:r>
          </w:p>
        </w:tc>
        <w:tc>
          <w:tcPr>
            <w:tcW w:w="678" w:type="dxa"/>
            <w:tcBorders>
              <w:top w:val="nil"/>
              <w:bottom w:val="nil"/>
            </w:tcBorders>
          </w:tcPr>
          <w:p w14:paraId="47B2E916" w14:textId="77777777" w:rsidR="00720F68" w:rsidRPr="00B84B0C" w:rsidRDefault="00720F68" w:rsidP="00720F68">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306" w:type="dxa"/>
            <w:tcBorders>
              <w:top w:val="nil"/>
              <w:bottom w:val="nil"/>
            </w:tcBorders>
            <w:vAlign w:val="center"/>
          </w:tcPr>
          <w:p w14:paraId="35A4C27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4,163</w:t>
            </w:r>
          </w:p>
        </w:tc>
        <w:tc>
          <w:tcPr>
            <w:tcW w:w="1418" w:type="dxa"/>
            <w:tcBorders>
              <w:top w:val="nil"/>
              <w:bottom w:val="nil"/>
            </w:tcBorders>
            <w:vAlign w:val="center"/>
          </w:tcPr>
          <w:p w14:paraId="0CC42D8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1,834</w:t>
            </w:r>
          </w:p>
        </w:tc>
        <w:tc>
          <w:tcPr>
            <w:tcW w:w="280" w:type="dxa"/>
            <w:tcBorders>
              <w:top w:val="nil"/>
              <w:bottom w:val="nil"/>
            </w:tcBorders>
            <w:vAlign w:val="center"/>
          </w:tcPr>
          <w:p w14:paraId="5D13BB5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21" w:type="dxa"/>
            <w:tcBorders>
              <w:top w:val="nil"/>
              <w:bottom w:val="nil"/>
            </w:tcBorders>
            <w:vAlign w:val="center"/>
          </w:tcPr>
          <w:p w14:paraId="5907830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888,149</w:t>
            </w:r>
          </w:p>
        </w:tc>
        <w:tc>
          <w:tcPr>
            <w:tcW w:w="1417" w:type="dxa"/>
            <w:tcBorders>
              <w:top w:val="nil"/>
              <w:bottom w:val="nil"/>
            </w:tcBorders>
            <w:vAlign w:val="center"/>
          </w:tcPr>
          <w:p w14:paraId="103B604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765,260</w:t>
            </w:r>
          </w:p>
        </w:tc>
      </w:tr>
      <w:tr w:rsidR="00720F68" w:rsidRPr="00B84B0C" w14:paraId="37A44D25"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114CD5C0" w14:textId="77777777" w:rsidR="00720F68" w:rsidRPr="00B84B0C" w:rsidRDefault="00720F68" w:rsidP="00720F68">
            <w:pPr>
              <w:pStyle w:val="08-Tabelageral"/>
              <w:ind w:left="113"/>
              <w:jc w:val="left"/>
              <w:rPr>
                <w:rFonts w:cs="Arial"/>
                <w:b w:val="0"/>
              </w:rPr>
            </w:pPr>
            <w:proofErr w:type="spellStart"/>
            <w:r w:rsidRPr="00B84B0C">
              <w:rPr>
                <w:rFonts w:cs="Arial"/>
                <w:b w:val="0"/>
              </w:rPr>
              <w:t>Commissions</w:t>
            </w:r>
            <w:proofErr w:type="spellEnd"/>
            <w:r w:rsidRPr="00B84B0C">
              <w:rPr>
                <w:rFonts w:cs="Arial"/>
                <w:b w:val="0"/>
              </w:rPr>
              <w:t xml:space="preserve"> income</w:t>
            </w:r>
          </w:p>
        </w:tc>
        <w:tc>
          <w:tcPr>
            <w:tcW w:w="678" w:type="dxa"/>
            <w:tcBorders>
              <w:top w:val="nil"/>
              <w:bottom w:val="nil"/>
            </w:tcBorders>
            <w:vAlign w:val="center"/>
          </w:tcPr>
          <w:p w14:paraId="4BB0E47E" w14:textId="77777777" w:rsidR="00720F68" w:rsidRPr="00B84B0C" w:rsidRDefault="00720F68" w:rsidP="00720F68">
            <w:pPr>
              <w:pStyle w:val="08-Tabelageral"/>
              <w:ind w:left="113"/>
              <w:jc w:val="left"/>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[25]</w:t>
            </w:r>
          </w:p>
        </w:tc>
        <w:tc>
          <w:tcPr>
            <w:tcW w:w="1306" w:type="dxa"/>
            <w:tcBorders>
              <w:top w:val="nil"/>
              <w:bottom w:val="nil"/>
            </w:tcBorders>
            <w:vAlign w:val="center"/>
          </w:tcPr>
          <w:p w14:paraId="5C3A8306"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418" w:type="dxa"/>
            <w:tcBorders>
              <w:top w:val="nil"/>
              <w:bottom w:val="nil"/>
            </w:tcBorders>
            <w:vAlign w:val="center"/>
          </w:tcPr>
          <w:p w14:paraId="4BC1616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280" w:type="dxa"/>
            <w:tcBorders>
              <w:top w:val="nil"/>
              <w:bottom w:val="nil"/>
            </w:tcBorders>
            <w:vAlign w:val="center"/>
          </w:tcPr>
          <w:p w14:paraId="54C3BA8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421" w:type="dxa"/>
            <w:tcBorders>
              <w:top w:val="nil"/>
              <w:bottom w:val="nil"/>
            </w:tcBorders>
            <w:vAlign w:val="center"/>
          </w:tcPr>
          <w:p w14:paraId="73D70F99"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882,642</w:t>
            </w:r>
          </w:p>
        </w:tc>
        <w:tc>
          <w:tcPr>
            <w:tcW w:w="1417" w:type="dxa"/>
            <w:tcBorders>
              <w:top w:val="nil"/>
              <w:bottom w:val="nil"/>
            </w:tcBorders>
            <w:vAlign w:val="center"/>
          </w:tcPr>
          <w:p w14:paraId="1C7E62E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762,179</w:t>
            </w:r>
          </w:p>
        </w:tc>
      </w:tr>
      <w:tr w:rsidR="00720F68" w:rsidRPr="00B84B0C" w14:paraId="261531EE"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bottom"/>
          </w:tcPr>
          <w:p w14:paraId="35306480" w14:textId="77777777" w:rsidR="00720F68" w:rsidRPr="00B84B0C" w:rsidRDefault="00720F68" w:rsidP="00720F68">
            <w:pPr>
              <w:pStyle w:val="08-Tabelageral"/>
              <w:ind w:left="113"/>
              <w:jc w:val="left"/>
              <w:rPr>
                <w:rFonts w:cs="Arial"/>
                <w:b w:val="0"/>
              </w:rPr>
            </w:pPr>
            <w:r w:rsidRPr="00B84B0C">
              <w:rPr>
                <w:rFonts w:cs="Arial"/>
                <w:b w:val="0"/>
              </w:rPr>
              <w:t>Other income</w:t>
            </w:r>
          </w:p>
        </w:tc>
        <w:tc>
          <w:tcPr>
            <w:tcW w:w="678" w:type="dxa"/>
            <w:tcBorders>
              <w:top w:val="nil"/>
              <w:bottom w:val="nil"/>
            </w:tcBorders>
            <w:vAlign w:val="center"/>
          </w:tcPr>
          <w:p w14:paraId="1C8C5719"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[24]</w:t>
            </w:r>
          </w:p>
        </w:tc>
        <w:tc>
          <w:tcPr>
            <w:tcW w:w="1306" w:type="dxa"/>
            <w:tcBorders>
              <w:top w:val="nil"/>
              <w:bottom w:val="nil"/>
            </w:tcBorders>
            <w:vAlign w:val="center"/>
          </w:tcPr>
          <w:p w14:paraId="4EF6105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4,163</w:t>
            </w:r>
          </w:p>
        </w:tc>
        <w:tc>
          <w:tcPr>
            <w:tcW w:w="1418" w:type="dxa"/>
            <w:tcBorders>
              <w:top w:val="nil"/>
              <w:bottom w:val="nil"/>
            </w:tcBorders>
            <w:vAlign w:val="center"/>
          </w:tcPr>
          <w:p w14:paraId="50DD53D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1,834</w:t>
            </w:r>
          </w:p>
        </w:tc>
        <w:tc>
          <w:tcPr>
            <w:tcW w:w="280" w:type="dxa"/>
            <w:tcBorders>
              <w:top w:val="nil"/>
              <w:bottom w:val="nil"/>
            </w:tcBorders>
            <w:vAlign w:val="center"/>
          </w:tcPr>
          <w:p w14:paraId="55E6131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bottom w:val="nil"/>
            </w:tcBorders>
            <w:vAlign w:val="center"/>
          </w:tcPr>
          <w:p w14:paraId="7677CEE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5,507</w:t>
            </w:r>
          </w:p>
        </w:tc>
        <w:tc>
          <w:tcPr>
            <w:tcW w:w="1417" w:type="dxa"/>
            <w:tcBorders>
              <w:top w:val="nil"/>
              <w:bottom w:val="nil"/>
            </w:tcBorders>
            <w:vAlign w:val="center"/>
          </w:tcPr>
          <w:p w14:paraId="6D490A1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3,081</w:t>
            </w:r>
          </w:p>
        </w:tc>
      </w:tr>
      <w:tr w:rsidR="00720F68" w:rsidRPr="00B84B0C" w14:paraId="3AABE808"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bottom"/>
          </w:tcPr>
          <w:p w14:paraId="16295101" w14:textId="77777777" w:rsidR="00720F68" w:rsidRPr="00B84B0C" w:rsidRDefault="00720F68" w:rsidP="00720F68">
            <w:pPr>
              <w:pStyle w:val="08-Tabelageral"/>
              <w:ind w:left="113"/>
              <w:jc w:val="left"/>
              <w:rPr>
                <w:rFonts w:cs="Arial"/>
                <w:b w:val="0"/>
              </w:rPr>
            </w:pPr>
          </w:p>
        </w:tc>
        <w:tc>
          <w:tcPr>
            <w:tcW w:w="678" w:type="dxa"/>
            <w:tcBorders>
              <w:top w:val="nil"/>
              <w:bottom w:val="nil"/>
            </w:tcBorders>
            <w:vAlign w:val="center"/>
          </w:tcPr>
          <w:p w14:paraId="4A154929"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306" w:type="dxa"/>
            <w:tcBorders>
              <w:top w:val="nil"/>
              <w:bottom w:val="nil"/>
            </w:tcBorders>
            <w:vAlign w:val="center"/>
          </w:tcPr>
          <w:p w14:paraId="2DA493C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8" w:type="dxa"/>
            <w:tcBorders>
              <w:top w:val="nil"/>
              <w:bottom w:val="nil"/>
            </w:tcBorders>
            <w:vAlign w:val="center"/>
          </w:tcPr>
          <w:p w14:paraId="1DC5B94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280" w:type="dxa"/>
            <w:tcBorders>
              <w:top w:val="nil"/>
              <w:bottom w:val="nil"/>
            </w:tcBorders>
            <w:vAlign w:val="center"/>
          </w:tcPr>
          <w:p w14:paraId="45624C1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21" w:type="dxa"/>
            <w:tcBorders>
              <w:top w:val="nil"/>
              <w:bottom w:val="nil"/>
            </w:tcBorders>
            <w:vAlign w:val="center"/>
          </w:tcPr>
          <w:p w14:paraId="670DB9A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1498882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720F68" w:rsidRPr="00B84B0C" w14:paraId="57F5E41A"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6FF146A8" w14:textId="77777777" w:rsidR="00720F68" w:rsidRPr="00B84B0C" w:rsidRDefault="00720F68" w:rsidP="00720F68">
            <w:pPr>
              <w:pStyle w:val="08-Tabelageral"/>
              <w:jc w:val="left"/>
              <w:rPr>
                <w:rFonts w:cs="Arial"/>
                <w:b w:val="0"/>
                <w:lang w:val="en-US"/>
              </w:rPr>
            </w:pPr>
            <w:r w:rsidRPr="00B84B0C">
              <w:rPr>
                <w:rFonts w:cs="Arial"/>
                <w:lang w:val="en-US"/>
              </w:rPr>
              <w:t>Input Acquired from Third Parties</w:t>
            </w:r>
          </w:p>
        </w:tc>
        <w:tc>
          <w:tcPr>
            <w:tcW w:w="678" w:type="dxa"/>
            <w:tcBorders>
              <w:top w:val="nil"/>
              <w:bottom w:val="nil"/>
            </w:tcBorders>
            <w:vAlign w:val="center"/>
          </w:tcPr>
          <w:p w14:paraId="16308D60"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306" w:type="dxa"/>
            <w:tcBorders>
              <w:top w:val="nil"/>
              <w:bottom w:val="nil"/>
            </w:tcBorders>
            <w:vAlign w:val="center"/>
          </w:tcPr>
          <w:p w14:paraId="5FAC568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(1,001)</w:t>
            </w:r>
          </w:p>
        </w:tc>
        <w:tc>
          <w:tcPr>
            <w:tcW w:w="1418" w:type="dxa"/>
            <w:tcBorders>
              <w:top w:val="nil"/>
              <w:bottom w:val="nil"/>
            </w:tcBorders>
            <w:vAlign w:val="center"/>
          </w:tcPr>
          <w:p w14:paraId="7180F4F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(569)</w:t>
            </w:r>
          </w:p>
        </w:tc>
        <w:tc>
          <w:tcPr>
            <w:tcW w:w="280" w:type="dxa"/>
            <w:tcBorders>
              <w:top w:val="nil"/>
              <w:bottom w:val="nil"/>
            </w:tcBorders>
            <w:vAlign w:val="center"/>
          </w:tcPr>
          <w:p w14:paraId="7B42020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21" w:type="dxa"/>
            <w:tcBorders>
              <w:top w:val="nil"/>
              <w:bottom w:val="nil"/>
            </w:tcBorders>
            <w:vAlign w:val="center"/>
          </w:tcPr>
          <w:p w14:paraId="2E552BE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(62,663)</w:t>
            </w:r>
          </w:p>
        </w:tc>
        <w:tc>
          <w:tcPr>
            <w:tcW w:w="1417" w:type="dxa"/>
            <w:tcBorders>
              <w:top w:val="nil"/>
              <w:bottom w:val="nil"/>
            </w:tcBorders>
            <w:vAlign w:val="center"/>
          </w:tcPr>
          <w:p w14:paraId="1481F08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(54,297)</w:t>
            </w:r>
          </w:p>
        </w:tc>
      </w:tr>
      <w:tr w:rsidR="00720F68" w:rsidRPr="00B84B0C" w14:paraId="3D1B46F2"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0F3CB0F6" w14:textId="77777777" w:rsidR="00720F68" w:rsidRPr="00B84B0C" w:rsidRDefault="00720F68" w:rsidP="00720F68">
            <w:pPr>
              <w:pStyle w:val="08-Tabelageral"/>
              <w:ind w:left="113"/>
              <w:jc w:val="left"/>
              <w:rPr>
                <w:rFonts w:cs="Arial"/>
                <w:b w:val="0"/>
              </w:rPr>
            </w:pPr>
            <w:proofErr w:type="spellStart"/>
            <w:r w:rsidRPr="00B84B0C">
              <w:rPr>
                <w:rFonts w:cs="Arial"/>
                <w:b w:val="0"/>
              </w:rPr>
              <w:t>Administrative</w:t>
            </w:r>
            <w:proofErr w:type="spellEnd"/>
            <w:r w:rsidRPr="00B84B0C">
              <w:rPr>
                <w:rFonts w:cs="Arial"/>
                <w:b w:val="0"/>
              </w:rPr>
              <w:t xml:space="preserve"> </w:t>
            </w:r>
            <w:proofErr w:type="spellStart"/>
            <w:r w:rsidRPr="00B84B0C">
              <w:rPr>
                <w:rFonts w:cs="Arial"/>
                <w:b w:val="0"/>
              </w:rPr>
              <w:t>expenses</w:t>
            </w:r>
            <w:proofErr w:type="spellEnd"/>
            <w:r w:rsidRPr="00B84B0C">
              <w:rPr>
                <w:rFonts w:cs="Arial"/>
                <w:b w:val="0"/>
              </w:rPr>
              <w:t xml:space="preserve"> </w:t>
            </w:r>
            <w:proofErr w:type="spellStart"/>
            <w:r w:rsidRPr="00B84B0C">
              <w:rPr>
                <w:rFonts w:cs="Arial"/>
                <w:b w:val="0"/>
              </w:rPr>
              <w:t>diverse</w:t>
            </w:r>
            <w:proofErr w:type="spellEnd"/>
          </w:p>
        </w:tc>
        <w:tc>
          <w:tcPr>
            <w:tcW w:w="678" w:type="dxa"/>
            <w:tcBorders>
              <w:top w:val="nil"/>
              <w:bottom w:val="nil"/>
            </w:tcBorders>
            <w:vAlign w:val="center"/>
          </w:tcPr>
          <w:p w14:paraId="265D75FB" w14:textId="77777777" w:rsidR="00720F68" w:rsidRPr="00B84B0C" w:rsidRDefault="00720F68" w:rsidP="00720F6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[22]</w:t>
            </w:r>
          </w:p>
        </w:tc>
        <w:tc>
          <w:tcPr>
            <w:tcW w:w="1306" w:type="dxa"/>
            <w:tcBorders>
              <w:top w:val="nil"/>
              <w:bottom w:val="nil"/>
            </w:tcBorders>
            <w:vAlign w:val="center"/>
          </w:tcPr>
          <w:p w14:paraId="6A83E2E4"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(874)</w:t>
            </w:r>
          </w:p>
        </w:tc>
        <w:tc>
          <w:tcPr>
            <w:tcW w:w="1418" w:type="dxa"/>
            <w:tcBorders>
              <w:top w:val="nil"/>
              <w:bottom w:val="nil"/>
            </w:tcBorders>
            <w:vAlign w:val="center"/>
          </w:tcPr>
          <w:p w14:paraId="60A4345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(569)</w:t>
            </w:r>
          </w:p>
        </w:tc>
        <w:tc>
          <w:tcPr>
            <w:tcW w:w="280" w:type="dxa"/>
            <w:tcBorders>
              <w:top w:val="nil"/>
              <w:bottom w:val="nil"/>
            </w:tcBorders>
            <w:vAlign w:val="center"/>
          </w:tcPr>
          <w:p w14:paraId="1678126C"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421" w:type="dxa"/>
            <w:tcBorders>
              <w:top w:val="nil"/>
              <w:bottom w:val="nil"/>
            </w:tcBorders>
            <w:vAlign w:val="center"/>
          </w:tcPr>
          <w:p w14:paraId="17676A8A"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(5,410)</w:t>
            </w:r>
          </w:p>
        </w:tc>
        <w:tc>
          <w:tcPr>
            <w:tcW w:w="1417" w:type="dxa"/>
            <w:tcBorders>
              <w:top w:val="nil"/>
              <w:bottom w:val="nil"/>
            </w:tcBorders>
            <w:vAlign w:val="center"/>
          </w:tcPr>
          <w:p w14:paraId="756EF789"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(5,110)</w:t>
            </w:r>
          </w:p>
        </w:tc>
      </w:tr>
      <w:tr w:rsidR="00720F68" w:rsidRPr="00B84B0C" w14:paraId="577E8E61"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5A7D7546" w14:textId="77777777" w:rsidR="00720F68" w:rsidRPr="00B84B0C" w:rsidRDefault="00720F68" w:rsidP="00720F68">
            <w:pPr>
              <w:pStyle w:val="08-Tabelageral"/>
              <w:ind w:left="113"/>
              <w:jc w:val="left"/>
              <w:rPr>
                <w:rFonts w:cs="Arial"/>
                <w:b w:val="0"/>
              </w:rPr>
            </w:pPr>
            <w:proofErr w:type="spellStart"/>
            <w:r w:rsidRPr="00B84B0C">
              <w:rPr>
                <w:rFonts w:cs="Arial"/>
                <w:b w:val="0"/>
              </w:rPr>
              <w:t>Cost</w:t>
            </w:r>
            <w:proofErr w:type="spellEnd"/>
            <w:r w:rsidRPr="00B84B0C">
              <w:rPr>
                <w:rFonts w:cs="Arial"/>
                <w:b w:val="0"/>
              </w:rPr>
              <w:t xml:space="preserve"> </w:t>
            </w:r>
            <w:proofErr w:type="spellStart"/>
            <w:r w:rsidRPr="00B84B0C">
              <w:rPr>
                <w:rFonts w:cs="Arial"/>
                <w:b w:val="0"/>
              </w:rPr>
              <w:t>of</w:t>
            </w:r>
            <w:proofErr w:type="spellEnd"/>
            <w:r w:rsidRPr="00B84B0C">
              <w:rPr>
                <w:rFonts w:cs="Arial"/>
                <w:b w:val="0"/>
              </w:rPr>
              <w:t xml:space="preserve"> </w:t>
            </w:r>
            <w:proofErr w:type="spellStart"/>
            <w:r w:rsidRPr="00B84B0C">
              <w:rPr>
                <w:rFonts w:cs="Arial"/>
                <w:b w:val="0"/>
              </w:rPr>
              <w:t>services</w:t>
            </w:r>
            <w:proofErr w:type="spellEnd"/>
            <w:r w:rsidRPr="00B84B0C">
              <w:rPr>
                <w:rFonts w:cs="Arial"/>
                <w:b w:val="0"/>
              </w:rPr>
              <w:t xml:space="preserve"> </w:t>
            </w:r>
            <w:proofErr w:type="spellStart"/>
            <w:r w:rsidRPr="00B84B0C">
              <w:rPr>
                <w:rFonts w:cs="Arial"/>
                <w:b w:val="0"/>
              </w:rPr>
              <w:t>provided</w:t>
            </w:r>
            <w:proofErr w:type="spellEnd"/>
          </w:p>
        </w:tc>
        <w:tc>
          <w:tcPr>
            <w:tcW w:w="678" w:type="dxa"/>
            <w:tcBorders>
              <w:top w:val="nil"/>
              <w:bottom w:val="nil"/>
            </w:tcBorders>
            <w:vAlign w:val="center"/>
          </w:tcPr>
          <w:p w14:paraId="1A08E396" w14:textId="77777777" w:rsidR="00720F68" w:rsidRPr="00B84B0C" w:rsidRDefault="00720F68" w:rsidP="00720F6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[23]</w:t>
            </w:r>
          </w:p>
        </w:tc>
        <w:tc>
          <w:tcPr>
            <w:tcW w:w="1306" w:type="dxa"/>
            <w:tcBorders>
              <w:top w:val="nil"/>
              <w:bottom w:val="nil"/>
            </w:tcBorders>
            <w:vAlign w:val="center"/>
          </w:tcPr>
          <w:p w14:paraId="620FAD3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418" w:type="dxa"/>
            <w:tcBorders>
              <w:top w:val="nil"/>
              <w:bottom w:val="nil"/>
            </w:tcBorders>
            <w:vAlign w:val="center"/>
          </w:tcPr>
          <w:p w14:paraId="0E74C18B"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280" w:type="dxa"/>
            <w:tcBorders>
              <w:top w:val="nil"/>
              <w:bottom w:val="nil"/>
            </w:tcBorders>
            <w:vAlign w:val="center"/>
          </w:tcPr>
          <w:p w14:paraId="3031AB91"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7C8FAAB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(45,460)</w:t>
            </w:r>
          </w:p>
        </w:tc>
        <w:tc>
          <w:tcPr>
            <w:tcW w:w="1417" w:type="dxa"/>
            <w:tcBorders>
              <w:top w:val="nil"/>
              <w:bottom w:val="nil"/>
            </w:tcBorders>
            <w:vAlign w:val="center"/>
          </w:tcPr>
          <w:p w14:paraId="2E964FC2"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(43,667)</w:t>
            </w:r>
          </w:p>
        </w:tc>
      </w:tr>
      <w:tr w:rsidR="00720F68" w:rsidRPr="00B84B0C" w14:paraId="7B3F700E"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2D291554" w14:textId="77777777" w:rsidR="00720F68" w:rsidRPr="00B84B0C" w:rsidRDefault="00720F68" w:rsidP="00720F68">
            <w:pPr>
              <w:pStyle w:val="08-Tabelageral"/>
              <w:ind w:left="113"/>
              <w:jc w:val="left"/>
              <w:rPr>
                <w:rFonts w:cs="Arial"/>
                <w:b w:val="0"/>
              </w:rPr>
            </w:pPr>
            <w:r w:rsidRPr="00B84B0C">
              <w:rPr>
                <w:rFonts w:cs="Arial"/>
                <w:b w:val="0"/>
              </w:rPr>
              <w:t xml:space="preserve">Other </w:t>
            </w:r>
            <w:proofErr w:type="spellStart"/>
            <w:r w:rsidRPr="00B84B0C">
              <w:rPr>
                <w:rFonts w:cs="Arial"/>
                <w:b w:val="0"/>
              </w:rPr>
              <w:t>expenses</w:t>
            </w:r>
            <w:proofErr w:type="spellEnd"/>
          </w:p>
        </w:tc>
        <w:tc>
          <w:tcPr>
            <w:tcW w:w="678" w:type="dxa"/>
            <w:tcBorders>
              <w:top w:val="nil"/>
              <w:bottom w:val="nil"/>
            </w:tcBorders>
            <w:vAlign w:val="center"/>
          </w:tcPr>
          <w:p w14:paraId="1C23F52F" w14:textId="77777777" w:rsidR="00720F68" w:rsidRPr="00B84B0C" w:rsidRDefault="00720F68" w:rsidP="00720F6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[24]</w:t>
            </w:r>
          </w:p>
        </w:tc>
        <w:tc>
          <w:tcPr>
            <w:tcW w:w="1306" w:type="dxa"/>
            <w:tcBorders>
              <w:top w:val="nil"/>
              <w:bottom w:val="nil"/>
            </w:tcBorders>
            <w:vAlign w:val="center"/>
          </w:tcPr>
          <w:p w14:paraId="2A81D25C"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(127)</w:t>
            </w:r>
          </w:p>
        </w:tc>
        <w:tc>
          <w:tcPr>
            <w:tcW w:w="1418" w:type="dxa"/>
            <w:tcBorders>
              <w:top w:val="nil"/>
              <w:bottom w:val="nil"/>
            </w:tcBorders>
            <w:vAlign w:val="center"/>
          </w:tcPr>
          <w:p w14:paraId="516FD56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280" w:type="dxa"/>
            <w:tcBorders>
              <w:top w:val="nil"/>
              <w:bottom w:val="nil"/>
            </w:tcBorders>
            <w:vAlign w:val="center"/>
          </w:tcPr>
          <w:p w14:paraId="4A5BDE2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421" w:type="dxa"/>
            <w:tcBorders>
              <w:top w:val="nil"/>
              <w:bottom w:val="nil"/>
            </w:tcBorders>
            <w:vAlign w:val="center"/>
          </w:tcPr>
          <w:p w14:paraId="4165C440"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(11,793)</w:t>
            </w:r>
          </w:p>
        </w:tc>
        <w:tc>
          <w:tcPr>
            <w:tcW w:w="1417" w:type="dxa"/>
            <w:tcBorders>
              <w:top w:val="nil"/>
              <w:bottom w:val="nil"/>
            </w:tcBorders>
            <w:vAlign w:val="center"/>
          </w:tcPr>
          <w:p w14:paraId="7826956D"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(5,520)</w:t>
            </w:r>
          </w:p>
        </w:tc>
      </w:tr>
      <w:tr w:rsidR="00720F68" w:rsidRPr="00B84B0C" w14:paraId="52F4F67E"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4BBAB3DC" w14:textId="77777777" w:rsidR="00720F68" w:rsidRPr="00B84B0C" w:rsidRDefault="00720F68" w:rsidP="00720F68">
            <w:pPr>
              <w:pStyle w:val="08-Tabelageral"/>
              <w:jc w:val="left"/>
              <w:rPr>
                <w:rFonts w:cs="Arial"/>
              </w:rPr>
            </w:pPr>
            <w:r w:rsidRPr="00B84B0C">
              <w:rPr>
                <w:rFonts w:cs="Arial"/>
              </w:rPr>
              <w:t> </w:t>
            </w:r>
          </w:p>
        </w:tc>
        <w:tc>
          <w:tcPr>
            <w:tcW w:w="678" w:type="dxa"/>
            <w:tcBorders>
              <w:top w:val="nil"/>
              <w:bottom w:val="nil"/>
            </w:tcBorders>
            <w:vAlign w:val="center"/>
          </w:tcPr>
          <w:p w14:paraId="5492D29E"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306" w:type="dxa"/>
            <w:tcBorders>
              <w:top w:val="nil"/>
              <w:bottom w:val="nil"/>
            </w:tcBorders>
            <w:vAlign w:val="center"/>
          </w:tcPr>
          <w:p w14:paraId="1FA6CD1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vAlign w:val="center"/>
          </w:tcPr>
          <w:p w14:paraId="5D17C9F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0" w:type="dxa"/>
            <w:tcBorders>
              <w:top w:val="nil"/>
              <w:bottom w:val="nil"/>
            </w:tcBorders>
            <w:vAlign w:val="center"/>
          </w:tcPr>
          <w:p w14:paraId="74AB1EC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bottom w:val="nil"/>
            </w:tcBorders>
            <w:vAlign w:val="center"/>
          </w:tcPr>
          <w:p w14:paraId="63C8BEA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2746674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720F68" w:rsidRPr="00B84B0C" w14:paraId="163ECF58"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1AA1289A" w14:textId="77777777" w:rsidR="00720F68" w:rsidRPr="00B84B0C" w:rsidRDefault="00720F68" w:rsidP="00720F68">
            <w:pPr>
              <w:pStyle w:val="08-Tabelageral"/>
              <w:jc w:val="left"/>
              <w:rPr>
                <w:rFonts w:cs="Arial"/>
              </w:rPr>
            </w:pPr>
            <w:r w:rsidRPr="00B84B0C">
              <w:rPr>
                <w:rFonts w:cs="Arial"/>
              </w:rPr>
              <w:t xml:space="preserve">Gross </w:t>
            </w:r>
            <w:proofErr w:type="spellStart"/>
            <w:r w:rsidRPr="00B84B0C">
              <w:rPr>
                <w:rFonts w:cs="Arial"/>
              </w:rPr>
              <w:t>Added</w:t>
            </w:r>
            <w:proofErr w:type="spellEnd"/>
            <w:r w:rsidRPr="00B84B0C">
              <w:rPr>
                <w:rFonts w:cs="Arial"/>
              </w:rPr>
              <w:t xml:space="preserve"> </w:t>
            </w:r>
            <w:proofErr w:type="spellStart"/>
            <w:r w:rsidRPr="00B84B0C">
              <w:rPr>
                <w:rFonts w:cs="Arial"/>
              </w:rPr>
              <w:t>Value</w:t>
            </w:r>
            <w:proofErr w:type="spellEnd"/>
          </w:p>
        </w:tc>
        <w:tc>
          <w:tcPr>
            <w:tcW w:w="678" w:type="dxa"/>
            <w:tcBorders>
              <w:top w:val="nil"/>
              <w:bottom w:val="nil"/>
            </w:tcBorders>
            <w:vAlign w:val="center"/>
          </w:tcPr>
          <w:p w14:paraId="339F53D8"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306" w:type="dxa"/>
            <w:tcBorders>
              <w:top w:val="nil"/>
              <w:bottom w:val="nil"/>
            </w:tcBorders>
            <w:vAlign w:val="center"/>
          </w:tcPr>
          <w:p w14:paraId="02604C4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3,162</w:t>
            </w:r>
          </w:p>
        </w:tc>
        <w:tc>
          <w:tcPr>
            <w:tcW w:w="1418" w:type="dxa"/>
            <w:tcBorders>
              <w:top w:val="nil"/>
              <w:bottom w:val="nil"/>
            </w:tcBorders>
            <w:vAlign w:val="center"/>
          </w:tcPr>
          <w:p w14:paraId="435B0C3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1,265</w:t>
            </w:r>
          </w:p>
        </w:tc>
        <w:tc>
          <w:tcPr>
            <w:tcW w:w="280" w:type="dxa"/>
            <w:tcBorders>
              <w:top w:val="nil"/>
              <w:bottom w:val="nil"/>
            </w:tcBorders>
            <w:vAlign w:val="center"/>
          </w:tcPr>
          <w:p w14:paraId="16F0A4A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21" w:type="dxa"/>
            <w:tcBorders>
              <w:top w:val="nil"/>
              <w:bottom w:val="nil"/>
            </w:tcBorders>
            <w:vAlign w:val="center"/>
          </w:tcPr>
          <w:p w14:paraId="28EA53A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825,486</w:t>
            </w:r>
          </w:p>
        </w:tc>
        <w:tc>
          <w:tcPr>
            <w:tcW w:w="1417" w:type="dxa"/>
            <w:tcBorders>
              <w:top w:val="nil"/>
              <w:bottom w:val="nil"/>
            </w:tcBorders>
            <w:vAlign w:val="center"/>
          </w:tcPr>
          <w:p w14:paraId="4097AFC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710,963</w:t>
            </w:r>
          </w:p>
        </w:tc>
      </w:tr>
      <w:tr w:rsidR="00720F68" w:rsidRPr="00B84B0C" w14:paraId="4F5F3BB9" w14:textId="77777777" w:rsidTr="00720F68">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02A50DFB" w14:textId="77777777" w:rsidR="00720F68" w:rsidRPr="00B84B0C" w:rsidRDefault="00720F68" w:rsidP="00720F68">
            <w:pPr>
              <w:pStyle w:val="08-Tabelageral"/>
              <w:jc w:val="left"/>
              <w:rPr>
                <w:rFonts w:cs="Arial"/>
                <w:b w:val="0"/>
                <w:bCs w:val="0"/>
              </w:rPr>
            </w:pPr>
            <w:r w:rsidRPr="00B84B0C">
              <w:rPr>
                <w:rFonts w:cs="Arial"/>
                <w:b w:val="0"/>
                <w:bCs w:val="0"/>
              </w:rPr>
              <w:t> </w:t>
            </w:r>
          </w:p>
        </w:tc>
        <w:tc>
          <w:tcPr>
            <w:tcW w:w="678" w:type="dxa"/>
            <w:tcBorders>
              <w:top w:val="nil"/>
              <w:bottom w:val="nil"/>
            </w:tcBorders>
            <w:vAlign w:val="center"/>
          </w:tcPr>
          <w:p w14:paraId="111613B4"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rPr>
            </w:pPr>
          </w:p>
        </w:tc>
        <w:tc>
          <w:tcPr>
            <w:tcW w:w="1306" w:type="dxa"/>
            <w:tcBorders>
              <w:top w:val="nil"/>
              <w:bottom w:val="nil"/>
            </w:tcBorders>
            <w:vAlign w:val="center"/>
          </w:tcPr>
          <w:p w14:paraId="16FE98B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8" w:type="dxa"/>
            <w:tcBorders>
              <w:top w:val="nil"/>
              <w:bottom w:val="nil"/>
            </w:tcBorders>
            <w:vAlign w:val="center"/>
          </w:tcPr>
          <w:p w14:paraId="40366BEB"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280" w:type="dxa"/>
            <w:tcBorders>
              <w:top w:val="nil"/>
              <w:bottom w:val="nil"/>
            </w:tcBorders>
            <w:vAlign w:val="center"/>
          </w:tcPr>
          <w:p w14:paraId="02D6E75F"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21" w:type="dxa"/>
            <w:tcBorders>
              <w:top w:val="nil"/>
              <w:bottom w:val="nil"/>
            </w:tcBorders>
            <w:vAlign w:val="center"/>
          </w:tcPr>
          <w:p w14:paraId="0976E88E"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nil"/>
              <w:bottom w:val="nil"/>
            </w:tcBorders>
            <w:vAlign w:val="center"/>
          </w:tcPr>
          <w:p w14:paraId="31C4362D"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r>
      <w:tr w:rsidR="00720F68" w:rsidRPr="00B84B0C" w14:paraId="740F7E9E"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1382FB91" w14:textId="77777777" w:rsidR="00720F68" w:rsidRPr="00B84B0C" w:rsidRDefault="00720F68" w:rsidP="00720F68">
            <w:pPr>
              <w:pStyle w:val="08-Tabelageral"/>
              <w:ind w:left="113"/>
              <w:jc w:val="left"/>
              <w:rPr>
                <w:rFonts w:cs="Arial"/>
                <w:b w:val="0"/>
              </w:rPr>
            </w:pPr>
            <w:proofErr w:type="spellStart"/>
            <w:r w:rsidRPr="00B84B0C">
              <w:rPr>
                <w:rFonts w:cs="Arial"/>
                <w:b w:val="0"/>
              </w:rPr>
              <w:t>Depreciation</w:t>
            </w:r>
            <w:proofErr w:type="spellEnd"/>
            <w:r w:rsidRPr="00B84B0C">
              <w:rPr>
                <w:rFonts w:cs="Arial"/>
                <w:b w:val="0"/>
              </w:rPr>
              <w:t xml:space="preserve"> </w:t>
            </w:r>
            <w:proofErr w:type="spellStart"/>
            <w:r w:rsidRPr="00B84B0C">
              <w:rPr>
                <w:rFonts w:cs="Arial"/>
                <w:b w:val="0"/>
              </w:rPr>
              <w:t>and</w:t>
            </w:r>
            <w:proofErr w:type="spellEnd"/>
            <w:r w:rsidRPr="00B84B0C">
              <w:rPr>
                <w:rFonts w:cs="Arial"/>
                <w:b w:val="0"/>
              </w:rPr>
              <w:t xml:space="preserve"> </w:t>
            </w:r>
            <w:proofErr w:type="spellStart"/>
            <w:r w:rsidRPr="00B84B0C">
              <w:rPr>
                <w:rFonts w:cs="Arial"/>
                <w:b w:val="0"/>
              </w:rPr>
              <w:t>amortization</w:t>
            </w:r>
            <w:proofErr w:type="spellEnd"/>
          </w:p>
        </w:tc>
        <w:tc>
          <w:tcPr>
            <w:tcW w:w="678" w:type="dxa"/>
            <w:tcBorders>
              <w:top w:val="nil"/>
              <w:bottom w:val="nil"/>
            </w:tcBorders>
            <w:vAlign w:val="center"/>
          </w:tcPr>
          <w:p w14:paraId="22F9B342"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[24]</w:t>
            </w:r>
          </w:p>
        </w:tc>
        <w:tc>
          <w:tcPr>
            <w:tcW w:w="1306" w:type="dxa"/>
            <w:tcBorders>
              <w:top w:val="nil"/>
              <w:bottom w:val="nil"/>
            </w:tcBorders>
            <w:vAlign w:val="center"/>
          </w:tcPr>
          <w:p w14:paraId="605EACB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rPr>
              <w:t>(47)</w:t>
            </w:r>
          </w:p>
        </w:tc>
        <w:tc>
          <w:tcPr>
            <w:tcW w:w="1418" w:type="dxa"/>
            <w:tcBorders>
              <w:top w:val="nil"/>
              <w:bottom w:val="nil"/>
            </w:tcBorders>
            <w:vAlign w:val="center"/>
          </w:tcPr>
          <w:p w14:paraId="2B13C13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rPr>
              <w:t>(39)</w:t>
            </w:r>
          </w:p>
        </w:tc>
        <w:tc>
          <w:tcPr>
            <w:tcW w:w="280" w:type="dxa"/>
            <w:tcBorders>
              <w:top w:val="nil"/>
              <w:bottom w:val="nil"/>
            </w:tcBorders>
            <w:vAlign w:val="center"/>
          </w:tcPr>
          <w:p w14:paraId="2FE9312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21" w:type="dxa"/>
            <w:tcBorders>
              <w:top w:val="nil"/>
              <w:bottom w:val="nil"/>
            </w:tcBorders>
            <w:vAlign w:val="center"/>
          </w:tcPr>
          <w:p w14:paraId="20107A6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rPr>
              <w:t>(249)</w:t>
            </w:r>
          </w:p>
        </w:tc>
        <w:tc>
          <w:tcPr>
            <w:tcW w:w="1417" w:type="dxa"/>
            <w:tcBorders>
              <w:top w:val="nil"/>
              <w:bottom w:val="nil"/>
            </w:tcBorders>
            <w:vAlign w:val="center"/>
          </w:tcPr>
          <w:p w14:paraId="33342F8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rPr>
              <w:t>(213)</w:t>
            </w:r>
          </w:p>
        </w:tc>
      </w:tr>
      <w:tr w:rsidR="00720F68" w:rsidRPr="00B84B0C" w14:paraId="329002F0"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11795EEC" w14:textId="77777777" w:rsidR="00720F68" w:rsidRPr="00B84B0C" w:rsidRDefault="00720F68" w:rsidP="00720F68">
            <w:pPr>
              <w:pStyle w:val="08-Tabelageral"/>
              <w:jc w:val="left"/>
              <w:rPr>
                <w:rFonts w:cs="Arial"/>
              </w:rPr>
            </w:pPr>
          </w:p>
        </w:tc>
        <w:tc>
          <w:tcPr>
            <w:tcW w:w="678" w:type="dxa"/>
            <w:tcBorders>
              <w:top w:val="nil"/>
              <w:bottom w:val="nil"/>
            </w:tcBorders>
            <w:vAlign w:val="center"/>
          </w:tcPr>
          <w:p w14:paraId="783B5062"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306" w:type="dxa"/>
            <w:tcBorders>
              <w:top w:val="nil"/>
              <w:bottom w:val="nil"/>
            </w:tcBorders>
            <w:vAlign w:val="center"/>
          </w:tcPr>
          <w:p w14:paraId="1687B8D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8" w:type="dxa"/>
            <w:tcBorders>
              <w:top w:val="nil"/>
              <w:bottom w:val="nil"/>
            </w:tcBorders>
            <w:vAlign w:val="center"/>
          </w:tcPr>
          <w:p w14:paraId="6FCABFA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0" w:type="dxa"/>
            <w:tcBorders>
              <w:top w:val="nil"/>
              <w:bottom w:val="nil"/>
            </w:tcBorders>
            <w:vAlign w:val="center"/>
          </w:tcPr>
          <w:p w14:paraId="5028838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21" w:type="dxa"/>
            <w:tcBorders>
              <w:top w:val="nil"/>
              <w:bottom w:val="nil"/>
            </w:tcBorders>
            <w:vAlign w:val="center"/>
          </w:tcPr>
          <w:p w14:paraId="3D4A9BB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nil"/>
              <w:bottom w:val="nil"/>
            </w:tcBorders>
            <w:vAlign w:val="center"/>
          </w:tcPr>
          <w:p w14:paraId="7243EAB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r>
      <w:tr w:rsidR="00720F68" w:rsidRPr="00B84B0C" w14:paraId="3BF08489"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59CD7B4A" w14:textId="77777777" w:rsidR="00720F68" w:rsidRPr="00B84B0C" w:rsidRDefault="00720F68" w:rsidP="00720F68">
            <w:pPr>
              <w:pStyle w:val="08-Tabelageral"/>
              <w:jc w:val="left"/>
              <w:rPr>
                <w:rFonts w:cs="Arial"/>
                <w:lang w:val="en-US"/>
              </w:rPr>
            </w:pPr>
            <w:r w:rsidRPr="00B84B0C">
              <w:rPr>
                <w:rFonts w:cs="Arial"/>
                <w:lang w:val="en-US"/>
              </w:rPr>
              <w:t>Net Added Value Generated by the Entity</w:t>
            </w:r>
          </w:p>
        </w:tc>
        <w:tc>
          <w:tcPr>
            <w:tcW w:w="678" w:type="dxa"/>
            <w:tcBorders>
              <w:top w:val="nil"/>
              <w:bottom w:val="nil"/>
            </w:tcBorders>
            <w:vAlign w:val="center"/>
          </w:tcPr>
          <w:p w14:paraId="3AFFB860"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lang w:val="en-US"/>
              </w:rPr>
            </w:pPr>
          </w:p>
        </w:tc>
        <w:tc>
          <w:tcPr>
            <w:tcW w:w="1306" w:type="dxa"/>
            <w:tcBorders>
              <w:top w:val="nil"/>
              <w:bottom w:val="nil"/>
            </w:tcBorders>
            <w:vAlign w:val="center"/>
          </w:tcPr>
          <w:p w14:paraId="7F51035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3,115</w:t>
            </w:r>
          </w:p>
        </w:tc>
        <w:tc>
          <w:tcPr>
            <w:tcW w:w="1418" w:type="dxa"/>
            <w:tcBorders>
              <w:top w:val="nil"/>
              <w:bottom w:val="nil"/>
            </w:tcBorders>
            <w:vAlign w:val="center"/>
          </w:tcPr>
          <w:p w14:paraId="61F9A02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1,226</w:t>
            </w:r>
          </w:p>
        </w:tc>
        <w:tc>
          <w:tcPr>
            <w:tcW w:w="280" w:type="dxa"/>
            <w:tcBorders>
              <w:top w:val="nil"/>
              <w:bottom w:val="nil"/>
            </w:tcBorders>
            <w:vAlign w:val="center"/>
          </w:tcPr>
          <w:p w14:paraId="4081F51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21" w:type="dxa"/>
            <w:tcBorders>
              <w:top w:val="nil"/>
              <w:bottom w:val="nil"/>
            </w:tcBorders>
            <w:vAlign w:val="center"/>
          </w:tcPr>
          <w:p w14:paraId="54A3ABD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825,237</w:t>
            </w:r>
          </w:p>
        </w:tc>
        <w:tc>
          <w:tcPr>
            <w:tcW w:w="1417" w:type="dxa"/>
            <w:tcBorders>
              <w:top w:val="nil"/>
              <w:bottom w:val="nil"/>
            </w:tcBorders>
            <w:vAlign w:val="center"/>
          </w:tcPr>
          <w:p w14:paraId="26057F4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710,750</w:t>
            </w:r>
          </w:p>
        </w:tc>
      </w:tr>
      <w:tr w:rsidR="00720F68" w:rsidRPr="00B84B0C" w14:paraId="6E25DC1E"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15194906" w14:textId="77777777" w:rsidR="00720F68" w:rsidRPr="00B84B0C" w:rsidRDefault="00720F68" w:rsidP="00720F68">
            <w:pPr>
              <w:pStyle w:val="08-Tabelageral"/>
              <w:jc w:val="left"/>
              <w:rPr>
                <w:rFonts w:cs="Arial"/>
                <w:b w:val="0"/>
                <w:bCs w:val="0"/>
              </w:rPr>
            </w:pPr>
            <w:r w:rsidRPr="00B84B0C">
              <w:rPr>
                <w:rFonts w:cs="Arial"/>
                <w:b w:val="0"/>
                <w:bCs w:val="0"/>
              </w:rPr>
              <w:t> </w:t>
            </w:r>
          </w:p>
        </w:tc>
        <w:tc>
          <w:tcPr>
            <w:tcW w:w="678" w:type="dxa"/>
            <w:tcBorders>
              <w:top w:val="nil"/>
              <w:bottom w:val="nil"/>
            </w:tcBorders>
            <w:vAlign w:val="center"/>
          </w:tcPr>
          <w:p w14:paraId="06132913"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306" w:type="dxa"/>
            <w:tcBorders>
              <w:top w:val="nil"/>
              <w:bottom w:val="nil"/>
            </w:tcBorders>
            <w:vAlign w:val="center"/>
          </w:tcPr>
          <w:p w14:paraId="281B72BB"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8" w:type="dxa"/>
            <w:tcBorders>
              <w:top w:val="nil"/>
              <w:bottom w:val="nil"/>
            </w:tcBorders>
            <w:vAlign w:val="center"/>
          </w:tcPr>
          <w:p w14:paraId="400D259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280" w:type="dxa"/>
            <w:tcBorders>
              <w:top w:val="nil"/>
              <w:bottom w:val="nil"/>
            </w:tcBorders>
            <w:vAlign w:val="center"/>
          </w:tcPr>
          <w:p w14:paraId="5367A111"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21" w:type="dxa"/>
            <w:tcBorders>
              <w:top w:val="nil"/>
              <w:bottom w:val="nil"/>
            </w:tcBorders>
            <w:vAlign w:val="center"/>
          </w:tcPr>
          <w:p w14:paraId="499ADE2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nil"/>
              <w:bottom w:val="nil"/>
            </w:tcBorders>
            <w:vAlign w:val="center"/>
          </w:tcPr>
          <w:p w14:paraId="55490A88"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p>
        </w:tc>
      </w:tr>
      <w:tr w:rsidR="00720F68" w:rsidRPr="00B84B0C" w14:paraId="40125A3C"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3D7A6D80" w14:textId="77777777" w:rsidR="00720F68" w:rsidRPr="00B84B0C" w:rsidRDefault="00720F68" w:rsidP="00720F68">
            <w:pPr>
              <w:pStyle w:val="08-Tabelageral"/>
              <w:jc w:val="left"/>
              <w:rPr>
                <w:rFonts w:cs="Arial"/>
                <w:lang w:val="en-US"/>
              </w:rPr>
            </w:pPr>
            <w:r w:rsidRPr="00B84B0C">
              <w:rPr>
                <w:rFonts w:cs="Arial"/>
                <w:lang w:val="en-US"/>
              </w:rPr>
              <w:t>Added Value Received Through Transfer</w:t>
            </w:r>
          </w:p>
        </w:tc>
        <w:tc>
          <w:tcPr>
            <w:tcW w:w="678" w:type="dxa"/>
            <w:tcBorders>
              <w:top w:val="nil"/>
              <w:bottom w:val="nil"/>
            </w:tcBorders>
            <w:vAlign w:val="center"/>
          </w:tcPr>
          <w:p w14:paraId="1CC7920E"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lang w:val="en-US"/>
              </w:rPr>
            </w:pPr>
          </w:p>
        </w:tc>
        <w:tc>
          <w:tcPr>
            <w:tcW w:w="1306" w:type="dxa"/>
            <w:tcBorders>
              <w:top w:val="nil"/>
              <w:bottom w:val="nil"/>
            </w:tcBorders>
            <w:vAlign w:val="center"/>
          </w:tcPr>
          <w:p w14:paraId="2F3AF2A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917,804</w:t>
            </w:r>
          </w:p>
        </w:tc>
        <w:tc>
          <w:tcPr>
            <w:tcW w:w="1418" w:type="dxa"/>
            <w:tcBorders>
              <w:top w:val="nil"/>
              <w:bottom w:val="nil"/>
            </w:tcBorders>
            <w:vAlign w:val="center"/>
          </w:tcPr>
          <w:p w14:paraId="037C137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1,035,867</w:t>
            </w:r>
          </w:p>
        </w:tc>
        <w:tc>
          <w:tcPr>
            <w:tcW w:w="280" w:type="dxa"/>
            <w:tcBorders>
              <w:top w:val="nil"/>
              <w:bottom w:val="nil"/>
            </w:tcBorders>
            <w:vAlign w:val="center"/>
          </w:tcPr>
          <w:p w14:paraId="4A0470E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21" w:type="dxa"/>
            <w:tcBorders>
              <w:top w:val="nil"/>
              <w:bottom w:val="nil"/>
            </w:tcBorders>
            <w:vAlign w:val="center"/>
          </w:tcPr>
          <w:p w14:paraId="276D687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461,981</w:t>
            </w:r>
          </w:p>
        </w:tc>
        <w:tc>
          <w:tcPr>
            <w:tcW w:w="1417" w:type="dxa"/>
            <w:tcBorders>
              <w:top w:val="nil"/>
              <w:bottom w:val="nil"/>
            </w:tcBorders>
            <w:vAlign w:val="center"/>
          </w:tcPr>
          <w:p w14:paraId="2B4CE5A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651,220</w:t>
            </w:r>
          </w:p>
        </w:tc>
      </w:tr>
      <w:tr w:rsidR="00720F68" w:rsidRPr="00B84B0C" w14:paraId="60B121E5"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1B1C763B" w14:textId="77777777" w:rsidR="00720F68" w:rsidRPr="00B84B0C" w:rsidRDefault="00720F68" w:rsidP="00720F68">
            <w:pPr>
              <w:pStyle w:val="08-Tabelageral"/>
              <w:ind w:left="113"/>
              <w:jc w:val="left"/>
              <w:rPr>
                <w:rFonts w:cs="Arial"/>
                <w:b w:val="0"/>
                <w:lang w:val="en-US"/>
              </w:rPr>
            </w:pPr>
            <w:r w:rsidRPr="00B84B0C">
              <w:rPr>
                <w:rFonts w:cs="Arial"/>
                <w:b w:val="0"/>
                <w:lang w:val="en-US"/>
              </w:rPr>
              <w:t>Equity in the earnings of associates</w:t>
            </w:r>
          </w:p>
        </w:tc>
        <w:tc>
          <w:tcPr>
            <w:tcW w:w="678" w:type="dxa"/>
            <w:tcBorders>
              <w:top w:val="nil"/>
              <w:bottom w:val="nil"/>
            </w:tcBorders>
            <w:vAlign w:val="center"/>
          </w:tcPr>
          <w:p w14:paraId="2DF08562" w14:textId="77777777" w:rsidR="00720F68" w:rsidRPr="00B84B0C" w:rsidRDefault="00720F68" w:rsidP="00720F6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[9.a]</w:t>
            </w:r>
          </w:p>
        </w:tc>
        <w:tc>
          <w:tcPr>
            <w:tcW w:w="1306" w:type="dxa"/>
            <w:tcBorders>
              <w:top w:val="nil"/>
              <w:bottom w:val="nil"/>
            </w:tcBorders>
            <w:vAlign w:val="center"/>
          </w:tcPr>
          <w:p w14:paraId="7F39D32B"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868,229</w:t>
            </w:r>
          </w:p>
        </w:tc>
        <w:tc>
          <w:tcPr>
            <w:tcW w:w="1418" w:type="dxa"/>
            <w:tcBorders>
              <w:top w:val="nil"/>
              <w:bottom w:val="nil"/>
            </w:tcBorders>
            <w:vAlign w:val="center"/>
          </w:tcPr>
          <w:p w14:paraId="68671F44"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1,002,039</w:t>
            </w:r>
          </w:p>
        </w:tc>
        <w:tc>
          <w:tcPr>
            <w:tcW w:w="280" w:type="dxa"/>
            <w:tcBorders>
              <w:top w:val="nil"/>
              <w:bottom w:val="nil"/>
            </w:tcBorders>
            <w:vAlign w:val="center"/>
          </w:tcPr>
          <w:p w14:paraId="57275D47"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1C324403"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388,758</w:t>
            </w:r>
          </w:p>
        </w:tc>
        <w:tc>
          <w:tcPr>
            <w:tcW w:w="1417" w:type="dxa"/>
            <w:tcBorders>
              <w:top w:val="nil"/>
              <w:bottom w:val="nil"/>
            </w:tcBorders>
            <w:vAlign w:val="center"/>
          </w:tcPr>
          <w:p w14:paraId="4F67EB0D"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586,673</w:t>
            </w:r>
          </w:p>
        </w:tc>
      </w:tr>
      <w:tr w:rsidR="00720F68" w:rsidRPr="00B84B0C" w14:paraId="0878DE25"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066E35AC" w14:textId="77777777" w:rsidR="00720F68" w:rsidRPr="00B84B0C" w:rsidRDefault="00720F68" w:rsidP="00720F68">
            <w:pPr>
              <w:pStyle w:val="08-Tabelageral"/>
              <w:ind w:left="113"/>
              <w:jc w:val="left"/>
              <w:rPr>
                <w:rFonts w:cs="Arial"/>
                <w:b w:val="0"/>
              </w:rPr>
            </w:pPr>
            <w:r w:rsidRPr="00B84B0C">
              <w:rPr>
                <w:rFonts w:cs="Arial"/>
                <w:b w:val="0"/>
              </w:rPr>
              <w:t>Financial income</w:t>
            </w:r>
          </w:p>
        </w:tc>
        <w:tc>
          <w:tcPr>
            <w:tcW w:w="678" w:type="dxa"/>
            <w:tcBorders>
              <w:top w:val="nil"/>
              <w:bottom w:val="nil"/>
            </w:tcBorders>
            <w:vAlign w:val="center"/>
          </w:tcPr>
          <w:p w14:paraId="4D0DB50A" w14:textId="77777777" w:rsidR="00720F68" w:rsidRPr="00B84B0C" w:rsidRDefault="00720F68" w:rsidP="00720F6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[20]</w:t>
            </w:r>
          </w:p>
        </w:tc>
        <w:tc>
          <w:tcPr>
            <w:tcW w:w="1306" w:type="dxa"/>
            <w:tcBorders>
              <w:top w:val="nil"/>
              <w:bottom w:val="nil"/>
            </w:tcBorders>
            <w:vAlign w:val="center"/>
          </w:tcPr>
          <w:p w14:paraId="21E72B42"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49,575</w:t>
            </w:r>
          </w:p>
        </w:tc>
        <w:tc>
          <w:tcPr>
            <w:tcW w:w="1418" w:type="dxa"/>
            <w:tcBorders>
              <w:top w:val="nil"/>
              <w:bottom w:val="nil"/>
            </w:tcBorders>
            <w:vAlign w:val="center"/>
          </w:tcPr>
          <w:p w14:paraId="3C7348A9"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33,828</w:t>
            </w:r>
          </w:p>
        </w:tc>
        <w:tc>
          <w:tcPr>
            <w:tcW w:w="280" w:type="dxa"/>
            <w:tcBorders>
              <w:top w:val="nil"/>
              <w:bottom w:val="nil"/>
            </w:tcBorders>
            <w:vAlign w:val="center"/>
          </w:tcPr>
          <w:p w14:paraId="2DB7526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421" w:type="dxa"/>
            <w:tcBorders>
              <w:top w:val="nil"/>
              <w:bottom w:val="nil"/>
            </w:tcBorders>
            <w:vAlign w:val="center"/>
          </w:tcPr>
          <w:p w14:paraId="6CE07561"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73,223</w:t>
            </w:r>
          </w:p>
        </w:tc>
        <w:tc>
          <w:tcPr>
            <w:tcW w:w="1417" w:type="dxa"/>
            <w:tcBorders>
              <w:top w:val="nil"/>
              <w:bottom w:val="nil"/>
            </w:tcBorders>
            <w:vAlign w:val="center"/>
          </w:tcPr>
          <w:p w14:paraId="7A040D2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64,547</w:t>
            </w:r>
          </w:p>
        </w:tc>
      </w:tr>
      <w:tr w:rsidR="00720F68" w:rsidRPr="00B84B0C" w14:paraId="0740996F"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1FEEF09C" w14:textId="77777777" w:rsidR="00720F68" w:rsidRPr="00B84B0C" w:rsidRDefault="00720F68" w:rsidP="00720F68">
            <w:pPr>
              <w:pStyle w:val="08-Tabelageral"/>
              <w:jc w:val="left"/>
              <w:rPr>
                <w:rFonts w:cs="Arial"/>
                <w:b w:val="0"/>
                <w:bCs w:val="0"/>
              </w:rPr>
            </w:pPr>
            <w:r w:rsidRPr="00B84B0C">
              <w:rPr>
                <w:rFonts w:cs="Arial"/>
                <w:b w:val="0"/>
                <w:bCs w:val="0"/>
              </w:rPr>
              <w:t> </w:t>
            </w:r>
          </w:p>
        </w:tc>
        <w:tc>
          <w:tcPr>
            <w:tcW w:w="678" w:type="dxa"/>
            <w:tcBorders>
              <w:top w:val="nil"/>
              <w:bottom w:val="nil"/>
            </w:tcBorders>
            <w:vAlign w:val="center"/>
          </w:tcPr>
          <w:p w14:paraId="2C9148DF"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306" w:type="dxa"/>
            <w:tcBorders>
              <w:top w:val="nil"/>
              <w:bottom w:val="nil"/>
            </w:tcBorders>
            <w:vAlign w:val="center"/>
          </w:tcPr>
          <w:p w14:paraId="5CA54F5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8" w:type="dxa"/>
            <w:tcBorders>
              <w:top w:val="nil"/>
              <w:bottom w:val="nil"/>
            </w:tcBorders>
            <w:vAlign w:val="center"/>
          </w:tcPr>
          <w:p w14:paraId="4CE12BD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0" w:type="dxa"/>
            <w:tcBorders>
              <w:top w:val="nil"/>
              <w:bottom w:val="nil"/>
            </w:tcBorders>
            <w:vAlign w:val="center"/>
          </w:tcPr>
          <w:p w14:paraId="755AFD1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21" w:type="dxa"/>
            <w:tcBorders>
              <w:top w:val="nil"/>
              <w:bottom w:val="nil"/>
            </w:tcBorders>
            <w:vAlign w:val="center"/>
          </w:tcPr>
          <w:p w14:paraId="3EAD3BF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nil"/>
            </w:tcBorders>
            <w:vAlign w:val="center"/>
          </w:tcPr>
          <w:p w14:paraId="16E26B7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r>
      <w:tr w:rsidR="00720F68" w:rsidRPr="00B84B0C" w14:paraId="27977BD6"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544AE075" w14:textId="77777777" w:rsidR="00720F68" w:rsidRPr="00B84B0C" w:rsidRDefault="00720F68" w:rsidP="00720F68">
            <w:pPr>
              <w:pStyle w:val="08-Tabelageral"/>
              <w:jc w:val="left"/>
              <w:rPr>
                <w:rFonts w:cs="Arial"/>
                <w:lang w:val="en-US"/>
              </w:rPr>
            </w:pPr>
            <w:r w:rsidRPr="00B84B0C">
              <w:rPr>
                <w:rFonts w:cs="Arial"/>
                <w:lang w:val="en-US"/>
              </w:rPr>
              <w:t>Total Added Value to Distribute</w:t>
            </w:r>
          </w:p>
        </w:tc>
        <w:tc>
          <w:tcPr>
            <w:tcW w:w="678" w:type="dxa"/>
            <w:tcBorders>
              <w:top w:val="nil"/>
              <w:bottom w:val="nil"/>
            </w:tcBorders>
            <w:vAlign w:val="center"/>
          </w:tcPr>
          <w:p w14:paraId="5791DDFE"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lang w:val="en-US"/>
              </w:rPr>
            </w:pPr>
          </w:p>
        </w:tc>
        <w:tc>
          <w:tcPr>
            <w:tcW w:w="1306" w:type="dxa"/>
            <w:tcBorders>
              <w:top w:val="nil"/>
              <w:bottom w:val="nil"/>
            </w:tcBorders>
            <w:vAlign w:val="center"/>
          </w:tcPr>
          <w:p w14:paraId="11FE2BE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920,919</w:t>
            </w:r>
          </w:p>
        </w:tc>
        <w:tc>
          <w:tcPr>
            <w:tcW w:w="1418" w:type="dxa"/>
            <w:tcBorders>
              <w:top w:val="nil"/>
              <w:bottom w:val="nil"/>
            </w:tcBorders>
            <w:vAlign w:val="center"/>
          </w:tcPr>
          <w:p w14:paraId="5EE7BD9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1,037,093</w:t>
            </w:r>
          </w:p>
        </w:tc>
        <w:tc>
          <w:tcPr>
            <w:tcW w:w="280" w:type="dxa"/>
            <w:tcBorders>
              <w:top w:val="nil"/>
              <w:bottom w:val="nil"/>
            </w:tcBorders>
            <w:vAlign w:val="center"/>
          </w:tcPr>
          <w:p w14:paraId="7B62622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21" w:type="dxa"/>
            <w:tcBorders>
              <w:top w:val="nil"/>
              <w:bottom w:val="nil"/>
            </w:tcBorders>
            <w:vAlign w:val="center"/>
          </w:tcPr>
          <w:p w14:paraId="085BCFB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1,287,218</w:t>
            </w:r>
          </w:p>
        </w:tc>
        <w:tc>
          <w:tcPr>
            <w:tcW w:w="1417" w:type="dxa"/>
            <w:tcBorders>
              <w:top w:val="nil"/>
              <w:bottom w:val="nil"/>
            </w:tcBorders>
            <w:vAlign w:val="center"/>
          </w:tcPr>
          <w:p w14:paraId="453BF0F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1,361,970</w:t>
            </w:r>
          </w:p>
        </w:tc>
      </w:tr>
      <w:tr w:rsidR="00720F68" w:rsidRPr="00B84B0C" w14:paraId="5A58FA5B"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7976873F" w14:textId="77777777" w:rsidR="00720F68" w:rsidRPr="00B84B0C" w:rsidRDefault="00720F68" w:rsidP="00720F68">
            <w:pPr>
              <w:pStyle w:val="08-Tabelageral"/>
              <w:jc w:val="left"/>
              <w:rPr>
                <w:rFonts w:cs="Arial"/>
                <w:b w:val="0"/>
                <w:bCs w:val="0"/>
              </w:rPr>
            </w:pPr>
            <w:r w:rsidRPr="00B84B0C">
              <w:rPr>
                <w:rFonts w:cs="Arial"/>
                <w:b w:val="0"/>
                <w:bCs w:val="0"/>
              </w:rPr>
              <w:t> </w:t>
            </w:r>
          </w:p>
        </w:tc>
        <w:tc>
          <w:tcPr>
            <w:tcW w:w="678" w:type="dxa"/>
            <w:tcBorders>
              <w:top w:val="nil"/>
              <w:bottom w:val="nil"/>
            </w:tcBorders>
            <w:vAlign w:val="center"/>
          </w:tcPr>
          <w:p w14:paraId="532F792A"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306" w:type="dxa"/>
            <w:tcBorders>
              <w:top w:val="nil"/>
              <w:bottom w:val="nil"/>
            </w:tcBorders>
            <w:vAlign w:val="center"/>
          </w:tcPr>
          <w:p w14:paraId="5F48351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vAlign w:val="center"/>
          </w:tcPr>
          <w:p w14:paraId="7028D43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0" w:type="dxa"/>
            <w:tcBorders>
              <w:top w:val="nil"/>
              <w:bottom w:val="nil"/>
            </w:tcBorders>
            <w:vAlign w:val="center"/>
          </w:tcPr>
          <w:p w14:paraId="6961682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1" w:type="dxa"/>
            <w:tcBorders>
              <w:top w:val="nil"/>
              <w:bottom w:val="nil"/>
            </w:tcBorders>
            <w:vAlign w:val="center"/>
          </w:tcPr>
          <w:p w14:paraId="58E50F2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668368D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720F68" w:rsidRPr="00B84B0C" w14:paraId="28BC70E7"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22896C7F" w14:textId="77777777" w:rsidR="00720F68" w:rsidRPr="00B84B0C" w:rsidRDefault="00720F68" w:rsidP="00720F68">
            <w:pPr>
              <w:pStyle w:val="08-Tabelageral"/>
              <w:jc w:val="left"/>
              <w:rPr>
                <w:rFonts w:cs="Arial"/>
              </w:rPr>
            </w:pPr>
            <w:proofErr w:type="spellStart"/>
            <w:r w:rsidRPr="00B84B0C">
              <w:rPr>
                <w:rFonts w:cs="Arial"/>
              </w:rPr>
              <w:t>Distribution</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Added</w:t>
            </w:r>
            <w:proofErr w:type="spellEnd"/>
            <w:r w:rsidRPr="00B84B0C">
              <w:rPr>
                <w:rFonts w:cs="Arial"/>
              </w:rPr>
              <w:t xml:space="preserve"> </w:t>
            </w:r>
            <w:proofErr w:type="spellStart"/>
            <w:r w:rsidRPr="00B84B0C">
              <w:rPr>
                <w:rFonts w:cs="Arial"/>
              </w:rPr>
              <w:t>Value</w:t>
            </w:r>
            <w:proofErr w:type="spellEnd"/>
          </w:p>
        </w:tc>
        <w:tc>
          <w:tcPr>
            <w:tcW w:w="678" w:type="dxa"/>
            <w:tcBorders>
              <w:top w:val="nil"/>
              <w:bottom w:val="nil"/>
            </w:tcBorders>
            <w:vAlign w:val="center"/>
          </w:tcPr>
          <w:p w14:paraId="0D140C25"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306" w:type="dxa"/>
            <w:tcBorders>
              <w:top w:val="nil"/>
              <w:bottom w:val="nil"/>
            </w:tcBorders>
            <w:vAlign w:val="center"/>
          </w:tcPr>
          <w:p w14:paraId="5522B04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920,919</w:t>
            </w:r>
          </w:p>
        </w:tc>
        <w:tc>
          <w:tcPr>
            <w:tcW w:w="1418" w:type="dxa"/>
            <w:tcBorders>
              <w:top w:val="nil"/>
              <w:bottom w:val="nil"/>
            </w:tcBorders>
            <w:vAlign w:val="center"/>
          </w:tcPr>
          <w:p w14:paraId="2ED1363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1,037,093</w:t>
            </w:r>
          </w:p>
        </w:tc>
        <w:tc>
          <w:tcPr>
            <w:tcW w:w="280" w:type="dxa"/>
            <w:tcBorders>
              <w:top w:val="nil"/>
              <w:bottom w:val="nil"/>
            </w:tcBorders>
            <w:vAlign w:val="center"/>
          </w:tcPr>
          <w:p w14:paraId="2B18913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21" w:type="dxa"/>
            <w:tcBorders>
              <w:top w:val="nil"/>
              <w:bottom w:val="nil"/>
            </w:tcBorders>
            <w:vAlign w:val="center"/>
          </w:tcPr>
          <w:p w14:paraId="688823F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1,287,218</w:t>
            </w:r>
          </w:p>
        </w:tc>
        <w:tc>
          <w:tcPr>
            <w:tcW w:w="1417" w:type="dxa"/>
            <w:tcBorders>
              <w:top w:val="nil"/>
              <w:bottom w:val="nil"/>
            </w:tcBorders>
            <w:vAlign w:val="center"/>
          </w:tcPr>
          <w:p w14:paraId="49D919B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1,361,970</w:t>
            </w:r>
          </w:p>
        </w:tc>
      </w:tr>
      <w:tr w:rsidR="00720F68" w:rsidRPr="00B84B0C" w14:paraId="0F91E8C6"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60440537" w14:textId="77777777" w:rsidR="00720F68" w:rsidRPr="00B84B0C" w:rsidRDefault="00720F68" w:rsidP="00720F68">
            <w:pPr>
              <w:pStyle w:val="08-Tabelageral"/>
              <w:ind w:left="113"/>
              <w:jc w:val="left"/>
              <w:rPr>
                <w:rFonts w:cs="Arial"/>
                <w:b w:val="0"/>
              </w:rPr>
            </w:pPr>
            <w:proofErr w:type="spellStart"/>
            <w:r w:rsidRPr="00B84B0C">
              <w:rPr>
                <w:rFonts w:cs="Arial"/>
                <w:b w:val="0"/>
              </w:rPr>
              <w:t>Personnel</w:t>
            </w:r>
            <w:proofErr w:type="spellEnd"/>
          </w:p>
        </w:tc>
        <w:tc>
          <w:tcPr>
            <w:tcW w:w="678" w:type="dxa"/>
            <w:tcBorders>
              <w:top w:val="nil"/>
              <w:bottom w:val="nil"/>
            </w:tcBorders>
            <w:vAlign w:val="center"/>
          </w:tcPr>
          <w:p w14:paraId="2C88EAC5" w14:textId="77777777" w:rsidR="00720F68" w:rsidRPr="00B84B0C" w:rsidRDefault="00720F68" w:rsidP="00720F6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[21]</w:t>
            </w:r>
          </w:p>
        </w:tc>
        <w:tc>
          <w:tcPr>
            <w:tcW w:w="1306" w:type="dxa"/>
            <w:tcBorders>
              <w:top w:val="nil"/>
              <w:bottom w:val="nil"/>
            </w:tcBorders>
            <w:vAlign w:val="center"/>
          </w:tcPr>
          <w:p w14:paraId="1BA34E9A"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2,772</w:t>
            </w:r>
          </w:p>
        </w:tc>
        <w:tc>
          <w:tcPr>
            <w:tcW w:w="1418" w:type="dxa"/>
            <w:tcBorders>
              <w:top w:val="nil"/>
              <w:bottom w:val="nil"/>
            </w:tcBorders>
            <w:vAlign w:val="center"/>
          </w:tcPr>
          <w:p w14:paraId="630B24E9"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2,481</w:t>
            </w:r>
          </w:p>
        </w:tc>
        <w:tc>
          <w:tcPr>
            <w:tcW w:w="280" w:type="dxa"/>
            <w:tcBorders>
              <w:top w:val="nil"/>
              <w:bottom w:val="nil"/>
            </w:tcBorders>
            <w:vAlign w:val="center"/>
          </w:tcPr>
          <w:p w14:paraId="3D93FCF9"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715CBFBC"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15,435</w:t>
            </w:r>
          </w:p>
        </w:tc>
        <w:tc>
          <w:tcPr>
            <w:tcW w:w="1417" w:type="dxa"/>
            <w:tcBorders>
              <w:top w:val="nil"/>
              <w:bottom w:val="nil"/>
            </w:tcBorders>
            <w:vAlign w:val="center"/>
          </w:tcPr>
          <w:p w14:paraId="0E3482FD"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13,128</w:t>
            </w:r>
          </w:p>
        </w:tc>
      </w:tr>
      <w:tr w:rsidR="00720F68" w:rsidRPr="00B84B0C" w14:paraId="6FC98F73"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6B9BA4A1" w14:textId="77777777" w:rsidR="00720F68" w:rsidRPr="00B84B0C" w:rsidRDefault="00720F68" w:rsidP="00720F68">
            <w:pPr>
              <w:pStyle w:val="08-Tabelageral"/>
              <w:ind w:left="113"/>
              <w:jc w:val="left"/>
              <w:rPr>
                <w:rFonts w:cs="Arial"/>
                <w:b w:val="0"/>
              </w:rPr>
            </w:pPr>
            <w:r w:rsidRPr="00B84B0C">
              <w:rPr>
                <w:rFonts w:cs="Arial"/>
                <w:b w:val="0"/>
              </w:rPr>
              <w:t xml:space="preserve">Taxes, </w:t>
            </w:r>
            <w:proofErr w:type="spellStart"/>
            <w:r w:rsidRPr="00B84B0C">
              <w:rPr>
                <w:rFonts w:cs="Arial"/>
                <w:b w:val="0"/>
              </w:rPr>
              <w:t>fees</w:t>
            </w:r>
            <w:proofErr w:type="spellEnd"/>
            <w:r w:rsidRPr="00B84B0C">
              <w:rPr>
                <w:rFonts w:cs="Arial"/>
                <w:b w:val="0"/>
              </w:rPr>
              <w:t xml:space="preserve"> </w:t>
            </w:r>
            <w:proofErr w:type="spellStart"/>
            <w:r w:rsidRPr="00B84B0C">
              <w:rPr>
                <w:rFonts w:cs="Arial"/>
                <w:b w:val="0"/>
              </w:rPr>
              <w:t>and</w:t>
            </w:r>
            <w:proofErr w:type="spellEnd"/>
            <w:r w:rsidRPr="00B84B0C">
              <w:rPr>
                <w:rFonts w:cs="Arial"/>
                <w:b w:val="0"/>
              </w:rPr>
              <w:t xml:space="preserve"> </w:t>
            </w:r>
            <w:proofErr w:type="spellStart"/>
            <w:r w:rsidRPr="00B84B0C">
              <w:rPr>
                <w:rFonts w:cs="Arial"/>
                <w:b w:val="0"/>
              </w:rPr>
              <w:t>contributions</w:t>
            </w:r>
            <w:proofErr w:type="spellEnd"/>
          </w:p>
        </w:tc>
        <w:tc>
          <w:tcPr>
            <w:tcW w:w="678" w:type="dxa"/>
            <w:tcBorders>
              <w:top w:val="nil"/>
              <w:bottom w:val="nil"/>
            </w:tcBorders>
            <w:vAlign w:val="center"/>
          </w:tcPr>
          <w:p w14:paraId="4D07B73D" w14:textId="77777777" w:rsidR="00720F68" w:rsidRPr="00B84B0C" w:rsidRDefault="00720F68" w:rsidP="00720F6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rPr>
            </w:pPr>
          </w:p>
        </w:tc>
        <w:tc>
          <w:tcPr>
            <w:tcW w:w="1306" w:type="dxa"/>
            <w:tcBorders>
              <w:top w:val="nil"/>
              <w:bottom w:val="nil"/>
            </w:tcBorders>
            <w:vAlign w:val="center"/>
          </w:tcPr>
          <w:p w14:paraId="3C0D77A7"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10,219</w:t>
            </w:r>
          </w:p>
        </w:tc>
        <w:tc>
          <w:tcPr>
            <w:tcW w:w="1418" w:type="dxa"/>
            <w:tcBorders>
              <w:top w:val="nil"/>
              <w:bottom w:val="nil"/>
            </w:tcBorders>
            <w:vAlign w:val="center"/>
          </w:tcPr>
          <w:p w14:paraId="6BB408FF"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7,070</w:t>
            </w:r>
          </w:p>
        </w:tc>
        <w:tc>
          <w:tcPr>
            <w:tcW w:w="280" w:type="dxa"/>
            <w:tcBorders>
              <w:top w:val="nil"/>
              <w:bottom w:val="nil"/>
            </w:tcBorders>
            <w:vAlign w:val="center"/>
          </w:tcPr>
          <w:p w14:paraId="74CA1BD7"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421" w:type="dxa"/>
            <w:tcBorders>
              <w:top w:val="nil"/>
              <w:bottom w:val="nil"/>
            </w:tcBorders>
            <w:vAlign w:val="center"/>
          </w:tcPr>
          <w:p w14:paraId="089AF507"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362,549</w:t>
            </w:r>
          </w:p>
        </w:tc>
        <w:tc>
          <w:tcPr>
            <w:tcW w:w="1417" w:type="dxa"/>
            <w:tcBorders>
              <w:top w:val="nil"/>
              <w:bottom w:val="nil"/>
            </w:tcBorders>
            <w:vAlign w:val="center"/>
          </w:tcPr>
          <w:p w14:paraId="3BB6D301"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321,228</w:t>
            </w:r>
          </w:p>
        </w:tc>
      </w:tr>
      <w:tr w:rsidR="00720F68" w:rsidRPr="00B84B0C" w14:paraId="1E10FE5F" w14:textId="77777777" w:rsidTr="00720F6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nil"/>
            </w:tcBorders>
            <w:vAlign w:val="center"/>
          </w:tcPr>
          <w:p w14:paraId="22911090" w14:textId="77777777" w:rsidR="00720F68" w:rsidRPr="00B84B0C" w:rsidRDefault="00720F68" w:rsidP="00720F68">
            <w:pPr>
              <w:pStyle w:val="08-Tabelageral"/>
              <w:ind w:left="113"/>
              <w:jc w:val="left"/>
              <w:rPr>
                <w:rFonts w:cs="Arial"/>
                <w:b w:val="0"/>
              </w:rPr>
            </w:pPr>
            <w:r w:rsidRPr="00B84B0C">
              <w:rPr>
                <w:rFonts w:cs="Arial"/>
                <w:b w:val="0"/>
              </w:rPr>
              <w:t xml:space="preserve">Financial </w:t>
            </w:r>
            <w:proofErr w:type="spellStart"/>
            <w:r w:rsidRPr="00B84B0C">
              <w:rPr>
                <w:rFonts w:cs="Arial"/>
                <w:b w:val="0"/>
              </w:rPr>
              <w:t>expenses</w:t>
            </w:r>
            <w:proofErr w:type="spellEnd"/>
          </w:p>
        </w:tc>
        <w:tc>
          <w:tcPr>
            <w:tcW w:w="678" w:type="dxa"/>
            <w:tcBorders>
              <w:top w:val="nil"/>
              <w:bottom w:val="nil"/>
            </w:tcBorders>
            <w:vAlign w:val="center"/>
          </w:tcPr>
          <w:p w14:paraId="32351970" w14:textId="77777777" w:rsidR="00720F68" w:rsidRPr="00B84B0C" w:rsidRDefault="00720F68" w:rsidP="00720F6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[20]</w:t>
            </w:r>
          </w:p>
        </w:tc>
        <w:tc>
          <w:tcPr>
            <w:tcW w:w="1306" w:type="dxa"/>
            <w:tcBorders>
              <w:top w:val="nil"/>
              <w:bottom w:val="nil"/>
            </w:tcBorders>
            <w:vAlign w:val="center"/>
          </w:tcPr>
          <w:p w14:paraId="3A1DAF36"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25,207</w:t>
            </w:r>
          </w:p>
        </w:tc>
        <w:tc>
          <w:tcPr>
            <w:tcW w:w="1418" w:type="dxa"/>
            <w:tcBorders>
              <w:top w:val="nil"/>
              <w:bottom w:val="nil"/>
            </w:tcBorders>
            <w:vAlign w:val="center"/>
          </w:tcPr>
          <w:p w14:paraId="1FD77613"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13,784</w:t>
            </w:r>
          </w:p>
        </w:tc>
        <w:tc>
          <w:tcPr>
            <w:tcW w:w="280" w:type="dxa"/>
            <w:tcBorders>
              <w:top w:val="nil"/>
              <w:bottom w:val="nil"/>
            </w:tcBorders>
            <w:vAlign w:val="center"/>
          </w:tcPr>
          <w:p w14:paraId="27D96702"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c>
          <w:tcPr>
            <w:tcW w:w="1421" w:type="dxa"/>
            <w:tcBorders>
              <w:top w:val="nil"/>
              <w:bottom w:val="nil"/>
            </w:tcBorders>
            <w:vAlign w:val="center"/>
          </w:tcPr>
          <w:p w14:paraId="5A5182BA"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26,513</w:t>
            </w:r>
          </w:p>
        </w:tc>
        <w:tc>
          <w:tcPr>
            <w:tcW w:w="1417" w:type="dxa"/>
            <w:tcBorders>
              <w:top w:val="nil"/>
              <w:bottom w:val="nil"/>
            </w:tcBorders>
            <w:vAlign w:val="center"/>
          </w:tcPr>
          <w:p w14:paraId="041112F5" w14:textId="77777777" w:rsidR="00720F68" w:rsidRPr="00B84B0C" w:rsidRDefault="00720F68" w:rsidP="00720F68">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13,856</w:t>
            </w:r>
          </w:p>
        </w:tc>
      </w:tr>
      <w:tr w:rsidR="00720F68" w:rsidRPr="00B84B0C" w14:paraId="18A5CB19" w14:textId="77777777" w:rsidTr="00720F68">
        <w:trPr>
          <w:trHeight w:val="238"/>
          <w:jc w:val="center"/>
        </w:trPr>
        <w:tc>
          <w:tcPr>
            <w:cnfStyle w:val="001000000000" w:firstRow="0" w:lastRow="0" w:firstColumn="1" w:lastColumn="0" w:oddVBand="0" w:evenVBand="0" w:oddHBand="0" w:evenHBand="0" w:firstRowFirstColumn="0" w:firstRowLastColumn="0" w:lastRowFirstColumn="0" w:lastRowLastColumn="0"/>
            <w:tcW w:w="3119" w:type="dxa"/>
            <w:tcBorders>
              <w:top w:val="nil"/>
              <w:bottom w:val="single" w:sz="2" w:space="0" w:color="8EAADB" w:themeColor="accent5" w:themeTint="99"/>
            </w:tcBorders>
            <w:vAlign w:val="center"/>
          </w:tcPr>
          <w:p w14:paraId="0CFB534A" w14:textId="77777777" w:rsidR="00720F68" w:rsidRPr="00B84B0C" w:rsidRDefault="00720F68" w:rsidP="00720F68">
            <w:pPr>
              <w:pStyle w:val="08-Tabelageral"/>
              <w:ind w:left="113"/>
              <w:jc w:val="left"/>
              <w:rPr>
                <w:rFonts w:cs="Arial"/>
                <w:b w:val="0"/>
                <w:lang w:val="en-US"/>
              </w:rPr>
            </w:pPr>
            <w:r w:rsidRPr="00B84B0C">
              <w:rPr>
                <w:rStyle w:val="shorttext"/>
                <w:rFonts w:cs="Arial"/>
                <w:b w:val="0"/>
                <w:lang w:val="en"/>
              </w:rPr>
              <w:t>Retained earnings in the period</w:t>
            </w:r>
          </w:p>
        </w:tc>
        <w:tc>
          <w:tcPr>
            <w:tcW w:w="678" w:type="dxa"/>
            <w:tcBorders>
              <w:top w:val="nil"/>
              <w:bottom w:val="single" w:sz="2" w:space="0" w:color="8EAADB" w:themeColor="accent5" w:themeTint="99"/>
            </w:tcBorders>
            <w:vAlign w:val="center"/>
          </w:tcPr>
          <w:p w14:paraId="20B6EA05" w14:textId="77777777" w:rsidR="00720F68" w:rsidRPr="00B84B0C" w:rsidRDefault="00720F68" w:rsidP="00720F6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rPr>
              <w:t>[19.c]</w:t>
            </w:r>
          </w:p>
        </w:tc>
        <w:tc>
          <w:tcPr>
            <w:tcW w:w="1306" w:type="dxa"/>
            <w:tcBorders>
              <w:top w:val="nil"/>
              <w:bottom w:val="single" w:sz="2" w:space="0" w:color="8EAADB" w:themeColor="accent5" w:themeTint="99"/>
            </w:tcBorders>
            <w:vAlign w:val="center"/>
          </w:tcPr>
          <w:p w14:paraId="243C74C5"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882,721</w:t>
            </w:r>
          </w:p>
        </w:tc>
        <w:tc>
          <w:tcPr>
            <w:tcW w:w="1418" w:type="dxa"/>
            <w:tcBorders>
              <w:top w:val="nil"/>
              <w:bottom w:val="single" w:sz="2" w:space="0" w:color="8EAADB" w:themeColor="accent5" w:themeTint="99"/>
            </w:tcBorders>
            <w:vAlign w:val="center"/>
          </w:tcPr>
          <w:p w14:paraId="3E5870D3"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1,013,758</w:t>
            </w:r>
          </w:p>
        </w:tc>
        <w:tc>
          <w:tcPr>
            <w:tcW w:w="280" w:type="dxa"/>
            <w:tcBorders>
              <w:top w:val="nil"/>
              <w:bottom w:val="single" w:sz="2" w:space="0" w:color="8EAADB" w:themeColor="accent5" w:themeTint="99"/>
            </w:tcBorders>
            <w:vAlign w:val="center"/>
          </w:tcPr>
          <w:p w14:paraId="61ED1E86"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p>
        </w:tc>
        <w:tc>
          <w:tcPr>
            <w:tcW w:w="1421" w:type="dxa"/>
            <w:tcBorders>
              <w:top w:val="nil"/>
              <w:bottom w:val="single" w:sz="2" w:space="0" w:color="8EAADB" w:themeColor="accent5" w:themeTint="99"/>
            </w:tcBorders>
            <w:vAlign w:val="center"/>
          </w:tcPr>
          <w:p w14:paraId="60B8ECA5"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882,721</w:t>
            </w:r>
          </w:p>
        </w:tc>
        <w:tc>
          <w:tcPr>
            <w:tcW w:w="1417" w:type="dxa"/>
            <w:tcBorders>
              <w:top w:val="nil"/>
              <w:bottom w:val="single" w:sz="2" w:space="0" w:color="8EAADB" w:themeColor="accent5" w:themeTint="99"/>
            </w:tcBorders>
            <w:vAlign w:val="center"/>
          </w:tcPr>
          <w:p w14:paraId="315B5A59" w14:textId="77777777" w:rsidR="00720F68" w:rsidRPr="00B84B0C" w:rsidRDefault="00720F68" w:rsidP="00720F68">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1,013,758</w:t>
            </w:r>
          </w:p>
        </w:tc>
      </w:tr>
    </w:tbl>
    <w:p w14:paraId="2B6D2B7D" w14:textId="77777777" w:rsidR="00720F68" w:rsidRPr="00B84B0C" w:rsidRDefault="00720F68" w:rsidP="00720F68">
      <w:pPr>
        <w:pStyle w:val="07-Legenda"/>
        <w:ind w:left="0" w:firstLine="0"/>
        <w:rPr>
          <w:rFonts w:cs="Arial"/>
          <w:lang w:val="en-US"/>
        </w:rPr>
      </w:pPr>
      <w:r w:rsidRPr="00B84B0C">
        <w:rPr>
          <w:rFonts w:cs="Arial"/>
          <w:lang w:val="en-US"/>
        </w:rPr>
        <w:t xml:space="preserve">The accompanying notes are an integral part of these financial </w:t>
      </w:r>
      <w:proofErr w:type="gramStart"/>
      <w:r w:rsidRPr="00B84B0C">
        <w:rPr>
          <w:rFonts w:cs="Arial"/>
          <w:lang w:val="en-US"/>
        </w:rPr>
        <w:t>statements</w:t>
      </w:r>
      <w:proofErr w:type="gramEnd"/>
    </w:p>
    <w:p w14:paraId="162A3719" w14:textId="77777777" w:rsidR="00720F68" w:rsidRPr="00B84B0C" w:rsidRDefault="00720F68" w:rsidP="00720F68">
      <w:pPr>
        <w:rPr>
          <w:rFonts w:cs="Arial"/>
          <w:sz w:val="14"/>
          <w:szCs w:val="14"/>
          <w:lang w:val="en-US"/>
        </w:rPr>
      </w:pPr>
    </w:p>
    <w:p w14:paraId="0A0B9FA8" w14:textId="28CD40F9" w:rsidR="001B14AB" w:rsidRPr="00B84B0C" w:rsidRDefault="001B14AB" w:rsidP="002D143C">
      <w:pPr>
        <w:rPr>
          <w:rFonts w:cs="Arial"/>
        </w:rPr>
      </w:pPr>
    </w:p>
    <w:p w14:paraId="0198574D" w14:textId="77777777" w:rsidR="00F20290" w:rsidRPr="00B84B0C" w:rsidRDefault="00F20290">
      <w:pPr>
        <w:rPr>
          <w:rFonts w:eastAsia="Times New Roman" w:cs="Arial"/>
          <w:b/>
          <w:color w:val="1F4E79" w:themeColor="accent1" w:themeShade="80"/>
          <w:spacing w:val="-2"/>
          <w:sz w:val="20"/>
          <w:szCs w:val="20"/>
          <w:lang w:eastAsia="pt-BR"/>
        </w:rPr>
      </w:pPr>
      <w:bookmarkStart w:id="7" w:name="_Toc36837274"/>
      <w:bookmarkStart w:id="8" w:name="_Toc31905827"/>
      <w:bookmarkStart w:id="9" w:name="_Toc31906653"/>
      <w:r w:rsidRPr="00B84B0C">
        <w:rPr>
          <w:rFonts w:cs="Arial"/>
          <w:color w:val="1F4E79" w:themeColor="accent1" w:themeShade="80"/>
        </w:rPr>
        <w:br w:type="page"/>
      </w:r>
    </w:p>
    <w:p w14:paraId="41A089C0" w14:textId="6165FEEC" w:rsidR="007E0D51" w:rsidRPr="00B84B0C" w:rsidRDefault="00720F68" w:rsidP="00711D9A">
      <w:pPr>
        <w:pStyle w:val="02-TtulodeNota"/>
        <w:rPr>
          <w:rFonts w:cs="Arial"/>
          <w:color w:val="1F4E79" w:themeColor="accent1" w:themeShade="80"/>
        </w:rPr>
      </w:pPr>
      <w:bookmarkStart w:id="10" w:name="_Toc39131484"/>
      <w:bookmarkEnd w:id="7"/>
      <w:r w:rsidRPr="00B84B0C">
        <w:rPr>
          <w:rFonts w:cs="Arial"/>
          <w:color w:val="1F4E79" w:themeColor="accent1" w:themeShade="80"/>
        </w:rPr>
        <w:lastRenderedPageBreak/>
        <w:t>NOTES EXPLANATORY TO THE FINANCIAL STATEMENTS</w:t>
      </w:r>
      <w:bookmarkEnd w:id="10"/>
    </w:p>
    <w:p w14:paraId="20F191E2" w14:textId="77777777" w:rsidR="00720F68" w:rsidRPr="00B84B0C" w:rsidRDefault="00720F68" w:rsidP="00720F68">
      <w:pPr>
        <w:rPr>
          <w:rFonts w:cs="Arial"/>
          <w:lang w:eastAsia="pt-BR"/>
        </w:rPr>
      </w:pPr>
    </w:p>
    <w:p w14:paraId="55224632" w14:textId="11C0B430" w:rsidR="00720F68" w:rsidRPr="00B84B0C" w:rsidRDefault="00720F68" w:rsidP="00711D9A">
      <w:pPr>
        <w:pStyle w:val="02-TtulodeNota"/>
        <w:rPr>
          <w:rFonts w:cs="Arial"/>
          <w:color w:val="1F4E79" w:themeColor="accent1" w:themeShade="80"/>
          <w:lang w:val="en-US"/>
        </w:rPr>
      </w:pPr>
      <w:bookmarkStart w:id="11" w:name="_Toc39131485"/>
      <w:bookmarkEnd w:id="8"/>
      <w:bookmarkEnd w:id="9"/>
      <w:r w:rsidRPr="00B84B0C">
        <w:rPr>
          <w:rFonts w:cs="Arial"/>
          <w:color w:val="1F4E79" w:themeColor="accent1" w:themeShade="80"/>
          <w:lang w:val="en-US"/>
        </w:rPr>
        <w:t>1 – OPERATIONS</w:t>
      </w:r>
      <w:bookmarkEnd w:id="11"/>
      <w:r w:rsidRPr="00B84B0C">
        <w:rPr>
          <w:rFonts w:cs="Arial"/>
          <w:color w:val="1F4E79" w:themeColor="accent1" w:themeShade="80"/>
          <w:lang w:val="en-US"/>
        </w:rPr>
        <w:tab/>
      </w:r>
    </w:p>
    <w:p w14:paraId="1EEBBF43" w14:textId="77777777" w:rsidR="00720F68" w:rsidRPr="00B84B0C" w:rsidRDefault="00720F68" w:rsidP="00720F68">
      <w:pPr>
        <w:pStyle w:val="05-Textonormal"/>
        <w:rPr>
          <w:rFonts w:cs="Arial"/>
          <w:lang w:val="en-US"/>
        </w:rPr>
      </w:pPr>
      <w:r w:rsidRPr="00B84B0C">
        <w:rPr>
          <w:rFonts w:cs="Arial"/>
          <w:lang w:val="en-US"/>
        </w:rPr>
        <w:t xml:space="preserve">BB </w:t>
      </w:r>
      <w:proofErr w:type="spellStart"/>
      <w:r w:rsidRPr="00B84B0C">
        <w:rPr>
          <w:rFonts w:cs="Arial"/>
          <w:lang w:val="en-US"/>
        </w:rPr>
        <w:t>Seguridade</w:t>
      </w:r>
      <w:proofErr w:type="spellEnd"/>
      <w:r w:rsidRPr="00B84B0C">
        <w:rPr>
          <w:rFonts w:cs="Arial"/>
          <w:lang w:val="en-US"/>
        </w:rPr>
        <w:t xml:space="preserve"> </w:t>
      </w:r>
      <w:proofErr w:type="spellStart"/>
      <w:r w:rsidRPr="00B84B0C">
        <w:rPr>
          <w:rFonts w:cs="Arial"/>
          <w:lang w:val="en-US"/>
        </w:rPr>
        <w:t>Participações</w:t>
      </w:r>
      <w:proofErr w:type="spellEnd"/>
      <w:r w:rsidRPr="00B84B0C">
        <w:rPr>
          <w:rFonts w:cs="Arial"/>
          <w:lang w:val="en-US"/>
        </w:rPr>
        <w:t xml:space="preserve"> S.A. (“BB </w:t>
      </w:r>
      <w:proofErr w:type="spellStart"/>
      <w:r w:rsidRPr="00B84B0C">
        <w:rPr>
          <w:rFonts w:cs="Arial"/>
          <w:lang w:val="en-US"/>
        </w:rPr>
        <w:t>Seguridade</w:t>
      </w:r>
      <w:proofErr w:type="spellEnd"/>
      <w:r w:rsidRPr="00B84B0C">
        <w:rPr>
          <w:rFonts w:cs="Arial"/>
          <w:lang w:val="en-US"/>
        </w:rPr>
        <w:t xml:space="preserve">”) was incorporated as a subsidiary of Banco do </w:t>
      </w:r>
      <w:proofErr w:type="spellStart"/>
      <w:r w:rsidRPr="00B84B0C">
        <w:rPr>
          <w:rFonts w:cs="Arial"/>
          <w:lang w:val="en-US"/>
        </w:rPr>
        <w:t>Brasil</w:t>
      </w:r>
      <w:proofErr w:type="spellEnd"/>
      <w:r w:rsidRPr="00B84B0C">
        <w:rPr>
          <w:rFonts w:cs="Arial"/>
          <w:lang w:val="en-US"/>
        </w:rPr>
        <w:t xml:space="preserve"> S.A. on December 20, 2012, in accordance with Brazilian law. The purpose of the Group is to participate in insurance companies, capitalization, open private pension funds, health insurance companies, reinsurance companies</w:t>
      </w:r>
      <w:r w:rsidRPr="00B84B0C">
        <w:rPr>
          <w:rFonts w:cs="Arial"/>
          <w:shd w:val="clear" w:color="auto" w:fill="FFFFFF"/>
          <w:lang w:val="en-US"/>
        </w:rPr>
        <w:t>,</w:t>
      </w:r>
      <w:r w:rsidRPr="00B84B0C">
        <w:rPr>
          <w:rFonts w:cs="Arial"/>
          <w:lang w:val="en-US"/>
        </w:rPr>
        <w:t xml:space="preserve"> as well as other companies whose corporate purpose is to broker and facilitate business involving personal, health, </w:t>
      </w:r>
      <w:proofErr w:type="gramStart"/>
      <w:r w:rsidRPr="00B84B0C">
        <w:rPr>
          <w:rFonts w:cs="Arial"/>
          <w:lang w:val="en-US"/>
        </w:rPr>
        <w:t>property</w:t>
      </w:r>
      <w:proofErr w:type="gramEnd"/>
      <w:r w:rsidRPr="00B84B0C">
        <w:rPr>
          <w:rFonts w:cs="Arial"/>
          <w:lang w:val="en-US"/>
        </w:rPr>
        <w:t xml:space="preserve"> and vehicle insurance, offer capitalization plans, private pension plans and asset management.</w:t>
      </w:r>
    </w:p>
    <w:p w14:paraId="551531AC" w14:textId="77777777" w:rsidR="00720F68" w:rsidRPr="00B84B0C" w:rsidRDefault="00720F68" w:rsidP="00720F68">
      <w:pPr>
        <w:pStyle w:val="05-Textonormal"/>
        <w:rPr>
          <w:rFonts w:cs="Arial"/>
          <w:lang w:val="en-US"/>
        </w:rPr>
      </w:pPr>
      <w:r w:rsidRPr="00B84B0C">
        <w:rPr>
          <w:rFonts w:cs="Arial"/>
          <w:lang w:val="en-US"/>
        </w:rPr>
        <w:t xml:space="preserve">BB </w:t>
      </w:r>
      <w:proofErr w:type="spellStart"/>
      <w:r w:rsidRPr="00B84B0C">
        <w:rPr>
          <w:rFonts w:cs="Arial"/>
          <w:lang w:val="en-US"/>
        </w:rPr>
        <w:t>Seguridade</w:t>
      </w:r>
      <w:proofErr w:type="spellEnd"/>
      <w:r w:rsidRPr="00B84B0C">
        <w:rPr>
          <w:rFonts w:cs="Arial"/>
          <w:lang w:val="en-US"/>
        </w:rPr>
        <w:t xml:space="preserve">, enrolled with the CNPJ (Brazilian equivalent of IRS Registry of Legal Entities) 17.344.597/0001-94, is headquartered in </w:t>
      </w:r>
      <w:proofErr w:type="spellStart"/>
      <w:r w:rsidRPr="00B84B0C">
        <w:rPr>
          <w:rFonts w:cs="Arial"/>
          <w:lang w:val="en-US"/>
        </w:rPr>
        <w:t>Setor</w:t>
      </w:r>
      <w:proofErr w:type="spellEnd"/>
      <w:r w:rsidRPr="00B84B0C">
        <w:rPr>
          <w:rFonts w:cs="Arial"/>
          <w:lang w:val="en-US"/>
        </w:rPr>
        <w:t xml:space="preserve"> de </w:t>
      </w:r>
      <w:proofErr w:type="spellStart"/>
      <w:r w:rsidRPr="00B84B0C">
        <w:rPr>
          <w:rFonts w:cs="Arial"/>
          <w:lang w:val="en-US"/>
        </w:rPr>
        <w:t>Autarquias</w:t>
      </w:r>
      <w:proofErr w:type="spellEnd"/>
      <w:r w:rsidRPr="00B84B0C">
        <w:rPr>
          <w:rFonts w:cs="Arial"/>
          <w:lang w:val="en-US"/>
        </w:rPr>
        <w:t xml:space="preserve"> Norte, Quadra 05, Lot B, 3rd Floor, Banco do </w:t>
      </w:r>
      <w:proofErr w:type="spellStart"/>
      <w:r w:rsidRPr="00B84B0C">
        <w:rPr>
          <w:rFonts w:cs="Arial"/>
          <w:lang w:val="en-US"/>
        </w:rPr>
        <w:t>Brasil</w:t>
      </w:r>
      <w:proofErr w:type="spellEnd"/>
      <w:r w:rsidRPr="00B84B0C">
        <w:rPr>
          <w:rFonts w:cs="Arial"/>
          <w:lang w:val="en-US"/>
        </w:rPr>
        <w:t xml:space="preserve"> Building, Asa Norte, Brasilia, Distrito Federal, Brazil. It is a publicly traded </w:t>
      </w:r>
      <w:proofErr w:type="gramStart"/>
      <w:r w:rsidRPr="00B84B0C">
        <w:rPr>
          <w:rFonts w:cs="Arial"/>
          <w:lang w:val="en-US"/>
        </w:rPr>
        <w:t>corporation</w:t>
      </w:r>
      <w:proofErr w:type="gramEnd"/>
      <w:r w:rsidRPr="00B84B0C">
        <w:rPr>
          <w:rFonts w:cs="Arial"/>
          <w:lang w:val="en-US"/>
        </w:rPr>
        <w:t xml:space="preserve"> and its shares are traded in the Novo Mercado segment of B3 SA (</w:t>
      </w:r>
      <w:proofErr w:type="spellStart"/>
      <w:r w:rsidRPr="00B84B0C">
        <w:rPr>
          <w:rFonts w:cs="Arial"/>
          <w:lang w:val="en-US"/>
        </w:rPr>
        <w:t>Brasil</w:t>
      </w:r>
      <w:proofErr w:type="spellEnd"/>
      <w:r w:rsidRPr="00B84B0C">
        <w:rPr>
          <w:rFonts w:cs="Arial"/>
          <w:lang w:val="en-US"/>
        </w:rPr>
        <w:t xml:space="preserve">, Bolsa, </w:t>
      </w:r>
      <w:proofErr w:type="spellStart"/>
      <w:r w:rsidRPr="00B84B0C">
        <w:rPr>
          <w:rFonts w:cs="Arial"/>
          <w:lang w:val="en-US"/>
        </w:rPr>
        <w:t>Balcão</w:t>
      </w:r>
      <w:proofErr w:type="spellEnd"/>
      <w:r w:rsidRPr="00B84B0C">
        <w:rPr>
          <w:rFonts w:cs="Arial"/>
          <w:lang w:val="en-US"/>
        </w:rPr>
        <w:t>), under the code "BBSE3" and its ADRs (American Depositary Receipts) in the USA over-the-counter market, under the code "BBSEY".</w:t>
      </w:r>
    </w:p>
    <w:p w14:paraId="291F8680" w14:textId="77777777" w:rsidR="00720F68" w:rsidRPr="00B84B0C" w:rsidRDefault="00720F68" w:rsidP="00720F68">
      <w:pPr>
        <w:pStyle w:val="05-Textonormal"/>
        <w:rPr>
          <w:rFonts w:cs="Arial"/>
          <w:lang w:val="en-US"/>
        </w:rPr>
      </w:pPr>
      <w:r w:rsidRPr="00B84B0C">
        <w:rPr>
          <w:rFonts w:cs="Arial"/>
          <w:lang w:val="en-US"/>
        </w:rPr>
        <w:t xml:space="preserve">The Group's operations are conducted through its wholly owned subsidiaries BB </w:t>
      </w:r>
      <w:proofErr w:type="spellStart"/>
      <w:r w:rsidRPr="00B84B0C">
        <w:rPr>
          <w:rFonts w:cs="Arial"/>
          <w:lang w:val="en-US"/>
        </w:rPr>
        <w:t>Corretora</w:t>
      </w:r>
      <w:proofErr w:type="spellEnd"/>
      <w:r w:rsidRPr="00B84B0C">
        <w:rPr>
          <w:rFonts w:cs="Arial"/>
          <w:lang w:val="en-US"/>
        </w:rPr>
        <w:t xml:space="preserve"> de </w:t>
      </w:r>
      <w:proofErr w:type="spellStart"/>
      <w:r w:rsidRPr="00B84B0C">
        <w:rPr>
          <w:rFonts w:cs="Arial"/>
          <w:lang w:val="en-US"/>
        </w:rPr>
        <w:t>Seguros</w:t>
      </w:r>
      <w:proofErr w:type="spellEnd"/>
      <w:r w:rsidRPr="00B84B0C">
        <w:rPr>
          <w:rFonts w:cs="Arial"/>
          <w:lang w:val="en-US"/>
        </w:rPr>
        <w:t xml:space="preserve"> e </w:t>
      </w:r>
      <w:proofErr w:type="spellStart"/>
      <w:r w:rsidRPr="00B84B0C">
        <w:rPr>
          <w:rFonts w:cs="Arial"/>
          <w:lang w:val="en-US"/>
        </w:rPr>
        <w:t>Administradora</w:t>
      </w:r>
      <w:proofErr w:type="spellEnd"/>
      <w:r w:rsidRPr="00B84B0C">
        <w:rPr>
          <w:rFonts w:cs="Arial"/>
          <w:lang w:val="en-US"/>
        </w:rPr>
        <w:t xml:space="preserve"> de Bens S.A. (BB </w:t>
      </w:r>
      <w:proofErr w:type="spellStart"/>
      <w:r w:rsidRPr="00B84B0C">
        <w:rPr>
          <w:rFonts w:cs="Arial"/>
          <w:lang w:val="en-US"/>
        </w:rPr>
        <w:t>Corretora</w:t>
      </w:r>
      <w:proofErr w:type="spellEnd"/>
      <w:r w:rsidRPr="00B84B0C">
        <w:rPr>
          <w:rFonts w:cs="Arial"/>
          <w:lang w:val="en-US"/>
        </w:rPr>
        <w:t xml:space="preserve">) and BB </w:t>
      </w:r>
      <w:proofErr w:type="spellStart"/>
      <w:r w:rsidRPr="00B84B0C">
        <w:rPr>
          <w:rFonts w:cs="Arial"/>
          <w:lang w:val="en-US"/>
        </w:rPr>
        <w:t>Seguros</w:t>
      </w:r>
      <w:proofErr w:type="spellEnd"/>
      <w:r w:rsidRPr="00B84B0C">
        <w:rPr>
          <w:rFonts w:cs="Arial"/>
          <w:lang w:val="en-US"/>
        </w:rPr>
        <w:t xml:space="preserve"> </w:t>
      </w:r>
      <w:proofErr w:type="spellStart"/>
      <w:r w:rsidRPr="00B84B0C">
        <w:rPr>
          <w:rFonts w:cs="Arial"/>
          <w:lang w:val="en-US"/>
        </w:rPr>
        <w:t>Participações</w:t>
      </w:r>
      <w:proofErr w:type="spellEnd"/>
      <w:r w:rsidRPr="00B84B0C">
        <w:rPr>
          <w:rFonts w:cs="Arial"/>
          <w:lang w:val="en-US"/>
        </w:rPr>
        <w:t xml:space="preserve"> S.A. (BB </w:t>
      </w:r>
      <w:proofErr w:type="spellStart"/>
      <w:r w:rsidRPr="00B84B0C">
        <w:rPr>
          <w:rFonts w:cs="Arial"/>
          <w:lang w:val="en-US"/>
        </w:rPr>
        <w:t>Seguros</w:t>
      </w:r>
      <w:proofErr w:type="spellEnd"/>
      <w:r w:rsidRPr="00B84B0C">
        <w:rPr>
          <w:rFonts w:cs="Arial"/>
          <w:lang w:val="en-US"/>
        </w:rPr>
        <w:t>), which are under common administrative and management control.</w:t>
      </w:r>
    </w:p>
    <w:p w14:paraId="3977AF5F" w14:textId="77777777" w:rsidR="00720F68" w:rsidRPr="00B84B0C" w:rsidRDefault="00720F68" w:rsidP="00720F68">
      <w:pPr>
        <w:pStyle w:val="05-Textonormal"/>
        <w:rPr>
          <w:rFonts w:cs="Arial"/>
          <w:lang w:val="en-US"/>
        </w:rPr>
      </w:pPr>
      <w:r w:rsidRPr="00B84B0C">
        <w:rPr>
          <w:rFonts w:cs="Arial"/>
          <w:lang w:val="en-US"/>
        </w:rPr>
        <w:t xml:space="preserve">Such participations are currently organized in two segments: risk and accumulation businesses, which operate insurance products, open pension, </w:t>
      </w:r>
      <w:proofErr w:type="gramStart"/>
      <w:r w:rsidRPr="00B84B0C">
        <w:rPr>
          <w:rFonts w:cs="Arial"/>
          <w:lang w:val="en-US"/>
        </w:rPr>
        <w:t>capitalization</w:t>
      </w:r>
      <w:proofErr w:type="gramEnd"/>
      <w:r w:rsidRPr="00B84B0C">
        <w:rPr>
          <w:rFonts w:cs="Arial"/>
          <w:lang w:val="en-US"/>
        </w:rPr>
        <w:t xml:space="preserve"> and dental assistance plans through BB </w:t>
      </w:r>
      <w:proofErr w:type="spellStart"/>
      <w:r w:rsidRPr="00B84B0C">
        <w:rPr>
          <w:rFonts w:cs="Arial"/>
          <w:lang w:val="en-US"/>
        </w:rPr>
        <w:t>Seguros</w:t>
      </w:r>
      <w:proofErr w:type="spellEnd"/>
      <w:r w:rsidRPr="00B84B0C">
        <w:rPr>
          <w:rFonts w:cs="Arial"/>
          <w:lang w:val="en-US"/>
        </w:rPr>
        <w:t xml:space="preserve"> with private partners; and distribution businesses, which sell insurance, open pension, capitalization securities and private dental assistance plans, through BB </w:t>
      </w:r>
      <w:proofErr w:type="spellStart"/>
      <w:r w:rsidRPr="00B84B0C">
        <w:rPr>
          <w:rFonts w:cs="Arial"/>
          <w:lang w:val="en-US"/>
        </w:rPr>
        <w:t>Corretora</w:t>
      </w:r>
      <w:proofErr w:type="spellEnd"/>
      <w:r w:rsidRPr="00B84B0C">
        <w:rPr>
          <w:rFonts w:cs="Arial"/>
          <w:lang w:val="en-US"/>
        </w:rPr>
        <w:t>, in addition to investee that operates in the distribution of insurance products through digital channels.</w:t>
      </w:r>
    </w:p>
    <w:p w14:paraId="3F8FA54E" w14:textId="77777777" w:rsidR="00720F68" w:rsidRPr="00B84B0C" w:rsidRDefault="00720F68" w:rsidP="00720F68">
      <w:pPr>
        <w:pStyle w:val="05-Textonormal"/>
        <w:rPr>
          <w:rFonts w:cs="Arial"/>
          <w:lang w:val="en-US"/>
        </w:rPr>
      </w:pPr>
      <w:r w:rsidRPr="00B84B0C">
        <w:rPr>
          <w:rFonts w:cs="Arial"/>
          <w:lang w:val="en-US"/>
        </w:rPr>
        <w:t xml:space="preserve">Counting on Banco do </w:t>
      </w:r>
      <w:proofErr w:type="spellStart"/>
      <w:r w:rsidRPr="00B84B0C">
        <w:rPr>
          <w:rFonts w:cs="Arial"/>
          <w:lang w:val="en-US"/>
        </w:rPr>
        <w:t>Brasil's</w:t>
      </w:r>
      <w:proofErr w:type="spellEnd"/>
      <w:r w:rsidRPr="00B84B0C">
        <w:rPr>
          <w:rFonts w:cs="Arial"/>
          <w:lang w:val="en-US"/>
        </w:rPr>
        <w:t xml:space="preserve"> distribution network as the main channel for marketing a complete portfolio of products with the intermediation of its own brokerage house, BB </w:t>
      </w:r>
      <w:proofErr w:type="spellStart"/>
      <w:r w:rsidRPr="00B84B0C">
        <w:rPr>
          <w:rFonts w:cs="Arial"/>
          <w:lang w:val="en-US"/>
        </w:rPr>
        <w:t>Seguridade</w:t>
      </w:r>
      <w:proofErr w:type="spellEnd"/>
      <w:r w:rsidRPr="00B84B0C">
        <w:rPr>
          <w:rFonts w:cs="Arial"/>
          <w:lang w:val="en-US"/>
        </w:rPr>
        <w:t xml:space="preserve"> currently occupies a prominent position in the market in all segments in which it is present.</w:t>
      </w:r>
    </w:p>
    <w:p w14:paraId="04C57A5B" w14:textId="77777777" w:rsidR="00720F68" w:rsidRPr="00B84B0C" w:rsidRDefault="00720F68" w:rsidP="00720F68">
      <w:pPr>
        <w:pStyle w:val="05-Textonormal"/>
        <w:rPr>
          <w:rFonts w:cs="Arial"/>
          <w:lang w:val="en-US"/>
        </w:rPr>
      </w:pPr>
      <w:r w:rsidRPr="00B84B0C">
        <w:rPr>
          <w:rFonts w:cs="Arial"/>
          <w:lang w:val="en-US"/>
        </w:rPr>
        <w:t xml:space="preserve">In January 2020, an outbreak caused by the new coronavirus (Covid-19) spread throughout the world, affecting the daily lives of people and companies. The World Health Organization (WHO) declared that the outbreak of the disease is a Public Health Emergency of International Importance. In March 2020, Covid-19 was characterized by the WHO as a pandemic. </w:t>
      </w:r>
    </w:p>
    <w:p w14:paraId="26F3A072" w14:textId="77777777" w:rsidR="00720F68" w:rsidRPr="00B84B0C" w:rsidRDefault="00720F68" w:rsidP="00720F68">
      <w:pPr>
        <w:pStyle w:val="05-Textonormal"/>
        <w:rPr>
          <w:rFonts w:cs="Arial"/>
          <w:lang w:val="en-US"/>
        </w:rPr>
      </w:pPr>
      <w:r w:rsidRPr="00B84B0C">
        <w:rPr>
          <w:rFonts w:cs="Arial"/>
          <w:lang w:val="en-US"/>
        </w:rPr>
        <w:t xml:space="preserve">Considering this new situation, despite the maintenance of long-term strategy, the Company's management model was adapted to contemplate an even more focused action. </w:t>
      </w:r>
      <w:proofErr w:type="gramStart"/>
      <w:r w:rsidRPr="00B84B0C">
        <w:rPr>
          <w:rFonts w:cs="Arial"/>
          <w:lang w:val="en-US"/>
        </w:rPr>
        <w:t>An</w:t>
      </w:r>
      <w:proofErr w:type="gramEnd"/>
      <w:r w:rsidRPr="00B84B0C">
        <w:rPr>
          <w:rFonts w:cs="Arial"/>
          <w:lang w:val="en-US"/>
        </w:rPr>
        <w:t xml:space="preserve"> specific Plan to fight Covid-19 was created comprising the initiatives prioritized by the Company, which are conducted by multidisciplinary teams, with monitoring and execution flows communicated and fed back by all internal stakeholders.</w:t>
      </w:r>
    </w:p>
    <w:p w14:paraId="6B5EEF68" w14:textId="77777777" w:rsidR="00720F68" w:rsidRPr="00B84B0C" w:rsidRDefault="00720F68" w:rsidP="00720F68">
      <w:pPr>
        <w:pStyle w:val="05-Textonormal"/>
        <w:rPr>
          <w:rFonts w:cs="Arial"/>
          <w:lang w:val="en-US"/>
        </w:rPr>
      </w:pPr>
      <w:r w:rsidRPr="00B84B0C">
        <w:rPr>
          <w:rFonts w:cs="Arial"/>
          <w:lang w:val="en-US"/>
        </w:rPr>
        <w:t>This Plan, sustained by the pillars of extreme focus, agile decision making and timely communication, has four goals: (</w:t>
      </w:r>
      <w:proofErr w:type="spellStart"/>
      <w:r w:rsidRPr="00B84B0C">
        <w:rPr>
          <w:rFonts w:cs="Arial"/>
          <w:lang w:val="en-US"/>
        </w:rPr>
        <w:t>i</w:t>
      </w:r>
      <w:proofErr w:type="spellEnd"/>
      <w:r w:rsidRPr="00B84B0C">
        <w:rPr>
          <w:rFonts w:cs="Arial"/>
          <w:lang w:val="en-US"/>
        </w:rPr>
        <w:t>) to take care of our teams; (ii) to be together with clients and the society; (iii) to ensure the sustainability of the company; and (iv) to prepare for the post-crisis period.</w:t>
      </w:r>
    </w:p>
    <w:p w14:paraId="34135940" w14:textId="77777777" w:rsidR="00720F68" w:rsidRPr="00B84B0C" w:rsidRDefault="00720F68" w:rsidP="00720F68">
      <w:pPr>
        <w:pStyle w:val="05-Textonormal"/>
        <w:rPr>
          <w:rFonts w:cs="Arial"/>
          <w:lang w:val="en-US"/>
        </w:rPr>
      </w:pPr>
      <w:r w:rsidRPr="00B84B0C">
        <w:rPr>
          <w:rFonts w:cs="Arial"/>
          <w:lang w:val="en-US"/>
        </w:rPr>
        <w:t xml:space="preserve">Our clients continue to be served and supported in their needs, and insurance, in the current scenario, presents itself as a great ally to bring the serenity and safety expected by those who already use our products and services, in addition to those who will consume them from this adverse situation on. We have extended the limits of service in digital channels and remain focused on completing the self-service journeys. We also offer benefits and services to help clients to go through the situation of social isolation. </w:t>
      </w:r>
    </w:p>
    <w:p w14:paraId="6553B873" w14:textId="77777777" w:rsidR="00720F68" w:rsidRPr="00B84B0C" w:rsidRDefault="00720F68" w:rsidP="00720F68">
      <w:pPr>
        <w:pStyle w:val="05-Textonormal"/>
        <w:rPr>
          <w:rFonts w:cs="Arial"/>
          <w:lang w:val="en-US"/>
        </w:rPr>
      </w:pPr>
      <w:r w:rsidRPr="00B84B0C">
        <w:rPr>
          <w:rFonts w:cs="Arial"/>
          <w:lang w:val="en-US"/>
        </w:rPr>
        <w:t>Taking the measures to sustain our current business, while keeping our eyes on the new normal, completes the Company's initiatives to face the effects of Covid-19. Hence, we prioritize revenue generation with businesses that are more adherent and less impacted by the situation, ensuring that strategic technology deployments do not slow down the pace, in addition to accelerating projects with high potential to capture market opportunities.</w:t>
      </w:r>
    </w:p>
    <w:p w14:paraId="57D80990" w14:textId="77777777" w:rsidR="00720F68" w:rsidRPr="00B84B0C" w:rsidRDefault="00720F68" w:rsidP="00720F68">
      <w:pPr>
        <w:pStyle w:val="05-Textonormal"/>
        <w:rPr>
          <w:rFonts w:cs="Arial"/>
          <w:lang w:val="en-US"/>
        </w:rPr>
      </w:pPr>
      <w:r w:rsidRPr="00B84B0C">
        <w:rPr>
          <w:rFonts w:cs="Arial"/>
          <w:lang w:val="en-US"/>
        </w:rPr>
        <w:t>In this way, the company has been monitoring and adapting itself to the impacts and evaluating the scenarios that have affected or may come to affect its operations, with daily assessment of the situation, updating of preventive measures and risk minimization actions, and coordination of the execution of action plans in the Continuity Coordinator Group. Up to now, no material impacts that may jeopardize the sustainability of the Company and its Investees’ operations have been identified.</w:t>
      </w:r>
    </w:p>
    <w:p w14:paraId="15F3C7D6" w14:textId="77777777" w:rsidR="00720F68" w:rsidRPr="00B84B0C" w:rsidRDefault="00720F68" w:rsidP="00720F68">
      <w:pPr>
        <w:pStyle w:val="05-Textonormal"/>
        <w:rPr>
          <w:rFonts w:cs="Arial"/>
          <w:lang w:val="en-US"/>
        </w:rPr>
      </w:pPr>
      <w:r w:rsidRPr="00B84B0C">
        <w:rPr>
          <w:rFonts w:cs="Arial"/>
          <w:lang w:val="en-US"/>
        </w:rPr>
        <w:t>In addition, the Company has adopted several measures to mitigate the impacts resulting from the pandemic, with the objective of maintaining the safety of its employees, collaborating with society and the authorities to restrain virus and sustaining its operations, such as the adoption of remote work for all employees, the cancellation or postponement of international and domestic travel and the suspension of on-site training and corporate events, in addition to encouraging the adoption of teleconference and videoconference solutions for internal and external meetings.</w:t>
      </w:r>
    </w:p>
    <w:p w14:paraId="44460D25" w14:textId="77777777" w:rsidR="00720F68" w:rsidRPr="00B84B0C" w:rsidRDefault="00720F68" w:rsidP="00720F68">
      <w:pPr>
        <w:pStyle w:val="05-Textonormal"/>
        <w:rPr>
          <w:rFonts w:cs="Arial"/>
          <w:lang w:val="en-US"/>
        </w:rPr>
      </w:pPr>
      <w:r w:rsidRPr="00B84B0C">
        <w:rPr>
          <w:rFonts w:cs="Arial"/>
          <w:lang w:val="en-US"/>
        </w:rPr>
        <w:t xml:space="preserve">In the social field, given that the pandemic has already considerably affected the domestic socioeconomic situation and always thinking about protection and care for people, the Group, through BB </w:t>
      </w:r>
      <w:proofErr w:type="spellStart"/>
      <w:r w:rsidRPr="00B84B0C">
        <w:rPr>
          <w:rFonts w:cs="Arial"/>
          <w:lang w:val="en-US"/>
        </w:rPr>
        <w:t>Corretora</w:t>
      </w:r>
      <w:proofErr w:type="spellEnd"/>
      <w:r w:rsidRPr="00B84B0C">
        <w:rPr>
          <w:rFonts w:cs="Arial"/>
          <w:lang w:val="en-US"/>
        </w:rPr>
        <w:t xml:space="preserve">, approved the adoption of up to R$ </w:t>
      </w:r>
      <w:r w:rsidRPr="00B84B0C">
        <w:rPr>
          <w:rFonts w:cs="Arial"/>
          <w:lang w:val="en-US"/>
        </w:rPr>
        <w:lastRenderedPageBreak/>
        <w:t xml:space="preserve">40 million, via </w:t>
      </w:r>
      <w:proofErr w:type="spellStart"/>
      <w:r w:rsidRPr="00B84B0C">
        <w:rPr>
          <w:rFonts w:cs="Arial"/>
          <w:lang w:val="en-US"/>
        </w:rPr>
        <w:t>Fundação</w:t>
      </w:r>
      <w:proofErr w:type="spellEnd"/>
      <w:r w:rsidRPr="00B84B0C">
        <w:rPr>
          <w:rFonts w:cs="Arial"/>
          <w:lang w:val="en-US"/>
        </w:rPr>
        <w:t xml:space="preserve"> Banco do </w:t>
      </w:r>
      <w:proofErr w:type="spellStart"/>
      <w:r w:rsidRPr="00B84B0C">
        <w:rPr>
          <w:rFonts w:cs="Arial"/>
          <w:lang w:val="en-US"/>
        </w:rPr>
        <w:t>Brasil</w:t>
      </w:r>
      <w:proofErr w:type="spellEnd"/>
      <w:r w:rsidRPr="00B84B0C">
        <w:rPr>
          <w:rFonts w:cs="Arial"/>
          <w:lang w:val="en-US"/>
        </w:rPr>
        <w:t>, with the disbursements occurring on the Foundation’s pace of demand, aiming to contain the effects of the coronavirus dissemination. The amount collected will be destined to the supply of food, cleaning products and hygiene for the people who are in the group of risk or in situation of social vulnerability in all regions of the country.</w:t>
      </w:r>
    </w:p>
    <w:p w14:paraId="4E732B51" w14:textId="77777777" w:rsidR="00720F68" w:rsidRPr="00B84B0C" w:rsidRDefault="00720F68" w:rsidP="00720F68">
      <w:pPr>
        <w:pStyle w:val="05-Textonormal"/>
        <w:rPr>
          <w:rFonts w:cs="Arial"/>
          <w:lang w:val="en-US"/>
        </w:rPr>
      </w:pPr>
      <w:r w:rsidRPr="00B84B0C">
        <w:rPr>
          <w:rFonts w:cs="Arial"/>
          <w:lang w:val="en-US"/>
        </w:rPr>
        <w:t xml:space="preserve">We understand that BB </w:t>
      </w:r>
      <w:proofErr w:type="spellStart"/>
      <w:r w:rsidRPr="00B84B0C">
        <w:rPr>
          <w:rFonts w:cs="Arial"/>
          <w:lang w:val="en-US"/>
        </w:rPr>
        <w:t>Seguridade</w:t>
      </w:r>
      <w:proofErr w:type="spellEnd"/>
      <w:r w:rsidRPr="00B84B0C">
        <w:rPr>
          <w:rFonts w:cs="Arial"/>
          <w:lang w:val="en-US"/>
        </w:rPr>
        <w:t xml:space="preserve"> has the appropriate workforce and liquidity to overcome the challenge in the best possible way. The monitoring of possible risks inherent to the pandemic that may affect the company, logistics and employees and customers are addressed in Explanatory Note 5 - RISK MANAGEMENT.</w:t>
      </w:r>
    </w:p>
    <w:p w14:paraId="3351AB54" w14:textId="77777777" w:rsidR="00720F68" w:rsidRPr="00B84B0C" w:rsidRDefault="00720F68" w:rsidP="00720F68">
      <w:pPr>
        <w:pStyle w:val="05-Textonormal"/>
        <w:rPr>
          <w:rFonts w:cs="Arial"/>
          <w:lang w:val="en-US"/>
        </w:rPr>
      </w:pPr>
    </w:p>
    <w:p w14:paraId="1731BC28" w14:textId="3673C105" w:rsidR="00720F68" w:rsidRPr="00B84B0C" w:rsidRDefault="00720F68" w:rsidP="00720F68">
      <w:pPr>
        <w:pStyle w:val="02-TtulodeNota"/>
        <w:rPr>
          <w:rFonts w:cs="Arial"/>
          <w:caps/>
          <w:color w:val="1F4E79" w:themeColor="accent1" w:themeShade="80"/>
        </w:rPr>
      </w:pPr>
      <w:bookmarkStart w:id="12" w:name="_Toc39131486"/>
      <w:r w:rsidRPr="00B84B0C">
        <w:rPr>
          <w:rFonts w:cs="Arial"/>
          <w:caps/>
          <w:color w:val="1F4E79" w:themeColor="accent1" w:themeShade="80"/>
        </w:rPr>
        <w:t>2 – ACQUISITIONS, DISPOSALS AND CORPORATE RESTRUCTURINGS</w:t>
      </w:r>
      <w:bookmarkEnd w:id="12"/>
    </w:p>
    <w:p w14:paraId="6A0C14DC" w14:textId="77777777" w:rsidR="00720F68" w:rsidRPr="00B84B0C" w:rsidRDefault="00720F68" w:rsidP="00720F68">
      <w:pPr>
        <w:pStyle w:val="03-SubttulodeNota"/>
        <w:rPr>
          <w:rFonts w:cs="Arial"/>
          <w:snapToGrid w:val="0"/>
          <w:color w:val="1F4E79" w:themeColor="accent1" w:themeShade="80"/>
          <w:sz w:val="18"/>
          <w:szCs w:val="18"/>
        </w:rPr>
      </w:pPr>
      <w:r w:rsidRPr="00B84B0C">
        <w:rPr>
          <w:rFonts w:cs="Arial"/>
          <w:snapToGrid w:val="0"/>
          <w:color w:val="1F4E79" w:themeColor="accent1" w:themeShade="80"/>
          <w:sz w:val="18"/>
          <w:szCs w:val="18"/>
        </w:rPr>
        <w:t xml:space="preserve">a) Total </w:t>
      </w:r>
      <w:proofErr w:type="spellStart"/>
      <w:r w:rsidRPr="00B84B0C">
        <w:rPr>
          <w:rFonts w:cs="Arial"/>
          <w:snapToGrid w:val="0"/>
          <w:color w:val="1F4E79" w:themeColor="accent1" w:themeShade="80"/>
          <w:sz w:val="18"/>
          <w:szCs w:val="18"/>
        </w:rPr>
        <w:t>Disposal</w:t>
      </w:r>
      <w:proofErr w:type="spellEnd"/>
      <w:r w:rsidRPr="00B84B0C">
        <w:rPr>
          <w:rFonts w:cs="Arial"/>
          <w:snapToGrid w:val="0"/>
          <w:color w:val="1F4E79" w:themeColor="accent1" w:themeShade="80"/>
          <w:sz w:val="18"/>
          <w:szCs w:val="18"/>
        </w:rPr>
        <w:t xml:space="preserve"> </w:t>
      </w:r>
      <w:proofErr w:type="spellStart"/>
      <w:r w:rsidRPr="00B84B0C">
        <w:rPr>
          <w:rFonts w:cs="Arial"/>
          <w:snapToGrid w:val="0"/>
          <w:color w:val="1F4E79" w:themeColor="accent1" w:themeShade="80"/>
          <w:sz w:val="18"/>
          <w:szCs w:val="18"/>
        </w:rPr>
        <w:t>of</w:t>
      </w:r>
      <w:proofErr w:type="spellEnd"/>
      <w:r w:rsidRPr="00B84B0C">
        <w:rPr>
          <w:rFonts w:cs="Arial"/>
          <w:snapToGrid w:val="0"/>
          <w:color w:val="1F4E79" w:themeColor="accent1" w:themeShade="80"/>
          <w:sz w:val="18"/>
          <w:szCs w:val="18"/>
        </w:rPr>
        <w:t xml:space="preserve"> </w:t>
      </w:r>
      <w:proofErr w:type="spellStart"/>
      <w:r w:rsidRPr="00B84B0C">
        <w:rPr>
          <w:rFonts w:cs="Arial"/>
          <w:snapToGrid w:val="0"/>
          <w:color w:val="1F4E79" w:themeColor="accent1" w:themeShade="80"/>
          <w:sz w:val="18"/>
          <w:szCs w:val="18"/>
        </w:rPr>
        <w:t>Shares</w:t>
      </w:r>
      <w:proofErr w:type="spellEnd"/>
      <w:r w:rsidRPr="00B84B0C">
        <w:rPr>
          <w:rFonts w:cs="Arial"/>
          <w:snapToGrid w:val="0"/>
          <w:color w:val="1F4E79" w:themeColor="accent1" w:themeShade="80"/>
          <w:sz w:val="18"/>
          <w:szCs w:val="18"/>
        </w:rPr>
        <w:t xml:space="preserve"> – IRB-Brasil Resseguros S.A.</w:t>
      </w:r>
    </w:p>
    <w:p w14:paraId="6C891CF4" w14:textId="77777777" w:rsidR="00720F68" w:rsidRPr="00B84B0C" w:rsidRDefault="00720F68" w:rsidP="00720F68">
      <w:pPr>
        <w:pStyle w:val="05-Textonormal2"/>
        <w:rPr>
          <w:rFonts w:cs="Arial"/>
        </w:rPr>
      </w:pPr>
      <w:proofErr w:type="spellStart"/>
      <w:r w:rsidRPr="00B84B0C">
        <w:rPr>
          <w:rFonts w:cs="Arial"/>
        </w:rPr>
        <w:t>On</w:t>
      </w:r>
      <w:proofErr w:type="spellEnd"/>
      <w:r w:rsidRPr="00B84B0C">
        <w:rPr>
          <w:rFonts w:cs="Arial"/>
        </w:rPr>
        <w:t xml:space="preserve"> July 10, 2019, </w:t>
      </w:r>
      <w:proofErr w:type="spellStart"/>
      <w:r w:rsidRPr="00B84B0C">
        <w:rPr>
          <w:rFonts w:cs="Arial"/>
        </w:rPr>
        <w:t>after</w:t>
      </w:r>
      <w:proofErr w:type="spellEnd"/>
      <w:r w:rsidRPr="00B84B0C">
        <w:rPr>
          <w:rFonts w:cs="Arial"/>
        </w:rPr>
        <w:t xml:space="preserve"> </w:t>
      </w:r>
      <w:proofErr w:type="spellStart"/>
      <w:r w:rsidRPr="00B84B0C">
        <w:rPr>
          <w:rFonts w:cs="Arial"/>
        </w:rPr>
        <w:t>decision</w:t>
      </w:r>
      <w:proofErr w:type="spellEnd"/>
      <w:r w:rsidRPr="00B84B0C">
        <w:rPr>
          <w:rFonts w:cs="Arial"/>
        </w:rPr>
        <w:t xml:space="preserve"> </w:t>
      </w:r>
      <w:proofErr w:type="spellStart"/>
      <w:r w:rsidRPr="00B84B0C">
        <w:rPr>
          <w:rFonts w:cs="Arial"/>
        </w:rPr>
        <w:t>from</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Company’s</w:t>
      </w:r>
      <w:proofErr w:type="spellEnd"/>
      <w:r w:rsidRPr="00B84B0C">
        <w:rPr>
          <w:rFonts w:cs="Arial"/>
        </w:rPr>
        <w:t xml:space="preserve"> Board </w:t>
      </w:r>
      <w:proofErr w:type="spellStart"/>
      <w:r w:rsidRPr="00B84B0C">
        <w:rPr>
          <w:rFonts w:cs="Arial"/>
        </w:rPr>
        <w:t>of</w:t>
      </w:r>
      <w:proofErr w:type="spellEnd"/>
      <w:r w:rsidRPr="00B84B0C">
        <w:rPr>
          <w:rFonts w:cs="Arial"/>
        </w:rPr>
        <w:t xml:space="preserve"> </w:t>
      </w:r>
      <w:proofErr w:type="spellStart"/>
      <w:r w:rsidRPr="00B84B0C">
        <w:rPr>
          <w:rFonts w:cs="Arial"/>
        </w:rPr>
        <w:t>Directors</w:t>
      </w:r>
      <w:proofErr w:type="spellEnd"/>
      <w:r w:rsidRPr="00B84B0C">
        <w:rPr>
          <w:rFonts w:cs="Arial"/>
        </w:rPr>
        <w:t xml:space="preserve">, BB Seguros Participações S.A. </w:t>
      </w:r>
      <w:proofErr w:type="spellStart"/>
      <w:r w:rsidRPr="00B84B0C">
        <w:rPr>
          <w:rFonts w:cs="Arial"/>
        </w:rPr>
        <w:t>Executive</w:t>
      </w:r>
      <w:proofErr w:type="spellEnd"/>
      <w:r w:rsidRPr="00B84B0C">
        <w:rPr>
          <w:rFonts w:cs="Arial"/>
        </w:rPr>
        <w:t xml:space="preserve"> Board </w:t>
      </w:r>
      <w:proofErr w:type="spellStart"/>
      <w:r w:rsidRPr="00B84B0C">
        <w:rPr>
          <w:rFonts w:cs="Arial"/>
        </w:rPr>
        <w:t>approved</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launch</w:t>
      </w:r>
      <w:proofErr w:type="spellEnd"/>
      <w:r w:rsidRPr="00B84B0C">
        <w:rPr>
          <w:rFonts w:cs="Arial"/>
        </w:rPr>
        <w:t xml:space="preserve"> </w:t>
      </w:r>
      <w:proofErr w:type="spellStart"/>
      <w:r w:rsidRPr="00B84B0C">
        <w:rPr>
          <w:rFonts w:cs="Arial"/>
        </w:rPr>
        <w:t>of</w:t>
      </w:r>
      <w:proofErr w:type="spellEnd"/>
      <w:r w:rsidRPr="00B84B0C">
        <w:rPr>
          <w:rFonts w:cs="Arial"/>
        </w:rPr>
        <w:t xml:space="preserve"> a </w:t>
      </w:r>
      <w:proofErr w:type="spellStart"/>
      <w:r w:rsidRPr="00B84B0C">
        <w:rPr>
          <w:rFonts w:cs="Arial"/>
        </w:rPr>
        <w:t>restricted</w:t>
      </w:r>
      <w:proofErr w:type="spellEnd"/>
      <w:r w:rsidRPr="00B84B0C">
        <w:rPr>
          <w:rFonts w:cs="Arial"/>
        </w:rPr>
        <w:t xml:space="preserve"> </w:t>
      </w:r>
      <w:proofErr w:type="spellStart"/>
      <w:r w:rsidRPr="00B84B0C">
        <w:rPr>
          <w:rFonts w:cs="Arial"/>
        </w:rPr>
        <w:t>secondary</w:t>
      </w:r>
      <w:proofErr w:type="spellEnd"/>
      <w:r w:rsidRPr="00B84B0C">
        <w:rPr>
          <w:rFonts w:cs="Arial"/>
        </w:rPr>
        <w:t xml:space="preserve"> </w:t>
      </w:r>
      <w:proofErr w:type="spellStart"/>
      <w:r w:rsidRPr="00B84B0C">
        <w:rPr>
          <w:rFonts w:cs="Arial"/>
        </w:rPr>
        <w:t>public</w:t>
      </w:r>
      <w:proofErr w:type="spellEnd"/>
      <w:r w:rsidRPr="00B84B0C">
        <w:rPr>
          <w:rFonts w:cs="Arial"/>
        </w:rPr>
        <w:t xml:space="preserve"> </w:t>
      </w:r>
      <w:proofErr w:type="spellStart"/>
      <w:r w:rsidRPr="00B84B0C">
        <w:rPr>
          <w:rFonts w:cs="Arial"/>
        </w:rPr>
        <w:t>offering</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shares</w:t>
      </w:r>
      <w:proofErr w:type="spellEnd"/>
      <w:r w:rsidRPr="00B84B0C">
        <w:rPr>
          <w:rFonts w:cs="Arial"/>
        </w:rPr>
        <w:t xml:space="preserve"> (“</w:t>
      </w:r>
      <w:proofErr w:type="spellStart"/>
      <w:r w:rsidRPr="00B84B0C">
        <w:rPr>
          <w:rFonts w:cs="Arial"/>
        </w:rPr>
        <w:t>Restricted</w:t>
      </w:r>
      <w:proofErr w:type="spellEnd"/>
      <w:r w:rsidRPr="00B84B0C">
        <w:rPr>
          <w:rFonts w:cs="Arial"/>
        </w:rPr>
        <w:t xml:space="preserve"> </w:t>
      </w:r>
      <w:proofErr w:type="spellStart"/>
      <w:r w:rsidRPr="00B84B0C">
        <w:rPr>
          <w:rFonts w:cs="Arial"/>
        </w:rPr>
        <w:t>Offering</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dispose</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all</w:t>
      </w:r>
      <w:proofErr w:type="spellEnd"/>
      <w:r w:rsidRPr="00B84B0C">
        <w:rPr>
          <w:rFonts w:cs="Arial"/>
        </w:rPr>
        <w:t xml:space="preserve"> 47,520,213 IRB-Brasil RE common </w:t>
      </w:r>
      <w:proofErr w:type="spellStart"/>
      <w:r w:rsidRPr="00B84B0C">
        <w:rPr>
          <w:rFonts w:cs="Arial"/>
        </w:rPr>
        <w:t>shares</w:t>
      </w:r>
      <w:proofErr w:type="spellEnd"/>
      <w:r w:rsidRPr="00B84B0C">
        <w:rPr>
          <w:rFonts w:cs="Arial"/>
        </w:rPr>
        <w:t xml:space="preserve"> </w:t>
      </w:r>
      <w:proofErr w:type="spellStart"/>
      <w:r w:rsidRPr="00B84B0C">
        <w:rPr>
          <w:rFonts w:cs="Arial"/>
        </w:rPr>
        <w:t>held</w:t>
      </w:r>
      <w:proofErr w:type="spellEnd"/>
      <w:r w:rsidRPr="00B84B0C">
        <w:rPr>
          <w:rFonts w:cs="Arial"/>
        </w:rPr>
        <w:t xml:space="preserve"> </w:t>
      </w:r>
      <w:proofErr w:type="spellStart"/>
      <w:r w:rsidRPr="00B84B0C">
        <w:rPr>
          <w:rFonts w:cs="Arial"/>
        </w:rPr>
        <w:t>by</w:t>
      </w:r>
      <w:proofErr w:type="spellEnd"/>
      <w:r w:rsidRPr="00B84B0C">
        <w:rPr>
          <w:rFonts w:cs="Arial"/>
        </w:rPr>
        <w:t xml:space="preserve"> BB Seguros, in </w:t>
      </w:r>
      <w:proofErr w:type="spellStart"/>
      <w:r w:rsidRPr="00B84B0C">
        <w:rPr>
          <w:rFonts w:cs="Arial"/>
        </w:rPr>
        <w:t>line</w:t>
      </w:r>
      <w:proofErr w:type="spellEnd"/>
      <w:r w:rsidRPr="00B84B0C">
        <w:rPr>
          <w:rFonts w:cs="Arial"/>
        </w:rPr>
        <w:t xml:space="preserve"> </w:t>
      </w:r>
      <w:proofErr w:type="spellStart"/>
      <w:r w:rsidRPr="00B84B0C">
        <w:rPr>
          <w:rFonts w:cs="Arial"/>
        </w:rPr>
        <w:t>with</w:t>
      </w:r>
      <w:proofErr w:type="spellEnd"/>
      <w:r w:rsidRPr="00B84B0C">
        <w:rPr>
          <w:rFonts w:cs="Arial"/>
        </w:rPr>
        <w:t xml:space="preserve"> BB Seguridade </w:t>
      </w:r>
      <w:proofErr w:type="spellStart"/>
      <w:r w:rsidRPr="00B84B0C">
        <w:rPr>
          <w:rFonts w:cs="Arial"/>
        </w:rPr>
        <w:t>strategy</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focusing</w:t>
      </w:r>
      <w:proofErr w:type="spellEnd"/>
      <w:r w:rsidRPr="00B84B0C">
        <w:rPr>
          <w:rFonts w:cs="Arial"/>
        </w:rPr>
        <w:t xml:space="preserve"> </w:t>
      </w:r>
      <w:proofErr w:type="spellStart"/>
      <w:r w:rsidRPr="00B84B0C">
        <w:rPr>
          <w:rFonts w:cs="Arial"/>
        </w:rPr>
        <w:t>on</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most</w:t>
      </w:r>
      <w:proofErr w:type="spellEnd"/>
      <w:r w:rsidRPr="00B84B0C">
        <w:rPr>
          <w:rFonts w:cs="Arial"/>
        </w:rPr>
        <w:t xml:space="preserve"> </w:t>
      </w:r>
      <w:proofErr w:type="spellStart"/>
      <w:r w:rsidRPr="00B84B0C">
        <w:rPr>
          <w:rFonts w:cs="Arial"/>
        </w:rPr>
        <w:t>profitable</w:t>
      </w:r>
      <w:proofErr w:type="spellEnd"/>
      <w:r w:rsidRPr="00B84B0C">
        <w:rPr>
          <w:rFonts w:cs="Arial"/>
        </w:rPr>
        <w:t xml:space="preserve"> </w:t>
      </w:r>
      <w:proofErr w:type="spellStart"/>
      <w:r w:rsidRPr="00B84B0C">
        <w:rPr>
          <w:rFonts w:cs="Arial"/>
        </w:rPr>
        <w:t>segments</w:t>
      </w:r>
      <w:proofErr w:type="spellEnd"/>
      <w:r w:rsidRPr="00B84B0C">
        <w:rPr>
          <w:rFonts w:cs="Arial"/>
        </w:rPr>
        <w:t xml:space="preserve"> for </w:t>
      </w:r>
      <w:proofErr w:type="spellStart"/>
      <w:r w:rsidRPr="00B84B0C">
        <w:rPr>
          <w:rFonts w:cs="Arial"/>
        </w:rPr>
        <w:t>the</w:t>
      </w:r>
      <w:proofErr w:type="spellEnd"/>
      <w:r w:rsidRPr="00B84B0C">
        <w:rPr>
          <w:rFonts w:cs="Arial"/>
        </w:rPr>
        <w:t xml:space="preserve"> </w:t>
      </w:r>
      <w:proofErr w:type="spellStart"/>
      <w:r w:rsidRPr="00B84B0C">
        <w:rPr>
          <w:rFonts w:cs="Arial"/>
        </w:rPr>
        <w:t>Company</w:t>
      </w:r>
      <w:proofErr w:type="spellEnd"/>
      <w:r w:rsidRPr="00B84B0C">
        <w:rPr>
          <w:rFonts w:cs="Arial"/>
        </w:rPr>
        <w:t xml:space="preserve"> </w:t>
      </w:r>
      <w:proofErr w:type="spellStart"/>
      <w:r w:rsidRPr="00B84B0C">
        <w:rPr>
          <w:rFonts w:cs="Arial"/>
        </w:rPr>
        <w:t>and</w:t>
      </w:r>
      <w:proofErr w:type="spellEnd"/>
      <w:r w:rsidRPr="00B84B0C">
        <w:rPr>
          <w:rFonts w:cs="Arial"/>
        </w:rPr>
        <w:t xml:space="preserve"> </w:t>
      </w:r>
      <w:proofErr w:type="spellStart"/>
      <w:r w:rsidRPr="00B84B0C">
        <w:rPr>
          <w:rFonts w:cs="Arial"/>
        </w:rPr>
        <w:t>with</w:t>
      </w:r>
      <w:proofErr w:type="spellEnd"/>
      <w:r w:rsidRPr="00B84B0C">
        <w:rPr>
          <w:rFonts w:cs="Arial"/>
        </w:rPr>
        <w:t xml:space="preserve"> high </w:t>
      </w:r>
      <w:proofErr w:type="spellStart"/>
      <w:r w:rsidRPr="00B84B0C">
        <w:rPr>
          <w:rFonts w:cs="Arial"/>
        </w:rPr>
        <w:t>synergy</w:t>
      </w:r>
      <w:proofErr w:type="spellEnd"/>
      <w:r w:rsidRPr="00B84B0C">
        <w:rPr>
          <w:rFonts w:cs="Arial"/>
        </w:rPr>
        <w:t xml:space="preserve"> in </w:t>
      </w:r>
      <w:proofErr w:type="spellStart"/>
      <w:r w:rsidRPr="00B84B0C">
        <w:rPr>
          <w:rFonts w:cs="Arial"/>
        </w:rPr>
        <w:t>distribution</w:t>
      </w:r>
      <w:proofErr w:type="spellEnd"/>
      <w:r w:rsidRPr="00B84B0C">
        <w:rPr>
          <w:rFonts w:cs="Arial"/>
        </w:rPr>
        <w:t xml:space="preserve"> </w:t>
      </w:r>
      <w:proofErr w:type="spellStart"/>
      <w:r w:rsidRPr="00B84B0C">
        <w:rPr>
          <w:rFonts w:cs="Arial"/>
        </w:rPr>
        <w:t>through</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r w:rsidRPr="00B84B0C">
        <w:rPr>
          <w:rStyle w:val="tlid-translation"/>
          <w:rFonts w:cs="Arial"/>
          <w:lang w:val="en"/>
        </w:rPr>
        <w:t>banking channel.</w:t>
      </w:r>
      <w:r w:rsidRPr="00B84B0C">
        <w:rPr>
          <w:rFonts w:cs="Arial"/>
        </w:rPr>
        <w:t xml:space="preserve"> At </w:t>
      </w:r>
      <w:proofErr w:type="spellStart"/>
      <w:r w:rsidRPr="00B84B0C">
        <w:rPr>
          <w:rFonts w:cs="Arial"/>
        </w:rPr>
        <w:t>the</w:t>
      </w:r>
      <w:proofErr w:type="spellEnd"/>
      <w:r w:rsidRPr="00B84B0C">
        <w:rPr>
          <w:rFonts w:cs="Arial"/>
        </w:rPr>
        <w:t xml:space="preserve"> </w:t>
      </w:r>
      <w:proofErr w:type="spellStart"/>
      <w:r w:rsidRPr="00B84B0C">
        <w:rPr>
          <w:rFonts w:cs="Arial"/>
        </w:rPr>
        <w:t>same</w:t>
      </w:r>
      <w:proofErr w:type="spellEnd"/>
      <w:r w:rsidRPr="00B84B0C">
        <w:rPr>
          <w:rFonts w:cs="Arial"/>
        </w:rPr>
        <w:t xml:space="preserve"> </w:t>
      </w:r>
      <w:proofErr w:type="spellStart"/>
      <w:r w:rsidRPr="00B84B0C">
        <w:rPr>
          <w:rFonts w:cs="Arial"/>
        </w:rPr>
        <w:t>Restricted</w:t>
      </w:r>
      <w:proofErr w:type="spellEnd"/>
      <w:r w:rsidRPr="00B84B0C">
        <w:rPr>
          <w:rFonts w:cs="Arial"/>
        </w:rPr>
        <w:t xml:space="preserve"> </w:t>
      </w:r>
      <w:proofErr w:type="spellStart"/>
      <w:r w:rsidRPr="00B84B0C">
        <w:rPr>
          <w:rFonts w:cs="Arial"/>
        </w:rPr>
        <w:t>Offering</w:t>
      </w:r>
      <w:proofErr w:type="spellEnd"/>
      <w:r w:rsidRPr="00B84B0C">
        <w:rPr>
          <w:rFonts w:cs="Arial"/>
        </w:rPr>
        <w:t xml:space="preserve">, </w:t>
      </w:r>
      <w:proofErr w:type="spellStart"/>
      <w:r w:rsidRPr="00B84B0C">
        <w:rPr>
          <w:rFonts w:cs="Arial"/>
          <w:spacing w:val="0"/>
          <w:szCs w:val="22"/>
        </w:rPr>
        <w:t>were</w:t>
      </w:r>
      <w:proofErr w:type="spellEnd"/>
      <w:r w:rsidRPr="00B84B0C">
        <w:rPr>
          <w:rFonts w:cs="Arial"/>
          <w:spacing w:val="0"/>
          <w:szCs w:val="22"/>
        </w:rPr>
        <w:t xml:space="preserve"> </w:t>
      </w:r>
      <w:proofErr w:type="spellStart"/>
      <w:r w:rsidRPr="00B84B0C">
        <w:rPr>
          <w:rFonts w:cs="Arial"/>
          <w:spacing w:val="0"/>
          <w:szCs w:val="22"/>
        </w:rPr>
        <w:t>also</w:t>
      </w:r>
      <w:proofErr w:type="spellEnd"/>
      <w:r w:rsidRPr="00B84B0C">
        <w:rPr>
          <w:rFonts w:cs="Arial"/>
          <w:spacing w:val="0"/>
          <w:szCs w:val="22"/>
        </w:rPr>
        <w:t xml:space="preserve"> </w:t>
      </w:r>
      <w:proofErr w:type="spellStart"/>
      <w:r w:rsidRPr="00B84B0C">
        <w:rPr>
          <w:rFonts w:cs="Arial"/>
          <w:spacing w:val="0"/>
          <w:szCs w:val="22"/>
        </w:rPr>
        <w:t>put</w:t>
      </w:r>
      <w:proofErr w:type="spellEnd"/>
      <w:r w:rsidRPr="00B84B0C">
        <w:rPr>
          <w:rFonts w:cs="Arial"/>
          <w:spacing w:val="0"/>
          <w:szCs w:val="22"/>
        </w:rPr>
        <w:t xml:space="preserve"> </w:t>
      </w:r>
      <w:proofErr w:type="spellStart"/>
      <w:r w:rsidRPr="00B84B0C">
        <w:rPr>
          <w:rFonts w:cs="Arial"/>
          <w:spacing w:val="0"/>
          <w:szCs w:val="22"/>
        </w:rPr>
        <w:t>up</w:t>
      </w:r>
      <w:proofErr w:type="spellEnd"/>
      <w:r w:rsidRPr="00B84B0C">
        <w:rPr>
          <w:rFonts w:cs="Arial"/>
          <w:spacing w:val="0"/>
          <w:szCs w:val="22"/>
        </w:rPr>
        <w:t xml:space="preserve"> for </w:t>
      </w:r>
      <w:proofErr w:type="spellStart"/>
      <w:r w:rsidRPr="00B84B0C">
        <w:rPr>
          <w:rFonts w:cs="Arial"/>
          <w:spacing w:val="0"/>
          <w:szCs w:val="22"/>
        </w:rPr>
        <w:t>sale</w:t>
      </w:r>
      <w:proofErr w:type="spellEnd"/>
      <w:r w:rsidRPr="00B84B0C">
        <w:rPr>
          <w:rFonts w:cs="Arial"/>
          <w:spacing w:val="0"/>
          <w:szCs w:val="22"/>
        </w:rPr>
        <w:t xml:space="preserve"> 36,458,237 common </w:t>
      </w:r>
      <w:proofErr w:type="spellStart"/>
      <w:r w:rsidRPr="00B84B0C">
        <w:rPr>
          <w:rFonts w:cs="Arial"/>
          <w:spacing w:val="0"/>
          <w:szCs w:val="22"/>
        </w:rPr>
        <w:t>shares</w:t>
      </w:r>
      <w:proofErr w:type="spellEnd"/>
      <w:r w:rsidRPr="00B84B0C">
        <w:rPr>
          <w:rFonts w:cs="Arial"/>
          <w:spacing w:val="0"/>
          <w:szCs w:val="22"/>
        </w:rPr>
        <w:t xml:space="preserve"> </w:t>
      </w:r>
      <w:proofErr w:type="spellStart"/>
      <w:r w:rsidRPr="00B84B0C">
        <w:rPr>
          <w:rFonts w:cs="Arial"/>
          <w:spacing w:val="0"/>
          <w:szCs w:val="22"/>
        </w:rPr>
        <w:t>held</w:t>
      </w:r>
      <w:proofErr w:type="spellEnd"/>
      <w:r w:rsidRPr="00B84B0C">
        <w:rPr>
          <w:rFonts w:cs="Arial"/>
          <w:spacing w:val="0"/>
          <w:szCs w:val="22"/>
        </w:rPr>
        <w:t xml:space="preserve"> </w:t>
      </w:r>
      <w:proofErr w:type="spellStart"/>
      <w:r w:rsidRPr="00B84B0C">
        <w:rPr>
          <w:rFonts w:cs="Arial"/>
          <w:spacing w:val="0"/>
          <w:szCs w:val="22"/>
        </w:rPr>
        <w:t>by</w:t>
      </w:r>
      <w:proofErr w:type="spellEnd"/>
      <w:r w:rsidRPr="00B84B0C">
        <w:rPr>
          <w:rFonts w:cs="Arial"/>
          <w:spacing w:val="0"/>
          <w:szCs w:val="22"/>
        </w:rPr>
        <w:t xml:space="preserve"> </w:t>
      </w:r>
      <w:proofErr w:type="spellStart"/>
      <w:r w:rsidRPr="00B84B0C">
        <w:rPr>
          <w:rFonts w:cs="Arial"/>
          <w:spacing w:val="0"/>
          <w:szCs w:val="22"/>
        </w:rPr>
        <w:t>the</w:t>
      </w:r>
      <w:proofErr w:type="spellEnd"/>
      <w:r w:rsidRPr="00B84B0C">
        <w:rPr>
          <w:rFonts w:cs="Arial"/>
          <w:spacing w:val="0"/>
          <w:szCs w:val="22"/>
        </w:rPr>
        <w:t xml:space="preserve"> Federal </w:t>
      </w:r>
      <w:proofErr w:type="spellStart"/>
      <w:r w:rsidRPr="00B84B0C">
        <w:rPr>
          <w:rFonts w:cs="Arial"/>
          <w:spacing w:val="0"/>
          <w:szCs w:val="22"/>
        </w:rPr>
        <w:t>Government</w:t>
      </w:r>
      <w:proofErr w:type="spellEnd"/>
      <w:r w:rsidRPr="00B84B0C">
        <w:rPr>
          <w:rFonts w:cs="Arial"/>
          <w:spacing w:val="0"/>
          <w:szCs w:val="22"/>
        </w:rPr>
        <w:t xml:space="preserve">, </w:t>
      </w:r>
      <w:proofErr w:type="spellStart"/>
      <w:r w:rsidRPr="00B84B0C">
        <w:rPr>
          <w:rFonts w:cs="Arial"/>
          <w:spacing w:val="0"/>
          <w:szCs w:val="22"/>
        </w:rPr>
        <w:t>represented</w:t>
      </w:r>
      <w:proofErr w:type="spellEnd"/>
      <w:r w:rsidRPr="00B84B0C">
        <w:rPr>
          <w:rFonts w:cs="Arial"/>
          <w:spacing w:val="0"/>
          <w:szCs w:val="22"/>
        </w:rPr>
        <w:t xml:space="preserve"> </w:t>
      </w:r>
      <w:proofErr w:type="spellStart"/>
      <w:r w:rsidRPr="00B84B0C">
        <w:rPr>
          <w:rFonts w:cs="Arial"/>
          <w:spacing w:val="0"/>
          <w:szCs w:val="22"/>
        </w:rPr>
        <w:t>by</w:t>
      </w:r>
      <w:proofErr w:type="spellEnd"/>
      <w:r w:rsidRPr="00B84B0C">
        <w:rPr>
          <w:rFonts w:cs="Arial"/>
          <w:spacing w:val="0"/>
          <w:szCs w:val="22"/>
        </w:rPr>
        <w:t xml:space="preserve"> </w:t>
      </w:r>
      <w:proofErr w:type="spellStart"/>
      <w:r w:rsidRPr="00B84B0C">
        <w:rPr>
          <w:rFonts w:cs="Arial"/>
          <w:spacing w:val="0"/>
          <w:szCs w:val="22"/>
        </w:rPr>
        <w:t>the</w:t>
      </w:r>
      <w:proofErr w:type="spellEnd"/>
      <w:r w:rsidRPr="00B84B0C">
        <w:rPr>
          <w:rFonts w:cs="Arial"/>
          <w:spacing w:val="0"/>
          <w:szCs w:val="22"/>
        </w:rPr>
        <w:t xml:space="preserve"> </w:t>
      </w:r>
      <w:r w:rsidRPr="00B84B0C">
        <w:rPr>
          <w:rFonts w:cs="Arial"/>
          <w:i/>
          <w:iCs/>
          <w:spacing w:val="0"/>
          <w:szCs w:val="22"/>
        </w:rPr>
        <w:t>Banco Nacional de Desenvolvimento Econômico e Social</w:t>
      </w:r>
      <w:r w:rsidRPr="00B84B0C">
        <w:rPr>
          <w:rFonts w:cs="Arial"/>
          <w:spacing w:val="0"/>
          <w:szCs w:val="22"/>
        </w:rPr>
        <w:t xml:space="preserve">, as </w:t>
      </w:r>
      <w:proofErr w:type="spellStart"/>
      <w:r w:rsidRPr="00B84B0C">
        <w:rPr>
          <w:rFonts w:cs="Arial"/>
          <w:spacing w:val="0"/>
          <w:szCs w:val="22"/>
        </w:rPr>
        <w:t>asset</w:t>
      </w:r>
      <w:proofErr w:type="spellEnd"/>
      <w:r w:rsidRPr="00B84B0C">
        <w:rPr>
          <w:rFonts w:cs="Arial"/>
          <w:spacing w:val="0"/>
          <w:szCs w:val="22"/>
        </w:rPr>
        <w:t xml:space="preserve"> manager </w:t>
      </w:r>
      <w:proofErr w:type="spellStart"/>
      <w:r w:rsidRPr="00B84B0C">
        <w:rPr>
          <w:rFonts w:cs="Arial"/>
          <w:spacing w:val="0"/>
          <w:szCs w:val="22"/>
        </w:rPr>
        <w:t>of</w:t>
      </w:r>
      <w:proofErr w:type="spellEnd"/>
      <w:r w:rsidRPr="00B84B0C">
        <w:rPr>
          <w:rFonts w:cs="Arial"/>
          <w:spacing w:val="0"/>
          <w:szCs w:val="22"/>
        </w:rPr>
        <w:t xml:space="preserve"> </w:t>
      </w:r>
      <w:proofErr w:type="spellStart"/>
      <w:r w:rsidRPr="00B84B0C">
        <w:rPr>
          <w:rFonts w:cs="Arial"/>
          <w:spacing w:val="0"/>
          <w:szCs w:val="22"/>
        </w:rPr>
        <w:t>the</w:t>
      </w:r>
      <w:proofErr w:type="spellEnd"/>
      <w:r w:rsidRPr="00B84B0C">
        <w:rPr>
          <w:rFonts w:cs="Arial"/>
          <w:spacing w:val="0"/>
          <w:szCs w:val="22"/>
        </w:rPr>
        <w:t xml:space="preserve"> </w:t>
      </w:r>
      <w:r w:rsidRPr="00B84B0C">
        <w:rPr>
          <w:rFonts w:cs="Arial"/>
          <w:i/>
          <w:iCs/>
          <w:spacing w:val="0"/>
          <w:szCs w:val="22"/>
        </w:rPr>
        <w:t>Fundo Nacional de Desestatização</w:t>
      </w:r>
      <w:r w:rsidRPr="00B84B0C">
        <w:rPr>
          <w:rFonts w:cs="Arial"/>
          <w:spacing w:val="0"/>
          <w:szCs w:val="22"/>
        </w:rPr>
        <w:t xml:space="preserve"> (FND).</w:t>
      </w:r>
      <w:r w:rsidRPr="00B84B0C">
        <w:rPr>
          <w:rFonts w:cs="Arial"/>
        </w:rPr>
        <w:t xml:space="preserve"> </w:t>
      </w:r>
      <w:proofErr w:type="spellStart"/>
      <w:r w:rsidRPr="00B84B0C">
        <w:rPr>
          <w:rFonts w:cs="Arial"/>
        </w:rPr>
        <w:t>On</w:t>
      </w:r>
      <w:proofErr w:type="spellEnd"/>
      <w:r w:rsidRPr="00B84B0C">
        <w:rPr>
          <w:rFonts w:cs="Arial"/>
        </w:rPr>
        <w:t xml:space="preserve"> July 12, 2019, Susep </w:t>
      </w:r>
      <w:proofErr w:type="spellStart"/>
      <w:r w:rsidRPr="00B84B0C">
        <w:rPr>
          <w:rFonts w:cs="Arial"/>
        </w:rPr>
        <w:t>granted</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authorization</w:t>
      </w:r>
      <w:proofErr w:type="spellEnd"/>
      <w:r w:rsidRPr="00B84B0C">
        <w:rPr>
          <w:rFonts w:cs="Arial"/>
        </w:rPr>
        <w:t xml:space="preserve"> for IRB </w:t>
      </w:r>
      <w:proofErr w:type="spellStart"/>
      <w:r w:rsidRPr="00B84B0C">
        <w:rPr>
          <w:rFonts w:cs="Arial"/>
        </w:rPr>
        <w:t>to</w:t>
      </w:r>
      <w:proofErr w:type="spellEnd"/>
      <w:r w:rsidRPr="00B84B0C">
        <w:rPr>
          <w:rFonts w:cs="Arial"/>
        </w:rPr>
        <w:t xml:space="preserve"> </w:t>
      </w:r>
      <w:proofErr w:type="spellStart"/>
      <w:r w:rsidRPr="00B84B0C">
        <w:rPr>
          <w:rFonts w:cs="Arial"/>
        </w:rPr>
        <w:t>change</w:t>
      </w:r>
      <w:proofErr w:type="spellEnd"/>
      <w:r w:rsidRPr="00B84B0C">
        <w:rPr>
          <w:rFonts w:cs="Arial"/>
        </w:rPr>
        <w:t xml:space="preserve"> </w:t>
      </w:r>
      <w:proofErr w:type="spellStart"/>
      <w:r w:rsidRPr="00B84B0C">
        <w:rPr>
          <w:rFonts w:cs="Arial"/>
        </w:rPr>
        <w:t>from</w:t>
      </w:r>
      <w:proofErr w:type="spellEnd"/>
      <w:r w:rsidRPr="00B84B0C">
        <w:rPr>
          <w:rFonts w:cs="Arial"/>
        </w:rPr>
        <w:t xml:space="preserve"> a </w:t>
      </w:r>
      <w:proofErr w:type="spellStart"/>
      <w:r w:rsidRPr="00B84B0C">
        <w:rPr>
          <w:rFonts w:cs="Arial"/>
        </w:rPr>
        <w:t>defined</w:t>
      </w:r>
      <w:proofErr w:type="spellEnd"/>
      <w:r w:rsidRPr="00B84B0C">
        <w:rPr>
          <w:rFonts w:cs="Arial"/>
        </w:rPr>
        <w:t xml:space="preserve"> </w:t>
      </w:r>
      <w:proofErr w:type="spellStart"/>
      <w:r w:rsidRPr="00B84B0C">
        <w:rPr>
          <w:rFonts w:cs="Arial"/>
        </w:rPr>
        <w:t>control</w:t>
      </w:r>
      <w:proofErr w:type="spellEnd"/>
      <w:r w:rsidRPr="00B84B0C">
        <w:rPr>
          <w:rFonts w:cs="Arial"/>
        </w:rPr>
        <w:t xml:space="preserve"> </w:t>
      </w:r>
      <w:proofErr w:type="spellStart"/>
      <w:r w:rsidRPr="00B84B0C">
        <w:rPr>
          <w:rFonts w:cs="Arial"/>
        </w:rPr>
        <w:t>block</w:t>
      </w:r>
      <w:proofErr w:type="spellEnd"/>
      <w:r w:rsidRPr="00B84B0C">
        <w:rPr>
          <w:rFonts w:cs="Arial"/>
        </w:rPr>
        <w:t xml:space="preserve"> model </w:t>
      </w:r>
      <w:proofErr w:type="spellStart"/>
      <w:r w:rsidRPr="00B84B0C">
        <w:rPr>
          <w:rFonts w:cs="Arial"/>
        </w:rPr>
        <w:t>to</w:t>
      </w:r>
      <w:proofErr w:type="spellEnd"/>
      <w:r w:rsidRPr="00B84B0C">
        <w:rPr>
          <w:rFonts w:cs="Arial"/>
        </w:rPr>
        <w:t xml:space="preserve"> a model </w:t>
      </w:r>
      <w:proofErr w:type="spellStart"/>
      <w:r w:rsidRPr="00B84B0C">
        <w:rPr>
          <w:rFonts w:cs="Arial"/>
        </w:rPr>
        <w:t>without</w:t>
      </w:r>
      <w:proofErr w:type="spellEnd"/>
      <w:r w:rsidRPr="00B84B0C">
        <w:rPr>
          <w:rFonts w:cs="Arial"/>
        </w:rPr>
        <w:t xml:space="preserve"> a </w:t>
      </w:r>
      <w:proofErr w:type="spellStart"/>
      <w:r w:rsidRPr="00B84B0C">
        <w:rPr>
          <w:rFonts w:cs="Arial"/>
        </w:rPr>
        <w:t>controller</w:t>
      </w:r>
      <w:proofErr w:type="spellEnd"/>
      <w:r w:rsidRPr="00B84B0C">
        <w:rPr>
          <w:rFonts w:cs="Arial"/>
        </w:rPr>
        <w:t xml:space="preserve"> - in </w:t>
      </w:r>
      <w:proofErr w:type="spellStart"/>
      <w:r w:rsidRPr="00B84B0C">
        <w:rPr>
          <w:rFonts w:cs="Arial"/>
        </w:rPr>
        <w:t>other</w:t>
      </w:r>
      <w:proofErr w:type="spellEnd"/>
      <w:r w:rsidRPr="00B84B0C">
        <w:rPr>
          <w:rFonts w:cs="Arial"/>
        </w:rPr>
        <w:t xml:space="preserve"> words, </w:t>
      </w:r>
      <w:proofErr w:type="spellStart"/>
      <w:r w:rsidRPr="00B84B0C">
        <w:rPr>
          <w:rFonts w:cs="Arial"/>
        </w:rPr>
        <w:t>to</w:t>
      </w:r>
      <w:proofErr w:type="spellEnd"/>
      <w:r w:rsidRPr="00B84B0C">
        <w:rPr>
          <w:rFonts w:cs="Arial"/>
        </w:rPr>
        <w:t xml:space="preserve"> a model </w:t>
      </w:r>
      <w:proofErr w:type="spellStart"/>
      <w:r w:rsidRPr="00B84B0C">
        <w:rPr>
          <w:rFonts w:cs="Arial"/>
        </w:rPr>
        <w:t>of</w:t>
      </w:r>
      <w:proofErr w:type="spellEnd"/>
      <w:r w:rsidRPr="00B84B0C">
        <w:rPr>
          <w:rFonts w:cs="Arial"/>
        </w:rPr>
        <w:t xml:space="preserve"> a </w:t>
      </w:r>
      <w:proofErr w:type="spellStart"/>
      <w:r w:rsidRPr="00B84B0C">
        <w:rPr>
          <w:rFonts w:cs="Arial"/>
        </w:rPr>
        <w:t>true</w:t>
      </w:r>
      <w:proofErr w:type="spellEnd"/>
      <w:r w:rsidRPr="00B84B0C">
        <w:rPr>
          <w:rFonts w:cs="Arial"/>
        </w:rPr>
        <w:t xml:space="preserve"> </w:t>
      </w:r>
      <w:proofErr w:type="spellStart"/>
      <w:r w:rsidRPr="00B84B0C">
        <w:rPr>
          <w:rFonts w:cs="Arial"/>
        </w:rPr>
        <w:t>corporation</w:t>
      </w:r>
      <w:proofErr w:type="spellEnd"/>
      <w:r w:rsidRPr="00B84B0C">
        <w:rPr>
          <w:rFonts w:cs="Arial"/>
        </w:rPr>
        <w:t xml:space="preserve">. </w:t>
      </w:r>
    </w:p>
    <w:p w14:paraId="63289F18" w14:textId="77777777" w:rsidR="00720F68" w:rsidRPr="00B84B0C" w:rsidRDefault="00720F68" w:rsidP="00720F68">
      <w:pPr>
        <w:pStyle w:val="05-Textonormal2"/>
        <w:rPr>
          <w:rFonts w:cs="Arial"/>
        </w:rPr>
      </w:pPr>
      <w:proofErr w:type="spellStart"/>
      <w:r w:rsidRPr="00B84B0C">
        <w:rPr>
          <w:rFonts w:cs="Arial"/>
        </w:rPr>
        <w:t>On</w:t>
      </w:r>
      <w:proofErr w:type="spellEnd"/>
      <w:r w:rsidRPr="00B84B0C">
        <w:rPr>
          <w:rFonts w:cs="Arial"/>
        </w:rPr>
        <w:t xml:space="preserve"> July 18, 2019, </w:t>
      </w:r>
      <w:proofErr w:type="spellStart"/>
      <w:r w:rsidRPr="00B84B0C">
        <w:rPr>
          <w:rFonts w:cs="Arial"/>
        </w:rPr>
        <w:t>the</w:t>
      </w:r>
      <w:proofErr w:type="spellEnd"/>
      <w:r w:rsidRPr="00B84B0C">
        <w:rPr>
          <w:rFonts w:cs="Arial"/>
        </w:rPr>
        <w:t xml:space="preserve"> </w:t>
      </w:r>
      <w:proofErr w:type="spellStart"/>
      <w:r w:rsidRPr="00B84B0C">
        <w:rPr>
          <w:rFonts w:cs="Arial"/>
        </w:rPr>
        <w:t>bookbuilding</w:t>
      </w:r>
      <w:proofErr w:type="spellEnd"/>
      <w:r w:rsidRPr="00B84B0C">
        <w:rPr>
          <w:rFonts w:cs="Arial"/>
        </w:rPr>
        <w:t xml:space="preserve"> procedure </w:t>
      </w:r>
      <w:proofErr w:type="spellStart"/>
      <w:r w:rsidRPr="00B84B0C">
        <w:rPr>
          <w:rFonts w:cs="Arial"/>
        </w:rPr>
        <w:t>was</w:t>
      </w:r>
      <w:proofErr w:type="spellEnd"/>
      <w:r w:rsidRPr="00B84B0C">
        <w:rPr>
          <w:rFonts w:cs="Arial"/>
        </w:rPr>
        <w:t xml:space="preserve"> </w:t>
      </w:r>
      <w:proofErr w:type="spellStart"/>
      <w:r w:rsidRPr="00B84B0C">
        <w:rPr>
          <w:rFonts w:cs="Arial"/>
        </w:rPr>
        <w:t>concluded</w:t>
      </w:r>
      <w:proofErr w:type="spellEnd"/>
      <w:r w:rsidRPr="00B84B0C">
        <w:rPr>
          <w:rFonts w:cs="Arial"/>
        </w:rPr>
        <w:t xml:space="preserve"> </w:t>
      </w:r>
      <w:proofErr w:type="spellStart"/>
      <w:r w:rsidRPr="00B84B0C">
        <w:rPr>
          <w:rFonts w:cs="Arial"/>
        </w:rPr>
        <w:t>and</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price</w:t>
      </w:r>
      <w:proofErr w:type="spellEnd"/>
      <w:r w:rsidRPr="00B84B0C">
        <w:rPr>
          <w:rFonts w:cs="Arial"/>
        </w:rPr>
        <w:t xml:space="preserve"> per </w:t>
      </w:r>
      <w:proofErr w:type="spellStart"/>
      <w:r w:rsidRPr="00B84B0C">
        <w:rPr>
          <w:rFonts w:cs="Arial"/>
        </w:rPr>
        <w:t>share</w:t>
      </w:r>
      <w:proofErr w:type="spellEnd"/>
      <w:r w:rsidRPr="00B84B0C">
        <w:rPr>
          <w:rFonts w:cs="Arial"/>
        </w:rPr>
        <w:t xml:space="preserve"> </w:t>
      </w:r>
      <w:proofErr w:type="spellStart"/>
      <w:r w:rsidRPr="00B84B0C">
        <w:rPr>
          <w:rFonts w:cs="Arial"/>
        </w:rPr>
        <w:t>was</w:t>
      </w:r>
      <w:proofErr w:type="spellEnd"/>
      <w:r w:rsidRPr="00B84B0C">
        <w:rPr>
          <w:rFonts w:cs="Arial"/>
        </w:rPr>
        <w:t xml:space="preserve"> set </w:t>
      </w:r>
      <w:proofErr w:type="spellStart"/>
      <w:r w:rsidRPr="00B84B0C">
        <w:rPr>
          <w:rFonts w:cs="Arial"/>
        </w:rPr>
        <w:t>at</w:t>
      </w:r>
      <w:proofErr w:type="spellEnd"/>
      <w:r w:rsidRPr="00B84B0C">
        <w:rPr>
          <w:rFonts w:cs="Arial"/>
        </w:rPr>
        <w:t xml:space="preserve"> R$ 88.00. </w:t>
      </w:r>
      <w:proofErr w:type="spellStart"/>
      <w:r w:rsidRPr="00B84B0C">
        <w:rPr>
          <w:rFonts w:cs="Arial"/>
        </w:rPr>
        <w:t>On</w:t>
      </w:r>
      <w:proofErr w:type="spellEnd"/>
      <w:r w:rsidRPr="00B84B0C">
        <w:rPr>
          <w:rFonts w:cs="Arial"/>
        </w:rPr>
        <w:t xml:space="preserve"> July 23, 2019, </w:t>
      </w:r>
      <w:proofErr w:type="spellStart"/>
      <w:r w:rsidRPr="00B84B0C">
        <w:rPr>
          <w:rFonts w:cs="Arial"/>
        </w:rPr>
        <w:t>the</w:t>
      </w:r>
      <w:proofErr w:type="spellEnd"/>
      <w:r w:rsidRPr="00B84B0C">
        <w:rPr>
          <w:rFonts w:cs="Arial"/>
        </w:rPr>
        <w:t xml:space="preserve"> </w:t>
      </w:r>
      <w:proofErr w:type="spellStart"/>
      <w:r w:rsidRPr="00B84B0C">
        <w:rPr>
          <w:rFonts w:cs="Arial"/>
        </w:rPr>
        <w:t>offer</w:t>
      </w:r>
      <w:proofErr w:type="spellEnd"/>
      <w:r w:rsidRPr="00B84B0C">
        <w:rPr>
          <w:rFonts w:cs="Arial"/>
        </w:rPr>
        <w:t xml:space="preserve"> </w:t>
      </w:r>
      <w:proofErr w:type="spellStart"/>
      <w:r w:rsidRPr="00B84B0C">
        <w:rPr>
          <w:rFonts w:cs="Arial"/>
        </w:rPr>
        <w:t>was</w:t>
      </w:r>
      <w:proofErr w:type="spellEnd"/>
      <w:r w:rsidRPr="00B84B0C">
        <w:rPr>
          <w:rFonts w:cs="Arial"/>
        </w:rPr>
        <w:t xml:space="preserve"> </w:t>
      </w:r>
      <w:proofErr w:type="spellStart"/>
      <w:r w:rsidRPr="00B84B0C">
        <w:rPr>
          <w:rFonts w:cs="Arial"/>
        </w:rPr>
        <w:t>effectively</w:t>
      </w:r>
      <w:proofErr w:type="spellEnd"/>
      <w:r w:rsidRPr="00B84B0C">
        <w:rPr>
          <w:rFonts w:cs="Arial"/>
        </w:rPr>
        <w:t xml:space="preserve"> </w:t>
      </w:r>
      <w:proofErr w:type="spellStart"/>
      <w:r w:rsidRPr="00B84B0C">
        <w:rPr>
          <w:rFonts w:cs="Arial"/>
        </w:rPr>
        <w:t>settled</w:t>
      </w:r>
      <w:proofErr w:type="spellEnd"/>
      <w:r w:rsidRPr="00B84B0C">
        <w:rPr>
          <w:rFonts w:cs="Arial"/>
        </w:rPr>
        <w:t xml:space="preserve"> </w:t>
      </w:r>
      <w:proofErr w:type="spellStart"/>
      <w:r w:rsidRPr="00B84B0C">
        <w:rPr>
          <w:rFonts w:cs="Arial"/>
        </w:rPr>
        <w:t>with</w:t>
      </w:r>
      <w:proofErr w:type="spellEnd"/>
      <w:r w:rsidRPr="00B84B0C">
        <w:rPr>
          <w:rFonts w:cs="Arial"/>
        </w:rPr>
        <w:t xml:space="preserve"> </w:t>
      </w:r>
      <w:proofErr w:type="spellStart"/>
      <w:r w:rsidRPr="00B84B0C">
        <w:rPr>
          <w:rFonts w:cs="Arial"/>
        </w:rPr>
        <w:t>the</w:t>
      </w:r>
      <w:proofErr w:type="spellEnd"/>
      <w:r w:rsidRPr="00B84B0C">
        <w:rPr>
          <w:rFonts w:cs="Arial"/>
        </w:rPr>
        <w:t xml:space="preserve"> delivery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shares</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respective</w:t>
      </w:r>
      <w:proofErr w:type="spellEnd"/>
      <w:r w:rsidRPr="00B84B0C">
        <w:rPr>
          <w:rFonts w:cs="Arial"/>
        </w:rPr>
        <w:t xml:space="preserve"> </w:t>
      </w:r>
      <w:proofErr w:type="spellStart"/>
      <w:r w:rsidRPr="00B84B0C">
        <w:rPr>
          <w:rFonts w:cs="Arial"/>
        </w:rPr>
        <w:t>investors</w:t>
      </w:r>
      <w:proofErr w:type="spellEnd"/>
      <w:r w:rsidRPr="00B84B0C">
        <w:rPr>
          <w:rFonts w:cs="Arial"/>
        </w:rPr>
        <w:t xml:space="preserve"> </w:t>
      </w:r>
      <w:proofErr w:type="spellStart"/>
      <w:r w:rsidRPr="00B84B0C">
        <w:rPr>
          <w:rFonts w:cs="Arial"/>
        </w:rPr>
        <w:t>and</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concomitant</w:t>
      </w:r>
      <w:proofErr w:type="spellEnd"/>
      <w:r w:rsidRPr="00B84B0C">
        <w:rPr>
          <w:rFonts w:cs="Arial"/>
        </w:rPr>
        <w:t xml:space="preserve"> </w:t>
      </w:r>
      <w:proofErr w:type="spellStart"/>
      <w:r w:rsidRPr="00B84B0C">
        <w:rPr>
          <w:rFonts w:cs="Arial"/>
        </w:rPr>
        <w:t>receipt</w:t>
      </w:r>
      <w:proofErr w:type="spellEnd"/>
      <w:r w:rsidRPr="00B84B0C">
        <w:rPr>
          <w:rFonts w:cs="Arial"/>
        </w:rPr>
        <w:t xml:space="preserve"> </w:t>
      </w:r>
      <w:proofErr w:type="spellStart"/>
      <w:r w:rsidRPr="00B84B0C">
        <w:rPr>
          <w:rFonts w:cs="Arial"/>
        </w:rPr>
        <w:t>by</w:t>
      </w:r>
      <w:proofErr w:type="spellEnd"/>
      <w:r w:rsidRPr="00B84B0C">
        <w:rPr>
          <w:rFonts w:cs="Arial"/>
        </w:rPr>
        <w:t xml:space="preserve"> BB Seguros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amount</w:t>
      </w:r>
      <w:proofErr w:type="spellEnd"/>
      <w:r w:rsidRPr="00B84B0C">
        <w:rPr>
          <w:rFonts w:cs="Arial"/>
        </w:rPr>
        <w:t xml:space="preserve"> </w:t>
      </w:r>
      <w:proofErr w:type="spellStart"/>
      <w:r w:rsidRPr="00B84B0C">
        <w:rPr>
          <w:rFonts w:cs="Arial"/>
        </w:rPr>
        <w:t>of</w:t>
      </w:r>
      <w:proofErr w:type="spellEnd"/>
      <w:r w:rsidRPr="00B84B0C">
        <w:rPr>
          <w:rFonts w:cs="Arial"/>
        </w:rPr>
        <w:t xml:space="preserve"> R $ 4,181 </w:t>
      </w:r>
      <w:proofErr w:type="spellStart"/>
      <w:r w:rsidRPr="00B84B0C">
        <w:rPr>
          <w:rFonts w:cs="Arial"/>
        </w:rPr>
        <w:t>million</w:t>
      </w:r>
      <w:proofErr w:type="spellEnd"/>
      <w:r w:rsidRPr="00B84B0C">
        <w:rPr>
          <w:rFonts w:cs="Arial"/>
        </w:rPr>
        <w:t xml:space="preserve"> for </w:t>
      </w:r>
      <w:proofErr w:type="spellStart"/>
      <w:r w:rsidRPr="00B84B0C">
        <w:rPr>
          <w:rFonts w:cs="Arial"/>
        </w:rPr>
        <w:t>the</w:t>
      </w:r>
      <w:proofErr w:type="spellEnd"/>
      <w:r w:rsidRPr="00B84B0C">
        <w:rPr>
          <w:rFonts w:cs="Arial"/>
        </w:rPr>
        <w:t xml:space="preserve"> </w:t>
      </w:r>
      <w:proofErr w:type="spellStart"/>
      <w:r w:rsidRPr="00B84B0C">
        <w:rPr>
          <w:rFonts w:cs="Arial"/>
        </w:rPr>
        <w:t>sale</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shares</w:t>
      </w:r>
      <w:proofErr w:type="spellEnd"/>
      <w:r w:rsidRPr="00B84B0C">
        <w:rPr>
          <w:rFonts w:cs="Arial"/>
        </w:rPr>
        <w:t xml:space="preserve">. </w:t>
      </w:r>
      <w:proofErr w:type="spellStart"/>
      <w:r w:rsidRPr="00B84B0C">
        <w:rPr>
          <w:rFonts w:cs="Arial"/>
        </w:rPr>
        <w:t>After</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sale</w:t>
      </w:r>
      <w:proofErr w:type="spellEnd"/>
      <w:r w:rsidRPr="00B84B0C">
        <w:rPr>
          <w:rFonts w:cs="Arial"/>
        </w:rPr>
        <w:t xml:space="preserve">, BB Seguros no </w:t>
      </w:r>
      <w:proofErr w:type="spellStart"/>
      <w:r w:rsidRPr="00B84B0C">
        <w:rPr>
          <w:rFonts w:cs="Arial"/>
        </w:rPr>
        <w:t>longer</w:t>
      </w:r>
      <w:proofErr w:type="spellEnd"/>
      <w:r w:rsidRPr="00B84B0C">
        <w:rPr>
          <w:rFonts w:cs="Arial"/>
        </w:rPr>
        <w:t xml:space="preserve"> </w:t>
      </w:r>
      <w:proofErr w:type="spellStart"/>
      <w:r w:rsidRPr="00B84B0C">
        <w:rPr>
          <w:rFonts w:cs="Arial"/>
        </w:rPr>
        <w:t>stake</w:t>
      </w:r>
      <w:proofErr w:type="spellEnd"/>
      <w:r w:rsidRPr="00B84B0C">
        <w:rPr>
          <w:rFonts w:cs="Arial"/>
        </w:rPr>
        <w:t xml:space="preserve"> in IRB Brasil-RE.</w:t>
      </w:r>
    </w:p>
    <w:p w14:paraId="286C4FA2" w14:textId="77777777" w:rsidR="00720F68" w:rsidRPr="00B84B0C" w:rsidRDefault="00720F68" w:rsidP="00720F68">
      <w:pPr>
        <w:pStyle w:val="05-Textonormal2"/>
        <w:rPr>
          <w:rFonts w:cs="Arial"/>
        </w:rPr>
      </w:pPr>
      <w:proofErr w:type="spellStart"/>
      <w:r w:rsidRPr="00B84B0C">
        <w:rPr>
          <w:rFonts w:cs="Arial"/>
        </w:rPr>
        <w:t>Considering</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write</w:t>
      </w:r>
      <w:proofErr w:type="spellEnd"/>
      <w:r w:rsidRPr="00B84B0C">
        <w:rPr>
          <w:rFonts w:cs="Arial"/>
        </w:rPr>
        <w:t xml:space="preserve">-off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investment</w:t>
      </w:r>
      <w:proofErr w:type="spellEnd"/>
      <w:r w:rsidRPr="00B84B0C">
        <w:rPr>
          <w:rFonts w:cs="Arial"/>
        </w:rPr>
        <w:t xml:space="preserve">, </w:t>
      </w:r>
      <w:proofErr w:type="spellStart"/>
      <w:r w:rsidRPr="00B84B0C">
        <w:rPr>
          <w:rFonts w:cs="Arial"/>
        </w:rPr>
        <w:t>the</w:t>
      </w:r>
      <w:proofErr w:type="spellEnd"/>
      <w:r w:rsidRPr="00B84B0C">
        <w:rPr>
          <w:rFonts w:cs="Arial"/>
        </w:rPr>
        <w:t xml:space="preserve"> total </w:t>
      </w:r>
      <w:proofErr w:type="spellStart"/>
      <w:r w:rsidRPr="00B84B0C">
        <w:rPr>
          <w:rFonts w:cs="Arial"/>
        </w:rPr>
        <w:t>sale</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shares</w:t>
      </w:r>
      <w:proofErr w:type="spellEnd"/>
      <w:r w:rsidRPr="00B84B0C">
        <w:rPr>
          <w:rFonts w:cs="Arial"/>
        </w:rPr>
        <w:t xml:space="preserve"> </w:t>
      </w:r>
      <w:proofErr w:type="spellStart"/>
      <w:r w:rsidRPr="00B84B0C">
        <w:rPr>
          <w:rFonts w:cs="Arial"/>
        </w:rPr>
        <w:t>produced</w:t>
      </w:r>
      <w:proofErr w:type="spellEnd"/>
      <w:r w:rsidRPr="00B84B0C">
        <w:rPr>
          <w:rFonts w:cs="Arial"/>
        </w:rPr>
        <w:t xml:space="preserve"> a </w:t>
      </w:r>
      <w:proofErr w:type="spellStart"/>
      <w:r w:rsidRPr="00B84B0C">
        <w:rPr>
          <w:rFonts w:cs="Arial"/>
        </w:rPr>
        <w:t>gain</w:t>
      </w:r>
      <w:proofErr w:type="spellEnd"/>
      <w:r w:rsidRPr="00B84B0C">
        <w:rPr>
          <w:rFonts w:cs="Arial"/>
        </w:rPr>
        <w:t xml:space="preserve"> </w:t>
      </w:r>
      <w:proofErr w:type="spellStart"/>
      <w:r w:rsidRPr="00B84B0C">
        <w:rPr>
          <w:rFonts w:cs="Arial"/>
        </w:rPr>
        <w:t>of</w:t>
      </w:r>
      <w:proofErr w:type="spellEnd"/>
      <w:r w:rsidRPr="00B84B0C">
        <w:rPr>
          <w:rFonts w:cs="Arial"/>
        </w:rPr>
        <w:t xml:space="preserve"> R$ 3.5 </w:t>
      </w:r>
      <w:proofErr w:type="spellStart"/>
      <w:r w:rsidRPr="00B84B0C">
        <w:rPr>
          <w:rFonts w:cs="Arial"/>
        </w:rPr>
        <w:t>billion</w:t>
      </w:r>
      <w:proofErr w:type="spellEnd"/>
      <w:r w:rsidRPr="00B84B0C">
        <w:rPr>
          <w:rFonts w:cs="Arial"/>
        </w:rPr>
        <w:t xml:space="preserve">. </w:t>
      </w:r>
      <w:proofErr w:type="spellStart"/>
      <w:r w:rsidRPr="00B84B0C">
        <w:rPr>
          <w:rFonts w:cs="Arial"/>
        </w:rPr>
        <w:t>After</w:t>
      </w:r>
      <w:proofErr w:type="spellEnd"/>
      <w:r w:rsidRPr="00B84B0C">
        <w:rPr>
          <w:rFonts w:cs="Arial"/>
        </w:rPr>
        <w:t xml:space="preserve"> </w:t>
      </w:r>
      <w:proofErr w:type="spellStart"/>
      <w:r w:rsidRPr="00B84B0C">
        <w:rPr>
          <w:rFonts w:cs="Arial"/>
        </w:rPr>
        <w:t>deducting</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amount</w:t>
      </w:r>
      <w:proofErr w:type="spellEnd"/>
      <w:r w:rsidRPr="00B84B0C">
        <w:rPr>
          <w:rFonts w:cs="Arial"/>
        </w:rPr>
        <w:t xml:space="preserve"> </w:t>
      </w:r>
      <w:proofErr w:type="spellStart"/>
      <w:r w:rsidRPr="00B84B0C">
        <w:rPr>
          <w:rFonts w:cs="Arial"/>
        </w:rPr>
        <w:t>of</w:t>
      </w:r>
      <w:proofErr w:type="spellEnd"/>
      <w:r w:rsidRPr="00B84B0C">
        <w:rPr>
          <w:rFonts w:cs="Arial"/>
        </w:rPr>
        <w:t xml:space="preserve"> taxes </w:t>
      </w:r>
      <w:proofErr w:type="spellStart"/>
      <w:r w:rsidRPr="00B84B0C">
        <w:rPr>
          <w:rFonts w:cs="Arial"/>
        </w:rPr>
        <w:t>levied</w:t>
      </w:r>
      <w:proofErr w:type="spellEnd"/>
      <w:r w:rsidRPr="00B84B0C">
        <w:rPr>
          <w:rFonts w:cs="Arial"/>
        </w:rPr>
        <w:t xml:space="preserve"> </w:t>
      </w:r>
      <w:proofErr w:type="spellStart"/>
      <w:r w:rsidRPr="00B84B0C">
        <w:rPr>
          <w:rFonts w:cs="Arial"/>
        </w:rPr>
        <w:t>on</w:t>
      </w:r>
      <w:proofErr w:type="spellEnd"/>
      <w:r w:rsidRPr="00B84B0C">
        <w:rPr>
          <w:rFonts w:cs="Arial"/>
        </w:rPr>
        <w:t xml:space="preserve"> </w:t>
      </w:r>
      <w:proofErr w:type="spellStart"/>
      <w:r w:rsidRPr="00B84B0C">
        <w:rPr>
          <w:rFonts w:cs="Arial"/>
        </w:rPr>
        <w:t>the</w:t>
      </w:r>
      <w:proofErr w:type="spellEnd"/>
      <w:r w:rsidRPr="00B84B0C">
        <w:rPr>
          <w:rFonts w:cs="Arial"/>
        </w:rPr>
        <w:t xml:space="preserve"> capital </w:t>
      </w:r>
      <w:proofErr w:type="spellStart"/>
      <w:r w:rsidRPr="00B84B0C">
        <w:rPr>
          <w:rFonts w:cs="Arial"/>
        </w:rPr>
        <w:t>gain</w:t>
      </w:r>
      <w:proofErr w:type="spellEnd"/>
      <w:r w:rsidRPr="00B84B0C">
        <w:rPr>
          <w:rFonts w:cs="Arial"/>
        </w:rPr>
        <w:t xml:space="preserve"> </w:t>
      </w:r>
      <w:proofErr w:type="spellStart"/>
      <w:r w:rsidRPr="00B84B0C">
        <w:rPr>
          <w:rFonts w:cs="Arial"/>
        </w:rPr>
        <w:t>from</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sale</w:t>
      </w:r>
      <w:proofErr w:type="spellEnd"/>
      <w:r w:rsidRPr="00B84B0C">
        <w:rPr>
          <w:rFonts w:cs="Arial"/>
        </w:rPr>
        <w:t xml:space="preserve">, </w:t>
      </w:r>
      <w:proofErr w:type="spellStart"/>
      <w:r w:rsidRPr="00B84B0C">
        <w:rPr>
          <w:rFonts w:cs="Arial"/>
        </w:rPr>
        <w:t>which</w:t>
      </w:r>
      <w:proofErr w:type="spellEnd"/>
      <w:r w:rsidRPr="00B84B0C">
        <w:rPr>
          <w:rFonts w:cs="Arial"/>
        </w:rPr>
        <w:t xml:space="preserve"> </w:t>
      </w:r>
      <w:proofErr w:type="spellStart"/>
      <w:r w:rsidRPr="00B84B0C">
        <w:rPr>
          <w:rFonts w:cs="Arial"/>
        </w:rPr>
        <w:t>represented</w:t>
      </w:r>
      <w:proofErr w:type="spellEnd"/>
      <w:r w:rsidRPr="00B84B0C">
        <w:rPr>
          <w:rFonts w:cs="Arial"/>
        </w:rPr>
        <w:t xml:space="preserve"> R$ 1.2 </w:t>
      </w:r>
      <w:proofErr w:type="spellStart"/>
      <w:r w:rsidRPr="00B84B0C">
        <w:rPr>
          <w:rFonts w:cs="Arial"/>
        </w:rPr>
        <w:t>billion</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distribution</w:t>
      </w:r>
      <w:proofErr w:type="spellEnd"/>
      <w:r w:rsidRPr="00B84B0C">
        <w:rPr>
          <w:rFonts w:cs="Arial"/>
        </w:rPr>
        <w:t xml:space="preserve"> </w:t>
      </w:r>
      <w:proofErr w:type="spellStart"/>
      <w:r w:rsidRPr="00B84B0C">
        <w:rPr>
          <w:rFonts w:cs="Arial"/>
        </w:rPr>
        <w:t>costs</w:t>
      </w:r>
      <w:proofErr w:type="spellEnd"/>
      <w:r w:rsidRPr="00B84B0C">
        <w:rPr>
          <w:rFonts w:cs="Arial"/>
        </w:rPr>
        <w:t xml:space="preserve"> </w:t>
      </w:r>
      <w:proofErr w:type="spellStart"/>
      <w:r w:rsidRPr="00B84B0C">
        <w:rPr>
          <w:rFonts w:cs="Arial"/>
        </w:rPr>
        <w:t>and</w:t>
      </w:r>
      <w:proofErr w:type="spellEnd"/>
      <w:r w:rsidRPr="00B84B0C">
        <w:rPr>
          <w:rFonts w:cs="Arial"/>
        </w:rPr>
        <w:t xml:space="preserve"> </w:t>
      </w:r>
      <w:proofErr w:type="spellStart"/>
      <w:r w:rsidRPr="00B84B0C">
        <w:rPr>
          <w:rFonts w:cs="Arial"/>
        </w:rPr>
        <w:t>other</w:t>
      </w:r>
      <w:proofErr w:type="spellEnd"/>
      <w:r w:rsidRPr="00B84B0C">
        <w:rPr>
          <w:rFonts w:cs="Arial"/>
        </w:rPr>
        <w:t xml:space="preserve"> </w:t>
      </w:r>
      <w:proofErr w:type="spellStart"/>
      <w:r w:rsidRPr="00B84B0C">
        <w:rPr>
          <w:rFonts w:cs="Arial"/>
        </w:rPr>
        <w:t>effects</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transaction</w:t>
      </w:r>
      <w:proofErr w:type="spellEnd"/>
      <w:r w:rsidRPr="00B84B0C">
        <w:rPr>
          <w:rFonts w:cs="Arial"/>
        </w:rPr>
        <w:t xml:space="preserve"> </w:t>
      </w:r>
      <w:proofErr w:type="spellStart"/>
      <w:r w:rsidRPr="00B84B0C">
        <w:rPr>
          <w:rFonts w:cs="Arial"/>
        </w:rPr>
        <w:t>provided</w:t>
      </w:r>
      <w:proofErr w:type="spellEnd"/>
      <w:r w:rsidRPr="00B84B0C">
        <w:rPr>
          <w:rFonts w:cs="Arial"/>
        </w:rPr>
        <w:t xml:space="preserve"> a </w:t>
      </w:r>
      <w:proofErr w:type="spellStart"/>
      <w:r w:rsidRPr="00B84B0C">
        <w:rPr>
          <w:rFonts w:cs="Arial"/>
        </w:rPr>
        <w:t>gain</w:t>
      </w:r>
      <w:proofErr w:type="spellEnd"/>
      <w:r w:rsidRPr="00B84B0C">
        <w:rPr>
          <w:rFonts w:cs="Arial"/>
        </w:rPr>
        <w:t xml:space="preserve"> </w:t>
      </w:r>
      <w:proofErr w:type="spellStart"/>
      <w:r w:rsidRPr="00B84B0C">
        <w:rPr>
          <w:rFonts w:cs="Arial"/>
        </w:rPr>
        <w:t>of</w:t>
      </w:r>
      <w:proofErr w:type="spellEnd"/>
      <w:r w:rsidRPr="00B84B0C">
        <w:rPr>
          <w:rFonts w:cs="Arial"/>
        </w:rPr>
        <w:t xml:space="preserve"> R$ 2.3 </w:t>
      </w:r>
      <w:proofErr w:type="spellStart"/>
      <w:r w:rsidRPr="00B84B0C">
        <w:rPr>
          <w:rFonts w:cs="Arial"/>
        </w:rPr>
        <w:t>billion</w:t>
      </w:r>
      <w:proofErr w:type="spellEnd"/>
      <w:r w:rsidRPr="00B84B0C">
        <w:rPr>
          <w:rFonts w:cs="Arial"/>
        </w:rPr>
        <w:t xml:space="preserve"> </w:t>
      </w:r>
      <w:proofErr w:type="spellStart"/>
      <w:r w:rsidRPr="00B84B0C">
        <w:rPr>
          <w:rFonts w:cs="Arial"/>
        </w:rPr>
        <w:t>to</w:t>
      </w:r>
      <w:proofErr w:type="spellEnd"/>
      <w:r w:rsidRPr="00B84B0C">
        <w:rPr>
          <w:rFonts w:cs="Arial"/>
        </w:rPr>
        <w:t xml:space="preserve"> BB Seguros.</w:t>
      </w:r>
    </w:p>
    <w:p w14:paraId="5E37D39D" w14:textId="77777777" w:rsidR="00720F68" w:rsidRPr="00B84B0C" w:rsidRDefault="00720F68" w:rsidP="00720F68">
      <w:pPr>
        <w:pStyle w:val="05-Textonormal"/>
        <w:rPr>
          <w:rFonts w:cs="Arial"/>
          <w:lang w:val="en-US"/>
        </w:rPr>
      </w:pPr>
    </w:p>
    <w:p w14:paraId="1EBE1F1B" w14:textId="77777777" w:rsidR="00720F68" w:rsidRPr="00B84B0C" w:rsidRDefault="00720F68" w:rsidP="00720F68">
      <w:pPr>
        <w:pStyle w:val="03-SubttulodeNota"/>
        <w:rPr>
          <w:rFonts w:cs="Arial"/>
          <w:snapToGrid w:val="0"/>
          <w:color w:val="1F4E79" w:themeColor="accent1" w:themeShade="80"/>
          <w:sz w:val="18"/>
          <w:szCs w:val="18"/>
        </w:rPr>
      </w:pPr>
      <w:r w:rsidRPr="00B84B0C">
        <w:rPr>
          <w:rFonts w:cs="Arial"/>
          <w:snapToGrid w:val="0"/>
          <w:color w:val="1F4E79" w:themeColor="accent1" w:themeShade="80"/>
          <w:sz w:val="18"/>
          <w:szCs w:val="18"/>
        </w:rPr>
        <w:t xml:space="preserve">b) </w:t>
      </w:r>
      <w:proofErr w:type="spellStart"/>
      <w:r w:rsidRPr="00B84B0C">
        <w:rPr>
          <w:rFonts w:cs="Arial"/>
          <w:snapToGrid w:val="0"/>
          <w:color w:val="1F4E79" w:themeColor="accent1" w:themeShade="80"/>
          <w:sz w:val="18"/>
          <w:szCs w:val="18"/>
        </w:rPr>
        <w:t>Ciclic</w:t>
      </w:r>
      <w:proofErr w:type="spellEnd"/>
      <w:r w:rsidRPr="00B84B0C">
        <w:rPr>
          <w:rFonts w:cs="Arial"/>
          <w:snapToGrid w:val="0"/>
          <w:color w:val="1F4E79" w:themeColor="accent1" w:themeShade="80"/>
          <w:sz w:val="18"/>
          <w:szCs w:val="18"/>
        </w:rPr>
        <w:t xml:space="preserve"> Corretora de Seguros S.A.</w:t>
      </w:r>
    </w:p>
    <w:p w14:paraId="7EBC05F4" w14:textId="77777777" w:rsidR="00720F68" w:rsidRPr="00B84B0C" w:rsidRDefault="00720F68" w:rsidP="00720F68">
      <w:pPr>
        <w:pStyle w:val="05-Textonormal"/>
        <w:rPr>
          <w:rStyle w:val="tlid-translation"/>
          <w:rFonts w:cs="Arial"/>
          <w:lang w:val="en"/>
        </w:rPr>
      </w:pPr>
      <w:r w:rsidRPr="00B84B0C">
        <w:rPr>
          <w:rStyle w:val="tlid-translation"/>
          <w:rFonts w:cs="Arial"/>
          <w:lang w:val="en"/>
        </w:rPr>
        <w:t>On February 27</w:t>
      </w:r>
      <w:r w:rsidRPr="00B84B0C">
        <w:rPr>
          <w:rStyle w:val="tlid-translation"/>
          <w:rFonts w:cs="Arial"/>
          <w:vertAlign w:val="superscript"/>
          <w:lang w:val="en"/>
        </w:rPr>
        <w:t>th</w:t>
      </w:r>
      <w:r w:rsidRPr="00B84B0C">
        <w:rPr>
          <w:rStyle w:val="tlid-translation"/>
          <w:rFonts w:cs="Arial"/>
          <w:lang w:val="en"/>
        </w:rPr>
        <w:t xml:space="preserve">, 2020, </w:t>
      </w:r>
      <w:proofErr w:type="spellStart"/>
      <w:r w:rsidRPr="00B84B0C">
        <w:rPr>
          <w:rStyle w:val="tlid-translation"/>
          <w:rFonts w:cs="Arial"/>
          <w:lang w:val="en"/>
        </w:rPr>
        <w:t>Ciclic’s</w:t>
      </w:r>
      <w:proofErr w:type="spellEnd"/>
      <w:r w:rsidRPr="00B84B0C">
        <w:rPr>
          <w:rStyle w:val="tlid-translation"/>
          <w:rFonts w:cs="Arial"/>
          <w:lang w:val="en"/>
        </w:rPr>
        <w:t xml:space="preserve"> General Shareholders Meeting (ESM), held extraordinarily, approved the increase on the company’s capital by R$ 17,001,400.00 through the issuance of 8,500,700 common shares and 8,500,700 preferred shares, by the price of R$ 1.00 each.</w:t>
      </w:r>
    </w:p>
    <w:p w14:paraId="0E3D55DC" w14:textId="77777777" w:rsidR="00720F68" w:rsidRPr="00B84B0C" w:rsidRDefault="00720F68" w:rsidP="00720F68">
      <w:pPr>
        <w:pStyle w:val="05-Textonormal"/>
        <w:rPr>
          <w:rStyle w:val="tlid-translation"/>
          <w:rFonts w:cs="Arial"/>
          <w:lang w:val="en"/>
        </w:rPr>
      </w:pPr>
      <w:r w:rsidRPr="00B84B0C">
        <w:rPr>
          <w:rStyle w:val="tlid-translation"/>
          <w:rFonts w:cs="Arial"/>
          <w:lang w:val="en"/>
        </w:rPr>
        <w:t xml:space="preserve">BB </w:t>
      </w:r>
      <w:proofErr w:type="spellStart"/>
      <w:r w:rsidRPr="00B84B0C">
        <w:rPr>
          <w:rStyle w:val="tlid-translation"/>
          <w:rFonts w:cs="Arial"/>
          <w:lang w:val="en"/>
        </w:rPr>
        <w:t>Corretora</w:t>
      </w:r>
      <w:proofErr w:type="spellEnd"/>
      <w:r w:rsidRPr="00B84B0C">
        <w:rPr>
          <w:rStyle w:val="tlid-translation"/>
          <w:rFonts w:cs="Arial"/>
          <w:lang w:val="en"/>
        </w:rPr>
        <w:t xml:space="preserve"> de </w:t>
      </w:r>
      <w:proofErr w:type="spellStart"/>
      <w:r w:rsidRPr="00B84B0C">
        <w:rPr>
          <w:rStyle w:val="tlid-translation"/>
          <w:rFonts w:cs="Arial"/>
          <w:lang w:val="en"/>
        </w:rPr>
        <w:t>Seguros</w:t>
      </w:r>
      <w:proofErr w:type="spellEnd"/>
      <w:r w:rsidRPr="00B84B0C">
        <w:rPr>
          <w:rStyle w:val="tlid-translation"/>
          <w:rFonts w:cs="Arial"/>
          <w:lang w:val="en"/>
        </w:rPr>
        <w:t xml:space="preserve"> S.A. subscribed 4,249,500 common shares and 8,500,700 preferred shares, equivalent to R$ 12,750,200.00, fully paid in national currency, on the date of the ESM held to decide the increase on the company’s capital.</w:t>
      </w:r>
    </w:p>
    <w:p w14:paraId="621381E8" w14:textId="77777777" w:rsidR="00720F68" w:rsidRPr="00B84B0C" w:rsidRDefault="00720F68" w:rsidP="00720F68">
      <w:pPr>
        <w:pStyle w:val="05-Textonormal"/>
        <w:rPr>
          <w:rStyle w:val="tlid-translation"/>
          <w:rFonts w:cs="Arial"/>
          <w:lang w:val="en"/>
        </w:rPr>
      </w:pPr>
      <w:r w:rsidRPr="00B84B0C">
        <w:rPr>
          <w:rStyle w:val="tlid-translation"/>
          <w:rFonts w:cs="Arial"/>
          <w:lang w:val="en"/>
        </w:rPr>
        <w:t xml:space="preserve">PFG do </w:t>
      </w:r>
      <w:proofErr w:type="spellStart"/>
      <w:r w:rsidRPr="00B84B0C">
        <w:rPr>
          <w:rStyle w:val="tlid-translation"/>
          <w:rFonts w:cs="Arial"/>
          <w:lang w:val="en"/>
        </w:rPr>
        <w:t>Brasil</w:t>
      </w:r>
      <w:proofErr w:type="spellEnd"/>
      <w:r w:rsidRPr="00B84B0C">
        <w:rPr>
          <w:rStyle w:val="tlid-translation"/>
          <w:rFonts w:cs="Arial"/>
          <w:lang w:val="en"/>
        </w:rPr>
        <w:t xml:space="preserve"> 2 </w:t>
      </w:r>
      <w:proofErr w:type="spellStart"/>
      <w:r w:rsidRPr="00B84B0C">
        <w:rPr>
          <w:rStyle w:val="tlid-translation"/>
          <w:rFonts w:cs="Arial"/>
          <w:lang w:val="en"/>
        </w:rPr>
        <w:t>Participações</w:t>
      </w:r>
      <w:proofErr w:type="spellEnd"/>
      <w:r w:rsidRPr="00B84B0C">
        <w:rPr>
          <w:rStyle w:val="tlid-translation"/>
          <w:rFonts w:cs="Arial"/>
          <w:lang w:val="en"/>
        </w:rPr>
        <w:t xml:space="preserve"> </w:t>
      </w:r>
      <w:proofErr w:type="spellStart"/>
      <w:r w:rsidRPr="00B84B0C">
        <w:rPr>
          <w:rStyle w:val="tlid-translation"/>
          <w:rFonts w:cs="Arial"/>
          <w:lang w:val="en"/>
        </w:rPr>
        <w:t>Ltda</w:t>
      </w:r>
      <w:proofErr w:type="spellEnd"/>
      <w:r w:rsidRPr="00B84B0C">
        <w:rPr>
          <w:rStyle w:val="tlid-translation"/>
          <w:rFonts w:cs="Arial"/>
          <w:lang w:val="en"/>
        </w:rPr>
        <w:t xml:space="preserve"> subscribed 4,251,200 common shares, equivalent to R$ 4,251,200.00, fully paid in national currency, on the date of the ESM held to decide the increase on the company’s capital.</w:t>
      </w:r>
    </w:p>
    <w:p w14:paraId="216B88D6" w14:textId="77777777" w:rsidR="00720F68" w:rsidRPr="00B84B0C" w:rsidRDefault="00720F68" w:rsidP="00720F68">
      <w:pPr>
        <w:pStyle w:val="05-Textonormal"/>
        <w:rPr>
          <w:rFonts w:cs="Arial"/>
          <w:lang w:val="en"/>
        </w:rPr>
      </w:pPr>
      <w:r w:rsidRPr="00B84B0C">
        <w:rPr>
          <w:rStyle w:val="tlid-translation"/>
          <w:rFonts w:cs="Arial"/>
          <w:lang w:val="en"/>
        </w:rPr>
        <w:t>The company's capital, fully subscribed and paid-in, is now of R$ 44.0 million, divided into 44 million shares, of which 22 million are common shares and 22 million are preferred shares, distributed between the shareholders in the following proportion:</w:t>
      </w:r>
    </w:p>
    <w:tbl>
      <w:tblPr>
        <w:tblStyle w:val="TabeladeLista6Colorida-nfase531"/>
        <w:tblW w:w="0" w:type="dxa"/>
        <w:tblInd w:w="0" w:type="dxa"/>
        <w:tblLayout w:type="fixed"/>
        <w:tblLook w:val="04A0" w:firstRow="1" w:lastRow="0" w:firstColumn="1" w:lastColumn="0" w:noHBand="0" w:noVBand="1"/>
      </w:tblPr>
      <w:tblGrid>
        <w:gridCol w:w="2552"/>
        <w:gridCol w:w="1181"/>
        <w:gridCol w:w="1181"/>
        <w:gridCol w:w="1181"/>
        <w:gridCol w:w="1181"/>
        <w:gridCol w:w="1181"/>
        <w:gridCol w:w="1182"/>
      </w:tblGrid>
      <w:tr w:rsidR="00720F68" w:rsidRPr="00B84B0C" w14:paraId="0B738896" w14:textId="77777777" w:rsidTr="00720F6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356D2E45" w14:textId="77777777" w:rsidR="00720F68" w:rsidRPr="00B84B0C" w:rsidRDefault="00720F68" w:rsidP="00720F68">
            <w:pPr>
              <w:jc w:val="center"/>
              <w:rPr>
                <w:rFonts w:cs="Arial"/>
                <w:szCs w:val="18"/>
              </w:rPr>
            </w:pPr>
            <w:r w:rsidRPr="00B84B0C">
              <w:rPr>
                <w:rFonts w:cs="Arial"/>
                <w:sz w:val="14"/>
                <w:szCs w:val="14"/>
              </w:rPr>
              <w:t>Acionistas</w:t>
            </w:r>
          </w:p>
        </w:tc>
        <w:tc>
          <w:tcPr>
            <w:tcW w:w="2362" w:type="dxa"/>
            <w:gridSpan w:val="2"/>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3894CD35" w14:textId="77777777" w:rsidR="00720F68" w:rsidRPr="00B84B0C" w:rsidRDefault="00720F68" w:rsidP="00720F6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pacing w:val="-2"/>
                <w:sz w:val="14"/>
                <w:szCs w:val="14"/>
              </w:rPr>
            </w:pPr>
            <w:r w:rsidRPr="00B84B0C">
              <w:rPr>
                <w:rFonts w:eastAsia="Times New Roman" w:cs="Arial"/>
                <w:spacing w:val="-2"/>
                <w:sz w:val="14"/>
                <w:szCs w:val="14"/>
              </w:rPr>
              <w:t xml:space="preserve">Common </w:t>
            </w:r>
            <w:proofErr w:type="spellStart"/>
            <w:r w:rsidRPr="00B84B0C">
              <w:rPr>
                <w:rFonts w:eastAsia="Times New Roman" w:cs="Arial"/>
                <w:spacing w:val="-2"/>
                <w:sz w:val="14"/>
                <w:szCs w:val="14"/>
              </w:rPr>
              <w:t>Shares</w:t>
            </w:r>
            <w:proofErr w:type="spellEnd"/>
          </w:p>
        </w:tc>
        <w:tc>
          <w:tcPr>
            <w:tcW w:w="2362" w:type="dxa"/>
            <w:gridSpan w:val="2"/>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3F913050" w14:textId="77777777" w:rsidR="00720F68" w:rsidRPr="00B84B0C" w:rsidRDefault="00720F68" w:rsidP="00720F6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pacing w:val="-2"/>
                <w:sz w:val="14"/>
                <w:szCs w:val="14"/>
              </w:rPr>
            </w:pPr>
            <w:proofErr w:type="spellStart"/>
            <w:r w:rsidRPr="00B84B0C">
              <w:rPr>
                <w:rFonts w:eastAsia="Times New Roman" w:cs="Arial"/>
                <w:spacing w:val="-2"/>
                <w:sz w:val="14"/>
                <w:szCs w:val="14"/>
              </w:rPr>
              <w:t>Preferred</w:t>
            </w:r>
            <w:proofErr w:type="spellEnd"/>
            <w:r w:rsidRPr="00B84B0C">
              <w:rPr>
                <w:rFonts w:eastAsia="Times New Roman" w:cs="Arial"/>
                <w:spacing w:val="-2"/>
                <w:sz w:val="14"/>
                <w:szCs w:val="14"/>
              </w:rPr>
              <w:t xml:space="preserve"> </w:t>
            </w:r>
            <w:proofErr w:type="spellStart"/>
            <w:r w:rsidRPr="00B84B0C">
              <w:rPr>
                <w:rFonts w:eastAsia="Times New Roman" w:cs="Arial"/>
                <w:spacing w:val="-2"/>
                <w:sz w:val="14"/>
                <w:szCs w:val="14"/>
              </w:rPr>
              <w:t>Shares</w:t>
            </w:r>
            <w:proofErr w:type="spellEnd"/>
          </w:p>
        </w:tc>
        <w:tc>
          <w:tcPr>
            <w:tcW w:w="2363" w:type="dxa"/>
            <w:gridSpan w:val="2"/>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3FF74088" w14:textId="77777777" w:rsidR="00720F68" w:rsidRPr="00B84B0C" w:rsidRDefault="00720F68" w:rsidP="00720F6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pacing w:val="-2"/>
                <w:sz w:val="14"/>
                <w:szCs w:val="14"/>
              </w:rPr>
            </w:pPr>
            <w:r w:rsidRPr="00B84B0C">
              <w:rPr>
                <w:rFonts w:eastAsia="Times New Roman" w:cs="Arial"/>
                <w:spacing w:val="-2"/>
                <w:sz w:val="14"/>
                <w:szCs w:val="14"/>
              </w:rPr>
              <w:t>Total</w:t>
            </w:r>
          </w:p>
        </w:tc>
      </w:tr>
      <w:tr w:rsidR="00720F68" w:rsidRPr="00B84B0C" w14:paraId="65F5B994" w14:textId="77777777" w:rsidTr="00720F68">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8EAADB" w:themeColor="accent5" w:themeTint="99"/>
              <w:left w:val="nil"/>
              <w:bottom w:val="single" w:sz="2" w:space="0" w:color="8EAADB" w:themeColor="accent5" w:themeTint="99"/>
              <w:right w:val="nil"/>
            </w:tcBorders>
            <w:vAlign w:val="center"/>
            <w:hideMark/>
          </w:tcPr>
          <w:p w14:paraId="6A4B9A89" w14:textId="77777777" w:rsidR="00720F68" w:rsidRPr="00B84B0C" w:rsidRDefault="00720F68" w:rsidP="00720F68">
            <w:pPr>
              <w:rPr>
                <w:rFonts w:cs="Arial"/>
                <w:szCs w:val="18"/>
              </w:rPr>
            </w:pPr>
          </w:p>
        </w:tc>
        <w:tc>
          <w:tcPr>
            <w:tcW w:w="1181" w:type="dxa"/>
            <w:tcBorders>
              <w:top w:val="single" w:sz="2" w:space="0" w:color="8EAADB" w:themeColor="accent5" w:themeTint="99"/>
              <w:left w:val="nil"/>
              <w:bottom w:val="single" w:sz="2" w:space="0" w:color="8EAADB" w:themeColor="accent5" w:themeTint="99"/>
              <w:right w:val="nil"/>
            </w:tcBorders>
            <w:vAlign w:val="center"/>
            <w:hideMark/>
          </w:tcPr>
          <w:p w14:paraId="717474E0"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proofErr w:type="spellStart"/>
            <w:r w:rsidRPr="00B84B0C">
              <w:rPr>
                <w:rFonts w:eastAsia="Times New Roman" w:cs="Arial"/>
                <w:b/>
                <w:spacing w:val="-2"/>
                <w:sz w:val="14"/>
                <w:szCs w:val="14"/>
              </w:rPr>
              <w:t>Ammount</w:t>
            </w:r>
            <w:proofErr w:type="spellEnd"/>
          </w:p>
        </w:tc>
        <w:tc>
          <w:tcPr>
            <w:tcW w:w="1181" w:type="dxa"/>
            <w:tcBorders>
              <w:top w:val="single" w:sz="2" w:space="0" w:color="8EAADB" w:themeColor="accent5" w:themeTint="99"/>
              <w:left w:val="nil"/>
              <w:bottom w:val="single" w:sz="2" w:space="0" w:color="8EAADB" w:themeColor="accent5" w:themeTint="99"/>
              <w:right w:val="nil"/>
            </w:tcBorders>
            <w:vAlign w:val="center"/>
            <w:hideMark/>
          </w:tcPr>
          <w:p w14:paraId="1BB49FED"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eastAsia="Times New Roman" w:cs="Arial"/>
                <w:b/>
                <w:spacing w:val="-2"/>
                <w:sz w:val="14"/>
                <w:szCs w:val="14"/>
              </w:rPr>
              <w:t>%</w:t>
            </w:r>
          </w:p>
        </w:tc>
        <w:tc>
          <w:tcPr>
            <w:tcW w:w="1181" w:type="dxa"/>
            <w:tcBorders>
              <w:top w:val="single" w:sz="2" w:space="0" w:color="8EAADB" w:themeColor="accent5" w:themeTint="99"/>
              <w:left w:val="nil"/>
              <w:bottom w:val="single" w:sz="2" w:space="0" w:color="8EAADB" w:themeColor="accent5" w:themeTint="99"/>
              <w:right w:val="nil"/>
            </w:tcBorders>
            <w:vAlign w:val="center"/>
            <w:hideMark/>
          </w:tcPr>
          <w:p w14:paraId="7B6805F6"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proofErr w:type="spellStart"/>
            <w:r w:rsidRPr="00B84B0C">
              <w:rPr>
                <w:rFonts w:eastAsia="Times New Roman" w:cs="Arial"/>
                <w:b/>
                <w:spacing w:val="-2"/>
                <w:sz w:val="14"/>
                <w:szCs w:val="14"/>
              </w:rPr>
              <w:t>Ammount</w:t>
            </w:r>
            <w:proofErr w:type="spellEnd"/>
          </w:p>
        </w:tc>
        <w:tc>
          <w:tcPr>
            <w:tcW w:w="1181" w:type="dxa"/>
            <w:tcBorders>
              <w:top w:val="single" w:sz="2" w:space="0" w:color="8EAADB" w:themeColor="accent5" w:themeTint="99"/>
              <w:left w:val="nil"/>
              <w:bottom w:val="single" w:sz="2" w:space="0" w:color="8EAADB" w:themeColor="accent5" w:themeTint="99"/>
              <w:right w:val="nil"/>
            </w:tcBorders>
            <w:vAlign w:val="center"/>
            <w:hideMark/>
          </w:tcPr>
          <w:p w14:paraId="60B9976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eastAsia="Times New Roman" w:cs="Arial"/>
                <w:b/>
                <w:spacing w:val="-2"/>
                <w:sz w:val="14"/>
                <w:szCs w:val="14"/>
              </w:rPr>
              <w:t>%</w:t>
            </w:r>
          </w:p>
        </w:tc>
        <w:tc>
          <w:tcPr>
            <w:tcW w:w="1181" w:type="dxa"/>
            <w:tcBorders>
              <w:top w:val="single" w:sz="2" w:space="0" w:color="8EAADB" w:themeColor="accent5" w:themeTint="99"/>
              <w:left w:val="nil"/>
              <w:bottom w:val="single" w:sz="2" w:space="0" w:color="8EAADB" w:themeColor="accent5" w:themeTint="99"/>
              <w:right w:val="nil"/>
            </w:tcBorders>
            <w:vAlign w:val="center"/>
            <w:hideMark/>
          </w:tcPr>
          <w:p w14:paraId="4AF2B0D2"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proofErr w:type="spellStart"/>
            <w:r w:rsidRPr="00B84B0C">
              <w:rPr>
                <w:rFonts w:eastAsia="Times New Roman" w:cs="Arial"/>
                <w:b/>
                <w:spacing w:val="-2"/>
                <w:sz w:val="14"/>
                <w:szCs w:val="14"/>
              </w:rPr>
              <w:t>Ammount</w:t>
            </w:r>
            <w:proofErr w:type="spellEnd"/>
          </w:p>
        </w:tc>
        <w:tc>
          <w:tcPr>
            <w:tcW w:w="1182" w:type="dxa"/>
            <w:tcBorders>
              <w:top w:val="single" w:sz="2" w:space="0" w:color="8EAADB" w:themeColor="accent5" w:themeTint="99"/>
              <w:left w:val="nil"/>
              <w:bottom w:val="single" w:sz="2" w:space="0" w:color="8EAADB" w:themeColor="accent5" w:themeTint="99"/>
              <w:right w:val="nil"/>
            </w:tcBorders>
            <w:vAlign w:val="center"/>
            <w:hideMark/>
          </w:tcPr>
          <w:p w14:paraId="5B765708"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eastAsia="Times New Roman" w:cs="Arial"/>
                <w:b/>
                <w:spacing w:val="-2"/>
                <w:sz w:val="14"/>
                <w:szCs w:val="14"/>
              </w:rPr>
              <w:t>%</w:t>
            </w:r>
          </w:p>
        </w:tc>
      </w:tr>
      <w:tr w:rsidR="00720F68" w:rsidRPr="00B84B0C" w14:paraId="6BD9EF4C" w14:textId="77777777" w:rsidTr="00720F68">
        <w:trPr>
          <w:trHeight w:hRule="exac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8EAADB" w:themeColor="accent5" w:themeTint="99"/>
              <w:left w:val="nil"/>
              <w:bottom w:val="nil"/>
              <w:right w:val="nil"/>
            </w:tcBorders>
            <w:shd w:val="clear" w:color="auto" w:fill="FFFFFF" w:themeFill="background1"/>
            <w:hideMark/>
          </w:tcPr>
          <w:p w14:paraId="1EDD3D48" w14:textId="77777777" w:rsidR="00720F68" w:rsidRPr="00B84B0C" w:rsidRDefault="00720F68" w:rsidP="00720F68">
            <w:pPr>
              <w:keepNext/>
              <w:keepLines/>
              <w:spacing w:before="40" w:after="40"/>
              <w:rPr>
                <w:rFonts w:eastAsia="Times New Roman" w:cs="Arial"/>
                <w:spacing w:val="-2"/>
                <w:sz w:val="14"/>
                <w:szCs w:val="14"/>
              </w:rPr>
            </w:pPr>
            <w:r w:rsidRPr="00B84B0C">
              <w:rPr>
                <w:rFonts w:eastAsia="Times New Roman" w:cs="Arial"/>
                <w:spacing w:val="-2"/>
                <w:sz w:val="14"/>
                <w:szCs w:val="14"/>
              </w:rPr>
              <w:t>BB Corretora</w:t>
            </w:r>
          </w:p>
        </w:tc>
        <w:tc>
          <w:tcPr>
            <w:tcW w:w="1181" w:type="dxa"/>
            <w:tcBorders>
              <w:top w:val="single" w:sz="2" w:space="0" w:color="8EAADB" w:themeColor="accent5" w:themeTint="99"/>
              <w:left w:val="nil"/>
              <w:bottom w:val="nil"/>
              <w:right w:val="nil"/>
            </w:tcBorders>
            <w:shd w:val="clear" w:color="auto" w:fill="FFFFFF" w:themeFill="background1"/>
            <w:hideMark/>
          </w:tcPr>
          <w:p w14:paraId="2884B6D1"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10,997,800</w:t>
            </w:r>
          </w:p>
        </w:tc>
        <w:tc>
          <w:tcPr>
            <w:tcW w:w="1181" w:type="dxa"/>
            <w:tcBorders>
              <w:top w:val="single" w:sz="2" w:space="0" w:color="8EAADB" w:themeColor="accent5" w:themeTint="99"/>
              <w:left w:val="nil"/>
              <w:bottom w:val="nil"/>
              <w:right w:val="nil"/>
            </w:tcBorders>
            <w:shd w:val="clear" w:color="auto" w:fill="FFFFFF" w:themeFill="background1"/>
            <w:hideMark/>
          </w:tcPr>
          <w:p w14:paraId="06664A98"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49.990</w:t>
            </w:r>
          </w:p>
        </w:tc>
        <w:tc>
          <w:tcPr>
            <w:tcW w:w="1181" w:type="dxa"/>
            <w:tcBorders>
              <w:top w:val="single" w:sz="2" w:space="0" w:color="8EAADB" w:themeColor="accent5" w:themeTint="99"/>
              <w:left w:val="nil"/>
              <w:bottom w:val="nil"/>
              <w:right w:val="nil"/>
            </w:tcBorders>
            <w:shd w:val="clear" w:color="auto" w:fill="FFFFFF" w:themeFill="background1"/>
            <w:hideMark/>
          </w:tcPr>
          <w:p w14:paraId="1D485474"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22,000,000</w:t>
            </w:r>
          </w:p>
        </w:tc>
        <w:tc>
          <w:tcPr>
            <w:tcW w:w="1181" w:type="dxa"/>
            <w:tcBorders>
              <w:top w:val="single" w:sz="2" w:space="0" w:color="8EAADB" w:themeColor="accent5" w:themeTint="99"/>
              <w:left w:val="nil"/>
              <w:bottom w:val="nil"/>
              <w:right w:val="nil"/>
            </w:tcBorders>
            <w:shd w:val="clear" w:color="auto" w:fill="FFFFFF" w:themeFill="background1"/>
            <w:hideMark/>
          </w:tcPr>
          <w:p w14:paraId="7ADCB88F"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100.000</w:t>
            </w:r>
          </w:p>
        </w:tc>
        <w:tc>
          <w:tcPr>
            <w:tcW w:w="1181" w:type="dxa"/>
            <w:tcBorders>
              <w:top w:val="single" w:sz="2" w:space="0" w:color="8EAADB" w:themeColor="accent5" w:themeTint="99"/>
              <w:left w:val="nil"/>
              <w:bottom w:val="nil"/>
              <w:right w:val="nil"/>
            </w:tcBorders>
            <w:shd w:val="clear" w:color="auto" w:fill="FFFFFF" w:themeFill="background1"/>
            <w:hideMark/>
          </w:tcPr>
          <w:p w14:paraId="00A13EAA"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32,997,800</w:t>
            </w:r>
          </w:p>
        </w:tc>
        <w:tc>
          <w:tcPr>
            <w:tcW w:w="1182" w:type="dxa"/>
            <w:tcBorders>
              <w:top w:val="single" w:sz="2" w:space="0" w:color="8EAADB" w:themeColor="accent5" w:themeTint="99"/>
              <w:left w:val="nil"/>
              <w:bottom w:val="nil"/>
              <w:right w:val="nil"/>
            </w:tcBorders>
            <w:shd w:val="clear" w:color="auto" w:fill="FFFFFF" w:themeFill="background1"/>
            <w:hideMark/>
          </w:tcPr>
          <w:p w14:paraId="44EDA4D9"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74.995</w:t>
            </w:r>
          </w:p>
        </w:tc>
      </w:tr>
      <w:tr w:rsidR="00720F68" w:rsidRPr="00B84B0C" w14:paraId="701EA5F9" w14:textId="77777777" w:rsidTr="00720F6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nil"/>
              <w:right w:val="nil"/>
            </w:tcBorders>
            <w:hideMark/>
          </w:tcPr>
          <w:p w14:paraId="22BE3371" w14:textId="77777777" w:rsidR="00720F68" w:rsidRPr="00B84B0C" w:rsidRDefault="00720F68" w:rsidP="00720F68">
            <w:pPr>
              <w:keepNext/>
              <w:keepLines/>
              <w:spacing w:before="40" w:after="40"/>
              <w:rPr>
                <w:rFonts w:eastAsia="Times New Roman" w:cs="Arial"/>
                <w:spacing w:val="-2"/>
                <w:sz w:val="14"/>
                <w:szCs w:val="18"/>
              </w:rPr>
            </w:pPr>
            <w:r w:rsidRPr="00B84B0C">
              <w:rPr>
                <w:rFonts w:eastAsia="Times New Roman" w:cs="Arial"/>
                <w:spacing w:val="-2"/>
                <w:sz w:val="14"/>
                <w:szCs w:val="18"/>
              </w:rPr>
              <w:t>PFG2</w:t>
            </w:r>
          </w:p>
        </w:tc>
        <w:tc>
          <w:tcPr>
            <w:tcW w:w="1181" w:type="dxa"/>
            <w:tcBorders>
              <w:top w:val="nil"/>
              <w:left w:val="nil"/>
              <w:bottom w:val="nil"/>
              <w:right w:val="nil"/>
            </w:tcBorders>
            <w:hideMark/>
          </w:tcPr>
          <w:p w14:paraId="75C84133"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11,002,200</w:t>
            </w:r>
          </w:p>
        </w:tc>
        <w:tc>
          <w:tcPr>
            <w:tcW w:w="1181" w:type="dxa"/>
            <w:tcBorders>
              <w:top w:val="nil"/>
              <w:left w:val="nil"/>
              <w:bottom w:val="nil"/>
              <w:right w:val="nil"/>
            </w:tcBorders>
            <w:hideMark/>
          </w:tcPr>
          <w:p w14:paraId="1E7A48D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50.010</w:t>
            </w:r>
          </w:p>
        </w:tc>
        <w:tc>
          <w:tcPr>
            <w:tcW w:w="1181" w:type="dxa"/>
            <w:tcBorders>
              <w:top w:val="nil"/>
              <w:left w:val="nil"/>
              <w:bottom w:val="nil"/>
              <w:right w:val="nil"/>
            </w:tcBorders>
            <w:hideMark/>
          </w:tcPr>
          <w:p w14:paraId="54498878"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w:t>
            </w:r>
          </w:p>
        </w:tc>
        <w:tc>
          <w:tcPr>
            <w:tcW w:w="1181" w:type="dxa"/>
            <w:tcBorders>
              <w:top w:val="nil"/>
              <w:left w:val="nil"/>
              <w:bottom w:val="nil"/>
              <w:right w:val="nil"/>
            </w:tcBorders>
            <w:hideMark/>
          </w:tcPr>
          <w:p w14:paraId="2405430E"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w:t>
            </w:r>
          </w:p>
        </w:tc>
        <w:tc>
          <w:tcPr>
            <w:tcW w:w="1181" w:type="dxa"/>
            <w:tcBorders>
              <w:top w:val="nil"/>
              <w:left w:val="nil"/>
              <w:bottom w:val="nil"/>
              <w:right w:val="nil"/>
            </w:tcBorders>
            <w:hideMark/>
          </w:tcPr>
          <w:p w14:paraId="78EA334B"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11,002,200</w:t>
            </w:r>
          </w:p>
        </w:tc>
        <w:tc>
          <w:tcPr>
            <w:tcW w:w="1182" w:type="dxa"/>
            <w:tcBorders>
              <w:top w:val="nil"/>
              <w:left w:val="nil"/>
              <w:bottom w:val="nil"/>
              <w:right w:val="nil"/>
            </w:tcBorders>
            <w:hideMark/>
          </w:tcPr>
          <w:p w14:paraId="4BBEC1D3"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25.005</w:t>
            </w:r>
          </w:p>
        </w:tc>
      </w:tr>
      <w:tr w:rsidR="00720F68" w:rsidRPr="00B84B0C" w14:paraId="6038F45E" w14:textId="77777777" w:rsidTr="00720F68">
        <w:trPr>
          <w:trHeight w:hRule="exact" w:val="238"/>
        </w:trPr>
        <w:tc>
          <w:tcPr>
            <w:cnfStyle w:val="001000000000" w:firstRow="0" w:lastRow="0" w:firstColumn="1" w:lastColumn="0" w:oddVBand="0" w:evenVBand="0" w:oddHBand="0" w:evenHBand="0" w:firstRowFirstColumn="0" w:firstRowLastColumn="0" w:lastRowFirstColumn="0" w:lastRowLastColumn="0"/>
            <w:tcW w:w="2552" w:type="dxa"/>
            <w:tcBorders>
              <w:top w:val="nil"/>
              <w:left w:val="nil"/>
              <w:bottom w:val="single" w:sz="2" w:space="0" w:color="8EAADB" w:themeColor="accent5" w:themeTint="99"/>
              <w:right w:val="nil"/>
            </w:tcBorders>
            <w:shd w:val="clear" w:color="auto" w:fill="FFFFFF" w:themeFill="background1"/>
            <w:hideMark/>
          </w:tcPr>
          <w:p w14:paraId="62D237FE" w14:textId="77777777" w:rsidR="00720F68" w:rsidRPr="00B84B0C" w:rsidRDefault="00720F68" w:rsidP="00720F68">
            <w:pPr>
              <w:keepNext/>
              <w:keepLines/>
              <w:spacing w:before="40" w:after="40"/>
              <w:rPr>
                <w:rFonts w:eastAsia="Times New Roman" w:cs="Arial"/>
                <w:spacing w:val="-2"/>
                <w:sz w:val="14"/>
                <w:szCs w:val="14"/>
              </w:rPr>
            </w:pPr>
            <w:r w:rsidRPr="00B84B0C">
              <w:rPr>
                <w:rFonts w:eastAsia="Times New Roman" w:cs="Arial"/>
                <w:spacing w:val="-2"/>
                <w:sz w:val="14"/>
                <w:szCs w:val="14"/>
              </w:rPr>
              <w:t>Total</w:t>
            </w:r>
          </w:p>
        </w:tc>
        <w:tc>
          <w:tcPr>
            <w:tcW w:w="1181" w:type="dxa"/>
            <w:tcBorders>
              <w:top w:val="nil"/>
              <w:left w:val="nil"/>
              <w:bottom w:val="single" w:sz="2" w:space="0" w:color="8EAADB" w:themeColor="accent5" w:themeTint="99"/>
              <w:right w:val="nil"/>
            </w:tcBorders>
            <w:shd w:val="clear" w:color="auto" w:fill="FFFFFF" w:themeFill="background1"/>
            <w:hideMark/>
          </w:tcPr>
          <w:p w14:paraId="35BAF2E6"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22,000,000</w:t>
            </w:r>
          </w:p>
        </w:tc>
        <w:tc>
          <w:tcPr>
            <w:tcW w:w="1181" w:type="dxa"/>
            <w:tcBorders>
              <w:top w:val="nil"/>
              <w:left w:val="nil"/>
              <w:bottom w:val="single" w:sz="2" w:space="0" w:color="8EAADB" w:themeColor="accent5" w:themeTint="99"/>
              <w:right w:val="nil"/>
            </w:tcBorders>
            <w:shd w:val="clear" w:color="auto" w:fill="FFFFFF" w:themeFill="background1"/>
            <w:hideMark/>
          </w:tcPr>
          <w:p w14:paraId="60054369"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100.000</w:t>
            </w:r>
          </w:p>
        </w:tc>
        <w:tc>
          <w:tcPr>
            <w:tcW w:w="1181" w:type="dxa"/>
            <w:tcBorders>
              <w:top w:val="nil"/>
              <w:left w:val="nil"/>
              <w:bottom w:val="single" w:sz="2" w:space="0" w:color="8EAADB" w:themeColor="accent5" w:themeTint="99"/>
              <w:right w:val="nil"/>
            </w:tcBorders>
            <w:shd w:val="clear" w:color="auto" w:fill="FFFFFF" w:themeFill="background1"/>
            <w:hideMark/>
          </w:tcPr>
          <w:p w14:paraId="44F7F587"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22,000,000</w:t>
            </w:r>
          </w:p>
        </w:tc>
        <w:tc>
          <w:tcPr>
            <w:tcW w:w="1181" w:type="dxa"/>
            <w:tcBorders>
              <w:top w:val="nil"/>
              <w:left w:val="nil"/>
              <w:bottom w:val="single" w:sz="2" w:space="0" w:color="8EAADB" w:themeColor="accent5" w:themeTint="99"/>
              <w:right w:val="nil"/>
            </w:tcBorders>
            <w:shd w:val="clear" w:color="auto" w:fill="FFFFFF" w:themeFill="background1"/>
            <w:hideMark/>
          </w:tcPr>
          <w:p w14:paraId="77930279"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100.000</w:t>
            </w:r>
          </w:p>
        </w:tc>
        <w:tc>
          <w:tcPr>
            <w:tcW w:w="1181" w:type="dxa"/>
            <w:tcBorders>
              <w:top w:val="nil"/>
              <w:left w:val="nil"/>
              <w:bottom w:val="single" w:sz="2" w:space="0" w:color="8EAADB" w:themeColor="accent5" w:themeTint="99"/>
              <w:right w:val="nil"/>
            </w:tcBorders>
            <w:shd w:val="clear" w:color="auto" w:fill="FFFFFF" w:themeFill="background1"/>
            <w:hideMark/>
          </w:tcPr>
          <w:p w14:paraId="5DD2D244"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44,000,000</w:t>
            </w:r>
          </w:p>
        </w:tc>
        <w:tc>
          <w:tcPr>
            <w:tcW w:w="1182" w:type="dxa"/>
            <w:tcBorders>
              <w:top w:val="nil"/>
              <w:left w:val="nil"/>
              <w:bottom w:val="single" w:sz="2" w:space="0" w:color="8EAADB" w:themeColor="accent5" w:themeTint="99"/>
              <w:right w:val="nil"/>
            </w:tcBorders>
            <w:shd w:val="clear" w:color="auto" w:fill="FFFFFF" w:themeFill="background1"/>
            <w:hideMark/>
          </w:tcPr>
          <w:p w14:paraId="7BD973B6"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100.000</w:t>
            </w:r>
          </w:p>
        </w:tc>
      </w:tr>
    </w:tbl>
    <w:p w14:paraId="04039FAE" w14:textId="77777777" w:rsidR="00720F68" w:rsidRPr="00B84B0C" w:rsidRDefault="00720F68" w:rsidP="00720F68">
      <w:pPr>
        <w:pStyle w:val="05-Textonormal"/>
        <w:rPr>
          <w:rFonts w:cs="Arial"/>
        </w:rPr>
      </w:pPr>
    </w:p>
    <w:p w14:paraId="1D696D84" w14:textId="7A5B3AE6" w:rsidR="00711D9A" w:rsidRPr="00B84B0C" w:rsidRDefault="00711D9A" w:rsidP="00711D9A">
      <w:pPr>
        <w:pStyle w:val="02-TtulodeNota"/>
        <w:keepNext/>
        <w:keepLines/>
        <w:pageBreakBefore/>
        <w:rPr>
          <w:rFonts w:cs="Arial"/>
          <w:color w:val="1F4E79" w:themeColor="accent1" w:themeShade="80"/>
        </w:rPr>
      </w:pPr>
      <w:bookmarkStart w:id="13" w:name="_Toc39131487"/>
      <w:bookmarkStart w:id="14" w:name="OLE_LINK1"/>
      <w:r w:rsidRPr="00B84B0C">
        <w:rPr>
          <w:rFonts w:cs="Arial"/>
          <w:color w:val="1F4E79" w:themeColor="accent1" w:themeShade="80"/>
        </w:rPr>
        <w:lastRenderedPageBreak/>
        <w:t>3 – PRESENTATION OF FINANCIAL STATEMENTS</w:t>
      </w:r>
      <w:bookmarkEnd w:id="13"/>
    </w:p>
    <w:p w14:paraId="709B0FDB" w14:textId="77777777" w:rsidR="00711D9A" w:rsidRPr="00B84B0C" w:rsidRDefault="00711D9A" w:rsidP="00711D9A">
      <w:pPr>
        <w:pStyle w:val="03-SubttulodeNota"/>
        <w:rPr>
          <w:rFonts w:cs="Arial"/>
          <w:color w:val="1F4E79" w:themeColor="accent1" w:themeShade="80"/>
        </w:rPr>
      </w:pPr>
      <w:r w:rsidRPr="00B84B0C">
        <w:rPr>
          <w:rFonts w:cs="Arial"/>
          <w:color w:val="1F4E79" w:themeColor="accent1" w:themeShade="80"/>
        </w:rPr>
        <w:t xml:space="preserve">a) </w:t>
      </w:r>
      <w:proofErr w:type="spellStart"/>
      <w:r w:rsidRPr="00B84B0C">
        <w:rPr>
          <w:rFonts w:cs="Arial"/>
          <w:color w:val="1F4E79" w:themeColor="accent1" w:themeShade="80"/>
        </w:rPr>
        <w:t>Statement</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of</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Compliance</w:t>
      </w:r>
      <w:proofErr w:type="spellEnd"/>
    </w:p>
    <w:p w14:paraId="07BC3987" w14:textId="77777777" w:rsidR="00711D9A" w:rsidRPr="00B84B0C" w:rsidRDefault="00711D9A" w:rsidP="00711D9A">
      <w:pPr>
        <w:pStyle w:val="05-Textonormal"/>
        <w:keepNext/>
        <w:keepLines/>
        <w:rPr>
          <w:rFonts w:cs="Arial"/>
          <w:lang w:val="en-US"/>
        </w:rPr>
      </w:pPr>
      <w:r w:rsidRPr="00B84B0C">
        <w:rPr>
          <w:rFonts w:cs="Arial"/>
          <w:lang w:val="en-US"/>
        </w:rPr>
        <w:t xml:space="preserve">The individual financial statements have been prepared in accordance with the accounting guidelines derived from Brazilian corporation law and are presented in compliance with accounting practices adopted in Brazil, including pronouncements issued by the </w:t>
      </w:r>
      <w:proofErr w:type="spellStart"/>
      <w:r w:rsidRPr="00B84B0C">
        <w:rPr>
          <w:rFonts w:cs="Arial"/>
          <w:lang w:val="en-US"/>
        </w:rPr>
        <w:t>Comitê</w:t>
      </w:r>
      <w:proofErr w:type="spellEnd"/>
      <w:r w:rsidRPr="00B84B0C">
        <w:rPr>
          <w:rFonts w:cs="Arial"/>
          <w:lang w:val="en-US"/>
        </w:rPr>
        <w:t xml:space="preserve"> de Pronunciamentos </w:t>
      </w:r>
      <w:proofErr w:type="spellStart"/>
      <w:r w:rsidRPr="00B84B0C">
        <w:rPr>
          <w:rFonts w:cs="Arial"/>
          <w:lang w:val="en-US"/>
        </w:rPr>
        <w:t>Contábeis</w:t>
      </w:r>
      <w:proofErr w:type="spellEnd"/>
      <w:r w:rsidRPr="00B84B0C">
        <w:rPr>
          <w:rFonts w:cs="Arial"/>
          <w:lang w:val="en-US"/>
        </w:rPr>
        <w:t xml:space="preserve"> – CPC (Accounting Pronouncements Committee), approved by </w:t>
      </w:r>
      <w:proofErr w:type="spellStart"/>
      <w:r w:rsidRPr="00B84B0C">
        <w:rPr>
          <w:rFonts w:cs="Arial"/>
          <w:lang w:val="en-US"/>
        </w:rPr>
        <w:t>Conselho</w:t>
      </w:r>
      <w:proofErr w:type="spellEnd"/>
      <w:r w:rsidRPr="00B84B0C">
        <w:rPr>
          <w:rFonts w:cs="Arial"/>
          <w:lang w:val="en-US"/>
        </w:rPr>
        <w:t xml:space="preserve"> Federal de </w:t>
      </w:r>
      <w:proofErr w:type="spellStart"/>
      <w:r w:rsidRPr="00B84B0C">
        <w:rPr>
          <w:rFonts w:cs="Arial"/>
          <w:lang w:val="en-US"/>
        </w:rPr>
        <w:t>Contabilidade</w:t>
      </w:r>
      <w:proofErr w:type="spellEnd"/>
      <w:r w:rsidRPr="00B84B0C">
        <w:rPr>
          <w:rFonts w:cs="Arial"/>
          <w:lang w:val="en-US"/>
        </w:rPr>
        <w:t xml:space="preserve"> – CFC (Federal Accounting Council).</w:t>
      </w:r>
    </w:p>
    <w:p w14:paraId="5AF791FC" w14:textId="77777777" w:rsidR="00711D9A" w:rsidRPr="00B84B0C" w:rsidRDefault="00711D9A" w:rsidP="00711D9A">
      <w:pPr>
        <w:pStyle w:val="05-Textonormal"/>
        <w:keepNext/>
        <w:keepLines/>
        <w:rPr>
          <w:rFonts w:cs="Arial"/>
          <w:lang w:val="en-US"/>
        </w:rPr>
      </w:pPr>
      <w:r w:rsidRPr="00B84B0C">
        <w:rPr>
          <w:rFonts w:cs="Arial"/>
          <w:lang w:val="en-US"/>
        </w:rPr>
        <w:t>The consolidated financial statements have been prepared in accordance with International Financial Reporting Standards (IFRS), issued by the International Accounting Standards Board (IASB).</w:t>
      </w:r>
    </w:p>
    <w:p w14:paraId="66A85540" w14:textId="77777777" w:rsidR="00711D9A" w:rsidRPr="00B84B0C" w:rsidRDefault="00711D9A" w:rsidP="00711D9A">
      <w:pPr>
        <w:pStyle w:val="05-Textonormal"/>
        <w:keepNext/>
        <w:keepLines/>
        <w:rPr>
          <w:rFonts w:cs="Arial"/>
          <w:lang w:val="en-US"/>
        </w:rPr>
      </w:pPr>
      <w:r w:rsidRPr="00B84B0C">
        <w:rPr>
          <w:rFonts w:cs="Arial"/>
          <w:lang w:val="en-US"/>
        </w:rPr>
        <w:t>There are no divergences in accounting practices adopted for these individual and consolidated financial statements, given that the conformity between of the accounting standards adopted in Brazil and those issued by the IASB.</w:t>
      </w:r>
    </w:p>
    <w:p w14:paraId="62DB56E2" w14:textId="77777777" w:rsidR="00711D9A" w:rsidRPr="00B84B0C" w:rsidRDefault="00711D9A" w:rsidP="00711D9A">
      <w:pPr>
        <w:pStyle w:val="05-Textonormal"/>
        <w:keepNext/>
        <w:keepLines/>
        <w:rPr>
          <w:rFonts w:cs="Arial"/>
          <w:lang w:val="en-US"/>
        </w:rPr>
      </w:pPr>
      <w:r w:rsidRPr="00B84B0C">
        <w:rPr>
          <w:rFonts w:cs="Arial"/>
          <w:lang w:val="en-US"/>
        </w:rPr>
        <w:t>All the relevant information specific to the financial statements are evidenced and correspond to those used by Management in its management.</w:t>
      </w:r>
    </w:p>
    <w:p w14:paraId="13A105C1" w14:textId="77777777" w:rsidR="00711D9A" w:rsidRPr="00B84B0C" w:rsidRDefault="00711D9A" w:rsidP="00711D9A">
      <w:pPr>
        <w:pStyle w:val="05-Textonormal"/>
        <w:keepNext/>
        <w:keepLines/>
        <w:rPr>
          <w:rFonts w:cs="Arial"/>
          <w:lang w:val="en-US"/>
        </w:rPr>
      </w:pPr>
      <w:r w:rsidRPr="00B84B0C">
        <w:rPr>
          <w:rFonts w:cs="Arial"/>
          <w:lang w:val="en-US"/>
        </w:rPr>
        <w:t xml:space="preserve">These financial statements were approved and authorized for issue by the Board of Directors on April 04, 2020. </w:t>
      </w:r>
    </w:p>
    <w:p w14:paraId="236674F0" w14:textId="77777777" w:rsidR="00711D9A" w:rsidRPr="00B84B0C" w:rsidRDefault="00711D9A" w:rsidP="00711D9A">
      <w:pPr>
        <w:pStyle w:val="03-SubttulodeNota"/>
        <w:rPr>
          <w:rFonts w:cs="Arial"/>
          <w:color w:val="1F4E79" w:themeColor="accent1" w:themeShade="80"/>
        </w:rPr>
      </w:pPr>
      <w:r w:rsidRPr="00B84B0C">
        <w:rPr>
          <w:rFonts w:cs="Arial"/>
          <w:color w:val="1F4E79" w:themeColor="accent1" w:themeShade="80"/>
        </w:rPr>
        <w:t xml:space="preserve">b) </w:t>
      </w:r>
      <w:proofErr w:type="spellStart"/>
      <w:r w:rsidRPr="00B84B0C">
        <w:rPr>
          <w:rFonts w:cs="Arial"/>
          <w:color w:val="1F4E79" w:themeColor="accent1" w:themeShade="80"/>
        </w:rPr>
        <w:t>Continuity</w:t>
      </w:r>
      <w:proofErr w:type="spellEnd"/>
    </w:p>
    <w:p w14:paraId="2CA0DB07" w14:textId="77777777" w:rsidR="00711D9A" w:rsidRPr="00B84B0C" w:rsidRDefault="00711D9A" w:rsidP="00711D9A">
      <w:pPr>
        <w:pStyle w:val="05-Textonormal1"/>
        <w:rPr>
          <w:rFonts w:cs="Arial"/>
          <w:lang w:val="en-US"/>
        </w:rPr>
      </w:pPr>
      <w:r w:rsidRPr="00B84B0C">
        <w:rPr>
          <w:rFonts w:cs="Arial"/>
          <w:lang w:val="en-US"/>
        </w:rPr>
        <w:t xml:space="preserve">Management evaluated the capacity of BB </w:t>
      </w:r>
      <w:proofErr w:type="spellStart"/>
      <w:r w:rsidRPr="00B84B0C">
        <w:rPr>
          <w:rFonts w:cs="Arial"/>
          <w:lang w:val="en-US"/>
        </w:rPr>
        <w:t>Seguridade</w:t>
      </w:r>
      <w:proofErr w:type="spellEnd"/>
      <w:r w:rsidRPr="00B84B0C">
        <w:rPr>
          <w:rFonts w:cs="Arial"/>
          <w:lang w:val="en-US"/>
        </w:rPr>
        <w:t xml:space="preserve"> to continue normally operating </w:t>
      </w:r>
      <w:r w:rsidRPr="00B84B0C">
        <w:rPr>
          <w:rStyle w:val="tlid-translation"/>
          <w:rFonts w:cs="Arial"/>
          <w:lang w:val="en"/>
        </w:rPr>
        <w:t>and it is convinced that it has the resources to continue its business in the future.</w:t>
      </w:r>
      <w:r w:rsidRPr="00B84B0C">
        <w:rPr>
          <w:rFonts w:cs="Arial"/>
          <w:lang w:val="en-US"/>
        </w:rPr>
        <w:t xml:space="preserve"> </w:t>
      </w:r>
      <w:r w:rsidRPr="00B84B0C">
        <w:rPr>
          <w:rStyle w:val="tlid-translation"/>
          <w:rFonts w:cs="Arial"/>
          <w:lang w:val="en"/>
        </w:rPr>
        <w:t>In addition, Management is not aware of any material uncertainties that could generate significant doubts about its ability to continue operating. Accordingly, these consolidated and individual financial statements were prepared based on the assumption of operating continuity.</w:t>
      </w:r>
    </w:p>
    <w:p w14:paraId="31FF6C18" w14:textId="77777777" w:rsidR="00711D9A" w:rsidRPr="00B84B0C" w:rsidRDefault="00711D9A" w:rsidP="00711D9A">
      <w:pPr>
        <w:pStyle w:val="03-SubttulodeNota"/>
        <w:rPr>
          <w:rFonts w:cs="Arial"/>
          <w:color w:val="1F4E79" w:themeColor="accent1" w:themeShade="80"/>
        </w:rPr>
      </w:pPr>
      <w:r w:rsidRPr="00B84B0C">
        <w:rPr>
          <w:rFonts w:cs="Arial"/>
          <w:color w:val="1F4E79" w:themeColor="accent1" w:themeShade="80"/>
        </w:rPr>
        <w:t xml:space="preserve">c) </w:t>
      </w:r>
      <w:proofErr w:type="spellStart"/>
      <w:r w:rsidRPr="00B84B0C">
        <w:rPr>
          <w:rFonts w:cs="Arial"/>
          <w:color w:val="1F4E79" w:themeColor="accent1" w:themeShade="80"/>
        </w:rPr>
        <w:t>Measurement</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Basis</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of</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Assets</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and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Liabilities</w:t>
      </w:r>
      <w:proofErr w:type="spellEnd"/>
    </w:p>
    <w:p w14:paraId="2EE29250" w14:textId="77777777" w:rsidR="00711D9A" w:rsidRPr="00B84B0C" w:rsidRDefault="00711D9A" w:rsidP="00711D9A">
      <w:pPr>
        <w:pStyle w:val="05-Textonormal"/>
        <w:rPr>
          <w:rFonts w:cs="Arial"/>
          <w:lang w:val="en-US"/>
        </w:rPr>
      </w:pPr>
      <w:r w:rsidRPr="00B84B0C">
        <w:rPr>
          <w:rFonts w:cs="Arial"/>
          <w:lang w:val="en-US"/>
        </w:rPr>
        <w:t>These individual and consolidated financial statements have been prepared using historical cost as a measurement basis, except for the following items: (</w:t>
      </w:r>
      <w:proofErr w:type="spellStart"/>
      <w:r w:rsidRPr="00B84B0C">
        <w:rPr>
          <w:rFonts w:cs="Arial"/>
          <w:lang w:val="en-US"/>
        </w:rPr>
        <w:t>i</w:t>
      </w:r>
      <w:proofErr w:type="spellEnd"/>
      <w:r w:rsidRPr="00B84B0C">
        <w:rPr>
          <w:rFonts w:cs="Arial"/>
          <w:lang w:val="en-US"/>
        </w:rPr>
        <w:t>) financial assets held for trading, and (ii) financial assets at amortized cost.</w:t>
      </w:r>
    </w:p>
    <w:p w14:paraId="4513C660" w14:textId="77777777" w:rsidR="00711D9A" w:rsidRPr="00B84B0C" w:rsidRDefault="00711D9A" w:rsidP="00711D9A">
      <w:pPr>
        <w:pStyle w:val="03-SubttulodeNota"/>
        <w:rPr>
          <w:rFonts w:cs="Arial"/>
          <w:color w:val="1F4E79" w:themeColor="accent1" w:themeShade="80"/>
        </w:rPr>
      </w:pPr>
      <w:r w:rsidRPr="00B84B0C">
        <w:rPr>
          <w:rFonts w:cs="Arial"/>
          <w:color w:val="1F4E79" w:themeColor="accent1" w:themeShade="80"/>
        </w:rPr>
        <w:t xml:space="preserve">d) </w:t>
      </w:r>
      <w:proofErr w:type="spellStart"/>
      <w:r w:rsidRPr="00B84B0C">
        <w:rPr>
          <w:rFonts w:cs="Arial"/>
          <w:color w:val="1F4E79" w:themeColor="accent1" w:themeShade="80"/>
        </w:rPr>
        <w:t>Functional</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and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Presentation</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Currency</w:t>
      </w:r>
      <w:proofErr w:type="spellEnd"/>
    </w:p>
    <w:p w14:paraId="22AE3D60" w14:textId="77777777" w:rsidR="00711D9A" w:rsidRPr="00B84B0C" w:rsidRDefault="00711D9A" w:rsidP="00711D9A">
      <w:pPr>
        <w:pStyle w:val="03-SubttulodeNota"/>
        <w:rPr>
          <w:rFonts w:cs="Arial"/>
          <w:b w:val="0"/>
          <w:sz w:val="18"/>
          <w:szCs w:val="18"/>
        </w:rPr>
      </w:pPr>
      <w:r w:rsidRPr="00B84B0C">
        <w:rPr>
          <w:rFonts w:cs="Arial"/>
          <w:b w:val="0"/>
          <w:sz w:val="18"/>
          <w:szCs w:val="18"/>
        </w:rPr>
        <w:t xml:space="preserve">The financial </w:t>
      </w:r>
      <w:proofErr w:type="spellStart"/>
      <w:r w:rsidRPr="00B84B0C">
        <w:rPr>
          <w:rFonts w:cs="Arial"/>
          <w:b w:val="0"/>
          <w:sz w:val="18"/>
          <w:szCs w:val="18"/>
        </w:rPr>
        <w:t>statements</w:t>
      </w:r>
      <w:proofErr w:type="spellEnd"/>
      <w:r w:rsidRPr="00B84B0C">
        <w:rPr>
          <w:rFonts w:cs="Arial"/>
          <w:b w:val="0"/>
          <w:sz w:val="18"/>
          <w:szCs w:val="18"/>
        </w:rPr>
        <w:t xml:space="preserve"> are </w:t>
      </w:r>
      <w:proofErr w:type="spellStart"/>
      <w:r w:rsidRPr="00B84B0C">
        <w:rPr>
          <w:rFonts w:cs="Arial"/>
          <w:b w:val="0"/>
          <w:sz w:val="18"/>
          <w:szCs w:val="18"/>
        </w:rPr>
        <w:t>presented</w:t>
      </w:r>
      <w:proofErr w:type="spellEnd"/>
      <w:r w:rsidRPr="00B84B0C">
        <w:rPr>
          <w:rFonts w:cs="Arial"/>
          <w:b w:val="0"/>
          <w:sz w:val="18"/>
          <w:szCs w:val="18"/>
        </w:rPr>
        <w:t xml:space="preserve"> in </w:t>
      </w:r>
      <w:proofErr w:type="spellStart"/>
      <w:r w:rsidRPr="00B84B0C">
        <w:rPr>
          <w:rFonts w:cs="Arial"/>
          <w:b w:val="0"/>
          <w:sz w:val="18"/>
          <w:szCs w:val="18"/>
        </w:rPr>
        <w:t>Brazilian</w:t>
      </w:r>
      <w:proofErr w:type="spellEnd"/>
      <w:r w:rsidRPr="00B84B0C">
        <w:rPr>
          <w:rFonts w:cs="Arial"/>
          <w:b w:val="0"/>
          <w:sz w:val="18"/>
          <w:szCs w:val="18"/>
        </w:rPr>
        <w:t xml:space="preserve"> Reais (R$), </w:t>
      </w:r>
      <w:proofErr w:type="spellStart"/>
      <w:r w:rsidRPr="00B84B0C">
        <w:rPr>
          <w:rFonts w:cs="Arial"/>
          <w:b w:val="0"/>
          <w:sz w:val="18"/>
          <w:szCs w:val="18"/>
        </w:rPr>
        <w:t>the</w:t>
      </w:r>
      <w:proofErr w:type="spellEnd"/>
      <w:r w:rsidRPr="00B84B0C">
        <w:rPr>
          <w:rFonts w:cs="Arial"/>
          <w:b w:val="0"/>
          <w:sz w:val="18"/>
          <w:szCs w:val="18"/>
        </w:rPr>
        <w:t xml:space="preserve"> </w:t>
      </w:r>
      <w:proofErr w:type="spellStart"/>
      <w:r w:rsidRPr="00B84B0C">
        <w:rPr>
          <w:rFonts w:cs="Arial"/>
          <w:b w:val="0"/>
          <w:sz w:val="18"/>
          <w:szCs w:val="18"/>
        </w:rPr>
        <w:t>functional</w:t>
      </w:r>
      <w:proofErr w:type="spellEnd"/>
      <w:r w:rsidRPr="00B84B0C">
        <w:rPr>
          <w:rFonts w:cs="Arial"/>
          <w:b w:val="0"/>
          <w:sz w:val="18"/>
          <w:szCs w:val="18"/>
        </w:rPr>
        <w:t xml:space="preserve">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presentation</w:t>
      </w:r>
      <w:proofErr w:type="spellEnd"/>
      <w:r w:rsidRPr="00B84B0C">
        <w:rPr>
          <w:rFonts w:cs="Arial"/>
          <w:b w:val="0"/>
          <w:sz w:val="18"/>
          <w:szCs w:val="18"/>
        </w:rPr>
        <w:t xml:space="preserve"> </w:t>
      </w:r>
      <w:proofErr w:type="spellStart"/>
      <w:r w:rsidRPr="00B84B0C">
        <w:rPr>
          <w:rFonts w:cs="Arial"/>
          <w:b w:val="0"/>
          <w:sz w:val="18"/>
          <w:szCs w:val="18"/>
        </w:rPr>
        <w:t>currency</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BB Seguridade. BB Seguridade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subsidiaries</w:t>
      </w:r>
      <w:proofErr w:type="spellEnd"/>
      <w:r w:rsidRPr="00B84B0C">
        <w:rPr>
          <w:rFonts w:cs="Arial"/>
          <w:b w:val="0"/>
          <w:sz w:val="18"/>
          <w:szCs w:val="18"/>
        </w:rPr>
        <w:t xml:space="preserve"> </w:t>
      </w:r>
      <w:proofErr w:type="spellStart"/>
      <w:r w:rsidRPr="00B84B0C">
        <w:rPr>
          <w:rFonts w:cs="Arial"/>
          <w:b w:val="0"/>
          <w:sz w:val="18"/>
          <w:szCs w:val="18"/>
        </w:rPr>
        <w:t>did</w:t>
      </w:r>
      <w:proofErr w:type="spellEnd"/>
      <w:r w:rsidRPr="00B84B0C">
        <w:rPr>
          <w:rFonts w:cs="Arial"/>
          <w:b w:val="0"/>
          <w:sz w:val="18"/>
          <w:szCs w:val="18"/>
        </w:rPr>
        <w:t xml:space="preserve"> </w:t>
      </w:r>
      <w:proofErr w:type="spellStart"/>
      <w:r w:rsidRPr="00B84B0C">
        <w:rPr>
          <w:rFonts w:cs="Arial"/>
          <w:b w:val="0"/>
          <w:sz w:val="18"/>
          <w:szCs w:val="18"/>
        </w:rPr>
        <w:t>not</w:t>
      </w:r>
      <w:proofErr w:type="spellEnd"/>
      <w:r w:rsidRPr="00B84B0C">
        <w:rPr>
          <w:rFonts w:cs="Arial"/>
          <w:b w:val="0"/>
          <w:sz w:val="18"/>
          <w:szCs w:val="18"/>
        </w:rPr>
        <w:t xml:space="preserve"> </w:t>
      </w:r>
      <w:proofErr w:type="spellStart"/>
      <w:r w:rsidRPr="00B84B0C">
        <w:rPr>
          <w:rFonts w:cs="Arial"/>
          <w:b w:val="0"/>
          <w:sz w:val="18"/>
          <w:szCs w:val="18"/>
        </w:rPr>
        <w:t>carry</w:t>
      </w:r>
      <w:proofErr w:type="spellEnd"/>
      <w:r w:rsidRPr="00B84B0C">
        <w:rPr>
          <w:rFonts w:cs="Arial"/>
          <w:b w:val="0"/>
          <w:sz w:val="18"/>
          <w:szCs w:val="18"/>
        </w:rPr>
        <w:t xml:space="preserve"> out </w:t>
      </w:r>
      <w:proofErr w:type="spellStart"/>
      <w:r w:rsidRPr="00B84B0C">
        <w:rPr>
          <w:rFonts w:cs="Arial"/>
          <w:b w:val="0"/>
          <w:sz w:val="18"/>
          <w:szCs w:val="18"/>
        </w:rPr>
        <w:t>operations</w:t>
      </w:r>
      <w:proofErr w:type="spellEnd"/>
      <w:r w:rsidRPr="00B84B0C">
        <w:rPr>
          <w:rFonts w:cs="Arial"/>
          <w:b w:val="0"/>
          <w:sz w:val="18"/>
          <w:szCs w:val="18"/>
        </w:rPr>
        <w:t xml:space="preserve"> in </w:t>
      </w:r>
      <w:proofErr w:type="spellStart"/>
      <w:r w:rsidRPr="00B84B0C">
        <w:rPr>
          <w:rFonts w:cs="Arial"/>
          <w:b w:val="0"/>
          <w:sz w:val="18"/>
          <w:szCs w:val="18"/>
        </w:rPr>
        <w:t>foreign</w:t>
      </w:r>
      <w:proofErr w:type="spellEnd"/>
      <w:r w:rsidRPr="00B84B0C">
        <w:rPr>
          <w:rFonts w:cs="Arial"/>
          <w:b w:val="0"/>
          <w:sz w:val="18"/>
          <w:szCs w:val="18"/>
        </w:rPr>
        <w:t xml:space="preserve"> </w:t>
      </w:r>
      <w:proofErr w:type="spellStart"/>
      <w:r w:rsidRPr="00B84B0C">
        <w:rPr>
          <w:rFonts w:cs="Arial"/>
          <w:b w:val="0"/>
          <w:sz w:val="18"/>
          <w:szCs w:val="18"/>
        </w:rPr>
        <w:t>currency</w:t>
      </w:r>
      <w:proofErr w:type="spellEnd"/>
      <w:r w:rsidRPr="00B84B0C">
        <w:rPr>
          <w:rFonts w:cs="Arial"/>
          <w:b w:val="0"/>
          <w:sz w:val="18"/>
          <w:szCs w:val="18"/>
        </w:rPr>
        <w:t>.</w:t>
      </w:r>
    </w:p>
    <w:p w14:paraId="11753FF4" w14:textId="77777777" w:rsidR="00711D9A" w:rsidRPr="00B84B0C" w:rsidRDefault="00711D9A" w:rsidP="00711D9A">
      <w:pPr>
        <w:pStyle w:val="03-SubttulodeNota"/>
        <w:rPr>
          <w:rFonts w:cs="Arial"/>
          <w:color w:val="1F4E79" w:themeColor="accent1" w:themeShade="80"/>
        </w:rPr>
      </w:pPr>
      <w:r w:rsidRPr="00B84B0C">
        <w:rPr>
          <w:rFonts w:cs="Arial"/>
          <w:color w:val="1F4E79" w:themeColor="accent1" w:themeShade="80"/>
        </w:rPr>
        <w:t xml:space="preserve">e) </w:t>
      </w:r>
      <w:proofErr w:type="spellStart"/>
      <w:r w:rsidRPr="00B84B0C">
        <w:rPr>
          <w:rFonts w:cs="Arial"/>
          <w:color w:val="1F4E79" w:themeColor="accent1" w:themeShade="80"/>
        </w:rPr>
        <w:t>Consolidation</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Basis</w:t>
      </w:r>
      <w:proofErr w:type="spellEnd"/>
    </w:p>
    <w:p w14:paraId="5A233055" w14:textId="77777777" w:rsidR="00711D9A" w:rsidRPr="00B84B0C" w:rsidRDefault="00711D9A" w:rsidP="00711D9A">
      <w:pPr>
        <w:pStyle w:val="05-Textonormal"/>
        <w:rPr>
          <w:rFonts w:cs="Arial"/>
          <w:lang w:val="en-US"/>
        </w:rPr>
      </w:pPr>
      <w:r w:rsidRPr="00B84B0C">
        <w:rPr>
          <w:rFonts w:cs="Arial"/>
          <w:lang w:val="en-US"/>
        </w:rPr>
        <w:t xml:space="preserve">The consolidated financial statements of the BB </w:t>
      </w:r>
      <w:proofErr w:type="spellStart"/>
      <w:r w:rsidRPr="00B84B0C">
        <w:rPr>
          <w:rFonts w:cs="Arial"/>
          <w:lang w:val="en-US"/>
        </w:rPr>
        <w:t>Seguridade</w:t>
      </w:r>
      <w:proofErr w:type="spellEnd"/>
      <w:r w:rsidRPr="00B84B0C">
        <w:rPr>
          <w:rFonts w:cs="Arial"/>
          <w:lang w:val="en-US"/>
        </w:rPr>
        <w:t xml:space="preserve"> and subsidiaries are included the consolidation of assets and liabilities from BB </w:t>
      </w:r>
      <w:proofErr w:type="spellStart"/>
      <w:r w:rsidRPr="00B84B0C">
        <w:rPr>
          <w:rFonts w:cs="Arial"/>
          <w:lang w:val="en-US"/>
        </w:rPr>
        <w:t>Seguridade</w:t>
      </w:r>
      <w:proofErr w:type="spellEnd"/>
      <w:r w:rsidRPr="00B84B0C">
        <w:rPr>
          <w:rFonts w:cs="Arial"/>
          <w:lang w:val="en-US"/>
        </w:rPr>
        <w:t xml:space="preserve"> and its controlled entities, as follows:</w:t>
      </w:r>
    </w:p>
    <w:tbl>
      <w:tblPr>
        <w:tblStyle w:val="TabeladeLista6Colorida-nfase53"/>
        <w:tblW w:w="9639" w:type="dxa"/>
        <w:tblInd w:w="108" w:type="dxa"/>
        <w:tblLook w:val="04A0" w:firstRow="1" w:lastRow="0" w:firstColumn="1" w:lastColumn="0" w:noHBand="0" w:noVBand="1"/>
      </w:tblPr>
      <w:tblGrid>
        <w:gridCol w:w="3590"/>
        <w:gridCol w:w="604"/>
        <w:gridCol w:w="1085"/>
        <w:gridCol w:w="1276"/>
        <w:gridCol w:w="283"/>
        <w:gridCol w:w="1276"/>
        <w:gridCol w:w="1525"/>
      </w:tblGrid>
      <w:tr w:rsidR="00711D9A" w:rsidRPr="00B84B0C" w14:paraId="056CBA6A" w14:textId="77777777" w:rsidTr="00711D9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590" w:type="dxa"/>
            <w:vMerge w:val="restart"/>
            <w:tcBorders>
              <w:top w:val="single" w:sz="2" w:space="0" w:color="8EAADB" w:themeColor="accent5" w:themeTint="99"/>
            </w:tcBorders>
            <w:shd w:val="clear" w:color="auto" w:fill="D9E2F3" w:themeFill="accent5" w:themeFillTint="33"/>
            <w:vAlign w:val="center"/>
          </w:tcPr>
          <w:p w14:paraId="13020BAB" w14:textId="77777777" w:rsidR="00711D9A" w:rsidRPr="00B84B0C" w:rsidRDefault="00711D9A" w:rsidP="00711D9A">
            <w:pPr>
              <w:pStyle w:val="08-Tabelageral"/>
              <w:jc w:val="left"/>
              <w:rPr>
                <w:rFonts w:cs="Arial"/>
                <w:b w:val="0"/>
                <w:color w:val="auto"/>
                <w:sz w:val="18"/>
              </w:rPr>
            </w:pPr>
            <w:proofErr w:type="spellStart"/>
            <w:r w:rsidRPr="00B84B0C">
              <w:rPr>
                <w:rFonts w:cs="Arial"/>
                <w:color w:val="auto"/>
              </w:rPr>
              <w:t>Company</w:t>
            </w:r>
            <w:proofErr w:type="spellEnd"/>
          </w:p>
        </w:tc>
        <w:tc>
          <w:tcPr>
            <w:tcW w:w="604" w:type="dxa"/>
            <w:tcBorders>
              <w:top w:val="single" w:sz="2" w:space="0" w:color="8EAADB" w:themeColor="accent5" w:themeTint="99"/>
              <w:bottom w:val="nil"/>
            </w:tcBorders>
            <w:shd w:val="clear" w:color="auto" w:fill="D9E2F3" w:themeFill="accent5" w:themeFillTint="33"/>
          </w:tcPr>
          <w:p w14:paraId="508649FB"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b w:val="0"/>
                <w:color w:val="auto"/>
                <w:szCs w:val="18"/>
              </w:rPr>
            </w:pPr>
          </w:p>
        </w:tc>
        <w:tc>
          <w:tcPr>
            <w:tcW w:w="1085" w:type="dxa"/>
            <w:vMerge w:val="restart"/>
            <w:tcBorders>
              <w:top w:val="single" w:sz="2" w:space="0" w:color="8EAADB" w:themeColor="accent5" w:themeTint="99"/>
            </w:tcBorders>
            <w:shd w:val="clear" w:color="auto" w:fill="D9E2F3" w:themeFill="accent5" w:themeFillTint="33"/>
            <w:vAlign w:val="center"/>
          </w:tcPr>
          <w:p w14:paraId="4AD0F820" w14:textId="77777777" w:rsidR="00711D9A" w:rsidRPr="00B84B0C" w:rsidRDefault="00711D9A" w:rsidP="00711D9A">
            <w:pPr>
              <w:pStyle w:val="08-Tabelageral"/>
              <w:cnfStyle w:val="100000000000" w:firstRow="1" w:lastRow="0" w:firstColumn="0" w:lastColumn="0" w:oddVBand="0" w:evenVBand="0" w:oddHBand="0" w:evenHBand="0" w:firstRowFirstColumn="0" w:firstRowLastColumn="0" w:lastRowFirstColumn="0" w:lastRowLastColumn="0"/>
              <w:rPr>
                <w:rFonts w:cs="Arial"/>
                <w:bCs w:val="0"/>
                <w:color w:val="auto"/>
              </w:rPr>
            </w:pPr>
            <w:proofErr w:type="spellStart"/>
            <w:r w:rsidRPr="00B84B0C">
              <w:rPr>
                <w:rFonts w:cs="Arial"/>
                <w:color w:val="auto"/>
              </w:rPr>
              <w:t>Activity</w:t>
            </w:r>
            <w:proofErr w:type="spellEnd"/>
          </w:p>
        </w:tc>
        <w:tc>
          <w:tcPr>
            <w:tcW w:w="1276" w:type="dxa"/>
            <w:vMerge w:val="restart"/>
            <w:tcBorders>
              <w:top w:val="single" w:sz="2" w:space="0" w:color="8EAADB" w:themeColor="accent5" w:themeTint="99"/>
            </w:tcBorders>
            <w:shd w:val="clear" w:color="auto" w:fill="D9E2F3" w:themeFill="accent5" w:themeFillTint="33"/>
            <w:vAlign w:val="center"/>
          </w:tcPr>
          <w:p w14:paraId="4DCBCA93" w14:textId="77777777" w:rsidR="00711D9A" w:rsidRPr="00B84B0C" w:rsidRDefault="00711D9A" w:rsidP="00711D9A">
            <w:pPr>
              <w:pStyle w:val="08-Tabelageral"/>
              <w:cnfStyle w:val="100000000000" w:firstRow="1" w:lastRow="0" w:firstColumn="0" w:lastColumn="0" w:oddVBand="0" w:evenVBand="0" w:oddHBand="0" w:evenHBand="0" w:firstRowFirstColumn="0" w:firstRowLastColumn="0" w:lastRowFirstColumn="0" w:lastRowLastColumn="0"/>
              <w:rPr>
                <w:rFonts w:cs="Arial"/>
                <w:color w:val="auto"/>
              </w:rPr>
            </w:pPr>
            <w:r w:rsidRPr="00B84B0C">
              <w:rPr>
                <w:rFonts w:cs="Arial"/>
              </w:rPr>
              <w:t xml:space="preserve">Country </w:t>
            </w:r>
            <w:proofErr w:type="spellStart"/>
            <w:r w:rsidRPr="00B84B0C">
              <w:rPr>
                <w:rFonts w:cs="Arial"/>
              </w:rPr>
              <w:t>of</w:t>
            </w:r>
            <w:proofErr w:type="spellEnd"/>
            <w:r w:rsidRPr="00B84B0C">
              <w:rPr>
                <w:rFonts w:cs="Arial"/>
              </w:rPr>
              <w:t xml:space="preserve"> </w:t>
            </w:r>
            <w:proofErr w:type="spellStart"/>
            <w:r w:rsidRPr="00B84B0C">
              <w:rPr>
                <w:rFonts w:cs="Arial"/>
              </w:rPr>
              <w:t>constitution</w:t>
            </w:r>
            <w:proofErr w:type="spellEnd"/>
          </w:p>
        </w:tc>
        <w:tc>
          <w:tcPr>
            <w:tcW w:w="283" w:type="dxa"/>
            <w:tcBorders>
              <w:top w:val="single" w:sz="2" w:space="0" w:color="8EAADB" w:themeColor="accent5" w:themeTint="99"/>
              <w:bottom w:val="nil"/>
            </w:tcBorders>
            <w:shd w:val="clear" w:color="auto" w:fill="D9E2F3" w:themeFill="accent5" w:themeFillTint="33"/>
          </w:tcPr>
          <w:p w14:paraId="1E275946"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p>
        </w:tc>
        <w:tc>
          <w:tcPr>
            <w:tcW w:w="2801"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6988D2C"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color w:val="auto"/>
                <w:szCs w:val="18"/>
              </w:rPr>
            </w:pPr>
            <w:r w:rsidRPr="00B84B0C">
              <w:rPr>
                <w:rFonts w:cs="Arial"/>
                <w:color w:val="auto"/>
                <w:sz w:val="14"/>
                <w:szCs w:val="18"/>
              </w:rPr>
              <w:t xml:space="preserve">% </w:t>
            </w:r>
            <w:proofErr w:type="spellStart"/>
            <w:r w:rsidRPr="00B84B0C">
              <w:rPr>
                <w:rFonts w:cs="Arial"/>
                <w:color w:val="auto"/>
                <w:sz w:val="14"/>
                <w:szCs w:val="18"/>
              </w:rPr>
              <w:t>Share</w:t>
            </w:r>
            <w:proofErr w:type="spellEnd"/>
          </w:p>
        </w:tc>
      </w:tr>
      <w:tr w:rsidR="00711D9A" w:rsidRPr="00B84B0C" w14:paraId="4359F112"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90" w:type="dxa"/>
            <w:vMerge/>
            <w:tcBorders>
              <w:bottom w:val="single" w:sz="2" w:space="0" w:color="8EAADB" w:themeColor="accent5" w:themeTint="99"/>
            </w:tcBorders>
          </w:tcPr>
          <w:p w14:paraId="3738176D" w14:textId="77777777" w:rsidR="00711D9A" w:rsidRPr="00B84B0C" w:rsidRDefault="00711D9A" w:rsidP="00711D9A">
            <w:pPr>
              <w:pStyle w:val="08-Tabelageral"/>
              <w:jc w:val="left"/>
              <w:rPr>
                <w:rFonts w:cs="Arial"/>
                <w:color w:val="auto"/>
              </w:rPr>
            </w:pPr>
          </w:p>
        </w:tc>
        <w:tc>
          <w:tcPr>
            <w:tcW w:w="604" w:type="dxa"/>
            <w:tcBorders>
              <w:top w:val="nil"/>
              <w:bottom w:val="single" w:sz="2" w:space="0" w:color="8EAADB" w:themeColor="accent5" w:themeTint="99"/>
            </w:tcBorders>
          </w:tcPr>
          <w:p w14:paraId="7DE77CCC"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085" w:type="dxa"/>
            <w:vMerge/>
            <w:tcBorders>
              <w:bottom w:val="single" w:sz="2" w:space="0" w:color="8EAADB" w:themeColor="accent5" w:themeTint="99"/>
            </w:tcBorders>
          </w:tcPr>
          <w:p w14:paraId="34AB93E6"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vMerge/>
            <w:tcBorders>
              <w:bottom w:val="single" w:sz="2" w:space="0" w:color="8EAADB" w:themeColor="accent5" w:themeTint="99"/>
            </w:tcBorders>
          </w:tcPr>
          <w:p w14:paraId="3555A6B6"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283" w:type="dxa"/>
            <w:tcBorders>
              <w:top w:val="nil"/>
              <w:bottom w:val="single" w:sz="2" w:space="0" w:color="8EAADB" w:themeColor="accent5" w:themeTint="99"/>
            </w:tcBorders>
          </w:tcPr>
          <w:p w14:paraId="31E96AE3"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rPr>
            </w:pPr>
          </w:p>
        </w:tc>
        <w:tc>
          <w:tcPr>
            <w:tcW w:w="1276" w:type="dxa"/>
            <w:tcBorders>
              <w:top w:val="single" w:sz="2" w:space="0" w:color="8EAADB" w:themeColor="accent5" w:themeTint="99"/>
              <w:bottom w:val="single" w:sz="2" w:space="0" w:color="8EAADB" w:themeColor="accent5" w:themeTint="99"/>
            </w:tcBorders>
          </w:tcPr>
          <w:p w14:paraId="62B646F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r w:rsidRPr="00B84B0C">
              <w:rPr>
                <w:rFonts w:cs="Arial"/>
                <w:b/>
                <w:color w:val="auto"/>
              </w:rPr>
              <w:t>Mar 31, 2020</w:t>
            </w:r>
          </w:p>
        </w:tc>
        <w:tc>
          <w:tcPr>
            <w:tcW w:w="1525" w:type="dxa"/>
            <w:tcBorders>
              <w:top w:val="single" w:sz="2" w:space="0" w:color="8EAADB" w:themeColor="accent5" w:themeTint="99"/>
              <w:bottom w:val="single" w:sz="2" w:space="0" w:color="8EAADB" w:themeColor="accent5" w:themeTint="99"/>
            </w:tcBorders>
          </w:tcPr>
          <w:p w14:paraId="05CDCDB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color w:val="auto"/>
              </w:rPr>
            </w:pPr>
            <w:proofErr w:type="spellStart"/>
            <w:r w:rsidRPr="00B84B0C">
              <w:rPr>
                <w:rFonts w:cs="Arial"/>
                <w:b/>
                <w:color w:val="auto"/>
              </w:rPr>
              <w:t>Dec</w:t>
            </w:r>
            <w:proofErr w:type="spellEnd"/>
            <w:r w:rsidRPr="00B84B0C">
              <w:rPr>
                <w:rFonts w:cs="Arial"/>
                <w:b/>
                <w:color w:val="auto"/>
              </w:rPr>
              <w:t xml:space="preserve"> 31, 2019</w:t>
            </w:r>
          </w:p>
        </w:tc>
      </w:tr>
      <w:tr w:rsidR="00711D9A" w:rsidRPr="00B84B0C" w14:paraId="6DC593A8"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590" w:type="dxa"/>
            <w:tcBorders>
              <w:top w:val="single" w:sz="2" w:space="0" w:color="8EAADB" w:themeColor="accent5" w:themeTint="99"/>
              <w:bottom w:val="nil"/>
            </w:tcBorders>
          </w:tcPr>
          <w:p w14:paraId="6C822896" w14:textId="77777777" w:rsidR="00711D9A" w:rsidRPr="00B84B0C" w:rsidRDefault="00711D9A" w:rsidP="00711D9A">
            <w:pPr>
              <w:pStyle w:val="08-Tabelageral"/>
              <w:jc w:val="left"/>
              <w:rPr>
                <w:rFonts w:cs="Arial"/>
                <w:b w:val="0"/>
                <w:bCs w:val="0"/>
                <w:color w:val="auto"/>
                <w:szCs w:val="14"/>
              </w:rPr>
            </w:pPr>
            <w:r w:rsidRPr="00B84B0C">
              <w:rPr>
                <w:rFonts w:cs="Arial"/>
                <w:b w:val="0"/>
                <w:color w:val="auto"/>
                <w:szCs w:val="14"/>
              </w:rPr>
              <w:t>BB Seguros Participações S.A.</w:t>
            </w:r>
          </w:p>
        </w:tc>
        <w:tc>
          <w:tcPr>
            <w:tcW w:w="604" w:type="dxa"/>
            <w:tcBorders>
              <w:top w:val="single" w:sz="2" w:space="0" w:color="8EAADB" w:themeColor="accent5" w:themeTint="99"/>
              <w:bottom w:val="nil"/>
            </w:tcBorders>
            <w:vAlign w:val="center"/>
          </w:tcPr>
          <w:p w14:paraId="585BF5A8" w14:textId="77777777" w:rsidR="00711D9A" w:rsidRPr="00B84B0C" w:rsidRDefault="00711D9A" w:rsidP="00711D9A">
            <w:pPr>
              <w:pStyle w:val="08-Tabelageral"/>
              <w:jc w:val="center"/>
              <w:cnfStyle w:val="000000000000" w:firstRow="0" w:lastRow="0" w:firstColumn="0" w:lastColumn="0" w:oddVBand="0" w:evenVBand="0" w:oddHBand="0" w:evenHBand="0" w:firstRowFirstColumn="0" w:firstRowLastColumn="0" w:lastRowFirstColumn="0" w:lastRowLastColumn="0"/>
              <w:rPr>
                <w:rFonts w:cs="Arial"/>
                <w:color w:val="auto"/>
                <w:szCs w:val="14"/>
              </w:rPr>
            </w:pPr>
          </w:p>
        </w:tc>
        <w:tc>
          <w:tcPr>
            <w:tcW w:w="1085" w:type="dxa"/>
            <w:tcBorders>
              <w:top w:val="single" w:sz="2" w:space="0" w:color="8EAADB" w:themeColor="accent5" w:themeTint="99"/>
              <w:bottom w:val="nil"/>
            </w:tcBorders>
            <w:vAlign w:val="center"/>
          </w:tcPr>
          <w:p w14:paraId="5AEC0EEA"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B84B0C">
              <w:rPr>
                <w:rFonts w:cs="Arial"/>
                <w:color w:val="auto"/>
                <w:szCs w:val="14"/>
              </w:rPr>
              <w:t>Holding</w:t>
            </w:r>
          </w:p>
        </w:tc>
        <w:tc>
          <w:tcPr>
            <w:tcW w:w="1276" w:type="dxa"/>
            <w:tcBorders>
              <w:top w:val="single" w:sz="2" w:space="0" w:color="8EAADB" w:themeColor="accent5" w:themeTint="99"/>
              <w:bottom w:val="nil"/>
            </w:tcBorders>
            <w:vAlign w:val="center"/>
          </w:tcPr>
          <w:p w14:paraId="2D04FB87"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color w:val="auto"/>
              </w:rPr>
            </w:pPr>
            <w:proofErr w:type="spellStart"/>
            <w:r w:rsidRPr="00B84B0C">
              <w:rPr>
                <w:rFonts w:cs="Arial"/>
                <w:color w:val="auto"/>
              </w:rPr>
              <w:t>Brazil</w:t>
            </w:r>
            <w:proofErr w:type="spellEnd"/>
          </w:p>
        </w:tc>
        <w:tc>
          <w:tcPr>
            <w:tcW w:w="283" w:type="dxa"/>
            <w:tcBorders>
              <w:top w:val="single" w:sz="2" w:space="0" w:color="8EAADB" w:themeColor="accent5" w:themeTint="99"/>
              <w:bottom w:val="nil"/>
            </w:tcBorders>
            <w:vAlign w:val="center"/>
          </w:tcPr>
          <w:p w14:paraId="33323FB0"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p>
        </w:tc>
        <w:tc>
          <w:tcPr>
            <w:tcW w:w="1276" w:type="dxa"/>
            <w:tcBorders>
              <w:top w:val="single" w:sz="2" w:space="0" w:color="8EAADB" w:themeColor="accent5" w:themeTint="99"/>
              <w:bottom w:val="nil"/>
            </w:tcBorders>
            <w:vAlign w:val="center"/>
          </w:tcPr>
          <w:p w14:paraId="29C20E04"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B84B0C">
              <w:rPr>
                <w:rFonts w:cs="Arial"/>
                <w:color w:val="auto"/>
                <w:szCs w:val="14"/>
              </w:rPr>
              <w:t xml:space="preserve">100% </w:t>
            </w:r>
          </w:p>
        </w:tc>
        <w:tc>
          <w:tcPr>
            <w:tcW w:w="1525" w:type="dxa"/>
            <w:tcBorders>
              <w:top w:val="single" w:sz="2" w:space="0" w:color="8EAADB" w:themeColor="accent5" w:themeTint="99"/>
              <w:bottom w:val="nil"/>
            </w:tcBorders>
            <w:vAlign w:val="center"/>
          </w:tcPr>
          <w:p w14:paraId="14A08972"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color w:val="auto"/>
              </w:rPr>
            </w:pPr>
            <w:r w:rsidRPr="00B84B0C">
              <w:rPr>
                <w:rFonts w:cs="Arial"/>
                <w:color w:val="auto"/>
              </w:rPr>
              <w:t>100%</w:t>
            </w:r>
          </w:p>
        </w:tc>
      </w:tr>
      <w:tr w:rsidR="00711D9A" w:rsidRPr="00B84B0C" w14:paraId="766D01E6"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90" w:type="dxa"/>
            <w:tcBorders>
              <w:top w:val="nil"/>
              <w:bottom w:val="single" w:sz="2" w:space="0" w:color="8EAADB" w:themeColor="accent5" w:themeTint="99"/>
            </w:tcBorders>
          </w:tcPr>
          <w:p w14:paraId="4FBE8B8B" w14:textId="77777777" w:rsidR="00711D9A" w:rsidRPr="00B84B0C" w:rsidRDefault="00711D9A" w:rsidP="00711D9A">
            <w:pPr>
              <w:pStyle w:val="08-Tabelageral"/>
              <w:jc w:val="left"/>
              <w:rPr>
                <w:rFonts w:cs="Arial"/>
                <w:b w:val="0"/>
                <w:color w:val="auto"/>
              </w:rPr>
            </w:pPr>
            <w:r w:rsidRPr="00B84B0C">
              <w:rPr>
                <w:rFonts w:cs="Arial"/>
                <w:b w:val="0"/>
                <w:color w:val="auto"/>
              </w:rPr>
              <w:t>BB Corretora de Seguros e Administradora de Bens S.A.</w:t>
            </w:r>
          </w:p>
          <w:p w14:paraId="5BFC228B" w14:textId="77777777" w:rsidR="00711D9A" w:rsidRPr="00B84B0C" w:rsidRDefault="00711D9A" w:rsidP="00711D9A">
            <w:pPr>
              <w:pStyle w:val="08-Tabelageral"/>
              <w:jc w:val="left"/>
              <w:rPr>
                <w:rFonts w:cs="Arial"/>
                <w:b w:val="0"/>
                <w:color w:val="auto"/>
                <w:szCs w:val="14"/>
              </w:rPr>
            </w:pPr>
          </w:p>
        </w:tc>
        <w:tc>
          <w:tcPr>
            <w:tcW w:w="604" w:type="dxa"/>
            <w:tcBorders>
              <w:top w:val="nil"/>
              <w:bottom w:val="single" w:sz="2" w:space="0" w:color="8EAADB" w:themeColor="accent5" w:themeTint="99"/>
            </w:tcBorders>
            <w:vAlign w:val="center"/>
          </w:tcPr>
          <w:p w14:paraId="72C62089" w14:textId="77777777" w:rsidR="00711D9A" w:rsidRPr="00B84B0C" w:rsidRDefault="00711D9A" w:rsidP="00711D9A">
            <w:pPr>
              <w:pStyle w:val="08-Tabelageral"/>
              <w:ind w:left="-119" w:firstLine="119"/>
              <w:jc w:val="center"/>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085" w:type="dxa"/>
            <w:tcBorders>
              <w:top w:val="nil"/>
              <w:bottom w:val="single" w:sz="2" w:space="0" w:color="8EAADB" w:themeColor="accent5" w:themeTint="99"/>
            </w:tcBorders>
            <w:vAlign w:val="center"/>
          </w:tcPr>
          <w:p w14:paraId="35DB132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roofErr w:type="spellStart"/>
            <w:r w:rsidRPr="00B84B0C">
              <w:rPr>
                <w:rFonts w:cs="Arial"/>
                <w:color w:val="auto"/>
                <w:szCs w:val="14"/>
              </w:rPr>
              <w:t>Brokerage</w:t>
            </w:r>
            <w:proofErr w:type="spellEnd"/>
          </w:p>
        </w:tc>
        <w:tc>
          <w:tcPr>
            <w:tcW w:w="1276" w:type="dxa"/>
            <w:tcBorders>
              <w:top w:val="nil"/>
              <w:bottom w:val="single" w:sz="2" w:space="0" w:color="8EAADB" w:themeColor="accent5" w:themeTint="99"/>
            </w:tcBorders>
            <w:vAlign w:val="center"/>
          </w:tcPr>
          <w:p w14:paraId="307A312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proofErr w:type="spellStart"/>
            <w:r w:rsidRPr="00B84B0C">
              <w:rPr>
                <w:rFonts w:cs="Arial"/>
                <w:color w:val="auto"/>
              </w:rPr>
              <w:t>Brazil</w:t>
            </w:r>
            <w:proofErr w:type="spellEnd"/>
          </w:p>
        </w:tc>
        <w:tc>
          <w:tcPr>
            <w:tcW w:w="283" w:type="dxa"/>
            <w:tcBorders>
              <w:top w:val="nil"/>
              <w:bottom w:val="single" w:sz="2" w:space="0" w:color="8EAADB" w:themeColor="accent5" w:themeTint="99"/>
            </w:tcBorders>
            <w:vAlign w:val="center"/>
          </w:tcPr>
          <w:p w14:paraId="5ABCA6A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p>
        </w:tc>
        <w:tc>
          <w:tcPr>
            <w:tcW w:w="1276" w:type="dxa"/>
            <w:tcBorders>
              <w:top w:val="nil"/>
              <w:bottom w:val="single" w:sz="2" w:space="0" w:color="8EAADB" w:themeColor="accent5" w:themeTint="99"/>
            </w:tcBorders>
            <w:vAlign w:val="center"/>
          </w:tcPr>
          <w:p w14:paraId="1251DCF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rPr>
            </w:pPr>
            <w:r w:rsidRPr="00B84B0C">
              <w:rPr>
                <w:rFonts w:cs="Arial"/>
                <w:color w:val="auto"/>
                <w:szCs w:val="14"/>
              </w:rPr>
              <w:t>100%</w:t>
            </w:r>
          </w:p>
        </w:tc>
        <w:tc>
          <w:tcPr>
            <w:tcW w:w="1525" w:type="dxa"/>
            <w:tcBorders>
              <w:top w:val="nil"/>
              <w:bottom w:val="single" w:sz="2" w:space="0" w:color="8EAADB" w:themeColor="accent5" w:themeTint="99"/>
            </w:tcBorders>
            <w:vAlign w:val="center"/>
          </w:tcPr>
          <w:p w14:paraId="69978F9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color w:val="auto"/>
              </w:rPr>
            </w:pPr>
            <w:r w:rsidRPr="00B84B0C">
              <w:rPr>
                <w:rFonts w:cs="Arial"/>
                <w:color w:val="auto"/>
              </w:rPr>
              <w:t>100%</w:t>
            </w:r>
          </w:p>
        </w:tc>
      </w:tr>
    </w:tbl>
    <w:p w14:paraId="4EEED787" w14:textId="77777777" w:rsidR="00711D9A" w:rsidRPr="00B84B0C" w:rsidRDefault="00711D9A" w:rsidP="00711D9A">
      <w:pPr>
        <w:pStyle w:val="05-Textonormal"/>
        <w:rPr>
          <w:rFonts w:cs="Arial"/>
          <w:lang w:val="en-US"/>
        </w:rPr>
      </w:pPr>
      <w:r w:rsidRPr="00B84B0C">
        <w:rPr>
          <w:rFonts w:cs="Arial"/>
          <w:lang w:val="en-US"/>
        </w:rPr>
        <w:t xml:space="preserve">The intra-group balances and transactions, such as any unrealized income or expenses on transactions between companies of the consolidated, are eliminated in preparing the consolidated financial statements. </w:t>
      </w:r>
      <w:r w:rsidRPr="00B84B0C">
        <w:rPr>
          <w:rFonts w:cs="Arial"/>
          <w:lang w:val="en-US"/>
        </w:rPr>
        <w:tab/>
      </w:r>
    </w:p>
    <w:p w14:paraId="3BCF435D" w14:textId="77777777" w:rsidR="00711D9A" w:rsidRPr="00B84B0C" w:rsidRDefault="00711D9A" w:rsidP="00711D9A">
      <w:pPr>
        <w:pStyle w:val="03-SubttulodeNota"/>
        <w:keepNext/>
        <w:rPr>
          <w:rFonts w:cs="Arial"/>
          <w:color w:val="1F4E79" w:themeColor="accent1" w:themeShade="80"/>
        </w:rPr>
      </w:pPr>
      <w:r w:rsidRPr="00B84B0C">
        <w:rPr>
          <w:rFonts w:cs="Arial"/>
          <w:color w:val="1F4E79" w:themeColor="accent1" w:themeShade="80"/>
        </w:rPr>
        <w:t xml:space="preserve">f) </w:t>
      </w:r>
      <w:proofErr w:type="spellStart"/>
      <w:r w:rsidRPr="00B84B0C">
        <w:rPr>
          <w:rFonts w:cs="Arial"/>
          <w:color w:val="1F4E79" w:themeColor="accent1" w:themeShade="80"/>
        </w:rPr>
        <w:t>Seasonality</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of</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Operations</w:t>
      </w:r>
      <w:proofErr w:type="spellEnd"/>
    </w:p>
    <w:p w14:paraId="19582127" w14:textId="77777777" w:rsidR="00711D9A" w:rsidRPr="00B84B0C" w:rsidRDefault="00711D9A" w:rsidP="00711D9A">
      <w:pPr>
        <w:pStyle w:val="05-Textonormal"/>
        <w:rPr>
          <w:rFonts w:cs="Arial"/>
          <w:szCs w:val="22"/>
          <w:lang w:val="en"/>
        </w:rPr>
      </w:pPr>
      <w:r w:rsidRPr="00B84B0C">
        <w:rPr>
          <w:rFonts w:cs="Arial"/>
          <w:lang w:val="en-US"/>
        </w:rPr>
        <w:t xml:space="preserve">BB </w:t>
      </w:r>
      <w:proofErr w:type="spellStart"/>
      <w:r w:rsidRPr="00B84B0C">
        <w:rPr>
          <w:rFonts w:cs="Arial"/>
          <w:lang w:val="en-US"/>
        </w:rPr>
        <w:t>Seguridade</w:t>
      </w:r>
      <w:proofErr w:type="spellEnd"/>
      <w:r w:rsidRPr="00B84B0C">
        <w:rPr>
          <w:rFonts w:cs="Arial"/>
          <w:lang w:val="en-US"/>
        </w:rPr>
        <w:t xml:space="preserve"> and its owned subsidiaries consider the nature of their transactions as non-seasonal and non-cyclical, </w:t>
      </w:r>
      <w:proofErr w:type="gramStart"/>
      <w:r w:rsidRPr="00B84B0C">
        <w:rPr>
          <w:rFonts w:cs="Arial"/>
          <w:lang w:val="en-US"/>
        </w:rPr>
        <w:t>taking into account</w:t>
      </w:r>
      <w:proofErr w:type="gramEnd"/>
      <w:r w:rsidRPr="00B84B0C">
        <w:rPr>
          <w:rFonts w:cs="Arial"/>
          <w:lang w:val="en-US"/>
        </w:rPr>
        <w:t xml:space="preserve"> the activities carried out by the Group. Consequently, no specific disclosures are provided in these notes.</w:t>
      </w:r>
    </w:p>
    <w:p w14:paraId="64FC8AE4" w14:textId="77777777" w:rsidR="00711D9A" w:rsidRPr="00B84B0C" w:rsidRDefault="00711D9A" w:rsidP="00711D9A">
      <w:pPr>
        <w:pStyle w:val="03-SubttulodeNota"/>
        <w:keepNext/>
        <w:rPr>
          <w:rFonts w:cs="Arial"/>
          <w:color w:val="1F4E79" w:themeColor="accent1" w:themeShade="80"/>
        </w:rPr>
      </w:pPr>
      <w:r w:rsidRPr="00B84B0C">
        <w:rPr>
          <w:rFonts w:cs="Arial"/>
          <w:color w:val="1F4E79" w:themeColor="accent1" w:themeShade="80"/>
        </w:rPr>
        <w:t xml:space="preserve">g) </w:t>
      </w:r>
      <w:proofErr w:type="spellStart"/>
      <w:r w:rsidRPr="00B84B0C">
        <w:rPr>
          <w:rFonts w:cs="Arial"/>
          <w:color w:val="1F4E79" w:themeColor="accent1" w:themeShade="80"/>
        </w:rPr>
        <w:t>Main</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Judgments</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and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Accouting</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Estimates</w:t>
      </w:r>
      <w:proofErr w:type="spellEnd"/>
    </w:p>
    <w:p w14:paraId="47692FBC" w14:textId="77777777" w:rsidR="00711D9A" w:rsidRPr="00B84B0C" w:rsidRDefault="00711D9A" w:rsidP="00711D9A">
      <w:pPr>
        <w:pStyle w:val="05-Textonormal"/>
        <w:keepNext/>
        <w:keepLines/>
        <w:rPr>
          <w:rFonts w:cs="Arial"/>
          <w:lang w:val="en-US"/>
        </w:rPr>
      </w:pPr>
      <w:r w:rsidRPr="00B84B0C">
        <w:rPr>
          <w:rFonts w:cs="Arial"/>
          <w:lang w:val="en-US"/>
        </w:rPr>
        <w:t xml:space="preserve">The preparation of the financial statements in accordance with CPCs and IFRS requires that the Management make judgments and estimates affecting the recognized amounts referring to assets, liabilities, </w:t>
      </w:r>
      <w:proofErr w:type="gramStart"/>
      <w:r w:rsidRPr="00B84B0C">
        <w:rPr>
          <w:rFonts w:cs="Arial"/>
          <w:lang w:val="en-US"/>
        </w:rPr>
        <w:t>income</w:t>
      </w:r>
      <w:proofErr w:type="gramEnd"/>
      <w:r w:rsidRPr="00B84B0C">
        <w:rPr>
          <w:rFonts w:cs="Arial"/>
          <w:lang w:val="en-US"/>
        </w:rPr>
        <w:t xml:space="preserve"> and expenses. Estimates and assumptions adopted are analyzed on a continuous basis, and revisions are carried out and recognized in the period in which the estimate is reevaluated, with prospective effects. The actual results obtained may be different from estimates used herein.</w:t>
      </w:r>
    </w:p>
    <w:p w14:paraId="29591025" w14:textId="77777777" w:rsidR="00711D9A" w:rsidRPr="00B84B0C" w:rsidRDefault="00711D9A" w:rsidP="00711D9A">
      <w:pPr>
        <w:pStyle w:val="05-Textonormal"/>
        <w:rPr>
          <w:rFonts w:cs="Arial"/>
          <w:lang w:val="en-US"/>
        </w:rPr>
      </w:pPr>
      <w:r w:rsidRPr="00B84B0C">
        <w:rPr>
          <w:rFonts w:cs="Arial"/>
          <w:lang w:val="en-US"/>
        </w:rPr>
        <w:t>Taking into consideration that there are certain alternatives to accounting treatments, the results that are disclosed could be different, in the event a different treatment had</w:t>
      </w:r>
      <w:r w:rsidRPr="00B84B0C">
        <w:rPr>
          <w:rFonts w:cs="Arial"/>
          <w:color w:val="FF0000"/>
          <w:lang w:val="en-US"/>
        </w:rPr>
        <w:t xml:space="preserve"> </w:t>
      </w:r>
      <w:r w:rsidRPr="00B84B0C">
        <w:rPr>
          <w:rFonts w:cs="Arial"/>
          <w:lang w:val="en-US"/>
        </w:rPr>
        <w:t xml:space="preserve">been chosen. Management considers that the choices made are appropriate and that the financial statements fairly present the consolidated financial position of BB </w:t>
      </w:r>
      <w:proofErr w:type="spellStart"/>
      <w:r w:rsidRPr="00B84B0C">
        <w:rPr>
          <w:rFonts w:cs="Arial"/>
          <w:lang w:val="en-US"/>
        </w:rPr>
        <w:t>Seguridade</w:t>
      </w:r>
      <w:proofErr w:type="spellEnd"/>
      <w:r w:rsidRPr="00B84B0C">
        <w:rPr>
          <w:rFonts w:cs="Arial"/>
          <w:lang w:val="en-US"/>
        </w:rPr>
        <w:t xml:space="preserve"> and the result of its operations in all material aspects.</w:t>
      </w:r>
    </w:p>
    <w:p w14:paraId="58CD34E8" w14:textId="77777777" w:rsidR="00711D9A" w:rsidRPr="00B84B0C" w:rsidRDefault="00711D9A" w:rsidP="00711D9A">
      <w:pPr>
        <w:pStyle w:val="05-Textonormal"/>
        <w:rPr>
          <w:rFonts w:cs="Arial"/>
          <w:lang w:val="en-US"/>
        </w:rPr>
      </w:pPr>
      <w:r w:rsidRPr="00B84B0C">
        <w:rPr>
          <w:rFonts w:cs="Arial"/>
          <w:lang w:val="en-US"/>
        </w:rPr>
        <w:t>Significant assets and liabilities subject to these estimates and assumptions encompass items for which an evaluation at fair value is necessary. The most relevant applications of the exercise on estimates judgments and usage occur in: Fair value of Financial Instruments, Impairment of Financial Assets, Impairment of Non-Financial Assets, Income Taxes, Deferred Taxes and Provisions and Contingent Liabilities.</w:t>
      </w:r>
    </w:p>
    <w:p w14:paraId="53737D79" w14:textId="77777777" w:rsidR="00711D9A" w:rsidRPr="00B84B0C" w:rsidRDefault="00711D9A" w:rsidP="00711D9A">
      <w:pPr>
        <w:pStyle w:val="03-SubttulodeNota"/>
        <w:keepNext/>
        <w:rPr>
          <w:rFonts w:cs="Arial"/>
          <w:color w:val="1F4E79" w:themeColor="accent1" w:themeShade="80"/>
        </w:rPr>
      </w:pPr>
      <w:r w:rsidRPr="00B84B0C">
        <w:rPr>
          <w:rFonts w:cs="Arial"/>
          <w:color w:val="1F4E79" w:themeColor="accent1" w:themeShade="80"/>
        </w:rPr>
        <w:lastRenderedPageBreak/>
        <w:t xml:space="preserve">h) </w:t>
      </w:r>
      <w:proofErr w:type="spellStart"/>
      <w:r w:rsidRPr="00B84B0C">
        <w:rPr>
          <w:rFonts w:cs="Arial"/>
          <w:color w:val="1F4E79" w:themeColor="accent1" w:themeShade="80"/>
        </w:rPr>
        <w:t>Information</w:t>
      </w:r>
      <w:proofErr w:type="spellEnd"/>
      <w:r w:rsidRPr="00B84B0C">
        <w:rPr>
          <w:rFonts w:cs="Arial"/>
          <w:color w:val="1F4E79" w:themeColor="accent1" w:themeShade="80"/>
        </w:rPr>
        <w:t xml:space="preserve"> for </w:t>
      </w:r>
      <w:proofErr w:type="spellStart"/>
      <w:r w:rsidRPr="00B84B0C">
        <w:rPr>
          <w:rFonts w:cs="Arial"/>
          <w:color w:val="1F4E79" w:themeColor="accent1" w:themeShade="80"/>
        </w:rPr>
        <w:t>Effect</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of</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Comparability</w:t>
      </w:r>
      <w:proofErr w:type="spellEnd"/>
    </w:p>
    <w:p w14:paraId="10A178F4" w14:textId="77777777" w:rsidR="00711D9A" w:rsidRPr="00B84B0C" w:rsidRDefault="00711D9A" w:rsidP="00711D9A">
      <w:pPr>
        <w:pStyle w:val="01-Textonormal2"/>
        <w:rPr>
          <w:rFonts w:cs="Arial"/>
          <w:b/>
          <w:color w:val="1F4E79" w:themeColor="accent1" w:themeShade="80"/>
          <w:spacing w:val="-2"/>
          <w:kern w:val="0"/>
          <w:sz w:val="20"/>
          <w:szCs w:val="18"/>
        </w:rPr>
      </w:pPr>
      <w:proofErr w:type="spellStart"/>
      <w:r w:rsidRPr="00B84B0C">
        <w:rPr>
          <w:rFonts w:cs="Arial"/>
          <w:b/>
          <w:color w:val="1F4E79" w:themeColor="accent1" w:themeShade="80"/>
          <w:spacing w:val="-2"/>
          <w:kern w:val="0"/>
          <w:sz w:val="20"/>
          <w:szCs w:val="18"/>
        </w:rPr>
        <w:t>Statement</w:t>
      </w:r>
      <w:proofErr w:type="spellEnd"/>
      <w:r w:rsidRPr="00B84B0C">
        <w:rPr>
          <w:rFonts w:cs="Arial"/>
          <w:b/>
          <w:color w:val="1F4E79" w:themeColor="accent1" w:themeShade="80"/>
          <w:spacing w:val="-2"/>
          <w:kern w:val="0"/>
          <w:sz w:val="20"/>
          <w:szCs w:val="18"/>
        </w:rPr>
        <w:t xml:space="preserve"> </w:t>
      </w:r>
      <w:proofErr w:type="spellStart"/>
      <w:r w:rsidRPr="00B84B0C">
        <w:rPr>
          <w:rFonts w:cs="Arial"/>
          <w:b/>
          <w:color w:val="1F4E79" w:themeColor="accent1" w:themeShade="80"/>
          <w:spacing w:val="-2"/>
          <w:kern w:val="0"/>
          <w:sz w:val="20"/>
          <w:szCs w:val="18"/>
        </w:rPr>
        <w:t>of</w:t>
      </w:r>
      <w:proofErr w:type="spellEnd"/>
      <w:r w:rsidRPr="00B84B0C">
        <w:rPr>
          <w:rFonts w:cs="Arial"/>
          <w:b/>
          <w:color w:val="1F4E79" w:themeColor="accent1" w:themeShade="80"/>
          <w:spacing w:val="-2"/>
          <w:kern w:val="0"/>
          <w:sz w:val="20"/>
          <w:szCs w:val="18"/>
        </w:rPr>
        <w:t xml:space="preserve"> income</w:t>
      </w:r>
    </w:p>
    <w:p w14:paraId="1DA9F4FF" w14:textId="77777777" w:rsidR="00711D9A" w:rsidRPr="00B84B0C" w:rsidRDefault="00711D9A" w:rsidP="00711D9A">
      <w:pPr>
        <w:pStyle w:val="05-Textonormal"/>
        <w:keepNext/>
        <w:keepLines/>
        <w:rPr>
          <w:rFonts w:cs="Arial"/>
          <w:lang w:val="en-US"/>
        </w:rPr>
      </w:pPr>
      <w:r w:rsidRPr="00B84B0C">
        <w:rPr>
          <w:rFonts w:cs="Arial"/>
          <w:lang w:val="en-US"/>
        </w:rPr>
        <w:t xml:space="preserve">In order to better present the tax effects on commission income, from the 2nd quarter of 2019 onwards, the taxes (ISS, PIS and </w:t>
      </w:r>
      <w:proofErr w:type="spellStart"/>
      <w:r w:rsidRPr="00B84B0C">
        <w:rPr>
          <w:rFonts w:cs="Arial"/>
          <w:lang w:val="en-US"/>
        </w:rPr>
        <w:t>Cofins</w:t>
      </w:r>
      <w:proofErr w:type="spellEnd"/>
      <w:r w:rsidRPr="00B84B0C">
        <w:rPr>
          <w:rFonts w:cs="Arial"/>
          <w:lang w:val="en-US"/>
        </w:rPr>
        <w:t xml:space="preserve">) were segregated, and now are presented the </w:t>
      </w:r>
      <w:proofErr w:type="gramStart"/>
      <w:r w:rsidRPr="00B84B0C">
        <w:rPr>
          <w:rFonts w:cs="Arial"/>
          <w:lang w:val="en-US"/>
        </w:rPr>
        <w:t>net  commissions</w:t>
      </w:r>
      <w:proofErr w:type="gramEnd"/>
      <w:r w:rsidRPr="00B84B0C">
        <w:rPr>
          <w:rFonts w:cs="Arial"/>
          <w:lang w:val="en-US"/>
        </w:rPr>
        <w:t xml:space="preserve"> income, with the corresponding reconciliation in Note 25 - Commissions Income.</w:t>
      </w:r>
    </w:p>
    <w:p w14:paraId="1C2891A3" w14:textId="77777777" w:rsidR="00711D9A" w:rsidRPr="00B84B0C" w:rsidRDefault="00711D9A" w:rsidP="00711D9A">
      <w:pPr>
        <w:pStyle w:val="05-Textonormal"/>
        <w:keepNext/>
        <w:keepLines/>
        <w:rPr>
          <w:rFonts w:cs="Arial"/>
          <w:lang w:val="en-US"/>
        </w:rPr>
      </w:pPr>
      <w:r w:rsidRPr="00B84B0C">
        <w:rPr>
          <w:rFonts w:cs="Arial"/>
          <w:lang w:val="en-US"/>
        </w:rPr>
        <w:t xml:space="preserve">Gross revenue </w:t>
      </w:r>
      <w:proofErr w:type="gramStart"/>
      <w:r w:rsidRPr="00B84B0C">
        <w:rPr>
          <w:rFonts w:cs="Arial"/>
          <w:lang w:val="en-US"/>
        </w:rPr>
        <w:t>remain</w:t>
      </w:r>
      <w:proofErr w:type="gramEnd"/>
      <w:r w:rsidRPr="00B84B0C">
        <w:rPr>
          <w:rFonts w:cs="Arial"/>
          <w:lang w:val="en-US"/>
        </w:rPr>
        <w:t xml:space="preserve"> unchanged and are only presented net of taxes in the Income Statement. </w:t>
      </w:r>
      <w:r w:rsidRPr="00B84B0C">
        <w:rPr>
          <w:rStyle w:val="tlid-translation"/>
          <w:rFonts w:cs="Arial"/>
          <w:lang w:val="en"/>
        </w:rPr>
        <w:t>The reclassification has no impact on net income for reporting periods and did not require adjustments for comparison with prior periods, but only in the form of presentation, as shown in the table below.</w:t>
      </w:r>
    </w:p>
    <w:p w14:paraId="5B67DA21" w14:textId="77777777" w:rsidR="00711D9A" w:rsidRPr="00B84B0C" w:rsidRDefault="00711D9A" w:rsidP="00711D9A">
      <w:pPr>
        <w:pStyle w:val="01-Textonormal2"/>
        <w:spacing w:after="0"/>
        <w:jc w:val="right"/>
        <w:rPr>
          <w:rFonts w:cs="Arial"/>
        </w:rPr>
      </w:pPr>
      <w:r w:rsidRPr="00B84B0C">
        <w:rPr>
          <w:rFonts w:cs="Arial"/>
          <w:b/>
          <w:sz w:val="14"/>
          <w:szCs w:val="14"/>
        </w:rPr>
        <w:t xml:space="preserve">R$ </w:t>
      </w:r>
      <w:proofErr w:type="spellStart"/>
      <w:r w:rsidRPr="00B84B0C">
        <w:rPr>
          <w:rFonts w:cs="Arial"/>
          <w:b/>
          <w:sz w:val="14"/>
          <w:szCs w:val="14"/>
        </w:rPr>
        <w:t>thousand</w:t>
      </w:r>
      <w:proofErr w:type="spellEnd"/>
    </w:p>
    <w:tbl>
      <w:tblPr>
        <w:tblStyle w:val="TabeladeLista6Colorida-nfase53"/>
        <w:tblW w:w="9639" w:type="dxa"/>
        <w:tblInd w:w="108" w:type="dxa"/>
        <w:tblLayout w:type="fixed"/>
        <w:tblLook w:val="04A0" w:firstRow="1" w:lastRow="0" w:firstColumn="1" w:lastColumn="0" w:noHBand="0" w:noVBand="1"/>
      </w:tblPr>
      <w:tblGrid>
        <w:gridCol w:w="2019"/>
        <w:gridCol w:w="992"/>
        <w:gridCol w:w="1370"/>
        <w:gridCol w:w="1181"/>
        <w:gridCol w:w="284"/>
        <w:gridCol w:w="1134"/>
        <w:gridCol w:w="1322"/>
        <w:gridCol w:w="1337"/>
      </w:tblGrid>
      <w:tr w:rsidR="00711D9A" w:rsidRPr="00B84B0C" w14:paraId="36D07305" w14:textId="77777777" w:rsidTr="00711D9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019" w:type="dxa"/>
            <w:tcBorders>
              <w:top w:val="single" w:sz="2" w:space="0" w:color="8EAADB" w:themeColor="accent5" w:themeTint="99"/>
              <w:bottom w:val="nil"/>
            </w:tcBorders>
            <w:shd w:val="clear" w:color="auto" w:fill="D9E2F3" w:themeFill="accent5" w:themeFillTint="33"/>
            <w:vAlign w:val="center"/>
          </w:tcPr>
          <w:p w14:paraId="3A27FB81" w14:textId="77777777" w:rsidR="00711D9A" w:rsidRPr="00B84B0C" w:rsidRDefault="00711D9A" w:rsidP="00711D9A">
            <w:pPr>
              <w:jc w:val="center"/>
              <w:rPr>
                <w:rFonts w:cs="Arial"/>
                <w:b w:val="0"/>
                <w:szCs w:val="18"/>
              </w:rPr>
            </w:pPr>
          </w:p>
        </w:tc>
        <w:tc>
          <w:tcPr>
            <w:tcW w:w="992" w:type="dxa"/>
            <w:tcBorders>
              <w:top w:val="single" w:sz="2" w:space="0" w:color="8EAADB" w:themeColor="accent5" w:themeTint="99"/>
              <w:bottom w:val="nil"/>
            </w:tcBorders>
            <w:shd w:val="clear" w:color="auto" w:fill="D9E2F3" w:themeFill="accent5" w:themeFillTint="33"/>
          </w:tcPr>
          <w:p w14:paraId="2AE863B3"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
        </w:tc>
        <w:tc>
          <w:tcPr>
            <w:tcW w:w="1370" w:type="dxa"/>
            <w:tcBorders>
              <w:top w:val="single" w:sz="2" w:space="0" w:color="8EAADB" w:themeColor="accent5" w:themeTint="99"/>
              <w:bottom w:val="nil"/>
            </w:tcBorders>
            <w:shd w:val="clear" w:color="auto" w:fill="D9E2F3" w:themeFill="accent5" w:themeFillTint="33"/>
            <w:vAlign w:val="center"/>
          </w:tcPr>
          <w:p w14:paraId="304589B8"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8"/>
              </w:rPr>
            </w:pPr>
          </w:p>
        </w:tc>
        <w:tc>
          <w:tcPr>
            <w:tcW w:w="1181" w:type="dxa"/>
            <w:tcBorders>
              <w:top w:val="single" w:sz="2" w:space="0" w:color="8EAADB" w:themeColor="accent5" w:themeTint="99"/>
              <w:bottom w:val="nil"/>
            </w:tcBorders>
            <w:shd w:val="clear" w:color="auto" w:fill="D9E2F3" w:themeFill="accent5" w:themeFillTint="33"/>
            <w:vAlign w:val="center"/>
          </w:tcPr>
          <w:p w14:paraId="76C11A74"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
        </w:tc>
        <w:tc>
          <w:tcPr>
            <w:tcW w:w="284" w:type="dxa"/>
            <w:tcBorders>
              <w:top w:val="single" w:sz="2" w:space="0" w:color="8EAADB" w:themeColor="accent5" w:themeTint="99"/>
              <w:bottom w:val="nil"/>
            </w:tcBorders>
            <w:shd w:val="clear" w:color="auto" w:fill="D9E2F3" w:themeFill="accent5" w:themeFillTint="33"/>
            <w:vAlign w:val="center"/>
          </w:tcPr>
          <w:p w14:paraId="6920C056"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1134"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87F882C"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p>
        </w:tc>
        <w:tc>
          <w:tcPr>
            <w:tcW w:w="1322"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F97CD29"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c>
          <w:tcPr>
            <w:tcW w:w="1337"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DA67B2E"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r>
      <w:tr w:rsidR="00711D9A" w:rsidRPr="00B84B0C" w14:paraId="269559B0" w14:textId="77777777" w:rsidTr="00711D9A">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vAlign w:val="center"/>
          </w:tcPr>
          <w:p w14:paraId="75D96273" w14:textId="77777777" w:rsidR="00711D9A" w:rsidRPr="00B84B0C" w:rsidRDefault="00711D9A" w:rsidP="00711D9A">
            <w:pPr>
              <w:jc w:val="center"/>
              <w:rPr>
                <w:rFonts w:cs="Arial"/>
                <w:b w:val="0"/>
                <w:szCs w:val="18"/>
              </w:rPr>
            </w:pPr>
          </w:p>
        </w:tc>
        <w:tc>
          <w:tcPr>
            <w:tcW w:w="992" w:type="dxa"/>
            <w:tcBorders>
              <w:top w:val="nil"/>
              <w:bottom w:val="nil"/>
            </w:tcBorders>
          </w:tcPr>
          <w:p w14:paraId="2FA2DB9A" w14:textId="77777777" w:rsidR="00711D9A" w:rsidRPr="00B84B0C" w:rsidRDefault="00711D9A" w:rsidP="00711D9A">
            <w:pPr>
              <w:jc w:val="center"/>
              <w:cnfStyle w:val="000000100000" w:firstRow="0" w:lastRow="0" w:firstColumn="0" w:lastColumn="0" w:oddVBand="0" w:evenVBand="0" w:oddHBand="1" w:evenHBand="0" w:firstRowFirstColumn="0" w:firstRowLastColumn="0" w:lastRowFirstColumn="0" w:lastRowLastColumn="0"/>
              <w:rPr>
                <w:rFonts w:cs="Arial"/>
                <w:sz w:val="14"/>
                <w:szCs w:val="18"/>
              </w:rPr>
            </w:pPr>
          </w:p>
        </w:tc>
        <w:tc>
          <w:tcPr>
            <w:tcW w:w="1370" w:type="dxa"/>
            <w:tcBorders>
              <w:top w:val="nil"/>
              <w:bottom w:val="nil"/>
            </w:tcBorders>
            <w:vAlign w:val="center"/>
          </w:tcPr>
          <w:p w14:paraId="15CF664F"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81" w:type="dxa"/>
            <w:tcBorders>
              <w:top w:val="nil"/>
              <w:bottom w:val="nil"/>
            </w:tcBorders>
            <w:vAlign w:val="center"/>
          </w:tcPr>
          <w:p w14:paraId="5094A37D"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284" w:type="dxa"/>
            <w:tcBorders>
              <w:top w:val="nil"/>
              <w:bottom w:val="nil"/>
            </w:tcBorders>
            <w:vAlign w:val="center"/>
          </w:tcPr>
          <w:p w14:paraId="7150D47D"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single" w:sz="2" w:space="0" w:color="8EAADB" w:themeColor="accent5" w:themeTint="99"/>
              <w:bottom w:val="single" w:sz="2" w:space="0" w:color="8EAADB" w:themeColor="accent5" w:themeTint="99"/>
            </w:tcBorders>
            <w:vAlign w:val="center"/>
          </w:tcPr>
          <w:p w14:paraId="44F4B6B2"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322" w:type="dxa"/>
            <w:tcBorders>
              <w:top w:val="single" w:sz="2" w:space="0" w:color="8EAADB" w:themeColor="accent5" w:themeTint="99"/>
              <w:bottom w:val="single" w:sz="2" w:space="0" w:color="8EAADB" w:themeColor="accent5" w:themeTint="99"/>
            </w:tcBorders>
            <w:vAlign w:val="center"/>
          </w:tcPr>
          <w:p w14:paraId="7B11AB18"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/2019</w:t>
            </w:r>
          </w:p>
        </w:tc>
        <w:tc>
          <w:tcPr>
            <w:tcW w:w="1337" w:type="dxa"/>
            <w:tcBorders>
              <w:top w:val="single" w:sz="2" w:space="0" w:color="8EAADB" w:themeColor="accent5" w:themeTint="99"/>
              <w:bottom w:val="single" w:sz="2" w:space="0" w:color="8EAADB" w:themeColor="accent5" w:themeTint="99"/>
            </w:tcBorders>
            <w:vAlign w:val="center"/>
          </w:tcPr>
          <w:p w14:paraId="6FDDAF27"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r>
      <w:tr w:rsidR="00711D9A" w:rsidRPr="00B84B0C" w14:paraId="11E58FAB" w14:textId="77777777" w:rsidTr="00711D9A">
        <w:trPr>
          <w:trHeight w:hRule="exact" w:val="397"/>
        </w:trPr>
        <w:tc>
          <w:tcPr>
            <w:cnfStyle w:val="001000000000" w:firstRow="0" w:lastRow="0" w:firstColumn="1" w:lastColumn="0" w:oddVBand="0" w:evenVBand="0" w:oddHBand="0" w:evenHBand="0" w:firstRowFirstColumn="0" w:firstRowLastColumn="0" w:lastRowFirstColumn="0" w:lastRowLastColumn="0"/>
            <w:tcW w:w="2019" w:type="dxa"/>
            <w:tcBorders>
              <w:top w:val="nil"/>
              <w:bottom w:val="single" w:sz="2" w:space="0" w:color="8EAADB" w:themeColor="accent5" w:themeTint="99"/>
            </w:tcBorders>
            <w:shd w:val="clear" w:color="auto" w:fill="D9E2F3" w:themeFill="accent5" w:themeFillTint="33"/>
          </w:tcPr>
          <w:p w14:paraId="4A9E8BC7" w14:textId="77777777" w:rsidR="00711D9A" w:rsidRPr="00B84B0C" w:rsidRDefault="00711D9A" w:rsidP="00711D9A">
            <w:pPr>
              <w:jc w:val="center"/>
              <w:rPr>
                <w:rFonts w:cs="Arial"/>
                <w:b w:val="0"/>
                <w:szCs w:val="18"/>
              </w:rPr>
            </w:pPr>
          </w:p>
        </w:tc>
        <w:tc>
          <w:tcPr>
            <w:tcW w:w="992" w:type="dxa"/>
            <w:tcBorders>
              <w:top w:val="nil"/>
              <w:bottom w:val="single" w:sz="2" w:space="0" w:color="8EAADB" w:themeColor="accent5" w:themeTint="99"/>
            </w:tcBorders>
            <w:shd w:val="clear" w:color="auto" w:fill="D9E2F3" w:themeFill="accent5" w:themeFillTint="33"/>
            <w:vAlign w:val="center"/>
          </w:tcPr>
          <w:p w14:paraId="3F653F23"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370" w:type="dxa"/>
            <w:tcBorders>
              <w:top w:val="nil"/>
              <w:bottom w:val="single" w:sz="2" w:space="0" w:color="8EAADB" w:themeColor="accent5" w:themeTint="99"/>
            </w:tcBorders>
            <w:shd w:val="clear" w:color="auto" w:fill="D9E2F3" w:themeFill="accent5" w:themeFillTint="33"/>
            <w:vAlign w:val="center"/>
          </w:tcPr>
          <w:p w14:paraId="2A34067F"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181" w:type="dxa"/>
            <w:tcBorders>
              <w:top w:val="nil"/>
              <w:bottom w:val="single" w:sz="2" w:space="0" w:color="8EAADB" w:themeColor="accent5" w:themeTint="99"/>
            </w:tcBorders>
            <w:shd w:val="clear" w:color="auto" w:fill="D9E2F3" w:themeFill="accent5" w:themeFillTint="33"/>
            <w:vAlign w:val="center"/>
          </w:tcPr>
          <w:p w14:paraId="28E9F561"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284" w:type="dxa"/>
            <w:tcBorders>
              <w:top w:val="nil"/>
              <w:bottom w:val="single" w:sz="2" w:space="0" w:color="8EAADB" w:themeColor="accent5" w:themeTint="99"/>
            </w:tcBorders>
            <w:shd w:val="clear" w:color="auto" w:fill="D9E2F3" w:themeFill="accent5" w:themeFillTint="33"/>
            <w:vAlign w:val="center"/>
          </w:tcPr>
          <w:p w14:paraId="32774967"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547D2FB"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b/>
              </w:rPr>
            </w:pPr>
            <w:proofErr w:type="spellStart"/>
            <w:r w:rsidRPr="00B84B0C">
              <w:rPr>
                <w:rFonts w:cs="Arial"/>
                <w:b/>
                <w:bCs/>
                <w:color w:val="000000"/>
                <w:szCs w:val="14"/>
              </w:rPr>
              <w:t>Previous</w:t>
            </w:r>
            <w:proofErr w:type="spellEnd"/>
            <w:r w:rsidRPr="00B84B0C">
              <w:rPr>
                <w:rFonts w:cs="Arial"/>
                <w:b/>
                <w:bCs/>
                <w:color w:val="000000"/>
                <w:szCs w:val="14"/>
              </w:rPr>
              <w:t xml:space="preserve"> </w:t>
            </w:r>
            <w:proofErr w:type="spellStart"/>
            <w:r w:rsidRPr="00B84B0C">
              <w:rPr>
                <w:rFonts w:cs="Arial"/>
                <w:b/>
                <w:bCs/>
                <w:color w:val="000000"/>
                <w:szCs w:val="14"/>
              </w:rPr>
              <w:t>disclosure</w:t>
            </w:r>
            <w:proofErr w:type="spellEnd"/>
          </w:p>
        </w:tc>
        <w:tc>
          <w:tcPr>
            <w:tcW w:w="1322"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F75A380"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b/>
              </w:rPr>
            </w:pPr>
            <w:proofErr w:type="spellStart"/>
            <w:r w:rsidRPr="00B84B0C">
              <w:rPr>
                <w:rFonts w:cs="Arial"/>
                <w:b/>
                <w:bCs/>
                <w:color w:val="000000"/>
                <w:szCs w:val="14"/>
              </w:rPr>
              <w:t>Reclassification</w:t>
            </w:r>
            <w:proofErr w:type="spellEnd"/>
          </w:p>
        </w:tc>
        <w:tc>
          <w:tcPr>
            <w:tcW w:w="1337"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F0E47CE"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b/>
              </w:rPr>
            </w:pPr>
            <w:proofErr w:type="spellStart"/>
            <w:r w:rsidRPr="00B84B0C">
              <w:rPr>
                <w:rFonts w:cs="Arial"/>
                <w:b/>
                <w:bCs/>
                <w:color w:val="000000"/>
                <w:szCs w:val="14"/>
              </w:rPr>
              <w:t>Current</w:t>
            </w:r>
            <w:proofErr w:type="spellEnd"/>
            <w:r w:rsidRPr="00B84B0C">
              <w:rPr>
                <w:rFonts w:cs="Arial"/>
                <w:b/>
                <w:bCs/>
                <w:color w:val="000000"/>
                <w:szCs w:val="14"/>
              </w:rPr>
              <w:t xml:space="preserve"> balance</w:t>
            </w:r>
          </w:p>
        </w:tc>
      </w:tr>
      <w:tr w:rsidR="00711D9A" w:rsidRPr="00B84B0C" w14:paraId="224A0A04"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single" w:sz="2" w:space="0" w:color="8EAADB" w:themeColor="accent5" w:themeTint="99"/>
              <w:bottom w:val="nil"/>
            </w:tcBorders>
            <w:shd w:val="clear" w:color="auto" w:fill="FFFFFF" w:themeFill="background1"/>
          </w:tcPr>
          <w:p w14:paraId="2EC540E7" w14:textId="77777777" w:rsidR="00711D9A" w:rsidRPr="00B84B0C" w:rsidRDefault="00711D9A" w:rsidP="00711D9A">
            <w:pPr>
              <w:pStyle w:val="08-Tabelageral"/>
              <w:jc w:val="left"/>
              <w:rPr>
                <w:rFonts w:cs="Arial"/>
                <w:b w:val="0"/>
              </w:rPr>
            </w:pPr>
            <w:proofErr w:type="spellStart"/>
            <w:r w:rsidRPr="00B84B0C">
              <w:rPr>
                <w:rFonts w:cs="Arial"/>
                <w:b w:val="0"/>
              </w:rPr>
              <w:t>Commissions</w:t>
            </w:r>
            <w:proofErr w:type="spellEnd"/>
            <w:r w:rsidRPr="00B84B0C">
              <w:rPr>
                <w:rFonts w:cs="Arial"/>
                <w:b w:val="0"/>
              </w:rPr>
              <w:t xml:space="preserve"> income </w:t>
            </w:r>
          </w:p>
        </w:tc>
        <w:tc>
          <w:tcPr>
            <w:tcW w:w="992" w:type="dxa"/>
            <w:tcBorders>
              <w:top w:val="single" w:sz="2" w:space="0" w:color="8EAADB" w:themeColor="accent5" w:themeTint="99"/>
              <w:bottom w:val="nil"/>
            </w:tcBorders>
            <w:shd w:val="clear" w:color="auto" w:fill="FFFFFF" w:themeFill="background1"/>
          </w:tcPr>
          <w:p w14:paraId="6057B71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70" w:type="dxa"/>
            <w:tcBorders>
              <w:top w:val="single" w:sz="2" w:space="0" w:color="8EAADB" w:themeColor="accent5" w:themeTint="99"/>
              <w:bottom w:val="nil"/>
            </w:tcBorders>
            <w:shd w:val="clear" w:color="auto" w:fill="FFFFFF" w:themeFill="background1"/>
            <w:vAlign w:val="center"/>
          </w:tcPr>
          <w:p w14:paraId="2017805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81" w:type="dxa"/>
            <w:tcBorders>
              <w:top w:val="single" w:sz="2" w:space="0" w:color="8EAADB" w:themeColor="accent5" w:themeTint="99"/>
              <w:bottom w:val="nil"/>
            </w:tcBorders>
            <w:shd w:val="clear" w:color="auto" w:fill="FFFFFF" w:themeFill="background1"/>
            <w:vAlign w:val="center"/>
          </w:tcPr>
          <w:p w14:paraId="40A2552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4" w:type="dxa"/>
            <w:tcBorders>
              <w:top w:val="single" w:sz="2" w:space="0" w:color="8EAADB" w:themeColor="accent5" w:themeTint="99"/>
              <w:bottom w:val="nil"/>
            </w:tcBorders>
            <w:shd w:val="clear" w:color="auto" w:fill="FFFFFF" w:themeFill="background1"/>
            <w:vAlign w:val="center"/>
          </w:tcPr>
          <w:p w14:paraId="2EAA909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single" w:sz="2" w:space="0" w:color="8EAADB" w:themeColor="accent5" w:themeTint="99"/>
              <w:bottom w:val="nil"/>
            </w:tcBorders>
            <w:shd w:val="clear" w:color="auto" w:fill="FFFFFF" w:themeFill="background1"/>
            <w:vAlign w:val="center"/>
          </w:tcPr>
          <w:p w14:paraId="6078CFC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762,179</w:t>
            </w:r>
          </w:p>
        </w:tc>
        <w:tc>
          <w:tcPr>
            <w:tcW w:w="1322" w:type="dxa"/>
            <w:tcBorders>
              <w:top w:val="single" w:sz="2" w:space="0" w:color="8EAADB" w:themeColor="accent5" w:themeTint="99"/>
              <w:bottom w:val="nil"/>
            </w:tcBorders>
            <w:shd w:val="clear" w:color="auto" w:fill="FFFFFF" w:themeFill="background1"/>
          </w:tcPr>
          <w:p w14:paraId="15C7317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(762,179)</w:t>
            </w:r>
          </w:p>
        </w:tc>
        <w:tc>
          <w:tcPr>
            <w:tcW w:w="1337" w:type="dxa"/>
            <w:tcBorders>
              <w:top w:val="single" w:sz="2" w:space="0" w:color="8EAADB" w:themeColor="accent5" w:themeTint="99"/>
              <w:bottom w:val="nil"/>
            </w:tcBorders>
            <w:shd w:val="clear" w:color="auto" w:fill="FFFFFF" w:themeFill="background1"/>
            <w:vAlign w:val="center"/>
          </w:tcPr>
          <w:p w14:paraId="15C0D8C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5065ABD6"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nil"/>
              <w:bottom w:val="nil"/>
            </w:tcBorders>
            <w:shd w:val="clear" w:color="auto" w:fill="D9E2F3" w:themeFill="accent5" w:themeFillTint="33"/>
          </w:tcPr>
          <w:p w14:paraId="0D6EF141" w14:textId="77777777" w:rsidR="00711D9A" w:rsidRPr="00B84B0C" w:rsidRDefault="00711D9A" w:rsidP="00711D9A">
            <w:pPr>
              <w:pStyle w:val="08-Tabelageral"/>
              <w:jc w:val="left"/>
              <w:rPr>
                <w:rFonts w:cs="Arial"/>
                <w:b w:val="0"/>
              </w:rPr>
            </w:pPr>
            <w:r w:rsidRPr="00B84B0C">
              <w:rPr>
                <w:rFonts w:cs="Arial"/>
                <w:b w:val="0"/>
              </w:rPr>
              <w:t xml:space="preserve">Net </w:t>
            </w:r>
            <w:proofErr w:type="spellStart"/>
            <w:r w:rsidRPr="00B84B0C">
              <w:rPr>
                <w:rFonts w:cs="Arial"/>
                <w:b w:val="0"/>
              </w:rPr>
              <w:t>commissions</w:t>
            </w:r>
            <w:proofErr w:type="spellEnd"/>
            <w:r w:rsidRPr="00B84B0C">
              <w:rPr>
                <w:rFonts w:cs="Arial"/>
                <w:b w:val="0"/>
              </w:rPr>
              <w:t xml:space="preserve"> income</w:t>
            </w:r>
          </w:p>
        </w:tc>
        <w:tc>
          <w:tcPr>
            <w:tcW w:w="992" w:type="dxa"/>
            <w:tcBorders>
              <w:top w:val="nil"/>
              <w:bottom w:val="nil"/>
            </w:tcBorders>
            <w:shd w:val="clear" w:color="auto" w:fill="D9E2F3" w:themeFill="accent5" w:themeFillTint="33"/>
          </w:tcPr>
          <w:p w14:paraId="742A0E1F"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370" w:type="dxa"/>
            <w:tcBorders>
              <w:top w:val="nil"/>
              <w:bottom w:val="nil"/>
            </w:tcBorders>
            <w:shd w:val="clear" w:color="auto" w:fill="D9E2F3" w:themeFill="accent5" w:themeFillTint="33"/>
            <w:vAlign w:val="center"/>
          </w:tcPr>
          <w:p w14:paraId="0C6CAE5B"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81" w:type="dxa"/>
            <w:tcBorders>
              <w:top w:val="nil"/>
              <w:bottom w:val="nil"/>
            </w:tcBorders>
            <w:shd w:val="clear" w:color="auto" w:fill="D9E2F3" w:themeFill="accent5" w:themeFillTint="33"/>
            <w:vAlign w:val="center"/>
          </w:tcPr>
          <w:p w14:paraId="40698C89"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284" w:type="dxa"/>
            <w:tcBorders>
              <w:top w:val="nil"/>
              <w:bottom w:val="nil"/>
            </w:tcBorders>
            <w:shd w:val="clear" w:color="auto" w:fill="D9E2F3" w:themeFill="accent5" w:themeFillTint="33"/>
            <w:vAlign w:val="center"/>
          </w:tcPr>
          <w:p w14:paraId="2C413571"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D9E2F3" w:themeFill="accent5" w:themeFillTint="33"/>
            <w:vAlign w:val="center"/>
          </w:tcPr>
          <w:p w14:paraId="5CAC0970"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322" w:type="dxa"/>
            <w:tcBorders>
              <w:top w:val="nil"/>
              <w:bottom w:val="nil"/>
            </w:tcBorders>
            <w:shd w:val="clear" w:color="auto" w:fill="D9E2F3" w:themeFill="accent5" w:themeFillTint="33"/>
          </w:tcPr>
          <w:p w14:paraId="4EF30246"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668,169</w:t>
            </w:r>
          </w:p>
        </w:tc>
        <w:tc>
          <w:tcPr>
            <w:tcW w:w="1337" w:type="dxa"/>
            <w:tcBorders>
              <w:top w:val="nil"/>
              <w:bottom w:val="nil"/>
            </w:tcBorders>
            <w:shd w:val="clear" w:color="auto" w:fill="D9E2F3" w:themeFill="accent5" w:themeFillTint="33"/>
            <w:vAlign w:val="center"/>
          </w:tcPr>
          <w:p w14:paraId="5BAB298B" w14:textId="77777777" w:rsidR="00711D9A" w:rsidRPr="00B84B0C" w:rsidRDefault="00711D9A" w:rsidP="00711D9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668,169</w:t>
            </w:r>
          </w:p>
        </w:tc>
      </w:tr>
      <w:tr w:rsidR="00711D9A" w:rsidRPr="00B84B0C" w14:paraId="156833DE"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nil"/>
              <w:bottom w:val="single" w:sz="2" w:space="0" w:color="8EAADB" w:themeColor="accent5" w:themeTint="99"/>
            </w:tcBorders>
            <w:shd w:val="clear" w:color="auto" w:fill="FFFFFF" w:themeFill="background1"/>
          </w:tcPr>
          <w:p w14:paraId="677E119F" w14:textId="77777777" w:rsidR="00711D9A" w:rsidRPr="00B84B0C" w:rsidRDefault="00711D9A" w:rsidP="00711D9A">
            <w:pPr>
              <w:pStyle w:val="08-Tabelageral"/>
              <w:jc w:val="left"/>
              <w:rPr>
                <w:rFonts w:cs="Arial"/>
                <w:b w:val="0"/>
                <w:szCs w:val="14"/>
              </w:rPr>
            </w:pP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expenses</w:t>
            </w:r>
            <w:proofErr w:type="spellEnd"/>
          </w:p>
        </w:tc>
        <w:tc>
          <w:tcPr>
            <w:tcW w:w="992" w:type="dxa"/>
            <w:tcBorders>
              <w:top w:val="nil"/>
              <w:bottom w:val="single" w:sz="2" w:space="0" w:color="8EAADB" w:themeColor="accent5" w:themeTint="99"/>
            </w:tcBorders>
            <w:shd w:val="clear" w:color="auto" w:fill="FFFFFF" w:themeFill="background1"/>
          </w:tcPr>
          <w:p w14:paraId="6A76FBA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70" w:type="dxa"/>
            <w:tcBorders>
              <w:top w:val="nil"/>
              <w:bottom w:val="single" w:sz="2" w:space="0" w:color="8EAADB" w:themeColor="accent5" w:themeTint="99"/>
            </w:tcBorders>
            <w:shd w:val="clear" w:color="auto" w:fill="FFFFFF" w:themeFill="background1"/>
            <w:vAlign w:val="center"/>
          </w:tcPr>
          <w:p w14:paraId="71A0BE9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81" w:type="dxa"/>
            <w:tcBorders>
              <w:top w:val="nil"/>
              <w:bottom w:val="single" w:sz="2" w:space="0" w:color="8EAADB" w:themeColor="accent5" w:themeTint="99"/>
            </w:tcBorders>
            <w:shd w:val="clear" w:color="auto" w:fill="FFFFFF" w:themeFill="background1"/>
            <w:vAlign w:val="center"/>
          </w:tcPr>
          <w:p w14:paraId="3EBC4B9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4" w:type="dxa"/>
            <w:tcBorders>
              <w:top w:val="nil"/>
              <w:bottom w:val="single" w:sz="2" w:space="0" w:color="8EAADB" w:themeColor="accent5" w:themeTint="99"/>
            </w:tcBorders>
            <w:shd w:val="clear" w:color="auto" w:fill="FFFFFF" w:themeFill="background1"/>
            <w:vAlign w:val="center"/>
          </w:tcPr>
          <w:p w14:paraId="58ABFA2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single" w:sz="2" w:space="0" w:color="8EAADB" w:themeColor="accent5" w:themeTint="99"/>
            </w:tcBorders>
            <w:shd w:val="clear" w:color="auto" w:fill="FFFFFF" w:themeFill="background1"/>
            <w:vAlign w:val="center"/>
          </w:tcPr>
          <w:p w14:paraId="58A97DE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(98,444)</w:t>
            </w:r>
          </w:p>
        </w:tc>
        <w:tc>
          <w:tcPr>
            <w:tcW w:w="1322" w:type="dxa"/>
            <w:tcBorders>
              <w:top w:val="nil"/>
              <w:bottom w:val="single" w:sz="2" w:space="0" w:color="8EAADB" w:themeColor="accent5" w:themeTint="99"/>
            </w:tcBorders>
            <w:shd w:val="clear" w:color="auto" w:fill="FFFFFF" w:themeFill="background1"/>
          </w:tcPr>
          <w:p w14:paraId="794F831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97,148</w:t>
            </w:r>
          </w:p>
        </w:tc>
        <w:tc>
          <w:tcPr>
            <w:tcW w:w="1337" w:type="dxa"/>
            <w:tcBorders>
              <w:top w:val="nil"/>
              <w:bottom w:val="single" w:sz="2" w:space="0" w:color="8EAADB" w:themeColor="accent5" w:themeTint="99"/>
            </w:tcBorders>
            <w:shd w:val="clear" w:color="auto" w:fill="FFFFFF" w:themeFill="background1"/>
            <w:vAlign w:val="center"/>
          </w:tcPr>
          <w:p w14:paraId="7A6525C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(1,296)</w:t>
            </w:r>
          </w:p>
        </w:tc>
      </w:tr>
    </w:tbl>
    <w:p w14:paraId="599A9201" w14:textId="401567A4" w:rsidR="00711D9A" w:rsidRPr="00B84B0C" w:rsidRDefault="00711D9A" w:rsidP="00711D9A">
      <w:pPr>
        <w:pStyle w:val="01-Textonormal"/>
        <w:rPr>
          <w:rFonts w:cs="Arial"/>
          <w:kern w:val="20"/>
          <w:szCs w:val="20"/>
        </w:rPr>
      </w:pPr>
      <w:proofErr w:type="spellStart"/>
      <w:r w:rsidRPr="00B84B0C">
        <w:rPr>
          <w:rFonts w:cs="Arial"/>
          <w:kern w:val="20"/>
          <w:szCs w:val="20"/>
        </w:rPr>
        <w:t>There</w:t>
      </w:r>
      <w:proofErr w:type="spellEnd"/>
      <w:r w:rsidRPr="00B84B0C">
        <w:rPr>
          <w:rFonts w:cs="Arial"/>
          <w:kern w:val="20"/>
          <w:szCs w:val="20"/>
        </w:rPr>
        <w:t xml:space="preserve"> </w:t>
      </w:r>
      <w:proofErr w:type="spellStart"/>
      <w:r w:rsidRPr="00B84B0C">
        <w:rPr>
          <w:rFonts w:cs="Arial"/>
          <w:kern w:val="20"/>
          <w:szCs w:val="20"/>
        </w:rPr>
        <w:t>is</w:t>
      </w:r>
      <w:proofErr w:type="spellEnd"/>
      <w:r w:rsidRPr="00B84B0C">
        <w:rPr>
          <w:rFonts w:cs="Arial"/>
          <w:kern w:val="20"/>
          <w:szCs w:val="20"/>
        </w:rPr>
        <w:t xml:space="preserve"> no </w:t>
      </w:r>
      <w:proofErr w:type="spellStart"/>
      <w:r w:rsidRPr="00B84B0C">
        <w:rPr>
          <w:rFonts w:cs="Arial"/>
          <w:kern w:val="20"/>
          <w:szCs w:val="20"/>
        </w:rPr>
        <w:t>impact</w:t>
      </w:r>
      <w:proofErr w:type="spellEnd"/>
      <w:r w:rsidRPr="00B84B0C">
        <w:rPr>
          <w:rFonts w:cs="Arial"/>
          <w:kern w:val="20"/>
          <w:szCs w:val="20"/>
        </w:rPr>
        <w:t xml:space="preserve"> </w:t>
      </w:r>
      <w:proofErr w:type="spellStart"/>
      <w:r w:rsidRPr="00B84B0C">
        <w:rPr>
          <w:rFonts w:cs="Arial"/>
          <w:kern w:val="20"/>
          <w:szCs w:val="20"/>
        </w:rPr>
        <w:t>on</w:t>
      </w:r>
      <w:proofErr w:type="spellEnd"/>
      <w:r w:rsidRPr="00B84B0C">
        <w:rPr>
          <w:rFonts w:cs="Arial"/>
          <w:kern w:val="20"/>
          <w:szCs w:val="20"/>
        </w:rPr>
        <w:t xml:space="preserve"> </w:t>
      </w:r>
      <w:proofErr w:type="spellStart"/>
      <w:r w:rsidRPr="00B84B0C">
        <w:rPr>
          <w:rFonts w:cs="Arial"/>
          <w:kern w:val="20"/>
          <w:szCs w:val="20"/>
        </w:rPr>
        <w:t>the</w:t>
      </w:r>
      <w:proofErr w:type="spellEnd"/>
      <w:r w:rsidRPr="00B84B0C">
        <w:rPr>
          <w:rFonts w:cs="Arial"/>
          <w:kern w:val="20"/>
          <w:szCs w:val="20"/>
        </w:rPr>
        <w:t xml:space="preserve"> </w:t>
      </w:r>
      <w:proofErr w:type="spellStart"/>
      <w:r w:rsidRPr="00B84B0C">
        <w:rPr>
          <w:rFonts w:cs="Arial"/>
          <w:kern w:val="20"/>
          <w:szCs w:val="20"/>
        </w:rPr>
        <w:t>Parent</w:t>
      </w:r>
      <w:proofErr w:type="spellEnd"/>
      <w:r w:rsidRPr="00B84B0C">
        <w:rPr>
          <w:rFonts w:cs="Arial"/>
          <w:kern w:val="20"/>
          <w:szCs w:val="20"/>
        </w:rPr>
        <w:t xml:space="preserve"> </w:t>
      </w:r>
      <w:proofErr w:type="spellStart"/>
      <w:r w:rsidRPr="00B84B0C">
        <w:rPr>
          <w:rFonts w:cs="Arial"/>
          <w:kern w:val="20"/>
          <w:szCs w:val="20"/>
        </w:rPr>
        <w:t>Company's</w:t>
      </w:r>
      <w:proofErr w:type="spellEnd"/>
      <w:r w:rsidRPr="00B84B0C">
        <w:rPr>
          <w:rFonts w:cs="Arial"/>
          <w:kern w:val="20"/>
          <w:szCs w:val="20"/>
        </w:rPr>
        <w:t xml:space="preserve"> Income </w:t>
      </w:r>
      <w:proofErr w:type="spellStart"/>
      <w:r w:rsidRPr="00B84B0C">
        <w:rPr>
          <w:rFonts w:cs="Arial"/>
          <w:kern w:val="20"/>
          <w:szCs w:val="20"/>
        </w:rPr>
        <w:t>Statement</w:t>
      </w:r>
      <w:proofErr w:type="spellEnd"/>
      <w:r w:rsidRPr="00B84B0C">
        <w:rPr>
          <w:rFonts w:cs="Arial"/>
          <w:kern w:val="20"/>
          <w:szCs w:val="20"/>
        </w:rPr>
        <w:t>.</w:t>
      </w:r>
    </w:p>
    <w:p w14:paraId="1035D56C" w14:textId="77777777" w:rsidR="00711D9A" w:rsidRPr="00B84B0C" w:rsidRDefault="00711D9A" w:rsidP="00711D9A">
      <w:pPr>
        <w:pStyle w:val="01-Textonormal"/>
        <w:rPr>
          <w:rFonts w:cs="Arial"/>
          <w:lang w:val="en-US"/>
        </w:rPr>
      </w:pPr>
    </w:p>
    <w:p w14:paraId="27C4A585" w14:textId="4685AEEA" w:rsidR="00720F68" w:rsidRPr="00B84B0C" w:rsidRDefault="00720F68" w:rsidP="00711D9A">
      <w:pPr>
        <w:pStyle w:val="02-TtulodeNota"/>
        <w:rPr>
          <w:rFonts w:cs="Arial"/>
          <w:color w:val="1F4E79" w:themeColor="accent1" w:themeShade="80"/>
          <w:lang w:val="en-US"/>
        </w:rPr>
      </w:pPr>
      <w:bookmarkStart w:id="15" w:name="_Toc39131488"/>
      <w:bookmarkStart w:id="16" w:name="OLE_LINK5"/>
      <w:bookmarkEnd w:id="14"/>
      <w:r w:rsidRPr="00B84B0C">
        <w:rPr>
          <w:rFonts w:cs="Arial"/>
          <w:color w:val="1F4E79" w:themeColor="accent1" w:themeShade="80"/>
          <w:lang w:val="en-US"/>
        </w:rPr>
        <w:t>4 – DESCRIPTION OF SIGNIFICANT ACCOUNTING POLICIES</w:t>
      </w:r>
      <w:bookmarkEnd w:id="15"/>
    </w:p>
    <w:p w14:paraId="3E0EA9F2" w14:textId="77777777" w:rsidR="00720F68" w:rsidRPr="00B84B0C" w:rsidRDefault="00720F68" w:rsidP="00720F68">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 xml:space="preserve">Accounting policies are the specific principles, bases, conventions, </w:t>
      </w:r>
      <w:proofErr w:type="gramStart"/>
      <w:r w:rsidRPr="00B84B0C">
        <w:rPr>
          <w:rFonts w:eastAsia="Times New Roman" w:cs="Arial"/>
          <w:spacing w:val="-2"/>
          <w:szCs w:val="18"/>
          <w:lang w:val="en" w:eastAsia="pt-BR"/>
        </w:rPr>
        <w:t>rules</w:t>
      </w:r>
      <w:proofErr w:type="gramEnd"/>
      <w:r w:rsidRPr="00B84B0C">
        <w:rPr>
          <w:rFonts w:eastAsia="Times New Roman" w:cs="Arial"/>
          <w:spacing w:val="-2"/>
          <w:szCs w:val="18"/>
          <w:lang w:val="en" w:eastAsia="pt-BR"/>
        </w:rPr>
        <w:t xml:space="preserve"> and practices applied by BB </w:t>
      </w:r>
      <w:proofErr w:type="spellStart"/>
      <w:r w:rsidRPr="00B84B0C">
        <w:rPr>
          <w:rFonts w:eastAsia="Times New Roman" w:cs="Arial"/>
          <w:spacing w:val="-2"/>
          <w:szCs w:val="18"/>
          <w:lang w:val="en" w:eastAsia="pt-BR"/>
        </w:rPr>
        <w:t>Seguridade</w:t>
      </w:r>
      <w:proofErr w:type="spellEnd"/>
      <w:r w:rsidRPr="00B84B0C">
        <w:rPr>
          <w:rFonts w:eastAsia="Times New Roman" w:cs="Arial"/>
          <w:spacing w:val="-2"/>
          <w:szCs w:val="18"/>
          <w:lang w:val="en" w:eastAsia="pt-BR"/>
        </w:rPr>
        <w:t xml:space="preserve"> in the preparation and presentation of financial statements. BB </w:t>
      </w:r>
      <w:proofErr w:type="spellStart"/>
      <w:r w:rsidRPr="00B84B0C">
        <w:rPr>
          <w:rFonts w:eastAsia="Times New Roman" w:cs="Arial"/>
          <w:spacing w:val="-2"/>
          <w:szCs w:val="18"/>
          <w:lang w:val="en" w:eastAsia="pt-BR"/>
        </w:rPr>
        <w:t>Seguridade</w:t>
      </w:r>
      <w:proofErr w:type="spellEnd"/>
      <w:r w:rsidRPr="00B84B0C">
        <w:rPr>
          <w:rFonts w:eastAsia="Times New Roman" w:cs="Arial"/>
          <w:spacing w:val="-2"/>
          <w:szCs w:val="18"/>
          <w:lang w:val="en" w:eastAsia="pt-BR"/>
        </w:rPr>
        <w:t xml:space="preserve"> applied accounting policies consistently to all periods presented in these financial statements.</w:t>
      </w:r>
    </w:p>
    <w:p w14:paraId="539A7F75" w14:textId="77777777" w:rsidR="00720F68" w:rsidRPr="00B84B0C" w:rsidRDefault="00720F68" w:rsidP="00720F68">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The accounting policies used in the preparation of these financial statements are equivalent to those applied to the annual financial statements for the period ended on December 31, 2019.</w:t>
      </w:r>
    </w:p>
    <w:p w14:paraId="69187D79"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a) Revenue and Expense Recognition</w:t>
      </w:r>
    </w:p>
    <w:p w14:paraId="6B928038" w14:textId="77777777" w:rsidR="00720F68" w:rsidRPr="00B84B0C" w:rsidRDefault="00720F68" w:rsidP="00720F68">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Income and expenses are recognized on an accrual basis and are reported in the financial statements of the periods to which they refer. Revenues are increases in assets, or decreases in liabilities, that result in increases in shareholders' equity, except for those referring to contributions from holders of rights over equity.</w:t>
      </w:r>
    </w:p>
    <w:p w14:paraId="6E4DC872"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This concept is applied to the main forms of revenue originated from the activities of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and its subsidiary companies, as follows:</w:t>
      </w:r>
    </w:p>
    <w:p w14:paraId="390FB107"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a.1) Revenue from investments of corporate interests –</w:t>
      </w:r>
      <w:r w:rsidRPr="00B84B0C">
        <w:rPr>
          <w:rFonts w:eastAsia="Times New Roman" w:cs="Arial"/>
          <w:spacing w:val="-2"/>
          <w:szCs w:val="18"/>
          <w:lang w:val="en-US" w:eastAsia="pt-BR"/>
        </w:rPr>
        <w:t xml:space="preserve"> Income from the equity accounting method for evaluation of the investments in corporate interests are incorporated according to the investment interest of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in the results originated from the companies in which it was invested, according to CPC 18 (R2) – Investment in Controlled Companies and Affiliated and Joint Ventures.</w:t>
      </w:r>
    </w:p>
    <w:p w14:paraId="2A073DE0"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a.2) Commission Revenue –</w:t>
      </w:r>
      <w:r w:rsidRPr="00B84B0C">
        <w:rPr>
          <w:rFonts w:eastAsia="Times New Roman" w:cs="Arial"/>
          <w:spacing w:val="-2"/>
          <w:szCs w:val="18"/>
          <w:lang w:val="en-US" w:eastAsia="pt-BR"/>
        </w:rPr>
        <w:t xml:space="preserve"> The income originated from commissions are incorporated when its amount and the related costs and process of conclusion of the operation can be measured in reliable manner and when its related economic benefits are likely to be made, according to CPC 47 – Client Agreement Revenue.</w:t>
      </w:r>
    </w:p>
    <w:p w14:paraId="72DD762A"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In order to assess its revenue,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uses a five-stage model concept to determine when to incorporate a type of revenue: </w:t>
      </w:r>
      <w:proofErr w:type="spellStart"/>
      <w:r w:rsidRPr="00B84B0C">
        <w:rPr>
          <w:rFonts w:eastAsia="Times New Roman" w:cs="Arial"/>
          <w:spacing w:val="-2"/>
          <w:szCs w:val="18"/>
          <w:lang w:val="en-US" w:eastAsia="pt-BR"/>
        </w:rPr>
        <w:t>i</w:t>
      </w:r>
      <w:proofErr w:type="spellEnd"/>
      <w:r w:rsidRPr="00B84B0C">
        <w:rPr>
          <w:rFonts w:eastAsia="Times New Roman" w:cs="Arial"/>
          <w:spacing w:val="-2"/>
          <w:szCs w:val="18"/>
          <w:lang w:val="en-US" w:eastAsia="pt-BR"/>
        </w:rPr>
        <w:t xml:space="preserve">) identification of the agreement; ii) identification of the performance obligations; iii) evaluation of the price of the operation; iv) measurement of the operation price and v) revenue </w:t>
      </w:r>
      <w:proofErr w:type="gramStart"/>
      <w:r w:rsidRPr="00B84B0C">
        <w:rPr>
          <w:rFonts w:eastAsia="Times New Roman" w:cs="Arial"/>
          <w:spacing w:val="-2"/>
          <w:szCs w:val="18"/>
          <w:lang w:val="en-US" w:eastAsia="pt-BR"/>
        </w:rPr>
        <w:t>assessment</w:t>
      </w:r>
      <w:proofErr w:type="gramEnd"/>
    </w:p>
    <w:p w14:paraId="350B2783"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The commission revenue </w:t>
      </w:r>
      <w:proofErr w:type="gramStart"/>
      <w:r w:rsidRPr="00B84B0C">
        <w:rPr>
          <w:rFonts w:eastAsia="Times New Roman" w:cs="Arial"/>
          <w:spacing w:val="-2"/>
          <w:szCs w:val="18"/>
          <w:lang w:val="en-US" w:eastAsia="pt-BR"/>
        </w:rPr>
        <w:t>are</w:t>
      </w:r>
      <w:proofErr w:type="gramEnd"/>
      <w:r w:rsidRPr="00B84B0C">
        <w:rPr>
          <w:rFonts w:eastAsia="Times New Roman" w:cs="Arial"/>
          <w:spacing w:val="-2"/>
          <w:szCs w:val="18"/>
          <w:lang w:val="en-US" w:eastAsia="pt-BR"/>
        </w:rPr>
        <w:t xml:space="preserve"> incorporated when the Company meets (or as the Company meets) its performance obligation when transferring goods and services (in other words, assets) agreed with the client. The commission income comes from the segments of people insurance, basic lines, vehicles, pension plans, </w:t>
      </w:r>
      <w:proofErr w:type="gramStart"/>
      <w:r w:rsidRPr="00B84B0C">
        <w:rPr>
          <w:rFonts w:eastAsia="Times New Roman" w:cs="Arial"/>
          <w:spacing w:val="-2"/>
          <w:szCs w:val="18"/>
          <w:lang w:val="en-US" w:eastAsia="pt-BR"/>
        </w:rPr>
        <w:t>capitalization</w:t>
      </w:r>
      <w:proofErr w:type="gramEnd"/>
      <w:r w:rsidRPr="00B84B0C">
        <w:rPr>
          <w:rFonts w:eastAsia="Times New Roman" w:cs="Arial"/>
          <w:spacing w:val="-2"/>
          <w:szCs w:val="18"/>
          <w:lang w:val="en-US" w:eastAsia="pt-BR"/>
        </w:rPr>
        <w:t xml:space="preserve"> and health insurance. These revenues are recognized over time (products with definite validity), where the performance obligation is diluted </w:t>
      </w:r>
      <w:proofErr w:type="spellStart"/>
      <w:r w:rsidRPr="00B84B0C">
        <w:rPr>
          <w:rFonts w:eastAsia="Times New Roman" w:cs="Arial"/>
          <w:spacing w:val="-2"/>
          <w:szCs w:val="18"/>
          <w:lang w:val="en-US" w:eastAsia="pt-BR"/>
        </w:rPr>
        <w:t>linearlu</w:t>
      </w:r>
      <w:proofErr w:type="spellEnd"/>
      <w:r w:rsidRPr="00B84B0C">
        <w:rPr>
          <w:rFonts w:eastAsia="Times New Roman" w:cs="Arial"/>
          <w:spacing w:val="-2"/>
          <w:szCs w:val="18"/>
          <w:lang w:val="en-US" w:eastAsia="pt-BR"/>
        </w:rPr>
        <w:t xml:space="preserve"> over the lifetime of the product / insurance, or at a specific time (monthly products), where the performance obligation occurs </w:t>
      </w:r>
      <w:proofErr w:type="gramStart"/>
      <w:r w:rsidRPr="00B84B0C">
        <w:rPr>
          <w:rFonts w:eastAsia="Times New Roman" w:cs="Arial"/>
          <w:spacing w:val="-2"/>
          <w:szCs w:val="18"/>
          <w:lang w:val="en-US" w:eastAsia="pt-BR"/>
        </w:rPr>
        <w:t>monthly ,</w:t>
      </w:r>
      <w:proofErr w:type="gramEnd"/>
      <w:r w:rsidRPr="00B84B0C">
        <w:rPr>
          <w:rFonts w:eastAsia="Times New Roman" w:cs="Arial"/>
          <w:spacing w:val="-2"/>
          <w:szCs w:val="18"/>
          <w:lang w:val="en-US" w:eastAsia="pt-BR"/>
        </w:rPr>
        <w:t xml:space="preserve"> according to the characteristics of the products.</w:t>
      </w:r>
    </w:p>
    <w:p w14:paraId="07F7A8FB"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In cases of return of premium to the insured, the broker returns to the insurer the commission received in proportion to the amount returned or not received by the insurer in function of the remaining period of the policy.</w:t>
      </w:r>
    </w:p>
    <w:p w14:paraId="431A573C"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For </w:t>
      </w:r>
      <w:proofErr w:type="gramStart"/>
      <w:r w:rsidRPr="00B84B0C">
        <w:rPr>
          <w:rFonts w:eastAsia="Times New Roman" w:cs="Arial"/>
          <w:spacing w:val="-2"/>
          <w:szCs w:val="18"/>
          <w:lang w:val="en-US" w:eastAsia="pt-BR"/>
        </w:rPr>
        <w:t>insurance</w:t>
      </w:r>
      <w:proofErr w:type="gramEnd"/>
      <w:r w:rsidRPr="00B84B0C">
        <w:rPr>
          <w:rFonts w:eastAsia="Times New Roman" w:cs="Arial"/>
          <w:spacing w:val="-2"/>
          <w:szCs w:val="18"/>
          <w:lang w:val="en-US" w:eastAsia="pt-BR"/>
        </w:rPr>
        <w:t xml:space="preserve"> whose expiry is not objectively defined (monthly insurance), the monthly payment of the payments is decisive for the continuity of the policies, and, in general, there are no refund of commissions.</w:t>
      </w:r>
    </w:p>
    <w:p w14:paraId="64917F86"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a.3) Financial income and expenses –</w:t>
      </w:r>
      <w:r w:rsidRPr="00B84B0C">
        <w:rPr>
          <w:rFonts w:eastAsia="Times New Roman" w:cs="Arial"/>
          <w:b/>
          <w:spacing w:val="-2"/>
          <w:szCs w:val="18"/>
          <w:lang w:val="en-US" w:eastAsia="pt-BR"/>
        </w:rPr>
        <w:t xml:space="preserve"> </w:t>
      </w:r>
      <w:r w:rsidRPr="00B84B0C">
        <w:rPr>
          <w:rFonts w:eastAsia="Times New Roman" w:cs="Arial"/>
          <w:spacing w:val="-2"/>
          <w:szCs w:val="18"/>
          <w:lang w:val="en-US" w:eastAsia="pt-BR"/>
        </w:rPr>
        <w:t>Income and expenses from financial instruments originated from assets and liabilities that generate and pay interest are incorporated, as well as the amounts related to the fair value adjustment, in the revenue for that fiscal year on the accrual basis, using the effective interest rate method, according to CPC 48 - Financial Instruments.</w:t>
      </w:r>
    </w:p>
    <w:p w14:paraId="3CD612A5"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lastRenderedPageBreak/>
        <w:t>In the case of instruments measured at fair value through profit or loss (in accordance with item c.3 below), the fair value is determined as described in item c.4.</w:t>
      </w:r>
    </w:p>
    <w:p w14:paraId="7B960B0C"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b) Cash and cash equivalents</w:t>
      </w:r>
    </w:p>
    <w:p w14:paraId="4632B3A9"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Cash and cash equivalents are represented by cash equivalents in local currency, short-term fund investments, investments of sales and purchase agreements with high net value and insignificant risk of change in value, with a maturity of 90 days or less.</w:t>
      </w:r>
    </w:p>
    <w:p w14:paraId="22232E3E"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 xml:space="preserve">c) </w:t>
      </w:r>
      <w:proofErr w:type="gramStart"/>
      <w:r w:rsidRPr="00B84B0C">
        <w:rPr>
          <w:rFonts w:eastAsia="Times New Roman" w:cs="Arial"/>
          <w:b/>
          <w:color w:val="244061"/>
          <w:spacing w:val="-2"/>
          <w:szCs w:val="18"/>
          <w:lang w:val="en-US" w:eastAsia="pt-BR"/>
        </w:rPr>
        <w:t>Financial</w:t>
      </w:r>
      <w:proofErr w:type="gramEnd"/>
      <w:r w:rsidRPr="00B84B0C">
        <w:rPr>
          <w:rFonts w:eastAsia="Times New Roman" w:cs="Arial"/>
          <w:b/>
          <w:color w:val="244061"/>
          <w:spacing w:val="-2"/>
          <w:szCs w:val="18"/>
          <w:lang w:val="en-US" w:eastAsia="pt-BR"/>
        </w:rPr>
        <w:t xml:space="preserve"> instruments</w:t>
      </w:r>
    </w:p>
    <w:p w14:paraId="3AB1BDD1"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The financial instruments are classified according to the business model and the contractual characteristics of the cash flows of the instruments according to CPC 48 - Financial </w:t>
      </w:r>
      <w:proofErr w:type="gramStart"/>
      <w:r w:rsidRPr="00B84B0C">
        <w:rPr>
          <w:rFonts w:eastAsia="Times New Roman" w:cs="Arial"/>
          <w:spacing w:val="-2"/>
          <w:szCs w:val="18"/>
          <w:lang w:val="en-US" w:eastAsia="pt-BR"/>
        </w:rPr>
        <w:t>Instruments .</w:t>
      </w:r>
      <w:proofErr w:type="gramEnd"/>
    </w:p>
    <w:p w14:paraId="4FCBC4BB"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Financial assets and liabilities are initially incorporated on the trade date, i.e., the date on which the Group becomes a party to the provisions of the instrument. The classification of the financial assets and liabilities is determined on the date of initial recognition. </w:t>
      </w:r>
    </w:p>
    <w:p w14:paraId="5747108D"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Financial instruments are initially measured at fair value plus the transaction cost, except when financial assets and liabilities are recorded at fair value through profit or loss. </w:t>
      </w:r>
    </w:p>
    <w:p w14:paraId="5C52CA29"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Financial assets and liabilities can be classified into one of the categories: </w:t>
      </w:r>
      <w:proofErr w:type="spellStart"/>
      <w:r w:rsidRPr="00B84B0C">
        <w:rPr>
          <w:rFonts w:eastAsia="Times New Roman" w:cs="Arial"/>
          <w:spacing w:val="-2"/>
          <w:szCs w:val="18"/>
          <w:lang w:val="en-US" w:eastAsia="pt-BR"/>
        </w:rPr>
        <w:t>i</w:t>
      </w:r>
      <w:proofErr w:type="spellEnd"/>
      <w:r w:rsidRPr="00B84B0C">
        <w:rPr>
          <w:rFonts w:eastAsia="Times New Roman" w:cs="Arial"/>
          <w:spacing w:val="-2"/>
          <w:szCs w:val="18"/>
          <w:lang w:val="en-US" w:eastAsia="pt-BR"/>
        </w:rPr>
        <w:t xml:space="preserve">) financial instrument measured at fair value through profit or loss, ii) financial instrument measured at amortized cost </w:t>
      </w:r>
      <w:proofErr w:type="gramStart"/>
      <w:r w:rsidRPr="00B84B0C">
        <w:rPr>
          <w:rFonts w:eastAsia="Times New Roman" w:cs="Arial"/>
          <w:spacing w:val="-2"/>
          <w:szCs w:val="18"/>
          <w:lang w:val="en-US" w:eastAsia="pt-BR"/>
        </w:rPr>
        <w:t>and;</w:t>
      </w:r>
      <w:proofErr w:type="gramEnd"/>
      <w:r w:rsidRPr="00B84B0C">
        <w:rPr>
          <w:rFonts w:eastAsia="Times New Roman" w:cs="Arial"/>
          <w:spacing w:val="-2"/>
          <w:szCs w:val="18"/>
          <w:lang w:val="en-US" w:eastAsia="pt-BR"/>
        </w:rPr>
        <w:t xml:space="preserve"> iii) financial instrument measured at fair value through other comprehensive income. </w:t>
      </w:r>
    </w:p>
    <w:p w14:paraId="6F227809"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The main financial instruments of the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and its subsidiaries are securities mainly held by Banco do </w:t>
      </w:r>
      <w:proofErr w:type="spellStart"/>
      <w:r w:rsidRPr="00B84B0C">
        <w:rPr>
          <w:rFonts w:eastAsia="Times New Roman" w:cs="Arial"/>
          <w:spacing w:val="-2"/>
          <w:szCs w:val="18"/>
          <w:lang w:val="en-US" w:eastAsia="pt-BR"/>
        </w:rPr>
        <w:t>Brasil</w:t>
      </w:r>
      <w:proofErr w:type="spellEnd"/>
      <w:r w:rsidRPr="00B84B0C">
        <w:rPr>
          <w:rFonts w:eastAsia="Times New Roman" w:cs="Arial"/>
          <w:spacing w:val="-2"/>
          <w:szCs w:val="18"/>
          <w:lang w:val="en-US" w:eastAsia="pt-BR"/>
        </w:rPr>
        <w:t xml:space="preserve"> (short- and long-term investment funds, financial bills and sales and purchase agreements). </w:t>
      </w:r>
      <w:r w:rsidRPr="00B84B0C">
        <w:rPr>
          <w:rFonts w:eastAsia="Times New Roman" w:cs="Arial"/>
          <w:spacing w:val="-2"/>
          <w:szCs w:val="18"/>
          <w:lang w:val="en" w:eastAsia="pt-BR"/>
        </w:rPr>
        <w:t xml:space="preserve">In the reporting exercise, BB </w:t>
      </w:r>
      <w:proofErr w:type="spellStart"/>
      <w:r w:rsidRPr="00B84B0C">
        <w:rPr>
          <w:rFonts w:eastAsia="Times New Roman" w:cs="Arial"/>
          <w:spacing w:val="-2"/>
          <w:szCs w:val="18"/>
          <w:lang w:val="en" w:eastAsia="pt-BR"/>
        </w:rPr>
        <w:t>Seguridade</w:t>
      </w:r>
      <w:proofErr w:type="spellEnd"/>
      <w:r w:rsidRPr="00B84B0C">
        <w:rPr>
          <w:rFonts w:eastAsia="Times New Roman" w:cs="Arial"/>
          <w:spacing w:val="-2"/>
          <w:szCs w:val="18"/>
          <w:lang w:val="en" w:eastAsia="pt-BR"/>
        </w:rPr>
        <w:t xml:space="preserve"> did not use derivative financial instruments.</w:t>
      </w:r>
    </w:p>
    <w:p w14:paraId="1863D5C0"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The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through BB </w:t>
      </w:r>
      <w:proofErr w:type="spellStart"/>
      <w:proofErr w:type="gramStart"/>
      <w:r w:rsidRPr="00B84B0C">
        <w:rPr>
          <w:rFonts w:eastAsia="Times New Roman" w:cs="Arial"/>
          <w:spacing w:val="-2"/>
          <w:szCs w:val="18"/>
          <w:lang w:val="en-US" w:eastAsia="pt-BR"/>
        </w:rPr>
        <w:t>Seguros,holds</w:t>
      </w:r>
      <w:proofErr w:type="spellEnd"/>
      <w:proofErr w:type="gramEnd"/>
      <w:r w:rsidRPr="00B84B0C">
        <w:rPr>
          <w:rFonts w:eastAsia="Times New Roman" w:cs="Arial"/>
          <w:spacing w:val="-2"/>
          <w:szCs w:val="18"/>
          <w:lang w:val="en-US" w:eastAsia="pt-BR"/>
        </w:rPr>
        <w:t xml:space="preserve"> interests in insurance companies, for which CPC 48 is not applied. When there is a divergence in accounting practice in investments in equity investments, it is necessary to adjust the accounting practices for standardization. However, the CPC Technical Pronouncements Review no. 12/2017 allowed, subject to an exemption for insurers, that the entity apply the CPC without need for standardization in relation to the affiliated companies (until January 1, 2022).</w:t>
      </w:r>
    </w:p>
    <w:p w14:paraId="490BF08E"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c.1) Amortized Cost -</w:t>
      </w:r>
      <w:r w:rsidRPr="00B84B0C">
        <w:rPr>
          <w:rFonts w:eastAsia="Times New Roman" w:cs="Arial"/>
          <w:spacing w:val="-2"/>
          <w:szCs w:val="18"/>
          <w:lang w:val="en-US" w:eastAsia="pt-BR"/>
        </w:rPr>
        <w:t xml:space="preserve"> These are financial assets held by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w:t>
      </w:r>
      <w:proofErr w:type="spellStart"/>
      <w:r w:rsidRPr="00B84B0C">
        <w:rPr>
          <w:rFonts w:eastAsia="Times New Roman" w:cs="Arial"/>
          <w:spacing w:val="-2"/>
          <w:szCs w:val="18"/>
          <w:lang w:val="en-US" w:eastAsia="pt-BR"/>
        </w:rPr>
        <w:t>i</w:t>
      </w:r>
      <w:proofErr w:type="spellEnd"/>
      <w:r w:rsidRPr="00B84B0C">
        <w:rPr>
          <w:rFonts w:eastAsia="Times New Roman" w:cs="Arial"/>
          <w:spacing w:val="-2"/>
          <w:szCs w:val="18"/>
          <w:lang w:val="en-US" w:eastAsia="pt-BR"/>
        </w:rPr>
        <w:t xml:space="preserve">) for the purpose of receiving their agreed cash flow rather than for sale with profit or loss and (ii) whose </w:t>
      </w:r>
      <w:proofErr w:type="gramStart"/>
      <w:r w:rsidRPr="00B84B0C">
        <w:rPr>
          <w:rFonts w:eastAsia="Times New Roman" w:cs="Arial"/>
          <w:spacing w:val="-2"/>
          <w:szCs w:val="18"/>
          <w:lang w:val="en-US" w:eastAsia="pt-BR"/>
        </w:rPr>
        <w:t>terms</w:t>
      </w:r>
      <w:proofErr w:type="gramEnd"/>
      <w:r w:rsidRPr="00B84B0C">
        <w:rPr>
          <w:rFonts w:eastAsia="Times New Roman" w:cs="Arial"/>
          <w:spacing w:val="-2"/>
          <w:szCs w:val="18"/>
          <w:lang w:val="en-US" w:eastAsia="pt-BR"/>
        </w:rPr>
        <w:t xml:space="preserve"> of the agreement generates cash flows at specified dates exclusively for primary payments and interest payments on the primary amount outstanding.</w:t>
      </w:r>
    </w:p>
    <w:p w14:paraId="6A184E33"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Short-term financial instruments are recognized as financial assets measured at amortized cost. Changes in these assets are recognized in income for the period in financial income or expense, depending on the result obtained.</w:t>
      </w:r>
    </w:p>
    <w:p w14:paraId="417CF9D5"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 xml:space="preserve">c.2) Fair value through other comprehensive income - VJORA - </w:t>
      </w:r>
      <w:r w:rsidRPr="00B84B0C">
        <w:rPr>
          <w:rFonts w:eastAsia="Times New Roman" w:cs="Arial"/>
          <w:spacing w:val="-2"/>
          <w:szCs w:val="18"/>
          <w:lang w:val="en-US" w:eastAsia="pt-BR"/>
        </w:rPr>
        <w:t>Thes</w:t>
      </w:r>
      <w:r w:rsidRPr="00B84B0C">
        <w:rPr>
          <w:rFonts w:eastAsia="Times New Roman" w:cs="Arial"/>
          <w:b/>
          <w:color w:val="244061"/>
          <w:spacing w:val="-2"/>
          <w:szCs w:val="18"/>
          <w:lang w:val="en-US" w:eastAsia="pt-BR"/>
        </w:rPr>
        <w:t>e</w:t>
      </w:r>
      <w:r w:rsidRPr="00B84B0C">
        <w:rPr>
          <w:rFonts w:eastAsia="Times New Roman" w:cs="Arial"/>
          <w:spacing w:val="-2"/>
          <w:szCs w:val="18"/>
          <w:lang w:val="en-US" w:eastAsia="pt-BR"/>
        </w:rPr>
        <w:t xml:space="preserve"> are financial assets held by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w:t>
      </w:r>
      <w:proofErr w:type="spellStart"/>
      <w:r w:rsidRPr="00B84B0C">
        <w:rPr>
          <w:rFonts w:eastAsia="Times New Roman" w:cs="Arial"/>
          <w:spacing w:val="-2"/>
          <w:szCs w:val="18"/>
          <w:lang w:val="en-US" w:eastAsia="pt-BR"/>
        </w:rPr>
        <w:t>i</w:t>
      </w:r>
      <w:proofErr w:type="spellEnd"/>
      <w:r w:rsidRPr="00B84B0C">
        <w:rPr>
          <w:rFonts w:eastAsia="Times New Roman" w:cs="Arial"/>
          <w:spacing w:val="-2"/>
          <w:szCs w:val="18"/>
          <w:lang w:val="en-US" w:eastAsia="pt-BR"/>
        </w:rPr>
        <w:t xml:space="preserve">) both for the receipt of its cash flow by agreement and for disposal with realization of profits or losses and (ii) the agreement terms of which generates cash flows at specified dates exclusively for primary payments and interest payments on the primary amount </w:t>
      </w:r>
      <w:proofErr w:type="gramStart"/>
      <w:r w:rsidRPr="00B84B0C">
        <w:rPr>
          <w:rFonts w:eastAsia="Times New Roman" w:cs="Arial"/>
          <w:spacing w:val="-2"/>
          <w:szCs w:val="18"/>
          <w:lang w:val="en-US" w:eastAsia="pt-BR"/>
        </w:rPr>
        <w:t>outstanding</w:t>
      </w:r>
      <w:proofErr w:type="gramEnd"/>
      <w:r w:rsidRPr="00B84B0C">
        <w:rPr>
          <w:rFonts w:eastAsia="Times New Roman" w:cs="Arial"/>
          <w:spacing w:val="-2"/>
          <w:szCs w:val="18"/>
          <w:lang w:val="en-US" w:eastAsia="pt-BR"/>
        </w:rPr>
        <w:t xml:space="preserve"> </w:t>
      </w:r>
    </w:p>
    <w:p w14:paraId="72892B28"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currently does not have financial assets classified in this category.</w:t>
      </w:r>
    </w:p>
    <w:p w14:paraId="13498203"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c.3) Fair value through profit or loss (VJR) -</w:t>
      </w:r>
      <w:r w:rsidRPr="00B84B0C">
        <w:rPr>
          <w:rFonts w:eastAsia="Times New Roman" w:cs="Arial"/>
          <w:spacing w:val="-2"/>
          <w:szCs w:val="18"/>
          <w:lang w:val="en-US" w:eastAsia="pt-BR"/>
        </w:rPr>
        <w:t xml:space="preserve"> Financial assets that are not measured at amortized cost or at fair value through other comprehensive income are classified in this category.</w:t>
      </w:r>
    </w:p>
    <w:p w14:paraId="060D76E6"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funds and repurchase agreements are recognized as financial assets at fair value through profit or loss.</w:t>
      </w:r>
    </w:p>
    <w:p w14:paraId="4D9705CF"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c.4) Determination of fair value -</w:t>
      </w:r>
      <w:r w:rsidRPr="00B84B0C">
        <w:rPr>
          <w:rFonts w:eastAsia="Times New Roman" w:cs="Arial"/>
          <w:spacing w:val="-2"/>
          <w:szCs w:val="18"/>
          <w:lang w:val="en-US" w:eastAsia="pt-BR"/>
        </w:rPr>
        <w:t xml:space="preserve"> Fair value is the price that would be received for the sale of an asset or would be paid by the transfer of a liability in a non-forced transaction between market participants at the measurement date.</w:t>
      </w:r>
    </w:p>
    <w:p w14:paraId="35C6AF24"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fair value of financial instruments traded in active markets on the balance sheet date is based on the quoted market price or the over-the-counter price (selling price for long positions or purchase price for long positions), without any deduction of transaction cost.</w:t>
      </w:r>
    </w:p>
    <w:p w14:paraId="2239C2DC"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In situations where there is no market price for a particular financial instrument, its fair value is estimated on the basis of valuation methods commonly used in the financial markets that are appropriate to the specific characteristics of the instrument and capture the various risks to which it is </w:t>
      </w:r>
      <w:proofErr w:type="gramStart"/>
      <w:r w:rsidRPr="00B84B0C">
        <w:rPr>
          <w:rFonts w:eastAsia="Times New Roman" w:cs="Arial"/>
          <w:spacing w:val="-2"/>
          <w:szCs w:val="18"/>
          <w:lang w:val="en-US" w:eastAsia="pt-BR"/>
        </w:rPr>
        <w:t>exposed .</w:t>
      </w:r>
      <w:proofErr w:type="gramEnd"/>
      <w:r w:rsidRPr="00B84B0C">
        <w:rPr>
          <w:rFonts w:eastAsia="Times New Roman" w:cs="Arial"/>
          <w:spacing w:val="-2"/>
          <w:szCs w:val="18"/>
          <w:lang w:val="en-US" w:eastAsia="pt-BR"/>
        </w:rPr>
        <w:t xml:space="preserve"> The valuation methods include: the discounted cash flow method, comparison to similar financial instruments for which there is a market with observable prices, option pricing model, credit models and other known valuation models.</w:t>
      </w:r>
    </w:p>
    <w:p w14:paraId="1CF5300A"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internal pricing models may involve some level of estimation and judgment by the Administration whose intensity will depend, among other factors, on the complexity of the financial instrument.</w:t>
      </w:r>
    </w:p>
    <w:p w14:paraId="0540B95E"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c.5) Financial liabilities -</w:t>
      </w:r>
      <w:r w:rsidRPr="00B84B0C">
        <w:rPr>
          <w:rFonts w:eastAsia="Times New Roman" w:cs="Arial"/>
          <w:spacing w:val="-2"/>
          <w:szCs w:val="18"/>
          <w:lang w:val="en-US" w:eastAsia="pt-BR"/>
        </w:rPr>
        <w:t xml:space="preserve"> An instrument is classified as a financial liability when there is a contractual obligation that its settlement is made through the delivery of money or other financial asset, regardless of its legal form.  Financial liabilities include short-term and long-term debt that are initially measured at fair value, which is the amount received net of costs incurred in the transaction and subsequently at amortized cost. </w:t>
      </w:r>
    </w:p>
    <w:p w14:paraId="1F13F470" w14:textId="77777777" w:rsidR="00720F68" w:rsidRPr="00B84B0C" w:rsidRDefault="00720F68" w:rsidP="00711D9A">
      <w:pPr>
        <w:keepNext/>
        <w:keepLines/>
        <w:pageBreakBefore/>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lastRenderedPageBreak/>
        <w:t>d) Write-off of Financial Assets and Financial Liabilities</w:t>
      </w:r>
    </w:p>
    <w:p w14:paraId="5B952362"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d.1) Financial assets</w:t>
      </w:r>
      <w:r w:rsidRPr="00B84B0C">
        <w:rPr>
          <w:rFonts w:eastAsia="Times New Roman" w:cs="Arial"/>
          <w:spacing w:val="-2"/>
          <w:szCs w:val="18"/>
          <w:lang w:val="en-US" w:eastAsia="pt-BR"/>
        </w:rPr>
        <w:t xml:space="preserve"> - A financial asset is written off when: (</w:t>
      </w:r>
      <w:proofErr w:type="spellStart"/>
      <w:r w:rsidRPr="00B84B0C">
        <w:rPr>
          <w:rFonts w:eastAsia="Times New Roman" w:cs="Arial"/>
          <w:spacing w:val="-2"/>
          <w:szCs w:val="18"/>
          <w:lang w:val="en-US" w:eastAsia="pt-BR"/>
        </w:rPr>
        <w:t>i</w:t>
      </w:r>
      <w:proofErr w:type="spellEnd"/>
      <w:r w:rsidRPr="00B84B0C">
        <w:rPr>
          <w:rFonts w:eastAsia="Times New Roman" w:cs="Arial"/>
          <w:spacing w:val="-2"/>
          <w:szCs w:val="18"/>
          <w:lang w:val="en-US" w:eastAsia="pt-BR"/>
        </w:rPr>
        <w:t>) the contractual rights related to the respective cash flows expire; (ii) transfers most of the risks and benefits associated with the asset to third parties; or (iii) when control over the asset is transferred, even having withheld part of the risks and benefits associated with its detention.</w:t>
      </w:r>
    </w:p>
    <w:p w14:paraId="037B575F"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rights and obligations retained in the transfer are incorporated separately as assets and as liabilities, when appropriate. If the control over the asset is retained, the Group continues to incorporate it in the extent of its continuing involvement, which is determined by the extent to which it remains exposed to changes in the value of the transferred asset.</w:t>
      </w:r>
    </w:p>
    <w:p w14:paraId="2DD39926"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d.2) Financial liabilities</w:t>
      </w:r>
      <w:r w:rsidRPr="00B84B0C">
        <w:rPr>
          <w:rFonts w:eastAsia="Times New Roman" w:cs="Arial"/>
          <w:spacing w:val="-2"/>
          <w:szCs w:val="18"/>
          <w:lang w:val="en-US" w:eastAsia="pt-BR"/>
        </w:rPr>
        <w:t xml:space="preserve"> - A financial liability is written off when its obligation is eliminated, </w:t>
      </w:r>
      <w:proofErr w:type="gramStart"/>
      <w:r w:rsidRPr="00B84B0C">
        <w:rPr>
          <w:rFonts w:eastAsia="Times New Roman" w:cs="Arial"/>
          <w:spacing w:val="-2"/>
          <w:szCs w:val="18"/>
          <w:lang w:val="en-US" w:eastAsia="pt-BR"/>
        </w:rPr>
        <w:t>canceled</w:t>
      </w:r>
      <w:proofErr w:type="gramEnd"/>
      <w:r w:rsidRPr="00B84B0C">
        <w:rPr>
          <w:rFonts w:eastAsia="Times New Roman" w:cs="Arial"/>
          <w:spacing w:val="-2"/>
          <w:szCs w:val="18"/>
          <w:lang w:val="en-US" w:eastAsia="pt-BR"/>
        </w:rPr>
        <w:t xml:space="preserve"> or prescribed. If an existing financial liability is replaced by another of the same creditor in substantially different terms, or the terms of the existing liability are substantially modified, such modification is treated as a write-off of the original liability and recognition of a new liability, and the difference between the accounting values is recognized in profit or loss.</w:t>
      </w:r>
    </w:p>
    <w:p w14:paraId="29A72524"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e) Reduction in the recoverable value of financial assets - Impairment</w:t>
      </w:r>
    </w:p>
    <w:p w14:paraId="0C48A3DB"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For impairment of financial assets (impairment), CPC </w:t>
      </w:r>
      <w:proofErr w:type="gramStart"/>
      <w:r w:rsidRPr="00B84B0C">
        <w:rPr>
          <w:rFonts w:eastAsia="Times New Roman" w:cs="Arial"/>
          <w:spacing w:val="-2"/>
          <w:szCs w:val="18"/>
          <w:lang w:val="en-US" w:eastAsia="pt-BR"/>
        </w:rPr>
        <w:t>48  -</w:t>
      </w:r>
      <w:proofErr w:type="gramEnd"/>
      <w:r w:rsidRPr="00B84B0C">
        <w:rPr>
          <w:rFonts w:eastAsia="Times New Roman" w:cs="Arial"/>
          <w:spacing w:val="-2"/>
          <w:szCs w:val="18"/>
          <w:lang w:val="en-US" w:eastAsia="pt-BR"/>
        </w:rPr>
        <w:t xml:space="preserve"> Financial Instruments, considers the expected credit losses, which are a weighted estimate of the probability of credit losses (that is, the present value of all cash deficits) over the expected life of the financial instrument. </w:t>
      </w:r>
    </w:p>
    <w:p w14:paraId="59C2D0DD"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cash deficit is the difference between the cash flows due to the entity under the contract and the cash flows that the entity expects to receive. As the expected credit losses consider the value and timing of the payments, the credit loss occurs even if the entity expects to be paid in full, but after the due date stipulated by the contract.</w:t>
      </w:r>
    </w:p>
    <w:p w14:paraId="21D392FE"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For the impairment of commissions receivable, the simplified approach allowed by CPC 48 was used for commercial receivables in which the recognition of expected credit losses follows the model for the entire life of the instrument.</w:t>
      </w:r>
    </w:p>
    <w:p w14:paraId="4CBAD28B"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Annually or </w:t>
      </w:r>
      <w:proofErr w:type="gramStart"/>
      <w:r w:rsidRPr="00B84B0C">
        <w:rPr>
          <w:rFonts w:eastAsia="Times New Roman" w:cs="Arial"/>
          <w:spacing w:val="-2"/>
          <w:szCs w:val="18"/>
          <w:lang w:val="en-US" w:eastAsia="pt-BR"/>
        </w:rPr>
        <w:t>whenever</w:t>
      </w:r>
      <w:proofErr w:type="gramEnd"/>
      <w:r w:rsidRPr="00B84B0C">
        <w:rPr>
          <w:rFonts w:eastAsia="Times New Roman" w:cs="Arial"/>
          <w:spacing w:val="-2"/>
          <w:szCs w:val="18"/>
          <w:lang w:val="en-US" w:eastAsia="pt-BR"/>
        </w:rPr>
        <w:t xml:space="preserve"> there is an indication that the financial asset may be devalued,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is assessed if there is any objective evidence of impairment of its financial assets, in accordance with CPC 48 - Financial Instruments.</w:t>
      </w:r>
    </w:p>
    <w:p w14:paraId="362C0825"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Due to the impacts caused by Covid-19, an impairment test was carried out for financial instruments. There were no losses due to the devaluation of BB </w:t>
      </w:r>
      <w:proofErr w:type="spellStart"/>
      <w:r w:rsidRPr="00B84B0C">
        <w:rPr>
          <w:rFonts w:eastAsia="Times New Roman" w:cs="Arial"/>
          <w:spacing w:val="-2"/>
          <w:szCs w:val="18"/>
          <w:lang w:val="en-US" w:eastAsia="pt-BR"/>
        </w:rPr>
        <w:t>Seguridade's</w:t>
      </w:r>
      <w:proofErr w:type="spellEnd"/>
      <w:r w:rsidRPr="00B84B0C">
        <w:rPr>
          <w:rFonts w:eastAsia="Times New Roman" w:cs="Arial"/>
          <w:spacing w:val="-2"/>
          <w:szCs w:val="18"/>
          <w:lang w:val="en-US" w:eastAsia="pt-BR"/>
        </w:rPr>
        <w:t xml:space="preserve"> financial assets.</w:t>
      </w:r>
    </w:p>
    <w:p w14:paraId="524151A0"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f) Change of Corporate Interest in Subsidiaries</w:t>
      </w:r>
    </w:p>
    <w:p w14:paraId="2EE54D54"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Changes in corporate interest in a subsidiary that do not result in loss of control are accounted for as equity transactions (</w:t>
      </w:r>
      <w:proofErr w:type="spellStart"/>
      <w:r w:rsidRPr="00B84B0C">
        <w:rPr>
          <w:rFonts w:eastAsia="Times New Roman" w:cs="Arial"/>
          <w:spacing w:val="-2"/>
          <w:szCs w:val="18"/>
          <w:lang w:val="en-US" w:eastAsia="pt-BR"/>
        </w:rPr>
        <w:t>ie</w:t>
      </w:r>
      <w:proofErr w:type="spellEnd"/>
      <w:r w:rsidRPr="00B84B0C">
        <w:rPr>
          <w:rFonts w:eastAsia="Times New Roman" w:cs="Arial"/>
          <w:spacing w:val="-2"/>
          <w:szCs w:val="18"/>
          <w:lang w:val="en-US" w:eastAsia="pt-BR"/>
        </w:rPr>
        <w:t xml:space="preserve">, transactions with owners in the capacity of owners). Consequently, no premium is recognized </w:t>
      </w:r>
      <w:proofErr w:type="gramStart"/>
      <w:r w:rsidRPr="00B84B0C">
        <w:rPr>
          <w:rFonts w:eastAsia="Times New Roman" w:cs="Arial"/>
          <w:spacing w:val="-2"/>
          <w:szCs w:val="18"/>
          <w:lang w:val="en-US" w:eastAsia="pt-BR"/>
        </w:rPr>
        <w:t>as a result of</w:t>
      </w:r>
      <w:proofErr w:type="gramEnd"/>
      <w:r w:rsidRPr="00B84B0C">
        <w:rPr>
          <w:rFonts w:eastAsia="Times New Roman" w:cs="Arial"/>
          <w:spacing w:val="-2"/>
          <w:szCs w:val="18"/>
          <w:lang w:val="en-US" w:eastAsia="pt-BR"/>
        </w:rPr>
        <w:t xml:space="preserve"> such transactions.</w:t>
      </w:r>
    </w:p>
    <w:p w14:paraId="2DD46011"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In such circumstances, the carrying amounts of the interests of the parent and subsidiary companies will be adjusted to reflect changes in their relative interests in the subsidiary company. Any difference between the value by which the interests of subsidiary companies are adjusted and the fair value of the consideration paid or received will be recognized directly in equity and attributed to the owners of the parent company.</w:t>
      </w:r>
    </w:p>
    <w:p w14:paraId="477629C4"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g) Loss of Control</w:t>
      </w:r>
    </w:p>
    <w:p w14:paraId="1B2D29E2"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In accordance with CPC 36 (IFRS 10), in the event of loss of control of a subsidiary company,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no longer recognizes, at the date control is lost: (</w:t>
      </w:r>
      <w:proofErr w:type="spellStart"/>
      <w:r w:rsidRPr="00B84B0C">
        <w:rPr>
          <w:rFonts w:eastAsia="Times New Roman" w:cs="Arial"/>
          <w:spacing w:val="-2"/>
          <w:szCs w:val="18"/>
          <w:lang w:val="en-US" w:eastAsia="pt-BR"/>
        </w:rPr>
        <w:t>i</w:t>
      </w:r>
      <w:proofErr w:type="spellEnd"/>
      <w:r w:rsidRPr="00B84B0C">
        <w:rPr>
          <w:rFonts w:eastAsia="Times New Roman" w:cs="Arial"/>
          <w:spacing w:val="-2"/>
          <w:szCs w:val="18"/>
          <w:lang w:val="en-US" w:eastAsia="pt-BR"/>
        </w:rPr>
        <w:t xml:space="preserve">) assets, including </w:t>
      </w:r>
      <w:proofErr w:type="spellStart"/>
      <w:r w:rsidRPr="00B84B0C">
        <w:rPr>
          <w:rFonts w:eastAsia="Times New Roman" w:cs="Arial"/>
          <w:spacing w:val="-2"/>
          <w:szCs w:val="18"/>
          <w:lang w:val="en-US" w:eastAsia="pt-BR"/>
        </w:rPr>
        <w:t>premiuns</w:t>
      </w:r>
      <w:proofErr w:type="spellEnd"/>
      <w:r w:rsidRPr="00B84B0C">
        <w:rPr>
          <w:rFonts w:eastAsia="Times New Roman" w:cs="Arial"/>
          <w:spacing w:val="-2"/>
          <w:szCs w:val="18"/>
          <w:lang w:val="en-US" w:eastAsia="pt-BR"/>
        </w:rPr>
        <w:t xml:space="preserve">, and liabilities of the subsidiary company at its book value; and (ii) the carrying amount of any interests of </w:t>
      </w:r>
      <w:proofErr w:type="spellStart"/>
      <w:r w:rsidRPr="00B84B0C">
        <w:rPr>
          <w:rFonts w:eastAsia="Times New Roman" w:cs="Arial"/>
          <w:spacing w:val="-2"/>
          <w:szCs w:val="18"/>
          <w:lang w:val="en-US" w:eastAsia="pt-BR"/>
        </w:rPr>
        <w:t>subsidiries</w:t>
      </w:r>
      <w:proofErr w:type="spellEnd"/>
      <w:r w:rsidRPr="00B84B0C">
        <w:rPr>
          <w:rFonts w:eastAsia="Times New Roman" w:cs="Arial"/>
          <w:spacing w:val="-2"/>
          <w:szCs w:val="18"/>
          <w:lang w:val="en-US" w:eastAsia="pt-BR"/>
        </w:rPr>
        <w:t xml:space="preserve"> in the former subsidiary, including any components of other comprehensive income attributed to it. </w:t>
      </w:r>
    </w:p>
    <w:p w14:paraId="2EAC893C"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In addition,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recognizes at the date of loss of control: (</w:t>
      </w:r>
      <w:proofErr w:type="spellStart"/>
      <w:r w:rsidRPr="00B84B0C">
        <w:rPr>
          <w:rFonts w:eastAsia="Times New Roman" w:cs="Arial"/>
          <w:spacing w:val="-2"/>
          <w:szCs w:val="18"/>
          <w:lang w:val="en-US" w:eastAsia="pt-BR"/>
        </w:rPr>
        <w:t>i</w:t>
      </w:r>
      <w:proofErr w:type="spellEnd"/>
      <w:r w:rsidRPr="00B84B0C">
        <w:rPr>
          <w:rFonts w:eastAsia="Times New Roman" w:cs="Arial"/>
          <w:spacing w:val="-2"/>
          <w:szCs w:val="18"/>
          <w:lang w:val="en-US" w:eastAsia="pt-BR"/>
        </w:rPr>
        <w:t>) the fair value of the consideration received, if any, originated from the transaction, event or circumstances that resulted in the loss of control; (ii) the distribution of shares of the subsidiary to the owners, if the transaction that resulted in the loss of control involves a distribution of shares; (iii) any investment retained in the former subsidiary at its fair value; and (iv) any resulting difference as a gain or loss in profit or loss attributable to the parent.</w:t>
      </w:r>
    </w:p>
    <w:p w14:paraId="2C199D3D"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h) Goodwill and Other Intangible Assets</w:t>
      </w:r>
    </w:p>
    <w:p w14:paraId="6DB1E9DA"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goodwill generated on the acquisition of investments of corporate interests is accounted considering the fair value of the identifiable assets and the assumed liabilities of the acquiring company on the acquisition date and, in accordance with the applicable standards, is not amortized. However, it is tested, at least annually, for impairment purposes. After initial recognition, goodwill is measured at cost less any accumulated impairment losses.</w:t>
      </w:r>
    </w:p>
    <w:p w14:paraId="5D652EFA"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Intangible assets are incorporated separately from goodwill when they are separable or arise from contractual rights or other legal rights, their fair value can be measured </w:t>
      </w:r>
      <w:proofErr w:type="gramStart"/>
      <w:r w:rsidRPr="00B84B0C">
        <w:rPr>
          <w:rFonts w:eastAsia="Times New Roman" w:cs="Arial"/>
          <w:spacing w:val="-2"/>
          <w:szCs w:val="18"/>
          <w:lang w:val="en-US" w:eastAsia="pt-BR"/>
        </w:rPr>
        <w:t>reliably</w:t>
      </w:r>
      <w:proofErr w:type="gramEnd"/>
      <w:r w:rsidRPr="00B84B0C">
        <w:rPr>
          <w:rFonts w:eastAsia="Times New Roman" w:cs="Arial"/>
          <w:spacing w:val="-2"/>
          <w:szCs w:val="18"/>
          <w:lang w:val="en-US" w:eastAsia="pt-BR"/>
        </w:rPr>
        <w:t xml:space="preserve"> and it is probable that the expected future economic benefits will be transferred to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The cost of intangible assets acquired in a business combination is its fair value at the acquisition date. The intangible assets acquired independently are initially measured at cost.</w:t>
      </w:r>
    </w:p>
    <w:p w14:paraId="0DC8247C"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The useful life of intangible assets </w:t>
      </w:r>
      <w:proofErr w:type="gramStart"/>
      <w:r w:rsidRPr="00B84B0C">
        <w:rPr>
          <w:rFonts w:eastAsia="Times New Roman" w:cs="Arial"/>
          <w:spacing w:val="-2"/>
          <w:szCs w:val="18"/>
          <w:lang w:val="en-US" w:eastAsia="pt-BR"/>
        </w:rPr>
        <w:t>is considered to be</w:t>
      </w:r>
      <w:proofErr w:type="gramEnd"/>
      <w:r w:rsidRPr="00B84B0C">
        <w:rPr>
          <w:rFonts w:eastAsia="Times New Roman" w:cs="Arial"/>
          <w:spacing w:val="-2"/>
          <w:szCs w:val="18"/>
          <w:lang w:val="en-US" w:eastAsia="pt-BR"/>
        </w:rPr>
        <w:t xml:space="preserve"> definite or indefinite. Intangible assets with defined useful lives are amortized over the course of their economic life. They are initially registered at cost, less accumulated </w:t>
      </w:r>
      <w:proofErr w:type="gramStart"/>
      <w:r w:rsidRPr="00B84B0C">
        <w:rPr>
          <w:rFonts w:eastAsia="Times New Roman" w:cs="Arial"/>
          <w:spacing w:val="-2"/>
          <w:szCs w:val="18"/>
          <w:lang w:val="en-US" w:eastAsia="pt-BR"/>
        </w:rPr>
        <w:t>amortization</w:t>
      </w:r>
      <w:proofErr w:type="gramEnd"/>
      <w:r w:rsidRPr="00B84B0C">
        <w:rPr>
          <w:rFonts w:eastAsia="Times New Roman" w:cs="Arial"/>
          <w:spacing w:val="-2"/>
          <w:szCs w:val="18"/>
          <w:lang w:val="en-US" w:eastAsia="pt-BR"/>
        </w:rPr>
        <w:t xml:space="preserve"> and impairment losses. Intangible assets with indefinite useful lives are recorded at cost less any impairment losses.</w:t>
      </w:r>
    </w:p>
    <w:p w14:paraId="522C5F98"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lastRenderedPageBreak/>
        <w:t>The costs incurred related to the acquisition, production and development of software are capitalized and registered as intangible assets. Expenses from the research phase are registered as expenses.</w:t>
      </w:r>
    </w:p>
    <w:p w14:paraId="0B5C2D0D"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Intangible assets with definite useful lives are amortized on a straight-line basis over the estimated useful life. The amortization method and period of an intangible asset with a definite useful life are reviewed at least annually. Changes in the expected useful life or proportion of expected use of the future benefits incorporated in the asset are recognized through changes in the amortization period or method, when appropriate, and treated as changes in accounting estimates.</w:t>
      </w:r>
    </w:p>
    <w:p w14:paraId="6A39159A"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 w:eastAsia="pt-BR"/>
        </w:rPr>
        <w:t>The amortization expense of intangible assets with definite useful life and impairment losses are recognized in the statement of income in the line “Other” in the Statement of Income.</w:t>
      </w:r>
    </w:p>
    <w:p w14:paraId="2AFE9288" w14:textId="77777777" w:rsidR="00720F68" w:rsidRPr="00B84B0C" w:rsidRDefault="00720F68" w:rsidP="00720F68">
      <w:pPr>
        <w:spacing w:before="120" w:after="120"/>
        <w:jc w:val="both"/>
        <w:rPr>
          <w:rFonts w:eastAsia="Times New Roman" w:cs="Arial"/>
          <w:b/>
          <w:color w:val="244061"/>
          <w:spacing w:val="-2"/>
          <w:szCs w:val="18"/>
          <w:lang w:val="en-US" w:eastAsia="pt-BR"/>
        </w:rPr>
      </w:pPr>
      <w:proofErr w:type="spellStart"/>
      <w:r w:rsidRPr="00B84B0C">
        <w:rPr>
          <w:rFonts w:eastAsia="Times New Roman" w:cs="Arial"/>
          <w:b/>
          <w:color w:val="244061"/>
          <w:spacing w:val="-2"/>
          <w:szCs w:val="18"/>
          <w:lang w:val="en-US" w:eastAsia="pt-BR"/>
        </w:rPr>
        <w:t>i</w:t>
      </w:r>
      <w:proofErr w:type="spellEnd"/>
      <w:r w:rsidRPr="00B84B0C">
        <w:rPr>
          <w:rFonts w:eastAsia="Times New Roman" w:cs="Arial"/>
          <w:b/>
          <w:color w:val="244061"/>
          <w:spacing w:val="-2"/>
          <w:szCs w:val="18"/>
          <w:lang w:val="en-US" w:eastAsia="pt-BR"/>
        </w:rPr>
        <w:t>) Decrease in the recoverable value of non-financial assets - Impairment</w:t>
      </w:r>
    </w:p>
    <w:p w14:paraId="0348403B"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Annually or </w:t>
      </w:r>
      <w:proofErr w:type="gramStart"/>
      <w:r w:rsidRPr="00B84B0C">
        <w:rPr>
          <w:rFonts w:eastAsia="Times New Roman" w:cs="Arial"/>
          <w:spacing w:val="-2"/>
          <w:szCs w:val="18"/>
          <w:lang w:val="en-US" w:eastAsia="pt-BR"/>
        </w:rPr>
        <w:t>whenever</w:t>
      </w:r>
      <w:proofErr w:type="gramEnd"/>
      <w:r w:rsidRPr="00B84B0C">
        <w:rPr>
          <w:rFonts w:eastAsia="Times New Roman" w:cs="Arial"/>
          <w:spacing w:val="-2"/>
          <w:szCs w:val="18"/>
          <w:lang w:val="en-US" w:eastAsia="pt-BR"/>
        </w:rPr>
        <w:t xml:space="preserve"> there is an indication that the asset may be devalued, it is evaluated, based on internal and external sources of information, if there is any indication that a non-financial asset may be with recoverability problems. If there is such indication, the asset's recoverable amount is estimated. The recoverable value of the asset is the higher of its fair value less costs to sell it or </w:t>
      </w:r>
      <w:proofErr w:type="gramStart"/>
      <w:r w:rsidRPr="00B84B0C">
        <w:rPr>
          <w:rFonts w:eastAsia="Times New Roman" w:cs="Arial"/>
          <w:spacing w:val="-2"/>
          <w:szCs w:val="18"/>
          <w:lang w:val="en-US" w:eastAsia="pt-BR"/>
        </w:rPr>
        <w:t>its</w:t>
      </w:r>
      <w:proofErr w:type="gramEnd"/>
      <w:r w:rsidRPr="00B84B0C">
        <w:rPr>
          <w:rFonts w:eastAsia="Times New Roman" w:cs="Arial"/>
          <w:spacing w:val="-2"/>
          <w:szCs w:val="18"/>
          <w:lang w:val="en-US" w:eastAsia="pt-BR"/>
        </w:rPr>
        <w:t xml:space="preserve"> value in use.</w:t>
      </w:r>
    </w:p>
    <w:p w14:paraId="05D4BC3A"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Whether there was any indication of loss in the recoverable amount the impairment test of intangible assets with indefinite useful life is annually performed, including premium acquired in a business combination, or an intangible asset not yet available for use. This test can be performed at any time during an annual period, provided it is performed at the same time each year.</w:t>
      </w:r>
    </w:p>
    <w:p w14:paraId="4D45B7AB"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In the event that the recoverable value of the asset is lower than </w:t>
      </w:r>
      <w:proofErr w:type="gramStart"/>
      <w:r w:rsidRPr="00B84B0C">
        <w:rPr>
          <w:rFonts w:eastAsia="Times New Roman" w:cs="Arial"/>
          <w:spacing w:val="-2"/>
          <w:szCs w:val="18"/>
          <w:lang w:val="en-US" w:eastAsia="pt-BR"/>
        </w:rPr>
        <w:t>its</w:t>
      </w:r>
      <w:proofErr w:type="gramEnd"/>
      <w:r w:rsidRPr="00B84B0C">
        <w:rPr>
          <w:rFonts w:eastAsia="Times New Roman" w:cs="Arial"/>
          <w:spacing w:val="-2"/>
          <w:szCs w:val="18"/>
          <w:lang w:val="en-US" w:eastAsia="pt-BR"/>
        </w:rPr>
        <w:t xml:space="preserve"> carrying amount, the carrying amount of the asset is reduced to its recoverable value by an impairment loss, the consideration of which is incorporated in the income statement for that year, in other expenses / operating revenues.</w:t>
      </w:r>
    </w:p>
    <w:p w14:paraId="06A3E73E"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Annually, it is assessed whether there is any indication that a loss by reduction to recoverable value incorporated in prior periods for an asset other than premium for expected future profitability, it might no longer exist or may have decreased. If there is such indication, the asset's recoverable amount is estimated. The reversal of a loss for impairment of an asset will be registered immediately in the income statement for the period, as a rectifier of the balance of Other (expenses) / operating income.</w:t>
      </w:r>
    </w:p>
    <w:p w14:paraId="58EAEEB1"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Due to the impacts caused by Covid-19, an impairment test was performed considering an aggravated scenario. In this economic and financial assessment, the discounted dividend flow method was considered for the economic calculation of companies. There were no losses due to the devaluation of BB </w:t>
      </w:r>
      <w:proofErr w:type="spellStart"/>
      <w:r w:rsidRPr="00B84B0C">
        <w:rPr>
          <w:rFonts w:eastAsia="Times New Roman" w:cs="Arial"/>
          <w:spacing w:val="-2"/>
          <w:szCs w:val="18"/>
          <w:lang w:val="en-US" w:eastAsia="pt-BR"/>
        </w:rPr>
        <w:t>Seguridade's</w:t>
      </w:r>
      <w:proofErr w:type="spellEnd"/>
      <w:r w:rsidRPr="00B84B0C">
        <w:rPr>
          <w:rFonts w:eastAsia="Times New Roman" w:cs="Arial"/>
          <w:spacing w:val="-2"/>
          <w:szCs w:val="18"/>
          <w:lang w:val="en-US" w:eastAsia="pt-BR"/>
        </w:rPr>
        <w:t xml:space="preserve"> investments.</w:t>
      </w:r>
    </w:p>
    <w:p w14:paraId="47D3ECD8"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j) Investments in Corporate Interests</w:t>
      </w:r>
    </w:p>
    <w:p w14:paraId="2831ED91"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 Under the equity method, the investment is initially measured at cost and subsequently adjusted by the investor's recognition of changes in the net assets of the invested company. In addition, the portion of the investor's income in the results generated by the invested company must be included in the profit and losses of the investor's period, according to CPC 18 (R2) - Investment in Affiliate, Subsidiary and Joint Venture.</w:t>
      </w:r>
    </w:p>
    <w:p w14:paraId="1E739803"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 w:eastAsia="pt-BR"/>
        </w:rPr>
        <w:t>In situations where the investees use different accounting practices in events and transactions of the same nature in similar circumstances, the necessary adjustments are made to adjust the financial statements of the investees to the accounting practices adopted by the investor.</w:t>
      </w:r>
    </w:p>
    <w:p w14:paraId="539B77BE"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k) Provisions, Contingent Liabilities and Legal Obligations</w:t>
      </w:r>
    </w:p>
    <w:p w14:paraId="0E4D86E6"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incorporation, measurement and disclosure of contingent liabilities and legal obligations are carried out in accordance with the criteria defined in CPC 25 - Provisions, Contingent Liabilities and Contingent Assets.</w:t>
      </w:r>
    </w:p>
    <w:p w14:paraId="4F3CD4FC"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 w:eastAsia="pt-BR"/>
        </w:rPr>
        <w:t>Provisions related to legal and / or administrative proceedings are recognized in the financial statements when, based on the analysis of legal advisors and management, the risk of loss of a legal or administrative action is considered probable, with a probable outflow of funds for the settlement of obligations and when the amounts involved are measurable with sufficient certainty, being quantified when the court summons / notification and reviewed monthly on an individual basis, thus considering the processes related to causes considered unusual or whose value is considered relevant under the analysis of advisors considering the intended compensation amount.</w:t>
      </w:r>
      <w:r w:rsidRPr="00B84B0C">
        <w:rPr>
          <w:rFonts w:eastAsia="Times New Roman" w:cs="Arial"/>
          <w:spacing w:val="-2"/>
          <w:szCs w:val="18"/>
          <w:lang w:val="en-US" w:eastAsia="pt-BR"/>
        </w:rPr>
        <w:t xml:space="preserve">Contingent liabilities classified as possible losses are not recognized in the accounting statements, and they should only be disclosed in the explanatory notes, and those classified as remote do not require provision or disclosure. </w:t>
      </w:r>
    </w:p>
    <w:p w14:paraId="6BC3A08F"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 w:eastAsia="pt-BR"/>
        </w:rPr>
        <w:t>Contingent liabilities classified as possible losses are not recognized in the accounts, and should only be disclosed in the explanatory notes, and those classified as remote do not require provision and disclosure.</w:t>
      </w:r>
    </w:p>
    <w:p w14:paraId="4AF3860F"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Tax legal obligations are derived from tax obligations under the law, irrespective of the probability of success of lawsuits in progress and their amounts are fully recognized in the financial statements.</w:t>
      </w:r>
    </w:p>
    <w:p w14:paraId="7B6ACDE1" w14:textId="77777777" w:rsidR="00720F68" w:rsidRPr="00B84B0C" w:rsidRDefault="00720F68" w:rsidP="00720F68">
      <w:pPr>
        <w:keepNext/>
        <w:keepLines/>
        <w:pageBreakBefore/>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lastRenderedPageBreak/>
        <w:t>l) Taxes</w:t>
      </w:r>
    </w:p>
    <w:p w14:paraId="4B69282C" w14:textId="77777777" w:rsidR="00720F68" w:rsidRPr="00B84B0C" w:rsidRDefault="00720F68" w:rsidP="00720F68">
      <w:pPr>
        <w:spacing w:before="120" w:after="120"/>
        <w:jc w:val="both"/>
        <w:rPr>
          <w:rFonts w:eastAsia="Times New Roman" w:cs="Arial"/>
          <w:szCs w:val="20"/>
          <w:lang w:val="en-US" w:eastAsia="pt-BR"/>
        </w:rPr>
      </w:pPr>
      <w:r w:rsidRPr="00B84B0C">
        <w:rPr>
          <w:rFonts w:eastAsia="Times New Roman" w:cs="Arial"/>
          <w:szCs w:val="20"/>
          <w:lang w:val="en-US" w:eastAsia="pt-BR"/>
        </w:rPr>
        <w:t>Taxes are calculated based on the rates shown in the table below:</w:t>
      </w:r>
    </w:p>
    <w:tbl>
      <w:tblPr>
        <w:tblStyle w:val="TabeladeLista6Colorida-nfase51"/>
        <w:tblW w:w="9639" w:type="dxa"/>
        <w:tblInd w:w="108" w:type="dxa"/>
        <w:shd w:val="clear" w:color="auto" w:fill="D9E2F3"/>
        <w:tblLayout w:type="fixed"/>
        <w:tblLook w:val="04A0" w:firstRow="1" w:lastRow="0" w:firstColumn="1" w:lastColumn="0" w:noHBand="0" w:noVBand="1"/>
      </w:tblPr>
      <w:tblGrid>
        <w:gridCol w:w="4395"/>
        <w:gridCol w:w="567"/>
        <w:gridCol w:w="1134"/>
        <w:gridCol w:w="1134"/>
        <w:gridCol w:w="283"/>
        <w:gridCol w:w="1063"/>
        <w:gridCol w:w="1063"/>
      </w:tblGrid>
      <w:tr w:rsidR="00720F68" w:rsidRPr="00B84B0C" w14:paraId="4A625386" w14:textId="77777777" w:rsidTr="00720F68">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8EAADB" w:themeColor="accent5" w:themeTint="99"/>
              <w:bottom w:val="nil"/>
            </w:tcBorders>
            <w:shd w:val="clear" w:color="auto" w:fill="D9E2F3"/>
            <w:vAlign w:val="center"/>
          </w:tcPr>
          <w:p w14:paraId="1C370E82" w14:textId="77777777" w:rsidR="00720F68" w:rsidRPr="00B84B0C" w:rsidRDefault="00720F68" w:rsidP="00720F68">
            <w:pPr>
              <w:rPr>
                <w:rFonts w:cs="Arial"/>
                <w:b w:val="0"/>
                <w:szCs w:val="18"/>
              </w:rPr>
            </w:pPr>
            <w:r w:rsidRPr="00B84B0C">
              <w:rPr>
                <w:rFonts w:eastAsia="Times New Roman" w:cs="Arial"/>
                <w:spacing w:val="-2"/>
                <w:sz w:val="14"/>
                <w:szCs w:val="18"/>
                <w:lang w:eastAsia="pt-BR"/>
              </w:rPr>
              <w:t>Taxes</w:t>
            </w:r>
          </w:p>
        </w:tc>
        <w:tc>
          <w:tcPr>
            <w:tcW w:w="567" w:type="dxa"/>
            <w:tcBorders>
              <w:top w:val="single" w:sz="2" w:space="0" w:color="8EAADB" w:themeColor="accent5" w:themeTint="99"/>
              <w:bottom w:val="nil"/>
            </w:tcBorders>
            <w:shd w:val="clear" w:color="auto" w:fill="D9E2F3"/>
            <w:vAlign w:val="center"/>
          </w:tcPr>
          <w:p w14:paraId="073441A2"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268" w:type="dxa"/>
            <w:gridSpan w:val="2"/>
            <w:tcBorders>
              <w:top w:val="single" w:sz="2" w:space="0" w:color="8EAADB" w:themeColor="accent5" w:themeTint="99"/>
              <w:bottom w:val="single" w:sz="2" w:space="0" w:color="8EAADB" w:themeColor="accent5" w:themeTint="99"/>
            </w:tcBorders>
            <w:shd w:val="clear" w:color="auto" w:fill="D9E2F3"/>
            <w:vAlign w:val="center"/>
          </w:tcPr>
          <w:p w14:paraId="7AC6A45D"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
        </w:tc>
        <w:tc>
          <w:tcPr>
            <w:tcW w:w="283" w:type="dxa"/>
            <w:tcBorders>
              <w:top w:val="single" w:sz="2" w:space="0" w:color="8EAADB" w:themeColor="accent5" w:themeTint="99"/>
              <w:bottom w:val="nil"/>
            </w:tcBorders>
            <w:shd w:val="clear" w:color="auto" w:fill="D9E2F3"/>
            <w:vAlign w:val="center"/>
          </w:tcPr>
          <w:p w14:paraId="319C6CB0"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126" w:type="dxa"/>
            <w:gridSpan w:val="2"/>
            <w:tcBorders>
              <w:top w:val="single" w:sz="2" w:space="0" w:color="8EAADB" w:themeColor="accent5" w:themeTint="99"/>
              <w:bottom w:val="single" w:sz="2" w:space="0" w:color="8EAADB" w:themeColor="accent5" w:themeTint="99"/>
            </w:tcBorders>
            <w:shd w:val="clear" w:color="auto" w:fill="D9E2F3"/>
            <w:vAlign w:val="center"/>
          </w:tcPr>
          <w:p w14:paraId="59025ACD" w14:textId="77777777" w:rsidR="00720F68" w:rsidRPr="00B84B0C" w:rsidRDefault="00720F68" w:rsidP="00720F68">
            <w:pPr>
              <w:jc w:val="right"/>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eastAsia="Times New Roman" w:cs="Arial"/>
                <w:spacing w:val="-2"/>
                <w:sz w:val="14"/>
                <w:szCs w:val="18"/>
                <w:lang w:eastAsia="pt-BR"/>
              </w:rPr>
              <w:t>Tax</w:t>
            </w:r>
            <w:proofErr w:type="spellEnd"/>
            <w:r w:rsidRPr="00B84B0C">
              <w:rPr>
                <w:rFonts w:eastAsia="Times New Roman" w:cs="Arial"/>
                <w:spacing w:val="-2"/>
                <w:sz w:val="14"/>
                <w:szCs w:val="18"/>
                <w:lang w:eastAsia="pt-BR"/>
              </w:rPr>
              <w:t xml:space="preserve"> Rate</w:t>
            </w:r>
          </w:p>
        </w:tc>
      </w:tr>
      <w:tr w:rsidR="00720F68" w:rsidRPr="00B84B0C" w14:paraId="60F573B2" w14:textId="77777777" w:rsidTr="00720F6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8EAADB" w:themeColor="accent5" w:themeTint="99"/>
              <w:bottom w:val="nil"/>
            </w:tcBorders>
            <w:shd w:val="clear" w:color="auto" w:fill="auto"/>
            <w:vAlign w:val="bottom"/>
          </w:tcPr>
          <w:p w14:paraId="392B087B" w14:textId="77777777" w:rsidR="00720F68" w:rsidRPr="00B84B0C" w:rsidRDefault="00720F68" w:rsidP="00720F68">
            <w:pPr>
              <w:keepNext/>
              <w:keepLines/>
              <w:spacing w:before="40" w:after="40"/>
              <w:rPr>
                <w:rFonts w:eastAsia="Times New Roman" w:cs="Arial"/>
                <w:b w:val="0"/>
                <w:bCs w:val="0"/>
                <w:spacing w:val="-2"/>
                <w:sz w:val="14"/>
                <w:szCs w:val="14"/>
                <w:lang w:eastAsia="pt-BR"/>
              </w:rPr>
            </w:pPr>
            <w:r w:rsidRPr="00B84B0C">
              <w:rPr>
                <w:rFonts w:eastAsia="Times New Roman" w:cs="Arial"/>
                <w:b w:val="0"/>
                <w:bCs w:val="0"/>
                <w:spacing w:val="-2"/>
                <w:sz w:val="14"/>
                <w:szCs w:val="18"/>
                <w:lang w:eastAsia="pt-BR"/>
              </w:rPr>
              <w:t xml:space="preserve">Income </w:t>
            </w:r>
            <w:proofErr w:type="spellStart"/>
            <w:r w:rsidRPr="00B84B0C">
              <w:rPr>
                <w:rFonts w:eastAsia="Times New Roman" w:cs="Arial"/>
                <w:b w:val="0"/>
                <w:bCs w:val="0"/>
                <w:spacing w:val="-2"/>
                <w:sz w:val="14"/>
                <w:szCs w:val="18"/>
                <w:lang w:eastAsia="pt-BR"/>
              </w:rPr>
              <w:t>Tax</w:t>
            </w:r>
            <w:proofErr w:type="spellEnd"/>
            <w:r w:rsidRPr="00B84B0C">
              <w:rPr>
                <w:rFonts w:eastAsia="Times New Roman" w:cs="Arial"/>
                <w:b w:val="0"/>
                <w:bCs w:val="0"/>
                <w:spacing w:val="-2"/>
                <w:sz w:val="14"/>
                <w:szCs w:val="18"/>
                <w:lang w:eastAsia="pt-BR"/>
              </w:rPr>
              <w:t xml:space="preserve"> (IRPJ)</w:t>
            </w:r>
            <w:r w:rsidRPr="00B84B0C">
              <w:rPr>
                <w:rFonts w:eastAsia="Times New Roman" w:cs="Arial"/>
                <w:b w:val="0"/>
                <w:bCs w:val="0"/>
                <w:spacing w:val="-2"/>
                <w:sz w:val="14"/>
                <w:szCs w:val="18"/>
                <w:vertAlign w:val="superscript"/>
                <w:lang w:eastAsia="pt-BR"/>
              </w:rPr>
              <w:t xml:space="preserve"> (</w:t>
            </w:r>
            <w:r w:rsidRPr="00B84B0C">
              <w:rPr>
                <w:rFonts w:eastAsia="Times New Roman" w:cs="Arial"/>
                <w:b w:val="0"/>
                <w:bCs w:val="0"/>
                <w:spacing w:val="-2"/>
                <w:sz w:val="14"/>
                <w:szCs w:val="18"/>
                <w:lang w:eastAsia="pt-BR"/>
              </w:rPr>
              <w:t>¹</w:t>
            </w:r>
            <w:r w:rsidRPr="00B84B0C">
              <w:rPr>
                <w:rFonts w:eastAsia="Times New Roman" w:cs="Arial"/>
                <w:b w:val="0"/>
                <w:bCs w:val="0"/>
                <w:spacing w:val="-2"/>
                <w:sz w:val="14"/>
                <w:szCs w:val="18"/>
                <w:vertAlign w:val="superscript"/>
                <w:lang w:eastAsia="pt-BR"/>
              </w:rPr>
              <w:t>)</w:t>
            </w:r>
          </w:p>
        </w:tc>
        <w:tc>
          <w:tcPr>
            <w:tcW w:w="567" w:type="dxa"/>
            <w:tcBorders>
              <w:top w:val="single" w:sz="2" w:space="0" w:color="8EAADB" w:themeColor="accent5" w:themeTint="99"/>
              <w:bottom w:val="nil"/>
            </w:tcBorders>
            <w:shd w:val="clear" w:color="auto" w:fill="auto"/>
            <w:vAlign w:val="center"/>
          </w:tcPr>
          <w:p w14:paraId="42F1377E"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134" w:type="dxa"/>
            <w:tcBorders>
              <w:top w:val="single" w:sz="2" w:space="0" w:color="8EAADB" w:themeColor="accent5" w:themeTint="99"/>
              <w:bottom w:val="nil"/>
            </w:tcBorders>
            <w:shd w:val="clear" w:color="auto" w:fill="auto"/>
            <w:vAlign w:val="center"/>
          </w:tcPr>
          <w:p w14:paraId="3AEAAA53"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134" w:type="dxa"/>
            <w:tcBorders>
              <w:top w:val="single" w:sz="2" w:space="0" w:color="8EAADB" w:themeColor="accent5" w:themeTint="99"/>
              <w:bottom w:val="nil"/>
            </w:tcBorders>
            <w:shd w:val="clear" w:color="auto" w:fill="auto"/>
            <w:vAlign w:val="center"/>
          </w:tcPr>
          <w:p w14:paraId="57950BE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283" w:type="dxa"/>
            <w:tcBorders>
              <w:top w:val="single" w:sz="2" w:space="0" w:color="8EAADB" w:themeColor="accent5" w:themeTint="99"/>
              <w:bottom w:val="nil"/>
            </w:tcBorders>
            <w:shd w:val="clear" w:color="auto" w:fill="auto"/>
            <w:vAlign w:val="center"/>
          </w:tcPr>
          <w:p w14:paraId="0BF70114"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63" w:type="dxa"/>
            <w:tcBorders>
              <w:top w:val="single" w:sz="2" w:space="0" w:color="8EAADB" w:themeColor="accent5" w:themeTint="99"/>
              <w:bottom w:val="nil"/>
            </w:tcBorders>
            <w:shd w:val="clear" w:color="auto" w:fill="auto"/>
            <w:vAlign w:val="center"/>
          </w:tcPr>
          <w:p w14:paraId="1DF1136A"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63" w:type="dxa"/>
            <w:tcBorders>
              <w:top w:val="single" w:sz="2" w:space="0" w:color="8EAADB" w:themeColor="accent5" w:themeTint="99"/>
              <w:bottom w:val="nil"/>
            </w:tcBorders>
            <w:shd w:val="clear" w:color="auto" w:fill="auto"/>
            <w:vAlign w:val="bottom"/>
          </w:tcPr>
          <w:p w14:paraId="4482975C"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B84B0C">
              <w:rPr>
                <w:rFonts w:eastAsia="Times New Roman" w:cs="Arial"/>
                <w:spacing w:val="-2"/>
                <w:sz w:val="14"/>
                <w:szCs w:val="18"/>
                <w:lang w:eastAsia="pt-BR"/>
              </w:rPr>
              <w:t>25%</w:t>
            </w:r>
          </w:p>
        </w:tc>
      </w:tr>
      <w:tr w:rsidR="00720F68" w:rsidRPr="00B84B0C" w14:paraId="28B8FA70" w14:textId="77777777" w:rsidTr="00720F68">
        <w:trPr>
          <w:trHeight w:val="238"/>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shd w:val="clear" w:color="auto" w:fill="D9E2F3"/>
            <w:vAlign w:val="bottom"/>
          </w:tcPr>
          <w:p w14:paraId="4364543F" w14:textId="77777777" w:rsidR="00720F68" w:rsidRPr="00B84B0C" w:rsidRDefault="00720F68" w:rsidP="00720F68">
            <w:pPr>
              <w:keepNext/>
              <w:keepLines/>
              <w:spacing w:before="40" w:after="40"/>
              <w:rPr>
                <w:rFonts w:eastAsia="Times New Roman" w:cs="Arial"/>
                <w:b w:val="0"/>
                <w:bCs w:val="0"/>
                <w:spacing w:val="-2"/>
                <w:sz w:val="14"/>
                <w:szCs w:val="14"/>
                <w:lang w:val="en-US" w:eastAsia="pt-BR"/>
              </w:rPr>
            </w:pPr>
            <w:r w:rsidRPr="00B84B0C">
              <w:rPr>
                <w:rFonts w:eastAsia="Times New Roman" w:cs="Arial"/>
                <w:b w:val="0"/>
                <w:bCs w:val="0"/>
                <w:spacing w:val="-2"/>
                <w:sz w:val="14"/>
                <w:szCs w:val="18"/>
                <w:lang w:val="en-US" w:eastAsia="pt-BR"/>
              </w:rPr>
              <w:t>Social Contribution on Net Income (CSLL)</w:t>
            </w:r>
          </w:p>
        </w:tc>
        <w:tc>
          <w:tcPr>
            <w:tcW w:w="567" w:type="dxa"/>
            <w:tcBorders>
              <w:top w:val="nil"/>
              <w:bottom w:val="nil"/>
            </w:tcBorders>
            <w:shd w:val="clear" w:color="auto" w:fill="D9E2F3"/>
            <w:vAlign w:val="center"/>
          </w:tcPr>
          <w:p w14:paraId="7B00D3E4"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val="en-US" w:eastAsia="pt-BR"/>
              </w:rPr>
            </w:pPr>
          </w:p>
        </w:tc>
        <w:tc>
          <w:tcPr>
            <w:tcW w:w="1134" w:type="dxa"/>
            <w:tcBorders>
              <w:top w:val="nil"/>
              <w:bottom w:val="nil"/>
            </w:tcBorders>
            <w:shd w:val="clear" w:color="auto" w:fill="D9E2F3"/>
            <w:vAlign w:val="center"/>
          </w:tcPr>
          <w:p w14:paraId="69CDDE51"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134" w:type="dxa"/>
            <w:tcBorders>
              <w:top w:val="nil"/>
              <w:bottom w:val="nil"/>
            </w:tcBorders>
            <w:shd w:val="clear" w:color="auto" w:fill="D9E2F3"/>
            <w:vAlign w:val="center"/>
          </w:tcPr>
          <w:p w14:paraId="19D6B972"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val="en-US" w:eastAsia="pt-BR"/>
              </w:rPr>
            </w:pPr>
          </w:p>
        </w:tc>
        <w:tc>
          <w:tcPr>
            <w:tcW w:w="283" w:type="dxa"/>
            <w:tcBorders>
              <w:top w:val="nil"/>
              <w:bottom w:val="nil"/>
            </w:tcBorders>
            <w:shd w:val="clear" w:color="auto" w:fill="D9E2F3"/>
            <w:vAlign w:val="center"/>
          </w:tcPr>
          <w:p w14:paraId="5D951318"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063" w:type="dxa"/>
            <w:tcBorders>
              <w:top w:val="nil"/>
              <w:bottom w:val="nil"/>
            </w:tcBorders>
            <w:shd w:val="clear" w:color="auto" w:fill="D9E2F3"/>
            <w:vAlign w:val="center"/>
          </w:tcPr>
          <w:p w14:paraId="3B0A60E7"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063" w:type="dxa"/>
            <w:tcBorders>
              <w:top w:val="nil"/>
              <w:bottom w:val="nil"/>
            </w:tcBorders>
            <w:shd w:val="clear" w:color="auto" w:fill="D9E2F3"/>
            <w:vAlign w:val="bottom"/>
          </w:tcPr>
          <w:p w14:paraId="183447F3"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eastAsia="pt-BR"/>
              </w:rPr>
            </w:pPr>
            <w:r w:rsidRPr="00B84B0C">
              <w:rPr>
                <w:rFonts w:eastAsia="Times New Roman" w:cs="Arial"/>
                <w:spacing w:val="-2"/>
                <w:sz w:val="14"/>
                <w:szCs w:val="18"/>
                <w:lang w:eastAsia="pt-BR"/>
              </w:rPr>
              <w:t>9%</w:t>
            </w:r>
          </w:p>
        </w:tc>
      </w:tr>
      <w:tr w:rsidR="00720F68" w:rsidRPr="00B84B0C" w14:paraId="2B01A9E0" w14:textId="77777777" w:rsidTr="00720F6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shd w:val="clear" w:color="auto" w:fill="auto"/>
            <w:vAlign w:val="bottom"/>
          </w:tcPr>
          <w:p w14:paraId="5B6C6743" w14:textId="77777777" w:rsidR="00720F68" w:rsidRPr="00B84B0C" w:rsidRDefault="00720F68" w:rsidP="00720F68">
            <w:pPr>
              <w:keepNext/>
              <w:keepLines/>
              <w:spacing w:before="40" w:after="40"/>
              <w:rPr>
                <w:rFonts w:eastAsia="Times New Roman" w:cs="Arial"/>
                <w:b w:val="0"/>
                <w:bCs w:val="0"/>
                <w:spacing w:val="-2"/>
                <w:sz w:val="14"/>
                <w:szCs w:val="14"/>
                <w:lang w:val="en-US" w:eastAsia="pt-BR"/>
              </w:rPr>
            </w:pPr>
            <w:r w:rsidRPr="00B84B0C">
              <w:rPr>
                <w:rFonts w:eastAsia="Times New Roman" w:cs="Arial"/>
                <w:b w:val="0"/>
                <w:bCs w:val="0"/>
                <w:spacing w:val="-2"/>
                <w:sz w:val="14"/>
                <w:szCs w:val="18"/>
                <w:lang w:val="en-US" w:eastAsia="pt-BR"/>
              </w:rPr>
              <w:t xml:space="preserve">Contribution to PIS (Social Integration Program) / </w:t>
            </w:r>
            <w:proofErr w:type="spellStart"/>
            <w:r w:rsidRPr="00B84B0C">
              <w:rPr>
                <w:rFonts w:eastAsia="Times New Roman" w:cs="Arial"/>
                <w:b w:val="0"/>
                <w:bCs w:val="0"/>
                <w:spacing w:val="-2"/>
                <w:sz w:val="14"/>
                <w:szCs w:val="18"/>
                <w:lang w:val="en-US" w:eastAsia="pt-BR"/>
              </w:rPr>
              <w:t>Pasep</w:t>
            </w:r>
            <w:proofErr w:type="spellEnd"/>
            <w:r w:rsidRPr="00B84B0C">
              <w:rPr>
                <w:rFonts w:eastAsia="Times New Roman" w:cs="Arial"/>
                <w:b w:val="0"/>
                <w:bCs w:val="0"/>
                <w:spacing w:val="-2"/>
                <w:sz w:val="14"/>
                <w:szCs w:val="18"/>
                <w:lang w:val="en-US" w:eastAsia="pt-BR"/>
              </w:rPr>
              <w:t xml:space="preserve"> (Investment Program for Civil Servants)</w:t>
            </w:r>
          </w:p>
        </w:tc>
        <w:tc>
          <w:tcPr>
            <w:tcW w:w="567" w:type="dxa"/>
            <w:tcBorders>
              <w:top w:val="nil"/>
              <w:bottom w:val="nil"/>
            </w:tcBorders>
            <w:shd w:val="clear" w:color="auto" w:fill="auto"/>
            <w:vAlign w:val="center"/>
          </w:tcPr>
          <w:p w14:paraId="68C2679A"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val="en-US" w:eastAsia="pt-BR"/>
              </w:rPr>
            </w:pPr>
          </w:p>
        </w:tc>
        <w:tc>
          <w:tcPr>
            <w:tcW w:w="1134" w:type="dxa"/>
            <w:tcBorders>
              <w:top w:val="nil"/>
              <w:bottom w:val="nil"/>
            </w:tcBorders>
            <w:shd w:val="clear" w:color="auto" w:fill="auto"/>
            <w:vAlign w:val="center"/>
          </w:tcPr>
          <w:p w14:paraId="050D7F3A"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val="en-US" w:eastAsia="pt-BR"/>
              </w:rPr>
            </w:pPr>
          </w:p>
        </w:tc>
        <w:tc>
          <w:tcPr>
            <w:tcW w:w="1134" w:type="dxa"/>
            <w:tcBorders>
              <w:top w:val="nil"/>
              <w:bottom w:val="nil"/>
            </w:tcBorders>
            <w:shd w:val="clear" w:color="auto" w:fill="auto"/>
            <w:vAlign w:val="center"/>
          </w:tcPr>
          <w:p w14:paraId="71D68658"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val="en-US" w:eastAsia="pt-BR"/>
              </w:rPr>
            </w:pPr>
          </w:p>
        </w:tc>
        <w:tc>
          <w:tcPr>
            <w:tcW w:w="283" w:type="dxa"/>
            <w:tcBorders>
              <w:top w:val="nil"/>
              <w:bottom w:val="nil"/>
            </w:tcBorders>
            <w:shd w:val="clear" w:color="auto" w:fill="auto"/>
            <w:vAlign w:val="center"/>
          </w:tcPr>
          <w:p w14:paraId="4DECD99A"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val="en-US" w:eastAsia="pt-BR"/>
              </w:rPr>
            </w:pPr>
          </w:p>
        </w:tc>
        <w:tc>
          <w:tcPr>
            <w:tcW w:w="1063" w:type="dxa"/>
            <w:tcBorders>
              <w:top w:val="nil"/>
              <w:bottom w:val="nil"/>
            </w:tcBorders>
            <w:shd w:val="clear" w:color="auto" w:fill="auto"/>
            <w:vAlign w:val="center"/>
          </w:tcPr>
          <w:p w14:paraId="1264B7B3"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val="en-US" w:eastAsia="pt-BR"/>
              </w:rPr>
            </w:pPr>
          </w:p>
        </w:tc>
        <w:tc>
          <w:tcPr>
            <w:tcW w:w="1063" w:type="dxa"/>
            <w:tcBorders>
              <w:top w:val="nil"/>
              <w:bottom w:val="nil"/>
            </w:tcBorders>
            <w:shd w:val="clear" w:color="auto" w:fill="auto"/>
            <w:vAlign w:val="bottom"/>
          </w:tcPr>
          <w:p w14:paraId="3CE7FDD5"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eastAsia="pt-BR"/>
              </w:rPr>
            </w:pPr>
            <w:r w:rsidRPr="00B84B0C">
              <w:rPr>
                <w:rFonts w:eastAsia="Times New Roman" w:cs="Arial"/>
                <w:spacing w:val="-2"/>
                <w:sz w:val="14"/>
                <w:szCs w:val="18"/>
                <w:lang w:eastAsia="pt-BR"/>
              </w:rPr>
              <w:t>1.65%</w:t>
            </w:r>
          </w:p>
        </w:tc>
      </w:tr>
      <w:tr w:rsidR="00720F68" w:rsidRPr="00B84B0C" w14:paraId="0BD7EFED" w14:textId="77777777" w:rsidTr="00720F68">
        <w:trPr>
          <w:trHeight w:val="238"/>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shd w:val="clear" w:color="auto" w:fill="D9E2F3"/>
            <w:vAlign w:val="bottom"/>
          </w:tcPr>
          <w:p w14:paraId="79DEB383" w14:textId="77777777" w:rsidR="00720F68" w:rsidRPr="00B84B0C" w:rsidRDefault="00720F68" w:rsidP="00720F68">
            <w:pPr>
              <w:keepNext/>
              <w:keepLines/>
              <w:spacing w:before="40" w:after="40"/>
              <w:rPr>
                <w:rFonts w:eastAsia="Times New Roman" w:cs="Arial"/>
                <w:b w:val="0"/>
                <w:bCs w:val="0"/>
                <w:spacing w:val="-2"/>
                <w:sz w:val="14"/>
                <w:szCs w:val="14"/>
                <w:lang w:val="en-US" w:eastAsia="pt-BR"/>
              </w:rPr>
            </w:pPr>
            <w:r w:rsidRPr="00B84B0C">
              <w:rPr>
                <w:rFonts w:eastAsia="Times New Roman" w:cs="Arial"/>
                <w:b w:val="0"/>
                <w:bCs w:val="0"/>
                <w:spacing w:val="-2"/>
                <w:sz w:val="14"/>
                <w:szCs w:val="18"/>
                <w:lang w:val="en-US" w:eastAsia="pt-BR"/>
              </w:rPr>
              <w:t>Contribution for the financing of Social Security (COFINS)</w:t>
            </w:r>
          </w:p>
        </w:tc>
        <w:tc>
          <w:tcPr>
            <w:tcW w:w="567" w:type="dxa"/>
            <w:tcBorders>
              <w:top w:val="nil"/>
              <w:bottom w:val="nil"/>
            </w:tcBorders>
            <w:shd w:val="clear" w:color="auto" w:fill="D9E2F3"/>
            <w:vAlign w:val="center"/>
          </w:tcPr>
          <w:p w14:paraId="6F99B12E"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val="en-US" w:eastAsia="pt-BR"/>
              </w:rPr>
            </w:pPr>
          </w:p>
        </w:tc>
        <w:tc>
          <w:tcPr>
            <w:tcW w:w="1134" w:type="dxa"/>
            <w:tcBorders>
              <w:top w:val="nil"/>
              <w:bottom w:val="nil"/>
            </w:tcBorders>
            <w:shd w:val="clear" w:color="auto" w:fill="D9E2F3"/>
            <w:vAlign w:val="center"/>
          </w:tcPr>
          <w:p w14:paraId="762F3701"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134" w:type="dxa"/>
            <w:tcBorders>
              <w:top w:val="nil"/>
              <w:bottom w:val="nil"/>
            </w:tcBorders>
            <w:shd w:val="clear" w:color="auto" w:fill="D9E2F3"/>
            <w:vAlign w:val="center"/>
          </w:tcPr>
          <w:p w14:paraId="0C5E26F7"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val="en-US" w:eastAsia="pt-BR"/>
              </w:rPr>
            </w:pPr>
          </w:p>
        </w:tc>
        <w:tc>
          <w:tcPr>
            <w:tcW w:w="283" w:type="dxa"/>
            <w:tcBorders>
              <w:top w:val="nil"/>
              <w:bottom w:val="nil"/>
            </w:tcBorders>
            <w:shd w:val="clear" w:color="auto" w:fill="D9E2F3"/>
            <w:vAlign w:val="center"/>
          </w:tcPr>
          <w:p w14:paraId="1309801D"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063" w:type="dxa"/>
            <w:tcBorders>
              <w:top w:val="nil"/>
              <w:bottom w:val="nil"/>
            </w:tcBorders>
            <w:shd w:val="clear" w:color="auto" w:fill="D9E2F3"/>
            <w:vAlign w:val="center"/>
          </w:tcPr>
          <w:p w14:paraId="6E849CB8"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063" w:type="dxa"/>
            <w:tcBorders>
              <w:top w:val="nil"/>
              <w:bottom w:val="nil"/>
            </w:tcBorders>
            <w:shd w:val="clear" w:color="auto" w:fill="D9E2F3"/>
            <w:vAlign w:val="bottom"/>
          </w:tcPr>
          <w:p w14:paraId="707D23EB"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eastAsia="pt-BR"/>
              </w:rPr>
            </w:pPr>
            <w:r w:rsidRPr="00B84B0C">
              <w:rPr>
                <w:rFonts w:eastAsia="Times New Roman" w:cs="Arial"/>
                <w:spacing w:val="-2"/>
                <w:sz w:val="14"/>
                <w:szCs w:val="18"/>
                <w:lang w:eastAsia="pt-BR"/>
              </w:rPr>
              <w:t>7.60%</w:t>
            </w:r>
          </w:p>
        </w:tc>
      </w:tr>
      <w:tr w:rsidR="00720F68" w:rsidRPr="00B84B0C" w14:paraId="586F5AF3" w14:textId="77777777" w:rsidTr="00720F6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shd w:val="clear" w:color="auto" w:fill="auto"/>
            <w:vAlign w:val="bottom"/>
          </w:tcPr>
          <w:p w14:paraId="761C0CD1" w14:textId="77777777" w:rsidR="00720F68" w:rsidRPr="00B84B0C" w:rsidRDefault="00720F68" w:rsidP="00720F68">
            <w:pPr>
              <w:keepNext/>
              <w:keepLines/>
              <w:spacing w:before="40" w:after="40"/>
              <w:rPr>
                <w:rFonts w:eastAsia="Times New Roman" w:cs="Arial"/>
                <w:b w:val="0"/>
                <w:bCs w:val="0"/>
                <w:spacing w:val="-2"/>
                <w:sz w:val="14"/>
                <w:szCs w:val="14"/>
                <w:lang w:eastAsia="pt-BR"/>
              </w:rPr>
            </w:pPr>
            <w:proofErr w:type="spellStart"/>
            <w:r w:rsidRPr="00B84B0C">
              <w:rPr>
                <w:rFonts w:eastAsia="Times New Roman" w:cs="Arial"/>
                <w:b w:val="0"/>
                <w:bCs w:val="0"/>
                <w:spacing w:val="-2"/>
                <w:sz w:val="14"/>
                <w:szCs w:val="18"/>
                <w:lang w:eastAsia="pt-BR"/>
              </w:rPr>
              <w:t>Contribution</w:t>
            </w:r>
            <w:proofErr w:type="spellEnd"/>
            <w:r w:rsidRPr="00B84B0C">
              <w:rPr>
                <w:rFonts w:eastAsia="Times New Roman" w:cs="Arial"/>
                <w:b w:val="0"/>
                <w:bCs w:val="0"/>
                <w:spacing w:val="-2"/>
                <w:sz w:val="14"/>
                <w:szCs w:val="18"/>
                <w:lang w:eastAsia="pt-BR"/>
              </w:rPr>
              <w:t xml:space="preserve"> </w:t>
            </w:r>
            <w:proofErr w:type="spellStart"/>
            <w:r w:rsidRPr="00B84B0C">
              <w:rPr>
                <w:rFonts w:eastAsia="Times New Roman" w:cs="Arial"/>
                <w:b w:val="0"/>
                <w:bCs w:val="0"/>
                <w:spacing w:val="-2"/>
                <w:sz w:val="14"/>
                <w:szCs w:val="18"/>
                <w:lang w:eastAsia="pt-BR"/>
              </w:rPr>
              <w:t>to</w:t>
            </w:r>
            <w:proofErr w:type="spellEnd"/>
            <w:r w:rsidRPr="00B84B0C">
              <w:rPr>
                <w:rFonts w:eastAsia="Times New Roman" w:cs="Arial"/>
                <w:b w:val="0"/>
                <w:bCs w:val="0"/>
                <w:spacing w:val="-2"/>
                <w:sz w:val="14"/>
                <w:szCs w:val="18"/>
                <w:lang w:eastAsia="pt-BR"/>
              </w:rPr>
              <w:t xml:space="preserve"> PIS / </w:t>
            </w:r>
            <w:proofErr w:type="gramStart"/>
            <w:r w:rsidRPr="00B84B0C">
              <w:rPr>
                <w:rFonts w:eastAsia="Times New Roman" w:cs="Arial"/>
                <w:b w:val="0"/>
                <w:bCs w:val="0"/>
                <w:spacing w:val="-2"/>
                <w:sz w:val="14"/>
                <w:szCs w:val="18"/>
                <w:lang w:eastAsia="pt-BR"/>
              </w:rPr>
              <w:t>Pasep</w:t>
            </w:r>
            <w:r w:rsidRPr="00B84B0C">
              <w:rPr>
                <w:rFonts w:eastAsia="Times New Roman" w:cs="Arial"/>
                <w:b w:val="0"/>
                <w:bCs w:val="0"/>
                <w:spacing w:val="-2"/>
                <w:sz w:val="14"/>
                <w:szCs w:val="18"/>
                <w:vertAlign w:val="superscript"/>
                <w:lang w:eastAsia="pt-BR"/>
              </w:rPr>
              <w:t>(</w:t>
            </w:r>
            <w:proofErr w:type="gramEnd"/>
            <w:r w:rsidRPr="00B84B0C">
              <w:rPr>
                <w:rFonts w:eastAsia="Times New Roman" w:cs="Arial"/>
                <w:b w:val="0"/>
                <w:bCs w:val="0"/>
                <w:spacing w:val="-2"/>
                <w:sz w:val="14"/>
                <w:szCs w:val="18"/>
                <w:vertAlign w:val="superscript"/>
                <w:lang w:eastAsia="pt-BR"/>
              </w:rPr>
              <w:t>2)</w:t>
            </w:r>
          </w:p>
        </w:tc>
        <w:tc>
          <w:tcPr>
            <w:tcW w:w="567" w:type="dxa"/>
            <w:tcBorders>
              <w:top w:val="nil"/>
              <w:bottom w:val="nil"/>
            </w:tcBorders>
            <w:shd w:val="clear" w:color="auto" w:fill="auto"/>
            <w:vAlign w:val="center"/>
          </w:tcPr>
          <w:p w14:paraId="2D24B732"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eastAsia="pt-BR"/>
              </w:rPr>
            </w:pPr>
          </w:p>
        </w:tc>
        <w:tc>
          <w:tcPr>
            <w:tcW w:w="1134" w:type="dxa"/>
            <w:tcBorders>
              <w:top w:val="nil"/>
              <w:bottom w:val="nil"/>
            </w:tcBorders>
            <w:shd w:val="clear" w:color="auto" w:fill="auto"/>
            <w:vAlign w:val="center"/>
          </w:tcPr>
          <w:p w14:paraId="7494CA02"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34" w:type="dxa"/>
            <w:tcBorders>
              <w:top w:val="nil"/>
              <w:bottom w:val="nil"/>
            </w:tcBorders>
            <w:shd w:val="clear" w:color="auto" w:fill="auto"/>
            <w:vAlign w:val="center"/>
          </w:tcPr>
          <w:p w14:paraId="0B16AE8F"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eastAsia="pt-BR"/>
              </w:rPr>
            </w:pPr>
          </w:p>
        </w:tc>
        <w:tc>
          <w:tcPr>
            <w:tcW w:w="283" w:type="dxa"/>
            <w:tcBorders>
              <w:top w:val="nil"/>
              <w:bottom w:val="nil"/>
            </w:tcBorders>
            <w:shd w:val="clear" w:color="auto" w:fill="auto"/>
            <w:vAlign w:val="center"/>
          </w:tcPr>
          <w:p w14:paraId="003352EF"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63" w:type="dxa"/>
            <w:tcBorders>
              <w:top w:val="nil"/>
              <w:bottom w:val="nil"/>
            </w:tcBorders>
            <w:shd w:val="clear" w:color="auto" w:fill="auto"/>
            <w:vAlign w:val="center"/>
          </w:tcPr>
          <w:p w14:paraId="4C014A07"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63" w:type="dxa"/>
            <w:tcBorders>
              <w:top w:val="nil"/>
              <w:bottom w:val="nil"/>
            </w:tcBorders>
            <w:shd w:val="clear" w:color="auto" w:fill="auto"/>
            <w:vAlign w:val="bottom"/>
          </w:tcPr>
          <w:p w14:paraId="6881D904"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eastAsia="pt-BR"/>
              </w:rPr>
            </w:pPr>
            <w:r w:rsidRPr="00B84B0C">
              <w:rPr>
                <w:rFonts w:eastAsia="Times New Roman" w:cs="Arial"/>
                <w:spacing w:val="-2"/>
                <w:sz w:val="14"/>
                <w:szCs w:val="18"/>
                <w:lang w:eastAsia="pt-BR"/>
              </w:rPr>
              <w:t>0.65%</w:t>
            </w:r>
          </w:p>
        </w:tc>
      </w:tr>
      <w:tr w:rsidR="00720F68" w:rsidRPr="00B84B0C" w14:paraId="5A750740" w14:textId="77777777" w:rsidTr="00720F68">
        <w:trPr>
          <w:trHeight w:val="238"/>
        </w:trPr>
        <w:tc>
          <w:tcPr>
            <w:cnfStyle w:val="001000000000" w:firstRow="0" w:lastRow="0" w:firstColumn="1" w:lastColumn="0" w:oddVBand="0" w:evenVBand="0" w:oddHBand="0" w:evenHBand="0" w:firstRowFirstColumn="0" w:firstRowLastColumn="0" w:lastRowFirstColumn="0" w:lastRowLastColumn="0"/>
            <w:tcW w:w="4395" w:type="dxa"/>
            <w:tcBorders>
              <w:top w:val="nil"/>
              <w:bottom w:val="nil"/>
            </w:tcBorders>
            <w:shd w:val="clear" w:color="auto" w:fill="D9E2F3"/>
            <w:vAlign w:val="bottom"/>
          </w:tcPr>
          <w:p w14:paraId="4300F6B7" w14:textId="77777777" w:rsidR="00720F68" w:rsidRPr="00B84B0C" w:rsidRDefault="00720F68" w:rsidP="00720F68">
            <w:pPr>
              <w:keepNext/>
              <w:keepLines/>
              <w:spacing w:before="40" w:after="40"/>
              <w:rPr>
                <w:rFonts w:eastAsia="Times New Roman" w:cs="Arial"/>
                <w:b w:val="0"/>
                <w:bCs w:val="0"/>
                <w:spacing w:val="-2"/>
                <w:sz w:val="14"/>
                <w:szCs w:val="14"/>
                <w:lang w:val="en-US" w:eastAsia="pt-BR"/>
              </w:rPr>
            </w:pPr>
            <w:r w:rsidRPr="00B84B0C">
              <w:rPr>
                <w:rFonts w:eastAsia="Times New Roman" w:cs="Arial"/>
                <w:b w:val="0"/>
                <w:bCs w:val="0"/>
                <w:spacing w:val="-2"/>
                <w:sz w:val="14"/>
                <w:szCs w:val="18"/>
                <w:lang w:val="en-US" w:eastAsia="pt-BR"/>
              </w:rPr>
              <w:t>Contribution for the financing of Social Security</w:t>
            </w:r>
            <w:r w:rsidRPr="00B84B0C">
              <w:rPr>
                <w:rFonts w:eastAsia="Times New Roman" w:cs="Arial"/>
                <w:b w:val="0"/>
                <w:bCs w:val="0"/>
                <w:spacing w:val="-2"/>
                <w:sz w:val="14"/>
                <w:szCs w:val="18"/>
                <w:vertAlign w:val="superscript"/>
                <w:lang w:val="en-US" w:eastAsia="pt-BR"/>
              </w:rPr>
              <w:t xml:space="preserve"> </w:t>
            </w:r>
            <w:r w:rsidRPr="00B84B0C">
              <w:rPr>
                <w:rFonts w:eastAsia="Times New Roman" w:cs="Arial"/>
                <w:b w:val="0"/>
                <w:bCs w:val="0"/>
                <w:spacing w:val="-2"/>
                <w:sz w:val="14"/>
                <w:szCs w:val="18"/>
                <w:lang w:val="en-US" w:eastAsia="pt-BR"/>
              </w:rPr>
              <w:t>(COFINS</w:t>
            </w:r>
            <w:proofErr w:type="gramStart"/>
            <w:r w:rsidRPr="00B84B0C">
              <w:rPr>
                <w:rFonts w:eastAsia="Times New Roman" w:cs="Arial"/>
                <w:b w:val="0"/>
                <w:bCs w:val="0"/>
                <w:spacing w:val="-2"/>
                <w:sz w:val="14"/>
                <w:szCs w:val="18"/>
                <w:lang w:val="en-US" w:eastAsia="pt-BR"/>
              </w:rPr>
              <w:t>)</w:t>
            </w:r>
            <w:r w:rsidRPr="00B84B0C">
              <w:rPr>
                <w:rFonts w:eastAsia="Times New Roman" w:cs="Arial"/>
                <w:b w:val="0"/>
                <w:bCs w:val="0"/>
                <w:spacing w:val="-2"/>
                <w:sz w:val="14"/>
                <w:szCs w:val="18"/>
                <w:vertAlign w:val="superscript"/>
                <w:lang w:val="en-US" w:eastAsia="pt-BR"/>
              </w:rPr>
              <w:t>(</w:t>
            </w:r>
            <w:proofErr w:type="gramEnd"/>
            <w:r w:rsidRPr="00B84B0C">
              <w:rPr>
                <w:rFonts w:eastAsia="Times New Roman" w:cs="Arial"/>
                <w:b w:val="0"/>
                <w:bCs w:val="0"/>
                <w:spacing w:val="-2"/>
                <w:sz w:val="14"/>
                <w:szCs w:val="18"/>
                <w:vertAlign w:val="superscript"/>
                <w:lang w:val="en-US" w:eastAsia="pt-BR"/>
              </w:rPr>
              <w:t>2)</w:t>
            </w:r>
          </w:p>
        </w:tc>
        <w:tc>
          <w:tcPr>
            <w:tcW w:w="567" w:type="dxa"/>
            <w:tcBorders>
              <w:top w:val="nil"/>
              <w:bottom w:val="nil"/>
            </w:tcBorders>
            <w:shd w:val="clear" w:color="auto" w:fill="D9E2F3"/>
            <w:vAlign w:val="center"/>
          </w:tcPr>
          <w:p w14:paraId="1705AD8A" w14:textId="77777777" w:rsidR="00720F68" w:rsidRPr="00B84B0C" w:rsidRDefault="00720F68" w:rsidP="00720F6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val="en-US" w:eastAsia="pt-BR"/>
              </w:rPr>
            </w:pPr>
          </w:p>
        </w:tc>
        <w:tc>
          <w:tcPr>
            <w:tcW w:w="1134" w:type="dxa"/>
            <w:tcBorders>
              <w:top w:val="nil"/>
              <w:bottom w:val="nil"/>
            </w:tcBorders>
            <w:shd w:val="clear" w:color="auto" w:fill="D9E2F3"/>
            <w:vAlign w:val="center"/>
          </w:tcPr>
          <w:p w14:paraId="4FDF3F8E"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134" w:type="dxa"/>
            <w:tcBorders>
              <w:top w:val="nil"/>
              <w:bottom w:val="nil"/>
            </w:tcBorders>
            <w:shd w:val="clear" w:color="auto" w:fill="D9E2F3"/>
            <w:vAlign w:val="center"/>
          </w:tcPr>
          <w:p w14:paraId="4295FBCF"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val="en-US" w:eastAsia="pt-BR"/>
              </w:rPr>
            </w:pPr>
          </w:p>
        </w:tc>
        <w:tc>
          <w:tcPr>
            <w:tcW w:w="283" w:type="dxa"/>
            <w:tcBorders>
              <w:top w:val="nil"/>
              <w:bottom w:val="nil"/>
            </w:tcBorders>
            <w:shd w:val="clear" w:color="auto" w:fill="D9E2F3"/>
            <w:vAlign w:val="center"/>
          </w:tcPr>
          <w:p w14:paraId="0EEA0A25"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063" w:type="dxa"/>
            <w:tcBorders>
              <w:top w:val="nil"/>
              <w:bottom w:val="nil"/>
            </w:tcBorders>
            <w:shd w:val="clear" w:color="auto" w:fill="D9E2F3"/>
            <w:vAlign w:val="center"/>
          </w:tcPr>
          <w:p w14:paraId="4393EE08" w14:textId="77777777" w:rsidR="00720F68" w:rsidRPr="00B84B0C" w:rsidRDefault="00720F68" w:rsidP="00720F6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val="en-US" w:eastAsia="pt-BR"/>
              </w:rPr>
            </w:pPr>
          </w:p>
        </w:tc>
        <w:tc>
          <w:tcPr>
            <w:tcW w:w="1063" w:type="dxa"/>
            <w:tcBorders>
              <w:top w:val="nil"/>
              <w:bottom w:val="nil"/>
            </w:tcBorders>
            <w:shd w:val="clear" w:color="auto" w:fill="D9E2F3"/>
            <w:vAlign w:val="bottom"/>
          </w:tcPr>
          <w:p w14:paraId="1D1F726A" w14:textId="77777777" w:rsidR="00720F68" w:rsidRPr="00B84B0C" w:rsidRDefault="00720F68" w:rsidP="00720F6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lang w:eastAsia="pt-BR"/>
              </w:rPr>
            </w:pPr>
            <w:r w:rsidRPr="00B84B0C">
              <w:rPr>
                <w:rFonts w:eastAsia="Times New Roman" w:cs="Arial"/>
                <w:spacing w:val="-2"/>
                <w:sz w:val="14"/>
                <w:szCs w:val="18"/>
                <w:lang w:eastAsia="pt-BR"/>
              </w:rPr>
              <w:t>4%</w:t>
            </w:r>
          </w:p>
        </w:tc>
      </w:tr>
      <w:tr w:rsidR="00720F68" w:rsidRPr="00B84B0C" w14:paraId="4E0F2B9D" w14:textId="77777777" w:rsidTr="00720F6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395" w:type="dxa"/>
            <w:tcBorders>
              <w:top w:val="nil"/>
              <w:bottom w:val="single" w:sz="2" w:space="0" w:color="8EAADB" w:themeColor="accent5" w:themeTint="99"/>
            </w:tcBorders>
            <w:shd w:val="clear" w:color="auto" w:fill="auto"/>
            <w:vAlign w:val="bottom"/>
          </w:tcPr>
          <w:p w14:paraId="56A40BAC" w14:textId="77777777" w:rsidR="00720F68" w:rsidRPr="00B84B0C" w:rsidRDefault="00720F68" w:rsidP="00720F68">
            <w:pPr>
              <w:keepNext/>
              <w:keepLines/>
              <w:spacing w:before="40" w:after="40"/>
              <w:rPr>
                <w:rFonts w:eastAsia="Times New Roman" w:cs="Arial"/>
                <w:b w:val="0"/>
                <w:bCs w:val="0"/>
                <w:spacing w:val="-2"/>
                <w:sz w:val="14"/>
                <w:szCs w:val="14"/>
                <w:lang w:eastAsia="pt-BR"/>
              </w:rPr>
            </w:pPr>
            <w:r w:rsidRPr="00B84B0C">
              <w:rPr>
                <w:rFonts w:eastAsia="Times New Roman" w:cs="Arial"/>
                <w:b w:val="0"/>
                <w:bCs w:val="0"/>
                <w:spacing w:val="-2"/>
                <w:sz w:val="14"/>
                <w:szCs w:val="18"/>
                <w:lang w:eastAsia="pt-BR"/>
              </w:rPr>
              <w:t xml:space="preserve">Municipal </w:t>
            </w:r>
            <w:proofErr w:type="spellStart"/>
            <w:r w:rsidRPr="00B84B0C">
              <w:rPr>
                <w:rFonts w:eastAsia="Times New Roman" w:cs="Arial"/>
                <w:b w:val="0"/>
                <w:bCs w:val="0"/>
                <w:spacing w:val="-2"/>
                <w:sz w:val="14"/>
                <w:szCs w:val="18"/>
                <w:lang w:eastAsia="pt-BR"/>
              </w:rPr>
              <w:t>services</w:t>
            </w:r>
            <w:proofErr w:type="spellEnd"/>
            <w:r w:rsidRPr="00B84B0C">
              <w:rPr>
                <w:rFonts w:eastAsia="Times New Roman" w:cs="Arial"/>
                <w:b w:val="0"/>
                <w:bCs w:val="0"/>
                <w:spacing w:val="-2"/>
                <w:sz w:val="14"/>
                <w:szCs w:val="18"/>
                <w:lang w:eastAsia="pt-BR"/>
              </w:rPr>
              <w:t xml:space="preserve"> </w:t>
            </w:r>
            <w:proofErr w:type="spellStart"/>
            <w:r w:rsidRPr="00B84B0C">
              <w:rPr>
                <w:rFonts w:eastAsia="Times New Roman" w:cs="Arial"/>
                <w:b w:val="0"/>
                <w:bCs w:val="0"/>
                <w:spacing w:val="-2"/>
                <w:sz w:val="14"/>
                <w:szCs w:val="18"/>
                <w:lang w:eastAsia="pt-BR"/>
              </w:rPr>
              <w:t>tax</w:t>
            </w:r>
            <w:proofErr w:type="spellEnd"/>
            <w:r w:rsidRPr="00B84B0C">
              <w:rPr>
                <w:rFonts w:eastAsia="Times New Roman" w:cs="Arial"/>
                <w:b w:val="0"/>
                <w:bCs w:val="0"/>
                <w:spacing w:val="-2"/>
                <w:sz w:val="14"/>
                <w:szCs w:val="18"/>
                <w:lang w:eastAsia="pt-BR"/>
              </w:rPr>
              <w:t>- ISS</w:t>
            </w:r>
          </w:p>
        </w:tc>
        <w:tc>
          <w:tcPr>
            <w:tcW w:w="567" w:type="dxa"/>
            <w:tcBorders>
              <w:top w:val="nil"/>
              <w:bottom w:val="single" w:sz="2" w:space="0" w:color="8EAADB" w:themeColor="accent5" w:themeTint="99"/>
            </w:tcBorders>
            <w:shd w:val="clear" w:color="auto" w:fill="auto"/>
            <w:vAlign w:val="center"/>
          </w:tcPr>
          <w:p w14:paraId="6E60B520" w14:textId="77777777" w:rsidR="00720F68" w:rsidRPr="00B84B0C" w:rsidRDefault="00720F68" w:rsidP="00720F6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eastAsia="pt-BR"/>
              </w:rPr>
            </w:pPr>
          </w:p>
        </w:tc>
        <w:tc>
          <w:tcPr>
            <w:tcW w:w="1134" w:type="dxa"/>
            <w:tcBorders>
              <w:top w:val="nil"/>
              <w:bottom w:val="single" w:sz="2" w:space="0" w:color="8EAADB" w:themeColor="accent5" w:themeTint="99"/>
            </w:tcBorders>
            <w:shd w:val="clear" w:color="auto" w:fill="auto"/>
            <w:vAlign w:val="center"/>
          </w:tcPr>
          <w:p w14:paraId="0F117F32"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34" w:type="dxa"/>
            <w:tcBorders>
              <w:top w:val="nil"/>
              <w:bottom w:val="single" w:sz="2" w:space="0" w:color="8EAADB" w:themeColor="accent5" w:themeTint="99"/>
            </w:tcBorders>
            <w:shd w:val="clear" w:color="auto" w:fill="auto"/>
            <w:vAlign w:val="center"/>
          </w:tcPr>
          <w:p w14:paraId="2D494A4D"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eastAsia="pt-BR"/>
              </w:rPr>
            </w:pPr>
          </w:p>
        </w:tc>
        <w:tc>
          <w:tcPr>
            <w:tcW w:w="283" w:type="dxa"/>
            <w:tcBorders>
              <w:top w:val="nil"/>
              <w:bottom w:val="single" w:sz="2" w:space="0" w:color="8EAADB" w:themeColor="accent5" w:themeTint="99"/>
            </w:tcBorders>
            <w:shd w:val="clear" w:color="auto" w:fill="auto"/>
            <w:vAlign w:val="center"/>
          </w:tcPr>
          <w:p w14:paraId="6FB43B18"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63" w:type="dxa"/>
            <w:tcBorders>
              <w:top w:val="nil"/>
              <w:bottom w:val="single" w:sz="2" w:space="0" w:color="8EAADB" w:themeColor="accent5" w:themeTint="99"/>
            </w:tcBorders>
            <w:shd w:val="clear" w:color="auto" w:fill="auto"/>
            <w:vAlign w:val="center"/>
          </w:tcPr>
          <w:p w14:paraId="704C00BA" w14:textId="77777777" w:rsidR="00720F68" w:rsidRPr="00B84B0C" w:rsidRDefault="00720F68" w:rsidP="00720F6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63" w:type="dxa"/>
            <w:tcBorders>
              <w:top w:val="nil"/>
              <w:bottom w:val="single" w:sz="2" w:space="0" w:color="8EAADB" w:themeColor="accent5" w:themeTint="99"/>
            </w:tcBorders>
            <w:shd w:val="clear" w:color="auto" w:fill="auto"/>
            <w:vAlign w:val="bottom"/>
          </w:tcPr>
          <w:p w14:paraId="2EC4C6E6" w14:textId="77777777" w:rsidR="00720F68" w:rsidRPr="00B84B0C" w:rsidRDefault="00720F68" w:rsidP="00720F6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eastAsia="pt-BR"/>
              </w:rPr>
            </w:pPr>
            <w:proofErr w:type="spellStart"/>
            <w:r w:rsidRPr="00B84B0C">
              <w:rPr>
                <w:rFonts w:eastAsia="Times New Roman" w:cs="Arial"/>
                <w:spacing w:val="-2"/>
                <w:sz w:val="14"/>
                <w:szCs w:val="18"/>
                <w:lang w:eastAsia="pt-BR"/>
              </w:rPr>
              <w:t>Up</w:t>
            </w:r>
            <w:proofErr w:type="spellEnd"/>
            <w:r w:rsidRPr="00B84B0C">
              <w:rPr>
                <w:rFonts w:eastAsia="Times New Roman" w:cs="Arial"/>
                <w:spacing w:val="-2"/>
                <w:sz w:val="14"/>
                <w:szCs w:val="18"/>
                <w:lang w:eastAsia="pt-BR"/>
              </w:rPr>
              <w:t xml:space="preserve"> </w:t>
            </w:r>
            <w:proofErr w:type="spellStart"/>
            <w:r w:rsidRPr="00B84B0C">
              <w:rPr>
                <w:rFonts w:eastAsia="Times New Roman" w:cs="Arial"/>
                <w:spacing w:val="-2"/>
                <w:sz w:val="14"/>
                <w:szCs w:val="18"/>
                <w:lang w:eastAsia="pt-BR"/>
              </w:rPr>
              <w:t>to</w:t>
            </w:r>
            <w:proofErr w:type="spellEnd"/>
            <w:r w:rsidRPr="00B84B0C">
              <w:rPr>
                <w:rFonts w:eastAsia="Times New Roman" w:cs="Arial"/>
                <w:spacing w:val="-2"/>
                <w:sz w:val="14"/>
                <w:szCs w:val="18"/>
                <w:lang w:eastAsia="pt-BR"/>
              </w:rPr>
              <w:t xml:space="preserve"> 5%</w:t>
            </w:r>
          </w:p>
        </w:tc>
      </w:tr>
    </w:tbl>
    <w:p w14:paraId="3708F982" w14:textId="77777777" w:rsidR="00720F68" w:rsidRPr="00B84B0C" w:rsidRDefault="00720F68" w:rsidP="00720F68">
      <w:pPr>
        <w:keepLines/>
        <w:tabs>
          <w:tab w:val="left" w:pos="284"/>
        </w:tabs>
        <w:spacing w:before="40" w:after="0" w:line="240" w:lineRule="auto"/>
        <w:jc w:val="both"/>
        <w:rPr>
          <w:rFonts w:eastAsia="Times New Roman" w:cs="Arial"/>
          <w:spacing w:val="-2"/>
          <w:sz w:val="14"/>
          <w:szCs w:val="18"/>
          <w:lang w:val="en-US" w:eastAsia="pt-BR"/>
        </w:rPr>
      </w:pPr>
      <w:r w:rsidRPr="00B84B0C">
        <w:rPr>
          <w:rFonts w:eastAsia="Times New Roman" w:cs="Arial"/>
          <w:spacing w:val="-2"/>
          <w:sz w:val="14"/>
          <w:szCs w:val="18"/>
          <w:lang w:val="en-US" w:eastAsia="pt-BR"/>
        </w:rPr>
        <w:t>(1) Includes basic rate (15%) and additional (10%)</w:t>
      </w:r>
    </w:p>
    <w:p w14:paraId="6E58B109" w14:textId="77777777" w:rsidR="00720F68" w:rsidRPr="00B84B0C" w:rsidRDefault="00720F68" w:rsidP="00720F68">
      <w:pPr>
        <w:keepLines/>
        <w:tabs>
          <w:tab w:val="left" w:pos="284"/>
        </w:tabs>
        <w:spacing w:before="40" w:after="0" w:line="240" w:lineRule="auto"/>
        <w:ind w:left="284" w:hanging="284"/>
        <w:jc w:val="both"/>
        <w:rPr>
          <w:rFonts w:eastAsia="Times New Roman" w:cs="Arial"/>
          <w:spacing w:val="-2"/>
          <w:sz w:val="14"/>
          <w:szCs w:val="18"/>
          <w:lang w:val="en-US" w:eastAsia="pt-BR"/>
        </w:rPr>
      </w:pPr>
      <w:r w:rsidRPr="00B84B0C">
        <w:rPr>
          <w:rFonts w:eastAsia="Times New Roman" w:cs="Arial"/>
          <w:spacing w:val="-2"/>
          <w:sz w:val="14"/>
          <w:szCs w:val="18"/>
          <w:lang w:val="en-US" w:eastAsia="pt-BR"/>
        </w:rPr>
        <w:t>(2) Interest rate on financial investments.</w:t>
      </w:r>
    </w:p>
    <w:p w14:paraId="5B8CAB0B"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The deferred tax assets and deferred tax liabilities are constituted by the application of the current tax rates on their respective bases. For constitution, maintenance and write-off of deferred tax assets, the criteria established by CPC 32 - Taxes on Profit are </w:t>
      </w:r>
      <w:proofErr w:type="gramStart"/>
      <w:r w:rsidRPr="00B84B0C">
        <w:rPr>
          <w:rFonts w:eastAsia="Times New Roman" w:cs="Arial"/>
          <w:spacing w:val="-2"/>
          <w:szCs w:val="18"/>
          <w:lang w:val="en-US" w:eastAsia="pt-BR"/>
        </w:rPr>
        <w:t>observed, and</w:t>
      </w:r>
      <w:proofErr w:type="gramEnd"/>
      <w:r w:rsidRPr="00B84B0C">
        <w:rPr>
          <w:rFonts w:eastAsia="Times New Roman" w:cs="Arial"/>
          <w:spacing w:val="-2"/>
          <w:szCs w:val="18"/>
          <w:lang w:val="en-US" w:eastAsia="pt-BR"/>
        </w:rPr>
        <w:t xml:space="preserve"> are supported by a realization capacity study.</w:t>
      </w:r>
    </w:p>
    <w:p w14:paraId="3E8A99BE"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m) Segment Disclosure</w:t>
      </w:r>
    </w:p>
    <w:p w14:paraId="6638D235"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CPC 22 - Information by Segment (IFRS 8) requires the disclosure of financial information of the entity's operating segments based on the internal disclosures that are used by Management to allocate resources and to evaluate its financial and economic </w:t>
      </w:r>
      <w:proofErr w:type="gramStart"/>
      <w:r w:rsidRPr="00B84B0C">
        <w:rPr>
          <w:rFonts w:eastAsia="Times New Roman" w:cs="Arial"/>
          <w:spacing w:val="-2"/>
          <w:szCs w:val="18"/>
          <w:lang w:val="en-US" w:eastAsia="pt-BR"/>
        </w:rPr>
        <w:t>performance</w:t>
      </w:r>
      <w:proofErr w:type="gramEnd"/>
    </w:p>
    <w:p w14:paraId="2CE52055"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n) Interest on Shareholder's Capital and Dividends</w:t>
      </w:r>
    </w:p>
    <w:p w14:paraId="6D1637FD"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Brazilian companies may assign a nominal interest expense, deductible for tax purposes, on their own capital. The amount of interest on shareholders 'equity is considered as a dividend and, when applicable, presented in these consolidated financial statements as a direct reduction in stockholders' equity. </w:t>
      </w:r>
    </w:p>
    <w:p w14:paraId="086EE052"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Under the current dividends policy,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distributes to shareholders as mandatory dividend a portion corresponding to at least 25% of adjusted net income with the deductions and increases provided for in Art. 202 of Law 6,404 / 76, which are recognized as a liability and deducted from shareholders' equity when allocating the result of the period.</w:t>
      </w:r>
    </w:p>
    <w:p w14:paraId="20A06390"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In the reported period there was no payment of Interest on Shareholder's Capital</w:t>
      </w:r>
    </w:p>
    <w:p w14:paraId="44184083"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o) Earning per share</w:t>
      </w:r>
    </w:p>
    <w:p w14:paraId="716FBA14"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The earnings per share disclosure is made in accordance with the criteria defined in CPC 41 - Earning per Share. The basic and diluted </w:t>
      </w:r>
      <w:proofErr w:type="spellStart"/>
      <w:r w:rsidRPr="00B84B0C">
        <w:rPr>
          <w:rFonts w:eastAsia="Times New Roman" w:cs="Arial"/>
          <w:spacing w:val="-2"/>
          <w:szCs w:val="18"/>
          <w:lang w:val="en-US" w:eastAsia="pt-BR"/>
        </w:rPr>
        <w:t>earning</w:t>
      </w:r>
      <w:proofErr w:type="spellEnd"/>
      <w:r w:rsidRPr="00B84B0C">
        <w:rPr>
          <w:rFonts w:eastAsia="Times New Roman" w:cs="Arial"/>
          <w:spacing w:val="-2"/>
          <w:szCs w:val="18"/>
          <w:lang w:val="en-US" w:eastAsia="pt-BR"/>
        </w:rPr>
        <w:t xml:space="preserve"> per share of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was calculated by dividing net income attributable to shareholders by the weighted average number of total common shares, excluding treasury shares. 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has no option, subscription bonus or its equivalents that give its holder the right to acquire shares. Thus, </w:t>
      </w:r>
      <w:proofErr w:type="gramStart"/>
      <w:r w:rsidRPr="00B84B0C">
        <w:rPr>
          <w:rFonts w:eastAsia="Times New Roman" w:cs="Arial"/>
          <w:spacing w:val="-2"/>
          <w:szCs w:val="18"/>
          <w:lang w:val="en-US" w:eastAsia="pt-BR"/>
        </w:rPr>
        <w:t>basic</w:t>
      </w:r>
      <w:proofErr w:type="gramEnd"/>
      <w:r w:rsidRPr="00B84B0C">
        <w:rPr>
          <w:rFonts w:eastAsia="Times New Roman" w:cs="Arial"/>
          <w:spacing w:val="-2"/>
          <w:szCs w:val="18"/>
          <w:lang w:val="en-US" w:eastAsia="pt-BR"/>
        </w:rPr>
        <w:t xml:space="preserve"> and diluted earnings per share are the same. </w:t>
      </w:r>
    </w:p>
    <w:p w14:paraId="66427EF5" w14:textId="77777777" w:rsidR="00720F68" w:rsidRPr="00B84B0C" w:rsidRDefault="00720F68" w:rsidP="00720F68">
      <w:pPr>
        <w:spacing w:before="120" w:after="120"/>
        <w:jc w:val="both"/>
        <w:rPr>
          <w:rFonts w:eastAsia="Times New Roman" w:cs="Arial"/>
          <w:b/>
          <w:color w:val="244061"/>
          <w:spacing w:val="-2"/>
          <w:szCs w:val="18"/>
          <w:lang w:val="en-US" w:eastAsia="pt-BR"/>
        </w:rPr>
      </w:pPr>
      <w:r w:rsidRPr="00B84B0C">
        <w:rPr>
          <w:rFonts w:eastAsia="Times New Roman" w:cs="Arial"/>
          <w:b/>
          <w:color w:val="244061"/>
          <w:spacing w:val="-2"/>
          <w:szCs w:val="18"/>
          <w:lang w:val="en-US" w:eastAsia="pt-BR"/>
        </w:rPr>
        <w:t>p) Leasing operations</w:t>
      </w:r>
    </w:p>
    <w:p w14:paraId="200D7A36"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recognition, measurement and disclosure of leases are carried out in accordance with the criteria defined in CPC 06 (R2) - Leasing Operation.</w:t>
      </w:r>
    </w:p>
    <w:p w14:paraId="40163119"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 xml:space="preserve">BB </w:t>
      </w:r>
      <w:proofErr w:type="spellStart"/>
      <w:r w:rsidRPr="00B84B0C">
        <w:rPr>
          <w:rFonts w:eastAsia="Times New Roman" w:cs="Arial"/>
          <w:spacing w:val="-2"/>
          <w:szCs w:val="18"/>
          <w:lang w:val="en-US" w:eastAsia="pt-BR"/>
        </w:rPr>
        <w:t>Seguridade</w:t>
      </w:r>
      <w:proofErr w:type="spellEnd"/>
      <w:r w:rsidRPr="00B84B0C">
        <w:rPr>
          <w:rFonts w:eastAsia="Times New Roman" w:cs="Arial"/>
          <w:spacing w:val="-2"/>
          <w:szCs w:val="18"/>
          <w:lang w:val="en-US" w:eastAsia="pt-BR"/>
        </w:rPr>
        <w:t xml:space="preserve"> and its subsidiaries do not have leasing operations, but they have </w:t>
      </w:r>
      <w:proofErr w:type="spellStart"/>
      <w:r w:rsidRPr="00B84B0C">
        <w:rPr>
          <w:rFonts w:eastAsia="Times New Roman" w:cs="Arial"/>
          <w:spacing w:val="-2"/>
          <w:szCs w:val="18"/>
          <w:lang w:val="en-US" w:eastAsia="pt-BR"/>
        </w:rPr>
        <w:t>investiments</w:t>
      </w:r>
      <w:proofErr w:type="spellEnd"/>
      <w:r w:rsidRPr="00B84B0C">
        <w:rPr>
          <w:rFonts w:eastAsia="Times New Roman" w:cs="Arial"/>
          <w:spacing w:val="-2"/>
          <w:szCs w:val="18"/>
          <w:lang w:val="en-US" w:eastAsia="pt-BR"/>
        </w:rPr>
        <w:t xml:space="preserve"> in insurance companies, for which the </w:t>
      </w:r>
      <w:proofErr w:type="spellStart"/>
      <w:r w:rsidRPr="00B84B0C">
        <w:rPr>
          <w:rFonts w:eastAsia="Times New Roman" w:cs="Arial"/>
          <w:spacing w:val="-2"/>
          <w:szCs w:val="18"/>
          <w:lang w:val="en-US" w:eastAsia="pt-BR"/>
        </w:rPr>
        <w:t>Susep</w:t>
      </w:r>
      <w:proofErr w:type="spellEnd"/>
      <w:r w:rsidRPr="00B84B0C">
        <w:rPr>
          <w:rFonts w:eastAsia="Times New Roman" w:cs="Arial"/>
          <w:spacing w:val="-2"/>
          <w:szCs w:val="18"/>
          <w:lang w:val="en-US" w:eastAsia="pt-BR"/>
        </w:rPr>
        <w:t xml:space="preserve"> has not yet approved the adoption of the new standard. When there is a divergence in the accounting practice adopted by the investor in relation to the investee companies, adjustment procedures are necessary for standardization purposes. Considering the current leasing operations of the investees, the necessary adjustments were made in the investments to standardize the practices.</w:t>
      </w:r>
    </w:p>
    <w:p w14:paraId="2E6670DD" w14:textId="77777777" w:rsidR="00720F68" w:rsidRPr="00B84B0C" w:rsidRDefault="00720F68" w:rsidP="00720F68">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 xml:space="preserve">In Mar 31, adjustments were made to BB </w:t>
      </w:r>
      <w:proofErr w:type="spellStart"/>
      <w:r w:rsidRPr="00B84B0C">
        <w:rPr>
          <w:rFonts w:eastAsia="Times New Roman" w:cs="Arial"/>
          <w:spacing w:val="-2"/>
          <w:szCs w:val="18"/>
          <w:lang w:val="en" w:eastAsia="pt-BR"/>
        </w:rPr>
        <w:t>Seguridade</w:t>
      </w:r>
      <w:proofErr w:type="spellEnd"/>
      <w:r w:rsidRPr="00B84B0C">
        <w:rPr>
          <w:rFonts w:eastAsia="Times New Roman" w:cs="Arial"/>
          <w:spacing w:val="-2"/>
          <w:szCs w:val="18"/>
          <w:lang w:val="en" w:eastAsia="pt-BR"/>
        </w:rPr>
        <w:t xml:space="preserve"> consolidated to standardize the accounting practice adopted by the investee </w:t>
      </w:r>
      <w:proofErr w:type="spellStart"/>
      <w:r w:rsidRPr="00B84B0C">
        <w:rPr>
          <w:rFonts w:eastAsia="Times New Roman" w:cs="Arial"/>
          <w:spacing w:val="-2"/>
          <w:szCs w:val="18"/>
          <w:lang w:val="en" w:eastAsia="pt-BR"/>
        </w:rPr>
        <w:t>Brasilprev</w:t>
      </w:r>
      <w:proofErr w:type="spellEnd"/>
      <w:r w:rsidRPr="00B84B0C">
        <w:rPr>
          <w:rFonts w:eastAsia="Times New Roman" w:cs="Arial"/>
          <w:spacing w:val="-2"/>
          <w:szCs w:val="18"/>
          <w:lang w:val="en" w:eastAsia="pt-BR"/>
        </w:rPr>
        <w:t xml:space="preserve"> </w:t>
      </w:r>
      <w:proofErr w:type="spellStart"/>
      <w:r w:rsidRPr="00B84B0C">
        <w:rPr>
          <w:rFonts w:eastAsia="Times New Roman" w:cs="Arial"/>
          <w:spacing w:val="-2"/>
          <w:szCs w:val="18"/>
          <w:lang w:val="en" w:eastAsia="pt-BR"/>
        </w:rPr>
        <w:t>Seguros</w:t>
      </w:r>
      <w:proofErr w:type="spellEnd"/>
      <w:r w:rsidRPr="00B84B0C">
        <w:rPr>
          <w:rFonts w:eastAsia="Times New Roman" w:cs="Arial"/>
          <w:spacing w:val="-2"/>
          <w:szCs w:val="18"/>
          <w:lang w:val="en" w:eastAsia="pt-BR"/>
        </w:rPr>
        <w:t xml:space="preserve"> e </w:t>
      </w:r>
      <w:proofErr w:type="spellStart"/>
      <w:r w:rsidRPr="00B84B0C">
        <w:rPr>
          <w:rFonts w:eastAsia="Times New Roman" w:cs="Arial"/>
          <w:spacing w:val="-2"/>
          <w:szCs w:val="18"/>
          <w:lang w:val="en" w:eastAsia="pt-BR"/>
        </w:rPr>
        <w:t>Previdência</w:t>
      </w:r>
      <w:proofErr w:type="spellEnd"/>
      <w:r w:rsidRPr="00B84B0C">
        <w:rPr>
          <w:rFonts w:eastAsia="Times New Roman" w:cs="Arial"/>
          <w:spacing w:val="-2"/>
          <w:szCs w:val="18"/>
          <w:lang w:val="en" w:eastAsia="pt-BR"/>
        </w:rPr>
        <w:t xml:space="preserve"> S.A. in the amount of R $ 1.8 million.</w:t>
      </w:r>
    </w:p>
    <w:p w14:paraId="2B048D87" w14:textId="77777777" w:rsidR="00720F68" w:rsidRPr="00B84B0C" w:rsidRDefault="00720F68" w:rsidP="00720F68">
      <w:pPr>
        <w:spacing w:before="120" w:after="120"/>
        <w:jc w:val="both"/>
        <w:rPr>
          <w:rFonts w:eastAsia="Times New Roman" w:cs="Arial"/>
          <w:b/>
          <w:spacing w:val="-2"/>
          <w:szCs w:val="18"/>
          <w:lang w:val="en-US" w:eastAsia="pt-BR"/>
        </w:rPr>
      </w:pPr>
      <w:r w:rsidRPr="00B84B0C">
        <w:rPr>
          <w:rFonts w:eastAsia="Times New Roman" w:cs="Arial"/>
          <w:b/>
          <w:color w:val="244061"/>
          <w:spacing w:val="-2"/>
          <w:szCs w:val="18"/>
          <w:lang w:val="en-US" w:eastAsia="pt-BR"/>
        </w:rPr>
        <w:t>q) Improvements to IFRS and Recently Issued Pronouncements</w:t>
      </w:r>
    </w:p>
    <w:p w14:paraId="68B63335"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Improvements to IFRS are amendments issued by the IASB - International Accounting Standards Board and comprise changes in recognition, measurement and disclosure rules related to various IFRS. We present a summary of some amendments as well as the interpretations and pronouncements recently issued by the IASB and CPC, which will come into effect after this period:</w:t>
      </w:r>
    </w:p>
    <w:p w14:paraId="30D756D1"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b/>
          <w:color w:val="244061"/>
          <w:spacing w:val="-2"/>
          <w:szCs w:val="18"/>
          <w:lang w:val="en-US" w:eastAsia="pt-BR"/>
        </w:rPr>
        <w:t>IFRS 17 - Insurance Contracts –</w:t>
      </w:r>
      <w:r w:rsidRPr="00B84B0C">
        <w:rPr>
          <w:rFonts w:eastAsia="Times New Roman" w:cs="Arial"/>
          <w:spacing w:val="-2"/>
          <w:szCs w:val="18"/>
          <w:lang w:val="en-US" w:eastAsia="pt-BR"/>
        </w:rPr>
        <w:t xml:space="preserve"> In May 2017, the IASB issued IFRS 17, replacing IFRS 4 - Insurance Contracts, which establishes the principles for the recognition, </w:t>
      </w:r>
      <w:proofErr w:type="gramStart"/>
      <w:r w:rsidRPr="00B84B0C">
        <w:rPr>
          <w:rFonts w:eastAsia="Times New Roman" w:cs="Arial"/>
          <w:spacing w:val="-2"/>
          <w:szCs w:val="18"/>
          <w:lang w:val="en-US" w:eastAsia="pt-BR"/>
        </w:rPr>
        <w:t>measurement</w:t>
      </w:r>
      <w:proofErr w:type="gramEnd"/>
      <w:r w:rsidRPr="00B84B0C">
        <w:rPr>
          <w:rFonts w:eastAsia="Times New Roman" w:cs="Arial"/>
          <w:spacing w:val="-2"/>
          <w:szCs w:val="18"/>
          <w:lang w:val="en-US" w:eastAsia="pt-BR"/>
        </w:rPr>
        <w:t xml:space="preserve"> and disclosure of insurance contracts within the scope of the standard. The objective of IFRS 17 is to ensure that an entity provides relevant information that faithfully represents these contracts. This information provides a basis for users of financial statements to assess the effect that insurance contracts have on the entity's financial position, financial </w:t>
      </w:r>
      <w:proofErr w:type="gramStart"/>
      <w:r w:rsidRPr="00B84B0C">
        <w:rPr>
          <w:rFonts w:eastAsia="Times New Roman" w:cs="Arial"/>
          <w:spacing w:val="-2"/>
          <w:szCs w:val="18"/>
          <w:lang w:val="en-US" w:eastAsia="pt-BR"/>
        </w:rPr>
        <w:t>performance</w:t>
      </w:r>
      <w:proofErr w:type="gramEnd"/>
      <w:r w:rsidRPr="00B84B0C">
        <w:rPr>
          <w:rFonts w:eastAsia="Times New Roman" w:cs="Arial"/>
          <w:spacing w:val="-2"/>
          <w:szCs w:val="18"/>
          <w:lang w:val="en-US" w:eastAsia="pt-BR"/>
        </w:rPr>
        <w:t xml:space="preserve"> and cash flows.</w:t>
      </w:r>
    </w:p>
    <w:p w14:paraId="502A4C3E"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lastRenderedPageBreak/>
        <w:t>In March 2020, through the Amendment to IFRS 17, the IASB decided that the effective date of the standard will be postponed to annual periods beginning on or after January 1, 2023. It also decided to extend the exemption currently in effect for some insurers in regarding the application of IFRS 9 Financial Instruments to allow the implementation of IFRS 9 and IFRS 17 at the same time.</w:t>
      </w:r>
    </w:p>
    <w:p w14:paraId="01BBC8D5"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To date, the CPC has not issued an equivalent standard.</w:t>
      </w:r>
    </w:p>
    <w:p w14:paraId="1C1452D8"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US" w:eastAsia="pt-BR"/>
        </w:rPr>
        <w:t>The new Conceptual Framework brought some concepts up to date, such as the definitions of assets and liabilities, but there are no impacts on the financial statements resulting from the implementation of this Conceptual Framework.</w:t>
      </w:r>
    </w:p>
    <w:p w14:paraId="52BAFC8A" w14:textId="77777777" w:rsidR="00720F68" w:rsidRPr="00B84B0C" w:rsidRDefault="00720F68" w:rsidP="00720F68">
      <w:pPr>
        <w:spacing w:before="120" w:after="120"/>
        <w:jc w:val="both"/>
        <w:rPr>
          <w:rFonts w:eastAsia="Times New Roman" w:cs="Arial"/>
          <w:spacing w:val="-2"/>
          <w:szCs w:val="18"/>
          <w:lang w:val="en" w:eastAsia="pt-BR"/>
        </w:rPr>
      </w:pPr>
      <w:r w:rsidRPr="00B84B0C">
        <w:rPr>
          <w:rFonts w:eastAsia="Times New Roman" w:cs="Arial"/>
          <w:b/>
          <w:color w:val="244061"/>
          <w:spacing w:val="-2"/>
          <w:szCs w:val="18"/>
          <w:lang w:val="en-US" w:eastAsia="pt-BR"/>
        </w:rPr>
        <w:t>Conceptual Framework for Financial Reporting - (Review 2)</w:t>
      </w:r>
      <w:r w:rsidRPr="00B84B0C">
        <w:rPr>
          <w:rFonts w:eastAsia="Times New Roman" w:cs="Arial"/>
          <w:spacing w:val="-2"/>
          <w:szCs w:val="18"/>
          <w:lang w:val="en" w:eastAsia="pt-BR"/>
        </w:rPr>
        <w:t xml:space="preserve"> - In March 2018, the IASB issued the review of the Conceptual Framework for Financial Reporting (Conceptual Framework </w:t>
      </w:r>
      <w:proofErr w:type="gramStart"/>
      <w:r w:rsidRPr="00B84B0C">
        <w:rPr>
          <w:rFonts w:eastAsia="Times New Roman" w:cs="Arial"/>
          <w:spacing w:val="-2"/>
          <w:szCs w:val="18"/>
          <w:lang w:val="en" w:eastAsia="pt-BR"/>
        </w:rPr>
        <w:t>For</w:t>
      </w:r>
      <w:proofErr w:type="gramEnd"/>
      <w:r w:rsidRPr="00B84B0C">
        <w:rPr>
          <w:rFonts w:eastAsia="Times New Roman" w:cs="Arial"/>
          <w:spacing w:val="-2"/>
          <w:szCs w:val="18"/>
          <w:lang w:val="en" w:eastAsia="pt-BR"/>
        </w:rPr>
        <w:t xml:space="preserve"> Financial). In November 2019, the Accounting Pronouncements Committee (CPC) also approved the issuance of this review. The changes took effect from January 1, 2020.</w:t>
      </w:r>
    </w:p>
    <w:p w14:paraId="6A772354" w14:textId="77777777" w:rsidR="00720F68" w:rsidRPr="00B84B0C" w:rsidRDefault="00720F68" w:rsidP="00720F68">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The purpose of the Conceptual Framework is to assist in the development of accounting standards so that they are based on consistent concepts, to assist those responsible for preparing the financial statements for the development and choices of their accounting policies, in addition to assisting all parties to understand and interpret the Pronouncements.</w:t>
      </w:r>
    </w:p>
    <w:p w14:paraId="77934E9D" w14:textId="77777777" w:rsidR="00720F68" w:rsidRPr="00B84B0C" w:rsidRDefault="00720F68" w:rsidP="00720F68">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We emphasize that the Conceptual Framework is not a pronouncement per se. The content of this review does not override any pronouncement or requirement in the pronouncement.</w:t>
      </w:r>
    </w:p>
    <w:p w14:paraId="693BDBF6" w14:textId="77777777" w:rsidR="00720F68" w:rsidRPr="00B84B0C" w:rsidRDefault="00720F68" w:rsidP="00720F68">
      <w:pPr>
        <w:spacing w:before="120" w:after="120"/>
        <w:jc w:val="both"/>
        <w:rPr>
          <w:rFonts w:eastAsia="Times New Roman" w:cs="Arial"/>
          <w:spacing w:val="-2"/>
          <w:szCs w:val="18"/>
          <w:lang w:val="en-US" w:eastAsia="pt-BR"/>
        </w:rPr>
      </w:pPr>
      <w:r w:rsidRPr="00B84B0C">
        <w:rPr>
          <w:rFonts w:eastAsia="Times New Roman" w:cs="Arial"/>
          <w:spacing w:val="-2"/>
          <w:szCs w:val="18"/>
          <w:lang w:val="en" w:eastAsia="pt-BR"/>
        </w:rPr>
        <w:t>The new Conceptual Framework brought some concepts up to date, such as the definitions of assets and liabilities, but it is not expected to have significant impacts on the financial statements resulting from the implementation of this standard.</w:t>
      </w:r>
    </w:p>
    <w:p w14:paraId="3872612E" w14:textId="77777777" w:rsidR="00720F68" w:rsidRPr="00B84B0C" w:rsidRDefault="00720F68" w:rsidP="00720F68">
      <w:pPr>
        <w:rPr>
          <w:rFonts w:cs="Arial"/>
          <w:lang w:val="en-US" w:eastAsia="pt-BR"/>
        </w:rPr>
      </w:pPr>
    </w:p>
    <w:p w14:paraId="3B97AAF4" w14:textId="512C2B9C" w:rsidR="00720F68" w:rsidRPr="00B84B0C" w:rsidRDefault="00720F68" w:rsidP="00711D9A">
      <w:pPr>
        <w:pStyle w:val="02-TtulodeNota"/>
        <w:rPr>
          <w:rFonts w:cs="Arial"/>
          <w:color w:val="1F4E79" w:themeColor="accent1" w:themeShade="80"/>
          <w:lang w:val="en-US"/>
        </w:rPr>
      </w:pPr>
      <w:bookmarkStart w:id="17" w:name="_Toc39131489"/>
      <w:bookmarkEnd w:id="16"/>
      <w:r w:rsidRPr="00B84B0C">
        <w:rPr>
          <w:rFonts w:cs="Arial"/>
          <w:color w:val="1F4E79" w:themeColor="accent1" w:themeShade="80"/>
          <w:lang w:val="en-US"/>
        </w:rPr>
        <w:t>5 – R</w:t>
      </w:r>
      <w:r w:rsidR="00711D9A" w:rsidRPr="00B84B0C">
        <w:rPr>
          <w:rFonts w:cs="Arial"/>
          <w:color w:val="1F4E79" w:themeColor="accent1" w:themeShade="80"/>
          <w:lang w:val="en-US"/>
        </w:rPr>
        <w:t>ISK MANAGEMENT</w:t>
      </w:r>
      <w:bookmarkEnd w:id="17"/>
    </w:p>
    <w:p w14:paraId="44861BC5" w14:textId="77777777" w:rsidR="00720F68" w:rsidRPr="00B84B0C" w:rsidRDefault="00720F68" w:rsidP="00720F68">
      <w:pPr>
        <w:pStyle w:val="05-Textonormal"/>
        <w:rPr>
          <w:rFonts w:cs="Arial"/>
          <w:lang w:val="en-US"/>
        </w:rPr>
      </w:pPr>
      <w:r w:rsidRPr="00B84B0C">
        <w:rPr>
          <w:rFonts w:cs="Arial"/>
          <w:lang w:val="en-US"/>
        </w:rPr>
        <w:t xml:space="preserve">The risk management at BB </w:t>
      </w:r>
      <w:proofErr w:type="spellStart"/>
      <w:r w:rsidRPr="00B84B0C">
        <w:rPr>
          <w:rFonts w:cs="Arial"/>
          <w:lang w:val="en-US"/>
        </w:rPr>
        <w:t>Seguridade</w:t>
      </w:r>
      <w:proofErr w:type="spellEnd"/>
      <w:r w:rsidRPr="00B84B0C">
        <w:rPr>
          <w:rFonts w:cs="Arial"/>
          <w:lang w:val="en-US"/>
        </w:rPr>
        <w:t xml:space="preserve"> follows the guidelines established in its Risk Management, Internal Control and Compliance Policy, approved by the Board of </w:t>
      </w:r>
      <w:proofErr w:type="gramStart"/>
      <w:r w:rsidRPr="00B84B0C">
        <w:rPr>
          <w:rFonts w:cs="Arial"/>
          <w:lang w:val="en-US"/>
        </w:rPr>
        <w:t>Directors</w:t>
      </w:r>
      <w:proofErr w:type="gramEnd"/>
      <w:r w:rsidRPr="00B84B0C">
        <w:rPr>
          <w:rFonts w:cs="Arial"/>
          <w:lang w:val="en-US"/>
        </w:rPr>
        <w:t xml:space="preserve"> and disclosed to the market through the investors relations website.</w:t>
      </w:r>
    </w:p>
    <w:p w14:paraId="67E43931" w14:textId="77777777" w:rsidR="00720F68" w:rsidRPr="00B84B0C" w:rsidRDefault="00720F68" w:rsidP="00720F68">
      <w:pPr>
        <w:pStyle w:val="05-Textonormal"/>
        <w:rPr>
          <w:rFonts w:cs="Arial"/>
          <w:lang w:val="en-US"/>
        </w:rPr>
      </w:pPr>
      <w:r w:rsidRPr="00B84B0C">
        <w:rPr>
          <w:rFonts w:cs="Arial"/>
          <w:lang w:val="en-US"/>
        </w:rPr>
        <w:t xml:space="preserve">The Company understands that its risk exposure originates from its interests, and therefore the Policy contemplates two risk management dimensions: risk management (risks arising from the operations of BB </w:t>
      </w:r>
      <w:proofErr w:type="spellStart"/>
      <w:r w:rsidRPr="00B84B0C">
        <w:rPr>
          <w:rFonts w:cs="Arial"/>
          <w:lang w:val="en-US"/>
        </w:rPr>
        <w:t>Seguridade</w:t>
      </w:r>
      <w:proofErr w:type="spellEnd"/>
      <w:r w:rsidRPr="00B84B0C">
        <w:rPr>
          <w:rFonts w:cs="Arial"/>
          <w:lang w:val="en-US"/>
        </w:rPr>
        <w:t xml:space="preserve"> and its subsidiaries) and risk governance (risks arising from associates/joint ventures).</w:t>
      </w:r>
    </w:p>
    <w:p w14:paraId="39730AD5" w14:textId="77777777" w:rsidR="00720F68" w:rsidRPr="00B84B0C" w:rsidRDefault="00720F68" w:rsidP="00720F68">
      <w:pPr>
        <w:pStyle w:val="05-Textonormal"/>
        <w:rPr>
          <w:rFonts w:cs="Arial"/>
          <w:lang w:val="en-US"/>
        </w:rPr>
      </w:pPr>
      <w:r w:rsidRPr="00B84B0C">
        <w:rPr>
          <w:rFonts w:cs="Arial"/>
          <w:lang w:val="en-US"/>
        </w:rPr>
        <w:t>By means of its Risk Appetite Statement, approved by the Board of Directors, the Company defines the maximum levels of risks that it accepts to incur in the fulfillment of its objectives.</w:t>
      </w:r>
    </w:p>
    <w:p w14:paraId="0D7354CA" w14:textId="77777777" w:rsidR="00720F68" w:rsidRPr="00B84B0C" w:rsidRDefault="00720F68" w:rsidP="00720F68">
      <w:pPr>
        <w:pStyle w:val="05-Textonormal"/>
        <w:rPr>
          <w:rFonts w:cs="Arial"/>
          <w:lang w:val="en-US"/>
        </w:rPr>
      </w:pPr>
      <w:r w:rsidRPr="00B84B0C">
        <w:rPr>
          <w:rFonts w:cs="Arial"/>
          <w:lang w:val="en-US"/>
        </w:rPr>
        <w:t xml:space="preserve">The risk management process at BB </w:t>
      </w:r>
      <w:proofErr w:type="spellStart"/>
      <w:r w:rsidRPr="00B84B0C">
        <w:rPr>
          <w:rFonts w:cs="Arial"/>
          <w:lang w:val="en-US"/>
        </w:rPr>
        <w:t>Seguridade</w:t>
      </w:r>
      <w:proofErr w:type="spellEnd"/>
      <w:r w:rsidRPr="00B84B0C">
        <w:rPr>
          <w:rFonts w:cs="Arial"/>
          <w:lang w:val="en-US"/>
        </w:rPr>
        <w:t xml:space="preserve"> is based on the steps of setting the context, identifying, analyzing, evaluating, treating, monitoring, and communicating and consulting the risks. This process is internally documented in the Group’s Risk Management, Internal Controls and Compliance Model.</w:t>
      </w:r>
    </w:p>
    <w:p w14:paraId="1C8880D5" w14:textId="77777777" w:rsidR="00720F68" w:rsidRPr="00B84B0C" w:rsidRDefault="00720F68" w:rsidP="00720F68">
      <w:pPr>
        <w:pStyle w:val="05-Textonormal"/>
        <w:rPr>
          <w:rFonts w:cs="Arial"/>
          <w:lang w:val="en-US"/>
        </w:rPr>
      </w:pPr>
      <w:r w:rsidRPr="00B84B0C">
        <w:rPr>
          <w:rFonts w:cs="Arial"/>
          <w:lang w:val="en-US"/>
        </w:rPr>
        <w:t xml:space="preserve">BB </w:t>
      </w:r>
      <w:proofErr w:type="spellStart"/>
      <w:r w:rsidRPr="00B84B0C">
        <w:rPr>
          <w:rFonts w:cs="Arial"/>
          <w:lang w:val="en-US"/>
        </w:rPr>
        <w:t>Seguridade</w:t>
      </w:r>
      <w:proofErr w:type="spellEnd"/>
      <w:r w:rsidRPr="00B84B0C">
        <w:rPr>
          <w:rFonts w:cs="Arial"/>
          <w:lang w:val="en-US"/>
        </w:rPr>
        <w:t xml:space="preserve"> Group has a technical area dedicated to risk management, internal </w:t>
      </w:r>
      <w:proofErr w:type="gramStart"/>
      <w:r w:rsidRPr="00B84B0C">
        <w:rPr>
          <w:rFonts w:cs="Arial"/>
          <w:lang w:val="en-US"/>
        </w:rPr>
        <w:t>controls</w:t>
      </w:r>
      <w:proofErr w:type="gramEnd"/>
      <w:r w:rsidRPr="00B84B0C">
        <w:rPr>
          <w:rFonts w:cs="Arial"/>
          <w:lang w:val="en-US"/>
        </w:rPr>
        <w:t xml:space="preserve"> and compliance, segregated from the business areas and Internal Audit. The area is responsible for providing the basis and support to the performance of the risk management process, which contemplates BB </w:t>
      </w:r>
      <w:proofErr w:type="spellStart"/>
      <w:r w:rsidRPr="00B84B0C">
        <w:rPr>
          <w:rFonts w:cs="Arial"/>
          <w:lang w:val="en-US"/>
        </w:rPr>
        <w:t>Seguridade</w:t>
      </w:r>
      <w:proofErr w:type="spellEnd"/>
      <w:r w:rsidRPr="00B84B0C">
        <w:rPr>
          <w:rFonts w:cs="Arial"/>
          <w:lang w:val="en-US"/>
        </w:rPr>
        <w:t xml:space="preserve"> and its subsidiaries, as well as the achievement of risk governance concerning the other entities in which it holds interests.</w:t>
      </w:r>
    </w:p>
    <w:p w14:paraId="3BC32EBD" w14:textId="77777777" w:rsidR="00720F68" w:rsidRPr="00B84B0C" w:rsidRDefault="00720F68" w:rsidP="00720F68">
      <w:pPr>
        <w:pStyle w:val="01-TtulodeNota"/>
        <w:jc w:val="left"/>
        <w:rPr>
          <w:rFonts w:cs="Arial"/>
          <w:color w:val="1F4E79" w:themeColor="accent1" w:themeShade="80"/>
          <w:lang w:val="en-US"/>
        </w:rPr>
      </w:pPr>
      <w:r w:rsidRPr="00B84B0C">
        <w:rPr>
          <w:rFonts w:cs="Arial"/>
          <w:color w:val="1F4E79" w:themeColor="accent1" w:themeShade="80"/>
          <w:lang w:val="en-US"/>
        </w:rPr>
        <w:t xml:space="preserve">a) Risk management at BB </w:t>
      </w:r>
      <w:proofErr w:type="spellStart"/>
      <w:r w:rsidRPr="00B84B0C">
        <w:rPr>
          <w:rFonts w:cs="Arial"/>
          <w:color w:val="1F4E79" w:themeColor="accent1" w:themeShade="80"/>
          <w:lang w:val="en-US"/>
        </w:rPr>
        <w:t>Seguridade</w:t>
      </w:r>
      <w:proofErr w:type="spellEnd"/>
      <w:r w:rsidRPr="00B84B0C">
        <w:rPr>
          <w:rFonts w:cs="Arial"/>
          <w:color w:val="1F4E79" w:themeColor="accent1" w:themeShade="80"/>
          <w:lang w:val="en-US"/>
        </w:rPr>
        <w:t xml:space="preserve"> and its subsidiaries</w:t>
      </w:r>
    </w:p>
    <w:p w14:paraId="49E4EDD0" w14:textId="77777777" w:rsidR="00720F68" w:rsidRPr="00B84B0C" w:rsidRDefault="00720F68" w:rsidP="00720F68">
      <w:pPr>
        <w:pStyle w:val="05-Textonormal"/>
        <w:rPr>
          <w:rFonts w:cs="Arial"/>
          <w:lang w:val="en-US"/>
        </w:rPr>
      </w:pPr>
      <w:r w:rsidRPr="00B84B0C">
        <w:rPr>
          <w:rFonts w:cs="Arial"/>
          <w:lang w:val="en-US"/>
        </w:rPr>
        <w:t xml:space="preserve">The risk management framework adopted by BB </w:t>
      </w:r>
      <w:proofErr w:type="spellStart"/>
      <w:r w:rsidRPr="00B84B0C">
        <w:rPr>
          <w:rFonts w:cs="Arial"/>
          <w:lang w:val="en-US"/>
        </w:rPr>
        <w:t>Seguridade</w:t>
      </w:r>
      <w:proofErr w:type="spellEnd"/>
      <w:r w:rsidRPr="00B84B0C">
        <w:rPr>
          <w:rFonts w:cs="Arial"/>
          <w:lang w:val="en-US"/>
        </w:rPr>
        <w:t>, as defined in its Risk Management, Internal Control and Compliance Policy, is structured based on a three-line of defense model: in the first line, the process managers (risk owners) are responsible for implementing preventive and corrective actions that mitigate the weaknesses identified in the processes and control deficiencies; in the second line, the Superintendence of Risk and Controls assists and monitors the risk owner in managing risks and internal controls in order to adjust them to the Group's risk appetite; and in the third line, the Internal Audit works independently, by providing to governance bodies assessments on the risk management and internal control effectiveness.</w:t>
      </w:r>
    </w:p>
    <w:p w14:paraId="6E8426A4" w14:textId="77777777" w:rsidR="00720F68" w:rsidRPr="00B84B0C" w:rsidRDefault="00720F68" w:rsidP="00720F68">
      <w:pPr>
        <w:pStyle w:val="05-Textonormal"/>
        <w:rPr>
          <w:rFonts w:cs="Arial"/>
          <w:lang w:val="en-US"/>
        </w:rPr>
      </w:pPr>
      <w:r w:rsidRPr="00B84B0C">
        <w:rPr>
          <w:rFonts w:cs="Arial"/>
          <w:lang w:val="en-US"/>
        </w:rPr>
        <w:t>The risk management mechanisms and tools also include, among others: segregation of duties; joint decisions; Information Security Policy, Preventing and Combating Money Laundering, Terrorist Financing and Corruption Policy, Code of Ethics and Conduct and an Integrity Program in line with Law 12,846/2013 (Anti-Corruption Law) and Decree 8,420/2015 (documents disclosed internally and also to the market, available at the investors relations website); internal risk management, internal controls and compliance regulations, in addition to internal communication program on risk management, internal controls and compliance, continuously promoting the adaptation of the entire Group to these subjects.</w:t>
      </w:r>
    </w:p>
    <w:p w14:paraId="5ECB58DD" w14:textId="77777777" w:rsidR="00720F68" w:rsidRPr="00B84B0C" w:rsidRDefault="00720F68" w:rsidP="00720F68">
      <w:pPr>
        <w:pStyle w:val="05-Textonormal"/>
        <w:rPr>
          <w:rFonts w:cs="Arial"/>
          <w:lang w:val="en-US"/>
        </w:rPr>
      </w:pPr>
      <w:r w:rsidRPr="00B84B0C">
        <w:rPr>
          <w:rFonts w:cs="Arial"/>
          <w:lang w:val="en-US"/>
        </w:rPr>
        <w:t>The Executive Board is supported by the Finance and Investment Committee, which advises on issues concerning the management and control of the risks arising from the investments in the Group’s and its subsidiaries’ financial asset.</w:t>
      </w:r>
    </w:p>
    <w:p w14:paraId="3A1CF6B8" w14:textId="77777777" w:rsidR="00720F68" w:rsidRPr="00B84B0C" w:rsidRDefault="00720F68" w:rsidP="00720F68">
      <w:pPr>
        <w:pStyle w:val="05-Textonormal"/>
        <w:rPr>
          <w:rFonts w:cs="Arial"/>
          <w:lang w:val="en-US"/>
        </w:rPr>
      </w:pPr>
      <w:r w:rsidRPr="00B84B0C">
        <w:rPr>
          <w:rFonts w:cs="Arial"/>
          <w:lang w:val="en-US"/>
        </w:rPr>
        <w:t xml:space="preserve">The governance structure of BB </w:t>
      </w:r>
      <w:proofErr w:type="spellStart"/>
      <w:r w:rsidRPr="00B84B0C">
        <w:rPr>
          <w:rFonts w:cs="Arial"/>
          <w:lang w:val="en-US"/>
        </w:rPr>
        <w:t>Seguridade</w:t>
      </w:r>
      <w:proofErr w:type="spellEnd"/>
      <w:r w:rsidRPr="00B84B0C">
        <w:rPr>
          <w:rFonts w:cs="Arial"/>
          <w:lang w:val="en-US"/>
        </w:rPr>
        <w:t xml:space="preserve"> also includes the Audit Committee, a statutory body advising the Board of Directors, which is responsible for evaluating and monitoring the Group's risk exposures.</w:t>
      </w:r>
    </w:p>
    <w:p w14:paraId="0431C1EC" w14:textId="77777777" w:rsidR="00720F68" w:rsidRPr="00B84B0C" w:rsidRDefault="00720F68" w:rsidP="00720F68">
      <w:pPr>
        <w:pStyle w:val="05-Textonormal"/>
        <w:rPr>
          <w:rFonts w:cs="Arial"/>
          <w:lang w:val="en-US"/>
        </w:rPr>
      </w:pPr>
      <w:r w:rsidRPr="00B84B0C">
        <w:rPr>
          <w:rFonts w:cs="Arial"/>
          <w:lang w:val="en-US"/>
        </w:rPr>
        <w:lastRenderedPageBreak/>
        <w:t>Information related to risk management are periodically reported to the Executive Board and to the Board of Directors and are also reported to the Supervisory Council.</w:t>
      </w:r>
    </w:p>
    <w:p w14:paraId="03E91C62" w14:textId="77777777" w:rsidR="00720F68" w:rsidRPr="00B84B0C" w:rsidRDefault="00720F68" w:rsidP="00720F68">
      <w:pPr>
        <w:pStyle w:val="05-Textonormal"/>
        <w:rPr>
          <w:rFonts w:cs="Arial"/>
          <w:b/>
          <w:color w:val="1F4E79" w:themeColor="accent1" w:themeShade="80"/>
          <w:sz w:val="20"/>
          <w:szCs w:val="20"/>
          <w:lang w:val="en-US"/>
        </w:rPr>
      </w:pPr>
      <w:r w:rsidRPr="00B84B0C">
        <w:rPr>
          <w:rFonts w:cs="Arial"/>
          <w:b/>
          <w:color w:val="1F4E79" w:themeColor="accent1" w:themeShade="80"/>
          <w:sz w:val="20"/>
          <w:szCs w:val="20"/>
          <w:lang w:val="en-US"/>
        </w:rPr>
        <w:t xml:space="preserve">a.1) Risks associated with investments in financial </w:t>
      </w:r>
      <w:proofErr w:type="gramStart"/>
      <w:r w:rsidRPr="00B84B0C">
        <w:rPr>
          <w:rFonts w:cs="Arial"/>
          <w:b/>
          <w:color w:val="1F4E79" w:themeColor="accent1" w:themeShade="80"/>
          <w:sz w:val="20"/>
          <w:szCs w:val="20"/>
          <w:lang w:val="en-US"/>
        </w:rPr>
        <w:t>assets</w:t>
      </w:r>
      <w:proofErr w:type="gramEnd"/>
    </w:p>
    <w:p w14:paraId="20F27E12" w14:textId="77777777" w:rsidR="00720F68" w:rsidRPr="00B84B0C" w:rsidRDefault="00720F68" w:rsidP="00720F68">
      <w:pPr>
        <w:pStyle w:val="05-Textonormal"/>
        <w:rPr>
          <w:rFonts w:cs="Arial"/>
          <w:lang w:val="en-US"/>
        </w:rPr>
      </w:pPr>
      <w:r w:rsidRPr="00B84B0C">
        <w:rPr>
          <w:rFonts w:cs="Arial"/>
          <w:lang w:val="en-US"/>
        </w:rPr>
        <w:t xml:space="preserve">In addition to the Risk Management Policy, the Group has a Financial Investment Policy, approved by the Board of Directors and applicable to its subsidiaries, that sets out the criteria relating to the nature, </w:t>
      </w:r>
      <w:proofErr w:type="gramStart"/>
      <w:r w:rsidRPr="00B84B0C">
        <w:rPr>
          <w:rFonts w:cs="Arial"/>
          <w:lang w:val="en-US"/>
        </w:rPr>
        <w:t>term</w:t>
      </w:r>
      <w:proofErr w:type="gramEnd"/>
      <w:r w:rsidRPr="00B84B0C">
        <w:rPr>
          <w:rFonts w:cs="Arial"/>
          <w:lang w:val="en-US"/>
        </w:rPr>
        <w:t xml:space="preserve"> and acceptable risks of the financial investments. The current policy allows the investment of funds only in fixed-income securities and, in case of corporate bonds, the counterparty must have a minimum rating of "investment grade", issued by at least one of the following risk rating agencies: Moody's, Standard &amp; Poor's and Fitch Ratings. </w:t>
      </w:r>
      <w:proofErr w:type="gramStart"/>
      <w:r w:rsidRPr="00B84B0C">
        <w:rPr>
          <w:rFonts w:cs="Arial"/>
          <w:lang w:val="en-US"/>
        </w:rPr>
        <w:t>Also</w:t>
      </w:r>
      <w:proofErr w:type="gramEnd"/>
      <w:r w:rsidRPr="00B84B0C">
        <w:rPr>
          <w:rFonts w:cs="Arial"/>
          <w:lang w:val="en-US"/>
        </w:rPr>
        <w:t xml:space="preserve"> concentration limits are defined by counterparty and rating. Operations with assets that result in foreign currency risk, variable income or leverage risk are prohibited, as well as the trading of derivative instruments, except through fixed-income mutual funds.</w:t>
      </w:r>
    </w:p>
    <w:p w14:paraId="11DB414C" w14:textId="77777777" w:rsidR="00720F68" w:rsidRPr="00B84B0C" w:rsidRDefault="00720F68" w:rsidP="00720F68">
      <w:pPr>
        <w:pStyle w:val="05-Textonormal"/>
        <w:rPr>
          <w:rFonts w:cs="Arial"/>
          <w:lang w:val="en-US"/>
        </w:rPr>
      </w:pPr>
      <w:r w:rsidRPr="00B84B0C">
        <w:rPr>
          <w:rFonts w:cs="Arial"/>
          <w:lang w:val="en-US"/>
        </w:rPr>
        <w:t xml:space="preserve">The investments in financial assets of BB </w:t>
      </w:r>
      <w:proofErr w:type="spellStart"/>
      <w:r w:rsidRPr="00B84B0C">
        <w:rPr>
          <w:rFonts w:cs="Arial"/>
          <w:lang w:val="en-US"/>
        </w:rPr>
        <w:t>Seguridade</w:t>
      </w:r>
      <w:proofErr w:type="spellEnd"/>
      <w:r w:rsidRPr="00B84B0C">
        <w:rPr>
          <w:rFonts w:cs="Arial"/>
          <w:lang w:val="en-US"/>
        </w:rPr>
        <w:t xml:space="preserve"> and its subsidiaries, classified as cash equivalents, are concentrated on repurchase agreements backed by Federal Government Bonds and Corporate Bonds, with Banco do </w:t>
      </w:r>
      <w:proofErr w:type="spellStart"/>
      <w:r w:rsidRPr="00B84B0C">
        <w:rPr>
          <w:rFonts w:cs="Arial"/>
          <w:lang w:val="en-US"/>
        </w:rPr>
        <w:t>Brasil</w:t>
      </w:r>
      <w:proofErr w:type="spellEnd"/>
      <w:r w:rsidRPr="00B84B0C">
        <w:rPr>
          <w:rFonts w:cs="Arial"/>
          <w:lang w:val="en-US"/>
        </w:rPr>
        <w:t xml:space="preserve"> as the seller (note 7). Other investments in financial assets classified as financial instruments are invested in fixed-income long-term mutual fund and financial bills (note 8)</w:t>
      </w:r>
    </w:p>
    <w:p w14:paraId="2364C266" w14:textId="77777777" w:rsidR="00720F68" w:rsidRPr="00B84B0C" w:rsidRDefault="00720F68" w:rsidP="00720F68">
      <w:pPr>
        <w:pStyle w:val="05-Textonormal"/>
        <w:rPr>
          <w:rFonts w:cs="Arial"/>
          <w:b/>
          <w:color w:val="1F4E79" w:themeColor="accent1" w:themeShade="80"/>
          <w:sz w:val="20"/>
          <w:szCs w:val="20"/>
          <w:lang w:val="en-US"/>
        </w:rPr>
      </w:pPr>
      <w:r w:rsidRPr="00B84B0C">
        <w:rPr>
          <w:rFonts w:cs="Arial"/>
          <w:b/>
          <w:color w:val="1F4E79" w:themeColor="accent1" w:themeShade="80"/>
          <w:sz w:val="20"/>
          <w:szCs w:val="20"/>
          <w:lang w:val="en-US"/>
        </w:rPr>
        <w:t>a.2) Market Risk</w:t>
      </w:r>
    </w:p>
    <w:p w14:paraId="6B8288F6" w14:textId="77777777" w:rsidR="00720F68" w:rsidRPr="00B84B0C" w:rsidRDefault="00720F68" w:rsidP="00720F68">
      <w:pPr>
        <w:pStyle w:val="05-Textonormal"/>
        <w:rPr>
          <w:rFonts w:cs="Arial"/>
          <w:lang w:val="en-US"/>
        </w:rPr>
      </w:pPr>
      <w:r w:rsidRPr="00B84B0C">
        <w:rPr>
          <w:rFonts w:cs="Arial"/>
          <w:lang w:val="en-US"/>
        </w:rPr>
        <w:t xml:space="preserve">Market risk is defined as the possibility of negative impacts resulting from fluctuation in the market values of positions in financial instruments held by the Group. At BB </w:t>
      </w:r>
      <w:proofErr w:type="spellStart"/>
      <w:r w:rsidRPr="00B84B0C">
        <w:rPr>
          <w:rFonts w:cs="Arial"/>
          <w:lang w:val="en-US"/>
        </w:rPr>
        <w:t>Seguridade</w:t>
      </w:r>
      <w:proofErr w:type="spellEnd"/>
      <w:r w:rsidRPr="00B84B0C">
        <w:rPr>
          <w:rFonts w:cs="Arial"/>
          <w:lang w:val="en-US"/>
        </w:rPr>
        <w:t xml:space="preserve"> and its subsidiaries, the exposure to this risk arises from the investment portfolio in financial assets.</w:t>
      </w:r>
    </w:p>
    <w:p w14:paraId="09CD3144" w14:textId="77777777" w:rsidR="00720F68" w:rsidRPr="00B84B0C" w:rsidRDefault="00720F68" w:rsidP="00720F68">
      <w:pPr>
        <w:pStyle w:val="05-Textonormal"/>
        <w:rPr>
          <w:rFonts w:cs="Arial"/>
          <w:lang w:val="en-US"/>
        </w:rPr>
      </w:pPr>
      <w:r w:rsidRPr="00B84B0C">
        <w:rPr>
          <w:rFonts w:cs="Arial"/>
          <w:lang w:val="en-US"/>
        </w:rPr>
        <w:t xml:space="preserve">The market risk is managed based in the Financial Investment Policy, that defines which assets may comprise the portfolio and the </w:t>
      </w:r>
      <w:proofErr w:type="spellStart"/>
      <w:r w:rsidRPr="00B84B0C">
        <w:rPr>
          <w:rFonts w:cs="Arial"/>
          <w:lang w:val="en-US"/>
        </w:rPr>
        <w:t>VaR</w:t>
      </w:r>
      <w:proofErr w:type="spellEnd"/>
      <w:r w:rsidRPr="00B84B0C">
        <w:rPr>
          <w:rFonts w:cs="Arial"/>
          <w:lang w:val="en-US"/>
        </w:rPr>
        <w:t xml:space="preserve"> (Value at Risk) limit, calculated for 21 business days, with the portfolio volatility estimated using the exponentially weighted moving average (EWMA) and 95% confidence level. The indicator is monitored by the Finance and Investment Committee and by the Executive Board.</w:t>
      </w:r>
    </w:p>
    <w:p w14:paraId="1FE7C6C3" w14:textId="77777777" w:rsidR="00720F68" w:rsidRPr="00B84B0C" w:rsidRDefault="00720F68" w:rsidP="00720F68">
      <w:pPr>
        <w:pStyle w:val="01-TtulodeNota"/>
        <w:jc w:val="left"/>
        <w:rPr>
          <w:rFonts w:cs="Arial"/>
          <w:color w:val="1F4E79" w:themeColor="accent1" w:themeShade="80"/>
          <w:lang w:val="en-US"/>
        </w:rPr>
      </w:pPr>
      <w:r w:rsidRPr="00B84B0C">
        <w:rPr>
          <w:rFonts w:cs="Arial"/>
          <w:color w:val="1F4E79" w:themeColor="accent1" w:themeShade="80"/>
          <w:lang w:val="en-US"/>
        </w:rPr>
        <w:t>Market risk exposure in investments in financial assets</w:t>
      </w:r>
    </w:p>
    <w:p w14:paraId="19C0DE24" w14:textId="77777777" w:rsidR="00720F68" w:rsidRPr="00B84B0C" w:rsidRDefault="00720F68" w:rsidP="00720F68">
      <w:pPr>
        <w:pStyle w:val="06-Rmil"/>
        <w:rPr>
          <w:rFonts w:cs="Arial"/>
          <w:lang w:val="en-US"/>
        </w:rPr>
      </w:pPr>
      <w:r w:rsidRPr="00B84B0C">
        <w:rPr>
          <w:rFonts w:cs="Arial"/>
          <w:lang w:val="en-US"/>
        </w:rPr>
        <w:t>R$ thousand</w:t>
      </w:r>
    </w:p>
    <w:tbl>
      <w:tblPr>
        <w:tblStyle w:val="TabeladeLista6Colorida-nfase53"/>
        <w:tblW w:w="9639" w:type="dxa"/>
        <w:tblInd w:w="108" w:type="dxa"/>
        <w:tblLayout w:type="fixed"/>
        <w:tblLook w:val="04A0" w:firstRow="1" w:lastRow="0" w:firstColumn="1" w:lastColumn="0" w:noHBand="0" w:noVBand="1"/>
      </w:tblPr>
      <w:tblGrid>
        <w:gridCol w:w="1393"/>
        <w:gridCol w:w="353"/>
        <w:gridCol w:w="1060"/>
        <w:gridCol w:w="481"/>
        <w:gridCol w:w="1567"/>
        <w:gridCol w:w="579"/>
        <w:gridCol w:w="242"/>
        <w:gridCol w:w="1163"/>
        <w:gridCol w:w="709"/>
        <w:gridCol w:w="1417"/>
        <w:gridCol w:w="675"/>
      </w:tblGrid>
      <w:tr w:rsidR="00720F68" w:rsidRPr="00B84B0C" w14:paraId="5EE3DBE5" w14:textId="77777777" w:rsidTr="00711D9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8EAADB" w:themeColor="accent5" w:themeTint="99"/>
              <w:bottom w:val="nil"/>
            </w:tcBorders>
            <w:shd w:val="clear" w:color="auto" w:fill="D9E2F3" w:themeFill="accent5" w:themeFillTint="33"/>
            <w:vAlign w:val="center"/>
          </w:tcPr>
          <w:p w14:paraId="1716C081" w14:textId="77777777" w:rsidR="00720F68" w:rsidRPr="00B84B0C" w:rsidRDefault="00720F68" w:rsidP="00720F68">
            <w:pPr>
              <w:jc w:val="center"/>
              <w:rPr>
                <w:rFonts w:cs="Arial"/>
                <w:szCs w:val="18"/>
                <w:lang w:val="en-US"/>
              </w:rPr>
            </w:pPr>
            <w:r w:rsidRPr="00B84B0C">
              <w:rPr>
                <w:rFonts w:cs="Arial"/>
                <w:sz w:val="14"/>
                <w:szCs w:val="18"/>
                <w:lang w:val="en-US"/>
              </w:rPr>
              <w:t>Impact on the portfolio</w:t>
            </w:r>
          </w:p>
        </w:tc>
      </w:tr>
      <w:tr w:rsidR="00720F68" w:rsidRPr="00B84B0C" w14:paraId="6833310E" w14:textId="77777777" w:rsidTr="00711D9A">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393" w:type="dxa"/>
            <w:tcBorders>
              <w:top w:val="single" w:sz="2" w:space="0" w:color="8EAADB" w:themeColor="accent5" w:themeTint="99"/>
              <w:bottom w:val="nil"/>
            </w:tcBorders>
            <w:vAlign w:val="center"/>
          </w:tcPr>
          <w:p w14:paraId="6677C185" w14:textId="77777777" w:rsidR="00720F68" w:rsidRPr="00B84B0C" w:rsidRDefault="00720F68" w:rsidP="00720F68">
            <w:pPr>
              <w:jc w:val="center"/>
              <w:rPr>
                <w:rFonts w:cs="Arial"/>
                <w:szCs w:val="18"/>
                <w:lang w:val="en-US"/>
              </w:rPr>
            </w:pPr>
          </w:p>
        </w:tc>
        <w:tc>
          <w:tcPr>
            <w:tcW w:w="353" w:type="dxa"/>
            <w:tcBorders>
              <w:top w:val="single" w:sz="2" w:space="0" w:color="8EAADB" w:themeColor="accent5" w:themeTint="99"/>
              <w:bottom w:val="nil"/>
            </w:tcBorders>
          </w:tcPr>
          <w:p w14:paraId="1B4809A6"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Cs w:val="18"/>
                <w:lang w:val="en-US"/>
              </w:rPr>
            </w:pPr>
          </w:p>
        </w:tc>
        <w:tc>
          <w:tcPr>
            <w:tcW w:w="3687" w:type="dxa"/>
            <w:gridSpan w:val="4"/>
            <w:tcBorders>
              <w:top w:val="single" w:sz="2" w:space="0" w:color="8EAADB" w:themeColor="accent5" w:themeTint="99"/>
              <w:bottom w:val="single" w:sz="2" w:space="0" w:color="8EAADB" w:themeColor="accent5" w:themeTint="99"/>
            </w:tcBorders>
            <w:vAlign w:val="center"/>
          </w:tcPr>
          <w:p w14:paraId="35A6E239"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8"/>
                <w:lang w:val="en-US"/>
              </w:rPr>
            </w:pPr>
            <w:r w:rsidRPr="00B84B0C">
              <w:rPr>
                <w:rFonts w:cs="Arial"/>
                <w:b/>
                <w:sz w:val="14"/>
                <w:szCs w:val="18"/>
                <w:lang w:val="en-US"/>
              </w:rPr>
              <w:t>Parent</w:t>
            </w:r>
          </w:p>
        </w:tc>
        <w:tc>
          <w:tcPr>
            <w:tcW w:w="242" w:type="dxa"/>
            <w:tcBorders>
              <w:top w:val="single" w:sz="2" w:space="0" w:color="8EAADB" w:themeColor="accent5" w:themeTint="99"/>
              <w:bottom w:val="nil"/>
            </w:tcBorders>
          </w:tcPr>
          <w:p w14:paraId="5E417208"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Cs w:val="18"/>
                <w:lang w:val="en-US"/>
              </w:rPr>
            </w:pPr>
          </w:p>
        </w:tc>
        <w:tc>
          <w:tcPr>
            <w:tcW w:w="3964" w:type="dxa"/>
            <w:gridSpan w:val="4"/>
            <w:tcBorders>
              <w:top w:val="single" w:sz="2" w:space="0" w:color="8EAADB" w:themeColor="accent5" w:themeTint="99"/>
              <w:bottom w:val="single" w:sz="2" w:space="0" w:color="8EAADB" w:themeColor="accent5" w:themeTint="99"/>
            </w:tcBorders>
            <w:vAlign w:val="center"/>
          </w:tcPr>
          <w:p w14:paraId="0FC08822"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8"/>
                <w:lang w:val="en-US"/>
              </w:rPr>
            </w:pPr>
            <w:r w:rsidRPr="00B84B0C">
              <w:rPr>
                <w:rFonts w:cs="Arial"/>
                <w:b/>
                <w:sz w:val="14"/>
                <w:szCs w:val="18"/>
                <w:lang w:val="en-US"/>
              </w:rPr>
              <w:t>Consolidated</w:t>
            </w:r>
          </w:p>
        </w:tc>
      </w:tr>
      <w:tr w:rsidR="00720F68" w:rsidRPr="00B84B0C" w14:paraId="35FF633C"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1393" w:type="dxa"/>
            <w:tcBorders>
              <w:top w:val="nil"/>
              <w:bottom w:val="single" w:sz="2" w:space="0" w:color="8EAADB" w:themeColor="accent5" w:themeTint="99"/>
            </w:tcBorders>
            <w:shd w:val="clear" w:color="auto" w:fill="D9E2F3" w:themeFill="accent5" w:themeFillTint="33"/>
          </w:tcPr>
          <w:p w14:paraId="0EEDC27A" w14:textId="77777777" w:rsidR="00720F68" w:rsidRPr="00B84B0C" w:rsidRDefault="00720F68" w:rsidP="00720F68">
            <w:pPr>
              <w:pStyle w:val="08-Tabelageral"/>
              <w:jc w:val="left"/>
              <w:rPr>
                <w:rFonts w:cs="Arial"/>
                <w:b w:val="0"/>
                <w:lang w:val="en-US"/>
              </w:rPr>
            </w:pPr>
          </w:p>
        </w:tc>
        <w:tc>
          <w:tcPr>
            <w:tcW w:w="353" w:type="dxa"/>
            <w:tcBorders>
              <w:top w:val="nil"/>
              <w:bottom w:val="single" w:sz="2" w:space="0" w:color="8EAADB" w:themeColor="accent5" w:themeTint="99"/>
            </w:tcBorders>
            <w:shd w:val="clear" w:color="auto" w:fill="D9E2F3" w:themeFill="accent5" w:themeFillTint="33"/>
          </w:tcPr>
          <w:p w14:paraId="524A745F"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1060"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0D5F473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Mar 31, 2020</w:t>
            </w:r>
          </w:p>
          <w:p w14:paraId="1B3CCA2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481"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0622F4B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tc>
        <w:tc>
          <w:tcPr>
            <w:tcW w:w="1567"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0613923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Dec 31, 2019</w:t>
            </w:r>
          </w:p>
          <w:p w14:paraId="37DDDBA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p>
        </w:tc>
        <w:tc>
          <w:tcPr>
            <w:tcW w:w="579"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540063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tc>
        <w:tc>
          <w:tcPr>
            <w:tcW w:w="242" w:type="dxa"/>
            <w:tcBorders>
              <w:top w:val="nil"/>
              <w:bottom w:val="single" w:sz="2" w:space="0" w:color="8EAADB" w:themeColor="accent5" w:themeTint="99"/>
            </w:tcBorders>
            <w:shd w:val="clear" w:color="auto" w:fill="D9E2F3" w:themeFill="accent5" w:themeFillTint="33"/>
            <w:vAlign w:val="center"/>
          </w:tcPr>
          <w:p w14:paraId="143BF59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1163"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B49EB9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Mar 31, 2020</w:t>
            </w:r>
          </w:p>
          <w:p w14:paraId="3DDECC4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709"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74EA46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tc>
        <w:tc>
          <w:tcPr>
            <w:tcW w:w="1417"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0F0574C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Dec 31, 2019</w:t>
            </w:r>
          </w:p>
          <w:p w14:paraId="5F5EF2E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p>
        </w:tc>
        <w:tc>
          <w:tcPr>
            <w:tcW w:w="675"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89A641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tc>
      </w:tr>
      <w:tr w:rsidR="00720F68" w:rsidRPr="00B84B0C" w14:paraId="02F2905B"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1393" w:type="dxa"/>
            <w:tcBorders>
              <w:top w:val="nil"/>
              <w:bottom w:val="single" w:sz="2" w:space="0" w:color="8EAADB" w:themeColor="accent5" w:themeTint="99"/>
            </w:tcBorders>
            <w:shd w:val="clear" w:color="auto" w:fill="FFFFFF" w:themeFill="background1"/>
          </w:tcPr>
          <w:p w14:paraId="218EBF34" w14:textId="77777777" w:rsidR="00720F68" w:rsidRPr="00B84B0C" w:rsidRDefault="00720F68" w:rsidP="00720F68">
            <w:pPr>
              <w:pStyle w:val="08-Tabelageral"/>
              <w:jc w:val="left"/>
              <w:rPr>
                <w:rFonts w:cs="Arial"/>
                <w:b w:val="0"/>
                <w:szCs w:val="14"/>
                <w:lang w:val="en-US"/>
              </w:rPr>
            </w:pPr>
            <w:r w:rsidRPr="00B84B0C">
              <w:rPr>
                <w:rFonts w:cs="Arial"/>
                <w:b w:val="0"/>
                <w:szCs w:val="14"/>
                <w:lang w:val="en-US"/>
              </w:rPr>
              <w:t>Value at Risk (</w:t>
            </w:r>
            <w:proofErr w:type="spellStart"/>
            <w:r w:rsidRPr="00B84B0C">
              <w:rPr>
                <w:rFonts w:cs="Arial"/>
                <w:b w:val="0"/>
                <w:szCs w:val="14"/>
                <w:lang w:val="en-US"/>
              </w:rPr>
              <w:t>VaR</w:t>
            </w:r>
            <w:proofErr w:type="spellEnd"/>
            <w:r w:rsidRPr="00B84B0C">
              <w:rPr>
                <w:rFonts w:cs="Arial"/>
                <w:b w:val="0"/>
                <w:szCs w:val="14"/>
                <w:lang w:val="en-US"/>
              </w:rPr>
              <w:t>)</w:t>
            </w:r>
          </w:p>
        </w:tc>
        <w:tc>
          <w:tcPr>
            <w:tcW w:w="353" w:type="dxa"/>
            <w:tcBorders>
              <w:top w:val="nil"/>
              <w:bottom w:val="single" w:sz="2" w:space="0" w:color="8EAADB" w:themeColor="accent5" w:themeTint="99"/>
            </w:tcBorders>
            <w:shd w:val="clear" w:color="auto" w:fill="FFFFFF" w:themeFill="background1"/>
            <w:vAlign w:val="center"/>
          </w:tcPr>
          <w:p w14:paraId="7C49EF86" w14:textId="77777777" w:rsidR="00720F68" w:rsidRPr="00B84B0C" w:rsidRDefault="00720F68" w:rsidP="00720F6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060"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3B76EC6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szCs w:val="14"/>
                <w:lang w:val="en-US"/>
              </w:rPr>
              <w:t>448</w:t>
            </w:r>
          </w:p>
        </w:tc>
        <w:tc>
          <w:tcPr>
            <w:tcW w:w="481"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5C57131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szCs w:val="14"/>
                <w:lang w:val="en-US"/>
              </w:rPr>
              <w:t>0.02</w:t>
            </w:r>
          </w:p>
        </w:tc>
        <w:tc>
          <w:tcPr>
            <w:tcW w:w="1567"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138428A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0</w:t>
            </w:r>
          </w:p>
        </w:tc>
        <w:tc>
          <w:tcPr>
            <w:tcW w:w="579"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5017891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0.00</w:t>
            </w:r>
          </w:p>
        </w:tc>
        <w:tc>
          <w:tcPr>
            <w:tcW w:w="242"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31F2568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163"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38EF1EF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szCs w:val="14"/>
                <w:lang w:val="en-US"/>
              </w:rPr>
              <w:t>914</w:t>
            </w:r>
          </w:p>
        </w:tc>
        <w:tc>
          <w:tcPr>
            <w:tcW w:w="709"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4884997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szCs w:val="14"/>
                <w:lang w:val="en-US"/>
              </w:rPr>
              <w:t>0.02</w:t>
            </w:r>
          </w:p>
        </w:tc>
        <w:tc>
          <w:tcPr>
            <w:tcW w:w="1417"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2201387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26</w:t>
            </w:r>
          </w:p>
        </w:tc>
        <w:tc>
          <w:tcPr>
            <w:tcW w:w="675"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23E0D25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0.00</w:t>
            </w:r>
          </w:p>
        </w:tc>
      </w:tr>
    </w:tbl>
    <w:p w14:paraId="2E989561" w14:textId="77777777" w:rsidR="00720F68" w:rsidRPr="00B84B0C" w:rsidRDefault="00720F68" w:rsidP="00720F68">
      <w:pPr>
        <w:pStyle w:val="01-TtulodeNota"/>
        <w:rPr>
          <w:rFonts w:cs="Arial"/>
          <w:b w:val="0"/>
          <w:sz w:val="18"/>
          <w:szCs w:val="18"/>
          <w:lang w:val="en-US"/>
        </w:rPr>
      </w:pPr>
      <w:proofErr w:type="gramStart"/>
      <w:r w:rsidRPr="00B84B0C">
        <w:rPr>
          <w:rFonts w:cs="Arial"/>
          <w:b w:val="0"/>
          <w:sz w:val="18"/>
          <w:szCs w:val="18"/>
          <w:lang w:val="en-US"/>
        </w:rPr>
        <w:t>Despite the fact that</w:t>
      </w:r>
      <w:proofErr w:type="gramEnd"/>
      <w:r w:rsidRPr="00B84B0C">
        <w:rPr>
          <w:rFonts w:cs="Arial"/>
          <w:b w:val="0"/>
          <w:sz w:val="18"/>
          <w:szCs w:val="18"/>
          <w:lang w:val="en-US"/>
        </w:rPr>
        <w:t xml:space="preserve"> the Group's portfolio is composed almost entirely (99.90% of the total amount) by financial instruments with a post-fixed interest pegged to </w:t>
      </w:r>
      <w:proofErr w:type="spellStart"/>
      <w:r w:rsidRPr="00B84B0C">
        <w:rPr>
          <w:rFonts w:cs="Arial"/>
          <w:b w:val="0"/>
          <w:sz w:val="18"/>
          <w:szCs w:val="18"/>
          <w:lang w:val="en-US"/>
        </w:rPr>
        <w:t>Selic</w:t>
      </w:r>
      <w:proofErr w:type="spellEnd"/>
      <w:r w:rsidRPr="00B84B0C">
        <w:rPr>
          <w:rFonts w:cs="Arial"/>
          <w:b w:val="0"/>
          <w:sz w:val="18"/>
          <w:szCs w:val="18"/>
          <w:lang w:val="en-US"/>
        </w:rPr>
        <w:t xml:space="preserve"> or DI rate, there was an oscillation in the return of the assets that compose the portfolio as an impact of Covid-19 pandemic. The banks that issue the private securities in the portfolio, which have their remuneration linked to DI rate, changed the </w:t>
      </w:r>
      <w:proofErr w:type="gramStart"/>
      <w:r w:rsidRPr="00B84B0C">
        <w:rPr>
          <w:rFonts w:cs="Arial"/>
          <w:b w:val="0"/>
          <w:sz w:val="18"/>
          <w:szCs w:val="18"/>
          <w:lang w:val="en-US"/>
        </w:rPr>
        <w:t>percentage</w:t>
      </w:r>
      <w:proofErr w:type="gramEnd"/>
      <w:r w:rsidRPr="00B84B0C">
        <w:rPr>
          <w:rFonts w:cs="Arial"/>
          <w:b w:val="0"/>
          <w:sz w:val="18"/>
          <w:szCs w:val="18"/>
          <w:lang w:val="en-US"/>
        </w:rPr>
        <w:t xml:space="preserve"> or spread practiced in relation to the established post-fixed rate several times throughout the first quarter, which changes the mark to market of such securities, which are present in investment funds, increasing portfolio's </w:t>
      </w:r>
      <w:proofErr w:type="spellStart"/>
      <w:r w:rsidRPr="00B84B0C">
        <w:rPr>
          <w:rFonts w:cs="Arial"/>
          <w:b w:val="0"/>
          <w:sz w:val="18"/>
          <w:szCs w:val="18"/>
          <w:lang w:val="en-US"/>
        </w:rPr>
        <w:t>VaR.</w:t>
      </w:r>
      <w:proofErr w:type="spellEnd"/>
      <w:r w:rsidRPr="00B84B0C">
        <w:rPr>
          <w:rFonts w:cs="Arial"/>
          <w:b w:val="0"/>
          <w:sz w:val="18"/>
          <w:szCs w:val="18"/>
          <w:lang w:val="en-US"/>
        </w:rPr>
        <w:t xml:space="preserve"> Nevertheless, the federal government changed the pre-fixed rate for LFTs, twice in the first quarter of 2020, which also contributed to the volatility of the total portfolio.</w:t>
      </w:r>
    </w:p>
    <w:p w14:paraId="2EA76510" w14:textId="77777777" w:rsidR="00720F68" w:rsidRPr="00B84B0C" w:rsidRDefault="00720F68" w:rsidP="00720F68">
      <w:pPr>
        <w:pStyle w:val="01-TtulodeNota"/>
        <w:jc w:val="left"/>
        <w:rPr>
          <w:rFonts w:cs="Arial"/>
          <w:color w:val="1F4E79" w:themeColor="accent1" w:themeShade="80"/>
          <w:lang w:val="en-US"/>
        </w:rPr>
      </w:pPr>
      <w:r w:rsidRPr="00B84B0C">
        <w:rPr>
          <w:rFonts w:cs="Arial"/>
          <w:color w:val="1F4E79" w:themeColor="accent1" w:themeShade="80"/>
          <w:lang w:val="en-US"/>
        </w:rPr>
        <w:t>Sensitivity analysis on market risk factors</w:t>
      </w:r>
    </w:p>
    <w:p w14:paraId="66DCD17B" w14:textId="77777777" w:rsidR="00720F68" w:rsidRPr="00B84B0C" w:rsidRDefault="00720F68" w:rsidP="00720F68">
      <w:pPr>
        <w:pStyle w:val="01-Textonormal"/>
        <w:rPr>
          <w:rFonts w:cs="Arial"/>
          <w:lang w:val="en-US"/>
        </w:rPr>
      </w:pPr>
      <w:r w:rsidRPr="00B84B0C">
        <w:rPr>
          <w:rFonts w:cs="Arial"/>
          <w:lang w:val="en-US"/>
        </w:rPr>
        <w:t xml:space="preserve">On March 31, 2020, the only derivative instrument held by BB </w:t>
      </w:r>
      <w:proofErr w:type="spellStart"/>
      <w:r w:rsidRPr="00B84B0C">
        <w:rPr>
          <w:rFonts w:cs="Arial"/>
          <w:lang w:val="en-US"/>
        </w:rPr>
        <w:t>Seguridade</w:t>
      </w:r>
      <w:proofErr w:type="spellEnd"/>
      <w:r w:rsidRPr="00B84B0C">
        <w:rPr>
          <w:rFonts w:cs="Arial"/>
          <w:lang w:val="en-US"/>
        </w:rPr>
        <w:t xml:space="preserve"> and its subsidiaries was One-day Interbank Deposit Futures and DI x IPCA Spread Futures via fixed-income mutual funds. BB </w:t>
      </w:r>
      <w:proofErr w:type="spellStart"/>
      <w:r w:rsidRPr="00B84B0C">
        <w:rPr>
          <w:rFonts w:cs="Arial"/>
          <w:lang w:val="en-US"/>
        </w:rPr>
        <w:t>Seguridade's</w:t>
      </w:r>
      <w:proofErr w:type="spellEnd"/>
      <w:r w:rsidRPr="00B84B0C">
        <w:rPr>
          <w:rFonts w:cs="Arial"/>
          <w:lang w:val="en-US"/>
        </w:rPr>
        <w:t xml:space="preserve"> and its subsidiaries' exposure to market risk factors was due to its financial assets, which almost fully comprise post-</w:t>
      </w:r>
      <w:proofErr w:type="gramStart"/>
      <w:r w:rsidRPr="00B84B0C">
        <w:rPr>
          <w:rFonts w:cs="Arial"/>
          <w:lang w:val="en-US"/>
        </w:rPr>
        <w:t>fixed  financial</w:t>
      </w:r>
      <w:proofErr w:type="gramEnd"/>
      <w:r w:rsidRPr="00B84B0C">
        <w:rPr>
          <w:rFonts w:cs="Arial"/>
          <w:lang w:val="en-US"/>
        </w:rPr>
        <w:t xml:space="preserve"> instruments. Based on the studies conducted, there is no relevant exposure to market risk factors.</w:t>
      </w:r>
    </w:p>
    <w:p w14:paraId="405D3E24" w14:textId="77777777" w:rsidR="00720F68" w:rsidRPr="00B84B0C" w:rsidRDefault="00720F68" w:rsidP="00720F68">
      <w:pPr>
        <w:pStyle w:val="01-TtulodeNota"/>
        <w:jc w:val="left"/>
        <w:rPr>
          <w:rFonts w:cs="Arial"/>
          <w:color w:val="1F4E79" w:themeColor="accent1" w:themeShade="80"/>
          <w:lang w:val="en-US"/>
        </w:rPr>
      </w:pPr>
      <w:r w:rsidRPr="00B84B0C">
        <w:rPr>
          <w:rFonts w:cs="Arial"/>
          <w:color w:val="1F4E79" w:themeColor="accent1" w:themeShade="80"/>
          <w:lang w:val="en-US"/>
        </w:rPr>
        <w:t>a.3) Credit Risk</w:t>
      </w:r>
    </w:p>
    <w:p w14:paraId="5425B87A" w14:textId="77777777" w:rsidR="00720F68" w:rsidRPr="00B84B0C" w:rsidRDefault="00720F68" w:rsidP="00720F68">
      <w:pPr>
        <w:pStyle w:val="01-Textonormal"/>
        <w:rPr>
          <w:rFonts w:cs="Arial"/>
          <w:lang w:val="en-US"/>
        </w:rPr>
      </w:pPr>
      <w:r w:rsidRPr="00B84B0C">
        <w:rPr>
          <w:rFonts w:cs="Arial"/>
          <w:lang w:val="en-US"/>
        </w:rPr>
        <w:t xml:space="preserve">The credit risk is defined by the Group as the possibility of negative impacts associated to the non-fulfillment, by a borrower or a counterparty, of its corresponding financial obligations according to negotiated terms, and/or to the devaluation of receivables due to a drop in the borrower's or counterparty’s risk rating. At BB </w:t>
      </w:r>
      <w:proofErr w:type="spellStart"/>
      <w:r w:rsidRPr="00B84B0C">
        <w:rPr>
          <w:rFonts w:cs="Arial"/>
          <w:lang w:val="en-US"/>
        </w:rPr>
        <w:t>Seguridade</w:t>
      </w:r>
      <w:proofErr w:type="spellEnd"/>
      <w:r w:rsidRPr="00B84B0C">
        <w:rPr>
          <w:rFonts w:cs="Arial"/>
          <w:lang w:val="en-US"/>
        </w:rPr>
        <w:t xml:space="preserve"> and its subsidiaries, the exposure to this risk arises from the investment portfolio in financial assets, which is composed of Bonds issued by private counterparties.</w:t>
      </w:r>
    </w:p>
    <w:p w14:paraId="46231283" w14:textId="77777777" w:rsidR="00720F68" w:rsidRPr="00B84B0C" w:rsidRDefault="00720F68" w:rsidP="00720F68">
      <w:pPr>
        <w:pStyle w:val="01-Textonormal"/>
        <w:rPr>
          <w:rFonts w:cs="Arial"/>
          <w:lang w:val="en-US"/>
        </w:rPr>
      </w:pPr>
      <w:r w:rsidRPr="00B84B0C">
        <w:rPr>
          <w:rFonts w:cs="Arial"/>
          <w:lang w:val="en-US"/>
        </w:rPr>
        <w:t xml:space="preserve">Due to the nature of the Group's operation, there is no relevant credit risk arising from the payment of brokerage fee for products sold by BB </w:t>
      </w:r>
      <w:proofErr w:type="spellStart"/>
      <w:r w:rsidRPr="00B84B0C">
        <w:rPr>
          <w:rFonts w:cs="Arial"/>
          <w:lang w:val="en-US"/>
        </w:rPr>
        <w:t>Corretora</w:t>
      </w:r>
      <w:proofErr w:type="spellEnd"/>
      <w:r w:rsidRPr="00B84B0C">
        <w:rPr>
          <w:rFonts w:cs="Arial"/>
          <w:lang w:val="en-US"/>
        </w:rPr>
        <w:t xml:space="preserve">, because these amounts are received by Banco do </w:t>
      </w:r>
      <w:proofErr w:type="spellStart"/>
      <w:r w:rsidRPr="00B84B0C">
        <w:rPr>
          <w:rFonts w:cs="Arial"/>
          <w:lang w:val="en-US"/>
        </w:rPr>
        <w:t>Brasil</w:t>
      </w:r>
      <w:proofErr w:type="spellEnd"/>
      <w:r w:rsidRPr="00B84B0C">
        <w:rPr>
          <w:rFonts w:cs="Arial"/>
          <w:lang w:val="en-US"/>
        </w:rPr>
        <w:t xml:space="preserve"> and passed on directly to BB </w:t>
      </w:r>
      <w:proofErr w:type="spellStart"/>
      <w:r w:rsidRPr="00B84B0C">
        <w:rPr>
          <w:rFonts w:cs="Arial"/>
          <w:lang w:val="en-US"/>
        </w:rPr>
        <w:t>Corretora</w:t>
      </w:r>
      <w:proofErr w:type="spellEnd"/>
      <w:r w:rsidRPr="00B84B0C">
        <w:rPr>
          <w:rFonts w:cs="Arial"/>
          <w:lang w:val="en-US"/>
        </w:rPr>
        <w:t>.</w:t>
      </w:r>
    </w:p>
    <w:p w14:paraId="4A89FE89" w14:textId="77777777" w:rsidR="00720F68" w:rsidRPr="00B84B0C" w:rsidRDefault="00720F68" w:rsidP="00720F68">
      <w:pPr>
        <w:pStyle w:val="01-TtulodeNota"/>
        <w:keepNext/>
        <w:keepLines/>
        <w:pageBreakBefore/>
        <w:jc w:val="left"/>
        <w:rPr>
          <w:rFonts w:cs="Arial"/>
          <w:color w:val="1F4E79" w:themeColor="accent1" w:themeShade="80"/>
          <w:lang w:val="en-US"/>
        </w:rPr>
      </w:pPr>
      <w:r w:rsidRPr="00B84B0C">
        <w:rPr>
          <w:rFonts w:cs="Arial"/>
          <w:color w:val="1F4E79" w:themeColor="accent1" w:themeShade="80"/>
          <w:lang w:val="en-US"/>
        </w:rPr>
        <w:lastRenderedPageBreak/>
        <w:t>Credit risk exposure in investments in financial assets</w:t>
      </w:r>
    </w:p>
    <w:p w14:paraId="2AF6AA88" w14:textId="77777777" w:rsidR="00720F68" w:rsidRPr="00B84B0C" w:rsidRDefault="00720F68" w:rsidP="00720F68">
      <w:pPr>
        <w:pStyle w:val="06-Rmil"/>
        <w:rPr>
          <w:rFonts w:cs="Arial"/>
          <w:lang w:val="en-US"/>
        </w:rPr>
      </w:pPr>
      <w:r w:rsidRPr="00B84B0C">
        <w:rPr>
          <w:rFonts w:cs="Arial"/>
          <w:lang w:val="en-US"/>
        </w:rPr>
        <w:t>R$ thousand</w:t>
      </w:r>
    </w:p>
    <w:tbl>
      <w:tblPr>
        <w:tblStyle w:val="TabeladeLista6Colorida-nfase53"/>
        <w:tblW w:w="0" w:type="auto"/>
        <w:tblLayout w:type="fixed"/>
        <w:tblLook w:val="04A0" w:firstRow="1" w:lastRow="0" w:firstColumn="1" w:lastColumn="0" w:noHBand="0" w:noVBand="1"/>
      </w:tblPr>
      <w:tblGrid>
        <w:gridCol w:w="2127"/>
        <w:gridCol w:w="1160"/>
        <w:gridCol w:w="633"/>
        <w:gridCol w:w="1042"/>
        <w:gridCol w:w="708"/>
        <w:gridCol w:w="284"/>
        <w:gridCol w:w="1134"/>
        <w:gridCol w:w="709"/>
        <w:gridCol w:w="1134"/>
        <w:gridCol w:w="816"/>
      </w:tblGrid>
      <w:tr w:rsidR="00720F68" w:rsidRPr="00B84B0C" w14:paraId="5667E1C7" w14:textId="77777777" w:rsidTr="00720F68">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2" w:space="0" w:color="8EAADB" w:themeColor="accent5" w:themeTint="99"/>
            </w:tcBorders>
            <w:shd w:val="clear" w:color="auto" w:fill="D9E2F3" w:themeFill="accent5" w:themeFillTint="33"/>
            <w:vAlign w:val="center"/>
          </w:tcPr>
          <w:p w14:paraId="53F8F84D" w14:textId="77777777" w:rsidR="00720F68" w:rsidRPr="00B84B0C" w:rsidRDefault="00720F68" w:rsidP="00720F68">
            <w:pPr>
              <w:jc w:val="center"/>
              <w:rPr>
                <w:rFonts w:cs="Arial"/>
                <w:szCs w:val="18"/>
                <w:lang w:val="en-US"/>
              </w:rPr>
            </w:pPr>
            <w:r w:rsidRPr="00B84B0C">
              <w:rPr>
                <w:rFonts w:cs="Arial"/>
                <w:sz w:val="14"/>
                <w:szCs w:val="18"/>
                <w:lang w:val="en-US"/>
              </w:rPr>
              <w:t xml:space="preserve">Financial </w:t>
            </w:r>
            <w:proofErr w:type="gramStart"/>
            <w:r w:rsidRPr="00B84B0C">
              <w:rPr>
                <w:rFonts w:cs="Arial"/>
                <w:sz w:val="14"/>
                <w:szCs w:val="18"/>
                <w:lang w:val="en-US"/>
              </w:rPr>
              <w:t>assets</w:t>
            </w:r>
            <w:r w:rsidRPr="00B84B0C">
              <w:rPr>
                <w:rFonts w:cs="Arial"/>
                <w:sz w:val="14"/>
                <w:szCs w:val="18"/>
                <w:vertAlign w:val="superscript"/>
                <w:lang w:val="en-US"/>
              </w:rPr>
              <w:t>(</w:t>
            </w:r>
            <w:proofErr w:type="gramEnd"/>
            <w:r w:rsidRPr="00B84B0C">
              <w:rPr>
                <w:rFonts w:cs="Arial"/>
                <w:sz w:val="14"/>
                <w:szCs w:val="18"/>
                <w:vertAlign w:val="superscript"/>
                <w:lang w:val="en-US"/>
              </w:rPr>
              <w:t>1)</w:t>
            </w:r>
          </w:p>
        </w:tc>
        <w:tc>
          <w:tcPr>
            <w:tcW w:w="3543" w:type="dxa"/>
            <w:gridSpan w:val="4"/>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115A7419"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lang w:val="en-US"/>
              </w:rPr>
            </w:pPr>
            <w:r w:rsidRPr="00B84B0C">
              <w:rPr>
                <w:rFonts w:cs="Arial"/>
                <w:sz w:val="14"/>
                <w:szCs w:val="18"/>
                <w:lang w:val="en-US"/>
              </w:rPr>
              <w:t>Parent</w:t>
            </w:r>
          </w:p>
        </w:tc>
        <w:tc>
          <w:tcPr>
            <w:tcW w:w="284" w:type="dxa"/>
            <w:tcBorders>
              <w:top w:val="single" w:sz="2" w:space="0" w:color="8EAADB" w:themeColor="accent5" w:themeTint="99"/>
              <w:bottom w:val="nil"/>
            </w:tcBorders>
            <w:shd w:val="clear" w:color="auto" w:fill="D9E2F3" w:themeFill="accent5" w:themeFillTint="33"/>
          </w:tcPr>
          <w:p w14:paraId="5624998E"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Cs w:val="18"/>
                <w:lang w:val="en-US"/>
              </w:rPr>
            </w:pPr>
          </w:p>
        </w:tc>
        <w:tc>
          <w:tcPr>
            <w:tcW w:w="3793" w:type="dxa"/>
            <w:gridSpan w:val="4"/>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523B872"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lang w:val="en-US"/>
              </w:rPr>
            </w:pPr>
            <w:r w:rsidRPr="00B84B0C">
              <w:rPr>
                <w:rFonts w:cs="Arial"/>
                <w:sz w:val="14"/>
                <w:szCs w:val="18"/>
                <w:lang w:val="en-US"/>
              </w:rPr>
              <w:t>Consolidated</w:t>
            </w:r>
          </w:p>
        </w:tc>
      </w:tr>
      <w:tr w:rsidR="00720F68" w:rsidRPr="00B84B0C" w14:paraId="3FE45ADF" w14:textId="77777777" w:rsidTr="00720F6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2" w:space="0" w:color="8EAADB" w:themeColor="accent5" w:themeTint="99"/>
            </w:tcBorders>
          </w:tcPr>
          <w:p w14:paraId="6A4D6C80" w14:textId="77777777" w:rsidR="00720F68" w:rsidRPr="00B84B0C" w:rsidRDefault="00720F68" w:rsidP="00720F68">
            <w:pPr>
              <w:pStyle w:val="08-Tabelageral"/>
              <w:jc w:val="left"/>
              <w:rPr>
                <w:rFonts w:cs="Arial"/>
                <w:b w:val="0"/>
                <w:lang w:val="en-US"/>
              </w:rPr>
            </w:pPr>
          </w:p>
        </w:tc>
        <w:tc>
          <w:tcPr>
            <w:tcW w:w="1160" w:type="dxa"/>
            <w:tcBorders>
              <w:top w:val="single" w:sz="2" w:space="0" w:color="8EAADB" w:themeColor="accent5" w:themeTint="99"/>
              <w:bottom w:val="single" w:sz="2" w:space="0" w:color="8EAADB" w:themeColor="accent5" w:themeTint="99"/>
            </w:tcBorders>
            <w:vAlign w:val="center"/>
          </w:tcPr>
          <w:p w14:paraId="3748693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Mar 31, 2020</w:t>
            </w:r>
          </w:p>
          <w:p w14:paraId="6FF8CFA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633" w:type="dxa"/>
            <w:tcBorders>
              <w:top w:val="single" w:sz="2" w:space="0" w:color="8EAADB" w:themeColor="accent5" w:themeTint="99"/>
              <w:bottom w:val="single" w:sz="2" w:space="0" w:color="8EAADB" w:themeColor="accent5" w:themeTint="99"/>
            </w:tcBorders>
            <w:vAlign w:val="center"/>
          </w:tcPr>
          <w:p w14:paraId="3742F26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w:t>
            </w:r>
          </w:p>
        </w:tc>
        <w:tc>
          <w:tcPr>
            <w:tcW w:w="1042" w:type="dxa"/>
            <w:tcBorders>
              <w:top w:val="single" w:sz="2" w:space="0" w:color="8EAADB" w:themeColor="accent5" w:themeTint="99"/>
              <w:bottom w:val="single" w:sz="2" w:space="0" w:color="8EAADB" w:themeColor="accent5" w:themeTint="99"/>
            </w:tcBorders>
            <w:vAlign w:val="center"/>
          </w:tcPr>
          <w:p w14:paraId="1E59AD2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Dec 31, 2019</w:t>
            </w:r>
          </w:p>
          <w:p w14:paraId="7153E42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3.472.955</w:t>
            </w:r>
          </w:p>
          <w:p w14:paraId="3A641D6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3.472.955</w:t>
            </w:r>
          </w:p>
          <w:p w14:paraId="2DC9010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w:t>
            </w:r>
          </w:p>
          <w:p w14:paraId="1338AEF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w:t>
            </w:r>
          </w:p>
          <w:p w14:paraId="009C787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3.472.955</w:t>
            </w:r>
          </w:p>
          <w:p w14:paraId="0DC6656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(11.856)</w:t>
            </w:r>
          </w:p>
          <w:p w14:paraId="0F2D7AD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(11.615)</w:t>
            </w:r>
          </w:p>
          <w:p w14:paraId="5ECE353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(4.419)</w:t>
            </w:r>
          </w:p>
          <w:p w14:paraId="27DCCD3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(8.200)</w:t>
            </w:r>
          </w:p>
          <w:p w14:paraId="5CB9C91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12.378</w:t>
            </w:r>
          </w:p>
        </w:tc>
        <w:tc>
          <w:tcPr>
            <w:tcW w:w="708" w:type="dxa"/>
            <w:tcBorders>
              <w:top w:val="single" w:sz="2" w:space="0" w:color="8EAADB" w:themeColor="accent5" w:themeTint="99"/>
              <w:bottom w:val="single" w:sz="2" w:space="0" w:color="8EAADB" w:themeColor="accent5" w:themeTint="99"/>
            </w:tcBorders>
            <w:vAlign w:val="center"/>
          </w:tcPr>
          <w:p w14:paraId="5E6458D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w:t>
            </w:r>
          </w:p>
          <w:p w14:paraId="4AB0EFA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113.161</w:t>
            </w:r>
          </w:p>
          <w:p w14:paraId="00E667F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150.380</w:t>
            </w:r>
          </w:p>
          <w:p w14:paraId="222FD64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(37.219)</w:t>
            </w:r>
          </w:p>
          <w:p w14:paraId="203B862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3.574.260</w:t>
            </w:r>
          </w:p>
          <w:p w14:paraId="26968C4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(34.707)</w:t>
            </w:r>
          </w:p>
          <w:p w14:paraId="788F620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3.539.553</w:t>
            </w:r>
          </w:p>
          <w:p w14:paraId="2FB0A8E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2.000.000.000</w:t>
            </w:r>
          </w:p>
          <w:p w14:paraId="274BAB6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1.996.597.417</w:t>
            </w:r>
          </w:p>
          <w:p w14:paraId="1CFBB5A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lang w:val="en-US"/>
              </w:rPr>
              <w:t>1,77</w:t>
            </w:r>
          </w:p>
        </w:tc>
        <w:tc>
          <w:tcPr>
            <w:tcW w:w="284" w:type="dxa"/>
            <w:tcBorders>
              <w:top w:val="nil"/>
              <w:bottom w:val="single" w:sz="2" w:space="0" w:color="8EAADB" w:themeColor="accent5" w:themeTint="99"/>
            </w:tcBorders>
            <w:vAlign w:val="center"/>
          </w:tcPr>
          <w:p w14:paraId="7F74D80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134" w:type="dxa"/>
            <w:tcBorders>
              <w:top w:val="single" w:sz="2" w:space="0" w:color="8EAADB" w:themeColor="accent5" w:themeTint="99"/>
              <w:bottom w:val="single" w:sz="2" w:space="0" w:color="8EAADB" w:themeColor="accent5" w:themeTint="99"/>
            </w:tcBorders>
            <w:vAlign w:val="center"/>
          </w:tcPr>
          <w:p w14:paraId="40916BC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Mar 31, 2020</w:t>
            </w:r>
          </w:p>
          <w:p w14:paraId="25DF768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709" w:type="dxa"/>
            <w:tcBorders>
              <w:top w:val="single" w:sz="2" w:space="0" w:color="8EAADB" w:themeColor="accent5" w:themeTint="99"/>
              <w:bottom w:val="single" w:sz="2" w:space="0" w:color="8EAADB" w:themeColor="accent5" w:themeTint="99"/>
            </w:tcBorders>
            <w:vAlign w:val="center"/>
          </w:tcPr>
          <w:p w14:paraId="08D1C68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w:t>
            </w:r>
          </w:p>
        </w:tc>
        <w:tc>
          <w:tcPr>
            <w:tcW w:w="1134" w:type="dxa"/>
            <w:tcBorders>
              <w:top w:val="single" w:sz="2" w:space="0" w:color="8EAADB" w:themeColor="accent5" w:themeTint="99"/>
              <w:bottom w:val="single" w:sz="2" w:space="0" w:color="8EAADB" w:themeColor="accent5" w:themeTint="99"/>
            </w:tcBorders>
            <w:vAlign w:val="center"/>
          </w:tcPr>
          <w:p w14:paraId="72B8C03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Dec 31, 2019</w:t>
            </w:r>
          </w:p>
          <w:p w14:paraId="34B3D6A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3.472.955</w:t>
            </w:r>
          </w:p>
          <w:p w14:paraId="723E8D1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3.472.955</w:t>
            </w:r>
          </w:p>
          <w:p w14:paraId="64B8D0E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w:t>
            </w:r>
          </w:p>
          <w:p w14:paraId="2133047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w:t>
            </w:r>
          </w:p>
          <w:p w14:paraId="3D3EF4D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3.472.955</w:t>
            </w:r>
          </w:p>
          <w:p w14:paraId="3343AB0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(11.856)</w:t>
            </w:r>
          </w:p>
          <w:p w14:paraId="4604297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(11.615)</w:t>
            </w:r>
          </w:p>
          <w:p w14:paraId="28B7ADD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(4.419)</w:t>
            </w:r>
          </w:p>
          <w:p w14:paraId="29951BB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(8.200)</w:t>
            </w:r>
          </w:p>
          <w:p w14:paraId="5855636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12.378</w:t>
            </w:r>
          </w:p>
        </w:tc>
        <w:tc>
          <w:tcPr>
            <w:tcW w:w="816" w:type="dxa"/>
            <w:tcBorders>
              <w:top w:val="single" w:sz="2" w:space="0" w:color="8EAADB" w:themeColor="accent5" w:themeTint="99"/>
              <w:bottom w:val="single" w:sz="2" w:space="0" w:color="8EAADB" w:themeColor="accent5" w:themeTint="99"/>
            </w:tcBorders>
            <w:vAlign w:val="center"/>
          </w:tcPr>
          <w:p w14:paraId="5ED2F5B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w:t>
            </w:r>
          </w:p>
          <w:p w14:paraId="5E28D65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113.161</w:t>
            </w:r>
          </w:p>
          <w:p w14:paraId="5FB3297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150.380</w:t>
            </w:r>
          </w:p>
          <w:p w14:paraId="774B532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(37.219)</w:t>
            </w:r>
          </w:p>
          <w:p w14:paraId="1FC13E6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3.574.260</w:t>
            </w:r>
          </w:p>
          <w:p w14:paraId="5384DE3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(34.707)</w:t>
            </w:r>
          </w:p>
          <w:p w14:paraId="2B4D150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3.539.553</w:t>
            </w:r>
          </w:p>
          <w:p w14:paraId="472BB65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2.000.000.000</w:t>
            </w:r>
          </w:p>
          <w:p w14:paraId="72FEB51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1.996.597.417</w:t>
            </w:r>
          </w:p>
          <w:p w14:paraId="307627D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lang w:val="en-US"/>
              </w:rPr>
              <w:t>1,77</w:t>
            </w:r>
          </w:p>
        </w:tc>
      </w:tr>
      <w:tr w:rsidR="00720F68" w:rsidRPr="00B84B0C" w14:paraId="7EAF5256" w14:textId="77777777" w:rsidTr="00720F68">
        <w:trPr>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FFFFF" w:themeFill="background1"/>
          </w:tcPr>
          <w:p w14:paraId="367EF414" w14:textId="77777777" w:rsidR="00720F68" w:rsidRPr="00B84B0C" w:rsidRDefault="00720F68" w:rsidP="00720F68">
            <w:pPr>
              <w:pStyle w:val="07-Legenda"/>
              <w:ind w:left="0" w:firstLine="0"/>
              <w:jc w:val="left"/>
              <w:rPr>
                <w:rFonts w:cs="Arial"/>
                <w:b w:val="0"/>
                <w:lang w:val="en-US"/>
              </w:rPr>
            </w:pPr>
            <w:r w:rsidRPr="00B84B0C">
              <w:rPr>
                <w:rFonts w:cs="Arial"/>
                <w:b w:val="0"/>
                <w:lang w:val="en-US"/>
              </w:rPr>
              <w:t xml:space="preserve">Federal Government </w:t>
            </w:r>
            <w:proofErr w:type="gramStart"/>
            <w:r w:rsidRPr="00B84B0C">
              <w:rPr>
                <w:rFonts w:cs="Arial"/>
                <w:b w:val="0"/>
                <w:lang w:val="en-US"/>
              </w:rPr>
              <w:t>Bonds</w:t>
            </w:r>
            <w:r w:rsidRPr="00B84B0C">
              <w:rPr>
                <w:rFonts w:cs="Arial"/>
                <w:b w:val="0"/>
                <w:vertAlign w:val="superscript"/>
                <w:lang w:val="en-US"/>
              </w:rPr>
              <w:t>(</w:t>
            </w:r>
            <w:proofErr w:type="gramEnd"/>
            <w:r w:rsidRPr="00B84B0C">
              <w:rPr>
                <w:rFonts w:cs="Arial"/>
                <w:b w:val="0"/>
                <w:vertAlign w:val="superscript"/>
                <w:lang w:val="en-US"/>
              </w:rPr>
              <w:t>2)</w:t>
            </w:r>
          </w:p>
        </w:tc>
        <w:tc>
          <w:tcPr>
            <w:tcW w:w="1160" w:type="dxa"/>
            <w:tcBorders>
              <w:top w:val="single" w:sz="2" w:space="0" w:color="8EAADB" w:themeColor="accent5" w:themeTint="99"/>
              <w:bottom w:val="nil"/>
            </w:tcBorders>
            <w:shd w:val="clear" w:color="auto" w:fill="FFFFFF" w:themeFill="background1"/>
            <w:vAlign w:val="center"/>
          </w:tcPr>
          <w:p w14:paraId="3F667FA7"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2,402,707</w:t>
            </w:r>
          </w:p>
        </w:tc>
        <w:tc>
          <w:tcPr>
            <w:tcW w:w="633" w:type="dxa"/>
            <w:tcBorders>
              <w:top w:val="single" w:sz="2" w:space="0" w:color="8EAADB" w:themeColor="accent5" w:themeTint="99"/>
              <w:bottom w:val="nil"/>
            </w:tcBorders>
            <w:shd w:val="clear" w:color="auto" w:fill="FFFFFF" w:themeFill="background1"/>
            <w:vAlign w:val="center"/>
          </w:tcPr>
          <w:p w14:paraId="5A3C0215"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100.00%</w:t>
            </w:r>
          </w:p>
        </w:tc>
        <w:tc>
          <w:tcPr>
            <w:tcW w:w="1042" w:type="dxa"/>
            <w:tcBorders>
              <w:top w:val="single" w:sz="2" w:space="0" w:color="8EAADB" w:themeColor="accent5" w:themeTint="99"/>
              <w:bottom w:val="nil"/>
            </w:tcBorders>
            <w:shd w:val="clear" w:color="auto" w:fill="FFFFFF" w:themeFill="background1"/>
            <w:vAlign w:val="center"/>
          </w:tcPr>
          <w:p w14:paraId="4B28C65B"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4,231,193</w:t>
            </w:r>
          </w:p>
        </w:tc>
        <w:tc>
          <w:tcPr>
            <w:tcW w:w="708" w:type="dxa"/>
            <w:tcBorders>
              <w:top w:val="single" w:sz="2" w:space="0" w:color="8EAADB" w:themeColor="accent5" w:themeTint="99"/>
              <w:bottom w:val="nil"/>
            </w:tcBorders>
            <w:shd w:val="clear" w:color="auto" w:fill="FFFFFF" w:themeFill="background1"/>
            <w:vAlign w:val="center"/>
          </w:tcPr>
          <w:p w14:paraId="764E6C05"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100.00</w:t>
            </w:r>
          </w:p>
        </w:tc>
        <w:tc>
          <w:tcPr>
            <w:tcW w:w="284" w:type="dxa"/>
            <w:tcBorders>
              <w:top w:val="single" w:sz="2" w:space="0" w:color="8EAADB" w:themeColor="accent5" w:themeTint="99"/>
              <w:bottom w:val="nil"/>
            </w:tcBorders>
            <w:shd w:val="clear" w:color="auto" w:fill="FFFFFF" w:themeFill="background1"/>
            <w:vAlign w:val="center"/>
          </w:tcPr>
          <w:p w14:paraId="3992E94A"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p>
        </w:tc>
        <w:tc>
          <w:tcPr>
            <w:tcW w:w="1134" w:type="dxa"/>
            <w:tcBorders>
              <w:top w:val="single" w:sz="2" w:space="0" w:color="8EAADB" w:themeColor="accent5" w:themeTint="99"/>
              <w:bottom w:val="nil"/>
            </w:tcBorders>
            <w:shd w:val="clear" w:color="auto" w:fill="FFFFFF" w:themeFill="background1"/>
            <w:vAlign w:val="center"/>
          </w:tcPr>
          <w:p w14:paraId="540C7DE5"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4,379,643</w:t>
            </w:r>
          </w:p>
        </w:tc>
        <w:tc>
          <w:tcPr>
            <w:tcW w:w="709" w:type="dxa"/>
            <w:tcBorders>
              <w:top w:val="single" w:sz="2" w:space="0" w:color="8EAADB" w:themeColor="accent5" w:themeTint="99"/>
              <w:bottom w:val="nil"/>
            </w:tcBorders>
            <w:shd w:val="clear" w:color="auto" w:fill="FFFFFF" w:themeFill="background1"/>
            <w:vAlign w:val="center"/>
          </w:tcPr>
          <w:p w14:paraId="7E469500"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82.65</w:t>
            </w:r>
          </w:p>
        </w:tc>
        <w:tc>
          <w:tcPr>
            <w:tcW w:w="1134" w:type="dxa"/>
            <w:tcBorders>
              <w:top w:val="single" w:sz="2" w:space="0" w:color="8EAADB" w:themeColor="accent5" w:themeTint="99"/>
              <w:bottom w:val="nil"/>
            </w:tcBorders>
            <w:shd w:val="clear" w:color="auto" w:fill="FFFFFF" w:themeFill="background1"/>
            <w:vAlign w:val="center"/>
          </w:tcPr>
          <w:p w14:paraId="74CF26E5"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7,662,234</w:t>
            </w:r>
          </w:p>
        </w:tc>
        <w:tc>
          <w:tcPr>
            <w:tcW w:w="816" w:type="dxa"/>
            <w:tcBorders>
              <w:top w:val="single" w:sz="2" w:space="0" w:color="8EAADB" w:themeColor="accent5" w:themeTint="99"/>
              <w:bottom w:val="nil"/>
            </w:tcBorders>
            <w:shd w:val="clear" w:color="auto" w:fill="FFFFFF" w:themeFill="background1"/>
            <w:vAlign w:val="center"/>
          </w:tcPr>
          <w:p w14:paraId="4A140FCF"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91.62</w:t>
            </w:r>
          </w:p>
        </w:tc>
      </w:tr>
      <w:tr w:rsidR="00720F68" w:rsidRPr="00B84B0C" w14:paraId="19FE6B2C" w14:textId="77777777" w:rsidTr="00720F6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26F69ACA" w14:textId="77777777" w:rsidR="00720F68" w:rsidRPr="00B84B0C" w:rsidRDefault="00720F68" w:rsidP="00720F68">
            <w:pPr>
              <w:pStyle w:val="07-Legenda"/>
              <w:jc w:val="left"/>
              <w:rPr>
                <w:rFonts w:cs="Arial"/>
                <w:b w:val="0"/>
                <w:i/>
                <w:lang w:val="en-US"/>
              </w:rPr>
            </w:pPr>
            <w:r w:rsidRPr="00B84B0C">
              <w:rPr>
                <w:rFonts w:cs="Arial"/>
                <w:b w:val="0"/>
                <w:lang w:val="en-US"/>
              </w:rPr>
              <w:t xml:space="preserve">Corporate </w:t>
            </w:r>
            <w:proofErr w:type="gramStart"/>
            <w:r w:rsidRPr="00B84B0C">
              <w:rPr>
                <w:rFonts w:cs="Arial"/>
                <w:b w:val="0"/>
                <w:lang w:val="en-US"/>
              </w:rPr>
              <w:t>bonds</w:t>
            </w:r>
            <w:r w:rsidRPr="00B84B0C">
              <w:rPr>
                <w:rFonts w:cs="Arial"/>
                <w:b w:val="0"/>
                <w:vertAlign w:val="superscript"/>
                <w:lang w:val="en-US"/>
              </w:rPr>
              <w:t>(</w:t>
            </w:r>
            <w:proofErr w:type="gramEnd"/>
            <w:r w:rsidRPr="00B84B0C">
              <w:rPr>
                <w:rFonts w:cs="Arial"/>
                <w:b w:val="0"/>
                <w:vertAlign w:val="superscript"/>
                <w:lang w:val="en-US"/>
              </w:rPr>
              <w:t>3)</w:t>
            </w:r>
          </w:p>
        </w:tc>
        <w:tc>
          <w:tcPr>
            <w:tcW w:w="1160" w:type="dxa"/>
            <w:tcBorders>
              <w:top w:val="nil"/>
              <w:bottom w:val="nil"/>
            </w:tcBorders>
            <w:vAlign w:val="center"/>
          </w:tcPr>
          <w:p w14:paraId="5D9D0070"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color w:val="000000"/>
                <w:szCs w:val="14"/>
                <w:lang w:eastAsia="en-US"/>
              </w:rPr>
              <w:t>--</w:t>
            </w:r>
          </w:p>
        </w:tc>
        <w:tc>
          <w:tcPr>
            <w:tcW w:w="633" w:type="dxa"/>
            <w:tcBorders>
              <w:top w:val="nil"/>
              <w:bottom w:val="nil"/>
            </w:tcBorders>
            <w:vAlign w:val="center"/>
          </w:tcPr>
          <w:p w14:paraId="6B26A658"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color w:val="000000"/>
                <w:szCs w:val="14"/>
                <w:lang w:eastAsia="en-US"/>
              </w:rPr>
              <w:t>--</w:t>
            </w:r>
          </w:p>
        </w:tc>
        <w:tc>
          <w:tcPr>
            <w:tcW w:w="1042" w:type="dxa"/>
            <w:tcBorders>
              <w:top w:val="nil"/>
              <w:bottom w:val="nil"/>
            </w:tcBorders>
            <w:vAlign w:val="center"/>
          </w:tcPr>
          <w:p w14:paraId="44C8801F"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color w:val="000000"/>
                <w:szCs w:val="14"/>
                <w:lang w:eastAsia="en-US"/>
              </w:rPr>
              <w:t>2</w:t>
            </w:r>
          </w:p>
        </w:tc>
        <w:tc>
          <w:tcPr>
            <w:tcW w:w="708" w:type="dxa"/>
            <w:tcBorders>
              <w:top w:val="nil"/>
              <w:bottom w:val="nil"/>
            </w:tcBorders>
            <w:vAlign w:val="center"/>
          </w:tcPr>
          <w:p w14:paraId="5AE7EC5E"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color w:val="000000"/>
                <w:szCs w:val="14"/>
                <w:lang w:eastAsia="en-US"/>
              </w:rPr>
              <w:t>0.00</w:t>
            </w:r>
          </w:p>
        </w:tc>
        <w:tc>
          <w:tcPr>
            <w:tcW w:w="284" w:type="dxa"/>
            <w:tcBorders>
              <w:top w:val="nil"/>
              <w:bottom w:val="nil"/>
            </w:tcBorders>
            <w:vAlign w:val="center"/>
          </w:tcPr>
          <w:p w14:paraId="0E63BA74"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134" w:type="dxa"/>
            <w:tcBorders>
              <w:top w:val="nil"/>
              <w:bottom w:val="nil"/>
            </w:tcBorders>
            <w:vAlign w:val="center"/>
          </w:tcPr>
          <w:p w14:paraId="22F4A1A0"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color w:val="000000"/>
                <w:szCs w:val="14"/>
                <w:lang w:eastAsia="en-US"/>
              </w:rPr>
              <w:t>919,633</w:t>
            </w:r>
          </w:p>
        </w:tc>
        <w:tc>
          <w:tcPr>
            <w:tcW w:w="709" w:type="dxa"/>
            <w:tcBorders>
              <w:top w:val="nil"/>
              <w:bottom w:val="nil"/>
            </w:tcBorders>
            <w:vAlign w:val="center"/>
          </w:tcPr>
          <w:p w14:paraId="1DE9346B"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color w:val="000000"/>
                <w:szCs w:val="14"/>
                <w:lang w:eastAsia="en-US"/>
              </w:rPr>
              <w:t>17.35</w:t>
            </w:r>
          </w:p>
        </w:tc>
        <w:tc>
          <w:tcPr>
            <w:tcW w:w="1134" w:type="dxa"/>
            <w:tcBorders>
              <w:top w:val="nil"/>
              <w:bottom w:val="nil"/>
            </w:tcBorders>
            <w:vAlign w:val="center"/>
          </w:tcPr>
          <w:p w14:paraId="168CB6AE"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color w:val="000000"/>
                <w:szCs w:val="14"/>
                <w:lang w:eastAsia="en-US"/>
              </w:rPr>
              <w:t>700,401</w:t>
            </w:r>
          </w:p>
        </w:tc>
        <w:tc>
          <w:tcPr>
            <w:tcW w:w="816" w:type="dxa"/>
            <w:tcBorders>
              <w:top w:val="nil"/>
              <w:bottom w:val="nil"/>
            </w:tcBorders>
            <w:vAlign w:val="center"/>
          </w:tcPr>
          <w:p w14:paraId="2F48E177"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color w:val="000000"/>
                <w:szCs w:val="14"/>
                <w:lang w:eastAsia="en-US"/>
              </w:rPr>
              <w:t>8.38</w:t>
            </w:r>
          </w:p>
        </w:tc>
      </w:tr>
      <w:tr w:rsidR="00720F68" w:rsidRPr="00B84B0C" w14:paraId="32A5D839" w14:textId="77777777" w:rsidTr="00720F68">
        <w:trPr>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FFFFFF" w:themeFill="background1"/>
          </w:tcPr>
          <w:p w14:paraId="506241C3" w14:textId="77777777" w:rsidR="00720F68" w:rsidRPr="00B84B0C" w:rsidRDefault="00720F68" w:rsidP="00720F68">
            <w:pPr>
              <w:pStyle w:val="07-Legenda"/>
              <w:jc w:val="left"/>
              <w:rPr>
                <w:rFonts w:cs="Arial"/>
                <w:b w:val="0"/>
                <w:lang w:val="en-US"/>
              </w:rPr>
            </w:pPr>
            <w:proofErr w:type="gramStart"/>
            <w:r w:rsidRPr="00B84B0C">
              <w:rPr>
                <w:rFonts w:cs="Arial"/>
                <w:b w:val="0"/>
                <w:lang w:val="en-US"/>
              </w:rPr>
              <w:t>Other</w:t>
            </w:r>
            <w:r w:rsidRPr="00B84B0C">
              <w:rPr>
                <w:rFonts w:cs="Arial"/>
                <w:b w:val="0"/>
                <w:vertAlign w:val="superscript"/>
                <w:lang w:val="en-US"/>
              </w:rPr>
              <w:t>(</w:t>
            </w:r>
            <w:proofErr w:type="gramEnd"/>
            <w:r w:rsidRPr="00B84B0C">
              <w:rPr>
                <w:rFonts w:cs="Arial"/>
                <w:b w:val="0"/>
                <w:vertAlign w:val="superscript"/>
                <w:lang w:val="en-US"/>
              </w:rPr>
              <w:t>4)</w:t>
            </w:r>
          </w:p>
        </w:tc>
        <w:tc>
          <w:tcPr>
            <w:tcW w:w="1160" w:type="dxa"/>
            <w:tcBorders>
              <w:top w:val="nil"/>
              <w:bottom w:val="nil"/>
            </w:tcBorders>
            <w:shd w:val="clear" w:color="auto" w:fill="FFFFFF" w:themeFill="background1"/>
            <w:vAlign w:val="center"/>
          </w:tcPr>
          <w:p w14:paraId="6481BA51"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r w:rsidRPr="00B84B0C">
              <w:rPr>
                <w:rFonts w:cs="Arial"/>
                <w:color w:val="000000"/>
                <w:szCs w:val="14"/>
                <w:lang w:eastAsia="en-US"/>
              </w:rPr>
              <w:t>--</w:t>
            </w:r>
          </w:p>
        </w:tc>
        <w:tc>
          <w:tcPr>
            <w:tcW w:w="633" w:type="dxa"/>
            <w:tcBorders>
              <w:top w:val="nil"/>
              <w:bottom w:val="nil"/>
            </w:tcBorders>
            <w:shd w:val="clear" w:color="auto" w:fill="FFFFFF" w:themeFill="background1"/>
            <w:vAlign w:val="center"/>
          </w:tcPr>
          <w:p w14:paraId="5FD5A584"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w:t>
            </w:r>
          </w:p>
        </w:tc>
        <w:tc>
          <w:tcPr>
            <w:tcW w:w="1042" w:type="dxa"/>
            <w:tcBorders>
              <w:top w:val="nil"/>
              <w:bottom w:val="nil"/>
            </w:tcBorders>
            <w:shd w:val="clear" w:color="auto" w:fill="FFFFFF" w:themeFill="background1"/>
            <w:vAlign w:val="bottom"/>
          </w:tcPr>
          <w:p w14:paraId="223BAEF8"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eastAsia="en-US"/>
              </w:rPr>
              <w:t xml:space="preserve">--                                                                          -   </w:t>
            </w:r>
          </w:p>
        </w:tc>
        <w:tc>
          <w:tcPr>
            <w:tcW w:w="708" w:type="dxa"/>
            <w:tcBorders>
              <w:top w:val="nil"/>
              <w:bottom w:val="nil"/>
            </w:tcBorders>
            <w:shd w:val="clear" w:color="auto" w:fill="FFFFFF" w:themeFill="background1"/>
            <w:vAlign w:val="center"/>
          </w:tcPr>
          <w:p w14:paraId="66B416CA"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w:t>
            </w:r>
          </w:p>
        </w:tc>
        <w:tc>
          <w:tcPr>
            <w:tcW w:w="284" w:type="dxa"/>
            <w:tcBorders>
              <w:top w:val="nil"/>
              <w:bottom w:val="nil"/>
            </w:tcBorders>
            <w:shd w:val="clear" w:color="auto" w:fill="FFFFFF" w:themeFill="background1"/>
            <w:vAlign w:val="center"/>
          </w:tcPr>
          <w:p w14:paraId="25DB3427"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p>
        </w:tc>
        <w:tc>
          <w:tcPr>
            <w:tcW w:w="1134" w:type="dxa"/>
            <w:tcBorders>
              <w:top w:val="nil"/>
              <w:bottom w:val="nil"/>
            </w:tcBorders>
            <w:shd w:val="clear" w:color="auto" w:fill="FFFFFF" w:themeFill="background1"/>
            <w:vAlign w:val="center"/>
          </w:tcPr>
          <w:p w14:paraId="656C7DCE"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(9)</w:t>
            </w:r>
          </w:p>
        </w:tc>
        <w:tc>
          <w:tcPr>
            <w:tcW w:w="709" w:type="dxa"/>
            <w:tcBorders>
              <w:top w:val="nil"/>
              <w:bottom w:val="nil"/>
            </w:tcBorders>
            <w:shd w:val="clear" w:color="auto" w:fill="FFFFFF" w:themeFill="background1"/>
            <w:vAlign w:val="center"/>
          </w:tcPr>
          <w:p w14:paraId="0E23262D"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(0.00)</w:t>
            </w:r>
          </w:p>
        </w:tc>
        <w:tc>
          <w:tcPr>
            <w:tcW w:w="1134" w:type="dxa"/>
            <w:tcBorders>
              <w:top w:val="nil"/>
              <w:bottom w:val="nil"/>
            </w:tcBorders>
            <w:shd w:val="clear" w:color="auto" w:fill="FFFFFF" w:themeFill="background1"/>
            <w:vAlign w:val="center"/>
          </w:tcPr>
          <w:p w14:paraId="757C33C2"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(6)</w:t>
            </w:r>
          </w:p>
        </w:tc>
        <w:tc>
          <w:tcPr>
            <w:tcW w:w="816" w:type="dxa"/>
            <w:tcBorders>
              <w:top w:val="nil"/>
              <w:bottom w:val="nil"/>
            </w:tcBorders>
            <w:shd w:val="clear" w:color="auto" w:fill="FFFFFF" w:themeFill="background1"/>
            <w:vAlign w:val="center"/>
          </w:tcPr>
          <w:p w14:paraId="38DA8825"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lang w:eastAsia="en-US"/>
              </w:rPr>
              <w:t>(0.00)</w:t>
            </w:r>
          </w:p>
        </w:tc>
      </w:tr>
      <w:tr w:rsidR="00720F68" w:rsidRPr="00B84B0C" w14:paraId="3B6590ED" w14:textId="77777777" w:rsidTr="00720F6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2" w:space="0" w:color="8EAADB" w:themeColor="accent5" w:themeTint="99"/>
            </w:tcBorders>
          </w:tcPr>
          <w:p w14:paraId="1F64C1F3" w14:textId="77777777" w:rsidR="00720F68" w:rsidRPr="00B84B0C" w:rsidRDefault="00720F68" w:rsidP="00720F68">
            <w:pPr>
              <w:pStyle w:val="07-Legenda"/>
              <w:jc w:val="left"/>
              <w:rPr>
                <w:rFonts w:cs="Arial"/>
                <w:b w:val="0"/>
                <w:i/>
                <w:lang w:val="en-US"/>
              </w:rPr>
            </w:pPr>
            <w:r w:rsidRPr="00B84B0C">
              <w:rPr>
                <w:rFonts w:cs="Arial"/>
                <w:b w:val="0"/>
                <w:lang w:val="en-US"/>
              </w:rPr>
              <w:t>Total</w:t>
            </w:r>
          </w:p>
        </w:tc>
        <w:tc>
          <w:tcPr>
            <w:tcW w:w="1160" w:type="dxa"/>
            <w:tcBorders>
              <w:top w:val="nil"/>
              <w:bottom w:val="single" w:sz="2" w:space="0" w:color="8EAADB" w:themeColor="accent5" w:themeTint="99"/>
            </w:tcBorders>
            <w:vAlign w:val="center"/>
          </w:tcPr>
          <w:p w14:paraId="77714670"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color w:val="000000"/>
                <w:szCs w:val="14"/>
                <w:lang w:eastAsia="en-US"/>
              </w:rPr>
              <w:t>2,402,707</w:t>
            </w:r>
          </w:p>
        </w:tc>
        <w:tc>
          <w:tcPr>
            <w:tcW w:w="633" w:type="dxa"/>
            <w:tcBorders>
              <w:top w:val="nil"/>
              <w:bottom w:val="single" w:sz="2" w:space="0" w:color="8EAADB" w:themeColor="accent5" w:themeTint="99"/>
            </w:tcBorders>
            <w:vAlign w:val="center"/>
          </w:tcPr>
          <w:p w14:paraId="4FA83B9C"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b/>
                <w:bCs/>
                <w:color w:val="000000"/>
                <w:szCs w:val="14"/>
                <w:lang w:eastAsia="en-US"/>
              </w:rPr>
              <w:t>100.00%</w:t>
            </w:r>
          </w:p>
        </w:tc>
        <w:tc>
          <w:tcPr>
            <w:tcW w:w="1042" w:type="dxa"/>
            <w:tcBorders>
              <w:top w:val="nil"/>
              <w:bottom w:val="single" w:sz="2" w:space="0" w:color="8EAADB" w:themeColor="accent5" w:themeTint="99"/>
            </w:tcBorders>
            <w:vAlign w:val="center"/>
          </w:tcPr>
          <w:p w14:paraId="0403B282"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b/>
                <w:bCs/>
                <w:color w:val="000000"/>
                <w:szCs w:val="14"/>
                <w:lang w:eastAsia="en-US"/>
              </w:rPr>
              <w:t>4,231,195</w:t>
            </w:r>
          </w:p>
        </w:tc>
        <w:tc>
          <w:tcPr>
            <w:tcW w:w="708" w:type="dxa"/>
            <w:tcBorders>
              <w:top w:val="nil"/>
              <w:bottom w:val="single" w:sz="2" w:space="0" w:color="8EAADB" w:themeColor="accent5" w:themeTint="99"/>
            </w:tcBorders>
            <w:vAlign w:val="center"/>
          </w:tcPr>
          <w:p w14:paraId="1CE3C8BF"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b/>
                <w:bCs/>
                <w:color w:val="000000"/>
                <w:szCs w:val="14"/>
                <w:lang w:eastAsia="en-US"/>
              </w:rPr>
              <w:t>100.00</w:t>
            </w:r>
          </w:p>
        </w:tc>
        <w:tc>
          <w:tcPr>
            <w:tcW w:w="284" w:type="dxa"/>
            <w:tcBorders>
              <w:top w:val="nil"/>
              <w:bottom w:val="single" w:sz="2" w:space="0" w:color="8EAADB" w:themeColor="accent5" w:themeTint="99"/>
            </w:tcBorders>
            <w:vAlign w:val="center"/>
          </w:tcPr>
          <w:p w14:paraId="6998FE9B"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134" w:type="dxa"/>
            <w:tcBorders>
              <w:top w:val="nil"/>
              <w:bottom w:val="single" w:sz="2" w:space="0" w:color="8EAADB" w:themeColor="accent5" w:themeTint="99"/>
            </w:tcBorders>
            <w:vAlign w:val="center"/>
          </w:tcPr>
          <w:p w14:paraId="2D6C7B7E"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color w:val="000000"/>
                <w:szCs w:val="14"/>
                <w:lang w:eastAsia="en-US"/>
              </w:rPr>
              <w:t>5,299,267</w:t>
            </w:r>
          </w:p>
        </w:tc>
        <w:tc>
          <w:tcPr>
            <w:tcW w:w="709" w:type="dxa"/>
            <w:tcBorders>
              <w:top w:val="nil"/>
              <w:bottom w:val="single" w:sz="2" w:space="0" w:color="8EAADB" w:themeColor="accent5" w:themeTint="99"/>
            </w:tcBorders>
            <w:vAlign w:val="center"/>
          </w:tcPr>
          <w:p w14:paraId="35CA5BED"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b/>
                <w:bCs/>
                <w:color w:val="000000"/>
                <w:szCs w:val="14"/>
                <w:lang w:eastAsia="en-US"/>
              </w:rPr>
              <w:t>100.00%</w:t>
            </w:r>
          </w:p>
        </w:tc>
        <w:tc>
          <w:tcPr>
            <w:tcW w:w="1134" w:type="dxa"/>
            <w:tcBorders>
              <w:top w:val="nil"/>
              <w:bottom w:val="single" w:sz="2" w:space="0" w:color="8EAADB" w:themeColor="accent5" w:themeTint="99"/>
            </w:tcBorders>
            <w:vAlign w:val="center"/>
          </w:tcPr>
          <w:p w14:paraId="2F35740E"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b/>
                <w:bCs/>
                <w:color w:val="000000"/>
                <w:szCs w:val="14"/>
                <w:lang w:eastAsia="en-US"/>
              </w:rPr>
              <w:t>8,362,629</w:t>
            </w:r>
          </w:p>
        </w:tc>
        <w:tc>
          <w:tcPr>
            <w:tcW w:w="816" w:type="dxa"/>
            <w:tcBorders>
              <w:top w:val="nil"/>
              <w:bottom w:val="single" w:sz="2" w:space="0" w:color="8EAADB" w:themeColor="accent5" w:themeTint="99"/>
            </w:tcBorders>
            <w:vAlign w:val="center"/>
          </w:tcPr>
          <w:p w14:paraId="30B21893"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b/>
                <w:color w:val="000000"/>
                <w:szCs w:val="14"/>
                <w:lang w:eastAsia="en-US"/>
              </w:rPr>
              <w:t>100.00</w:t>
            </w:r>
          </w:p>
        </w:tc>
      </w:tr>
    </w:tbl>
    <w:p w14:paraId="42759F8D" w14:textId="77777777" w:rsidR="00720F68" w:rsidRPr="00B84B0C" w:rsidRDefault="00720F68" w:rsidP="00720F68">
      <w:pPr>
        <w:pStyle w:val="07-Legenda1"/>
        <w:numPr>
          <w:ilvl w:val="0"/>
          <w:numId w:val="11"/>
        </w:numPr>
        <w:tabs>
          <w:tab w:val="clear" w:pos="284"/>
        </w:tabs>
        <w:ind w:hanging="720"/>
        <w:rPr>
          <w:rFonts w:ascii="Arial" w:hAnsi="Arial" w:cs="Arial"/>
          <w:szCs w:val="14"/>
          <w:lang w:val="en-US"/>
        </w:rPr>
      </w:pPr>
      <w:r w:rsidRPr="00B84B0C">
        <w:rPr>
          <w:rFonts w:ascii="Arial" w:hAnsi="Arial" w:cs="Arial"/>
          <w:szCs w:val="14"/>
          <w:lang w:val="en-US"/>
        </w:rPr>
        <w:t xml:space="preserve">Does not include the amount invested at </w:t>
      </w:r>
      <w:proofErr w:type="spellStart"/>
      <w:r w:rsidRPr="00B84B0C">
        <w:rPr>
          <w:rFonts w:ascii="Arial" w:hAnsi="Arial" w:cs="Arial"/>
          <w:szCs w:val="14"/>
          <w:lang w:val="en-US"/>
        </w:rPr>
        <w:t>Brasil</w:t>
      </w:r>
      <w:proofErr w:type="spellEnd"/>
      <w:r w:rsidRPr="00B84B0C">
        <w:rPr>
          <w:rFonts w:ascii="Arial" w:hAnsi="Arial" w:cs="Arial"/>
          <w:szCs w:val="14"/>
          <w:lang w:val="en-US"/>
        </w:rPr>
        <w:t xml:space="preserve"> </w:t>
      </w:r>
      <w:proofErr w:type="spellStart"/>
      <w:r w:rsidRPr="00B84B0C">
        <w:rPr>
          <w:rFonts w:ascii="Arial" w:hAnsi="Arial" w:cs="Arial"/>
          <w:szCs w:val="14"/>
          <w:lang w:val="en-US"/>
        </w:rPr>
        <w:t>Aceleradora</w:t>
      </w:r>
      <w:proofErr w:type="spellEnd"/>
      <w:r w:rsidRPr="00B84B0C">
        <w:rPr>
          <w:rFonts w:ascii="Arial" w:hAnsi="Arial" w:cs="Arial"/>
          <w:szCs w:val="14"/>
          <w:lang w:val="en-US"/>
        </w:rPr>
        <w:t xml:space="preserve"> de Startups fund. Total amount in the fund is R$ 3,582 thousand on Mar 31, 2020 (R$ 3,413 thousand on Dec 31, 2019).</w:t>
      </w:r>
    </w:p>
    <w:p w14:paraId="3576BAB1" w14:textId="77777777" w:rsidR="00720F68" w:rsidRPr="00B84B0C" w:rsidRDefault="00720F68" w:rsidP="00720F68">
      <w:pPr>
        <w:pStyle w:val="07-Legenda1"/>
        <w:numPr>
          <w:ilvl w:val="0"/>
          <w:numId w:val="11"/>
        </w:numPr>
        <w:tabs>
          <w:tab w:val="clear" w:pos="284"/>
        </w:tabs>
        <w:ind w:hanging="720"/>
        <w:rPr>
          <w:rFonts w:ascii="Arial" w:hAnsi="Arial" w:cs="Arial"/>
          <w:szCs w:val="14"/>
          <w:lang w:val="en-US"/>
        </w:rPr>
      </w:pPr>
      <w:r w:rsidRPr="00B84B0C">
        <w:rPr>
          <w:rFonts w:ascii="Arial" w:hAnsi="Arial" w:cs="Arial"/>
          <w:szCs w:val="14"/>
          <w:lang w:val="en-US"/>
        </w:rPr>
        <w:t>Includes repurchase agreements backed by Federal Government Bonds.</w:t>
      </w:r>
    </w:p>
    <w:p w14:paraId="26E4E34E" w14:textId="77777777" w:rsidR="00720F68" w:rsidRPr="00B84B0C" w:rsidRDefault="00720F68" w:rsidP="00720F68">
      <w:pPr>
        <w:pStyle w:val="07-Legenda1"/>
        <w:numPr>
          <w:ilvl w:val="0"/>
          <w:numId w:val="11"/>
        </w:numPr>
        <w:tabs>
          <w:tab w:val="clear" w:pos="284"/>
        </w:tabs>
        <w:ind w:hanging="720"/>
        <w:rPr>
          <w:rFonts w:ascii="Arial" w:hAnsi="Arial" w:cs="Arial"/>
          <w:szCs w:val="14"/>
          <w:lang w:val="en-US"/>
        </w:rPr>
      </w:pPr>
      <w:r w:rsidRPr="00B84B0C">
        <w:rPr>
          <w:rFonts w:ascii="Arial" w:hAnsi="Arial" w:cs="Arial"/>
          <w:szCs w:val="14"/>
          <w:lang w:val="en-US"/>
        </w:rPr>
        <w:t>Corporate Bonds in Parent’s portfolio were concentrated in Financial Bills with AA+ credit rating.</w:t>
      </w:r>
    </w:p>
    <w:p w14:paraId="35F0FA5C" w14:textId="77777777" w:rsidR="00720F68" w:rsidRPr="00B84B0C" w:rsidRDefault="00720F68" w:rsidP="00720F68">
      <w:pPr>
        <w:pStyle w:val="07-Legenda1"/>
        <w:numPr>
          <w:ilvl w:val="0"/>
          <w:numId w:val="11"/>
        </w:numPr>
        <w:tabs>
          <w:tab w:val="clear" w:pos="284"/>
        </w:tabs>
        <w:ind w:hanging="720"/>
        <w:rPr>
          <w:rFonts w:ascii="Arial" w:hAnsi="Arial" w:cs="Arial"/>
          <w:szCs w:val="14"/>
          <w:lang w:val="en-US"/>
        </w:rPr>
      </w:pPr>
      <w:r w:rsidRPr="00B84B0C">
        <w:rPr>
          <w:rFonts w:ascii="Arial" w:hAnsi="Arial" w:cs="Arial"/>
          <w:szCs w:val="14"/>
          <w:lang w:val="en-US"/>
        </w:rPr>
        <w:t xml:space="preserve">Includes cash, cash equivalents, amounts payable and receivable from mutual </w:t>
      </w:r>
      <w:proofErr w:type="gramStart"/>
      <w:r w:rsidRPr="00B84B0C">
        <w:rPr>
          <w:rFonts w:ascii="Arial" w:hAnsi="Arial" w:cs="Arial"/>
          <w:szCs w:val="14"/>
          <w:lang w:val="en-US"/>
        </w:rPr>
        <w:t>funds</w:t>
      </w:r>
      <w:proofErr w:type="gramEnd"/>
      <w:r w:rsidRPr="00B84B0C">
        <w:rPr>
          <w:rFonts w:ascii="Arial" w:hAnsi="Arial" w:cs="Arial"/>
          <w:szCs w:val="14"/>
          <w:lang w:val="en-US"/>
        </w:rPr>
        <w:t xml:space="preserve"> </w:t>
      </w:r>
    </w:p>
    <w:p w14:paraId="78C158C9" w14:textId="77777777" w:rsidR="00720F68" w:rsidRPr="00B84B0C" w:rsidRDefault="00720F68">
      <w:pPr>
        <w:rPr>
          <w:rFonts w:cs="Arial"/>
          <w:b/>
          <w:color w:val="1F4E79" w:themeColor="accent1" w:themeShade="80"/>
          <w:szCs w:val="18"/>
          <w:lang w:val="en-US"/>
        </w:rPr>
      </w:pPr>
    </w:p>
    <w:p w14:paraId="48385091" w14:textId="77777777" w:rsidR="00720F68" w:rsidRPr="00B84B0C" w:rsidRDefault="00720F68" w:rsidP="00720F68">
      <w:pPr>
        <w:pStyle w:val="06-Rmil"/>
        <w:rPr>
          <w:rFonts w:cs="Arial"/>
          <w:lang w:val="en-US"/>
        </w:rPr>
      </w:pPr>
      <w:r w:rsidRPr="00B84B0C">
        <w:rPr>
          <w:rFonts w:cs="Arial"/>
          <w:lang w:val="en-US"/>
        </w:rPr>
        <w:t>R$ thousand</w:t>
      </w:r>
    </w:p>
    <w:tbl>
      <w:tblPr>
        <w:tblW w:w="5000" w:type="pct"/>
        <w:tblCellMar>
          <w:left w:w="28" w:type="dxa"/>
          <w:right w:w="28" w:type="dxa"/>
        </w:tblCellMar>
        <w:tblLook w:val="04A0" w:firstRow="1" w:lastRow="0" w:firstColumn="1" w:lastColumn="0" w:noHBand="0" w:noVBand="1"/>
      </w:tblPr>
      <w:tblGrid>
        <w:gridCol w:w="1829"/>
        <w:gridCol w:w="849"/>
        <w:gridCol w:w="801"/>
        <w:gridCol w:w="684"/>
        <w:gridCol w:w="824"/>
        <w:gridCol w:w="828"/>
        <w:gridCol w:w="254"/>
        <w:gridCol w:w="812"/>
        <w:gridCol w:w="791"/>
        <w:gridCol w:w="568"/>
        <w:gridCol w:w="611"/>
        <w:gridCol w:w="843"/>
      </w:tblGrid>
      <w:tr w:rsidR="00720F68" w:rsidRPr="00B84B0C" w14:paraId="0EE6B987" w14:textId="77777777" w:rsidTr="00720F68">
        <w:trPr>
          <w:trHeight w:val="238"/>
        </w:trPr>
        <w:tc>
          <w:tcPr>
            <w:tcW w:w="5000" w:type="pct"/>
            <w:gridSpan w:val="12"/>
            <w:tcBorders>
              <w:top w:val="single" w:sz="2" w:space="0" w:color="8EAADB" w:themeColor="accent5" w:themeTint="99"/>
              <w:left w:val="nil"/>
              <w:bottom w:val="single" w:sz="2" w:space="0" w:color="8EAADB" w:themeColor="accent5" w:themeTint="99"/>
              <w:right w:val="nil"/>
            </w:tcBorders>
            <w:shd w:val="clear" w:color="auto" w:fill="D9E2F3" w:themeFill="accent5" w:themeFillTint="33"/>
            <w:noWrap/>
            <w:vAlign w:val="center"/>
          </w:tcPr>
          <w:p w14:paraId="33779D9F" w14:textId="77777777" w:rsidR="00720F68" w:rsidRPr="00B84B0C" w:rsidRDefault="00720F68" w:rsidP="00720F68">
            <w:pPr>
              <w:pStyle w:val="08-Tabelageral"/>
              <w:jc w:val="center"/>
              <w:rPr>
                <w:rFonts w:cs="Arial"/>
                <w:b/>
              </w:rPr>
            </w:pPr>
            <w:proofErr w:type="spellStart"/>
            <w:r w:rsidRPr="00B84B0C">
              <w:rPr>
                <w:rFonts w:cs="Arial"/>
                <w:b/>
              </w:rPr>
              <w:t>Consolidated</w:t>
            </w:r>
            <w:proofErr w:type="spellEnd"/>
          </w:p>
        </w:tc>
      </w:tr>
      <w:tr w:rsidR="00720F68" w:rsidRPr="00B84B0C" w14:paraId="6AE3434E" w14:textId="77777777" w:rsidTr="00720F68">
        <w:trPr>
          <w:trHeight w:val="238"/>
        </w:trPr>
        <w:tc>
          <w:tcPr>
            <w:tcW w:w="943" w:type="pct"/>
            <w:vMerge w:val="restart"/>
            <w:tcBorders>
              <w:top w:val="single" w:sz="2" w:space="0" w:color="8EAADB" w:themeColor="accent5" w:themeTint="99"/>
              <w:left w:val="nil"/>
              <w:bottom w:val="single" w:sz="2" w:space="0" w:color="8EAADB" w:themeColor="accent5" w:themeTint="99"/>
              <w:right w:val="nil"/>
            </w:tcBorders>
            <w:shd w:val="clear" w:color="auto" w:fill="D9E2F3" w:themeFill="accent5" w:themeFillTint="33"/>
            <w:noWrap/>
            <w:vAlign w:val="center"/>
            <w:hideMark/>
          </w:tcPr>
          <w:p w14:paraId="44681E93" w14:textId="77777777" w:rsidR="00720F68" w:rsidRPr="00B84B0C" w:rsidRDefault="00720F68" w:rsidP="00720F68">
            <w:pPr>
              <w:pStyle w:val="08-Tabelageral"/>
              <w:jc w:val="left"/>
              <w:rPr>
                <w:rFonts w:cs="Arial"/>
                <w:b/>
                <w:lang w:val="en-US"/>
              </w:rPr>
            </w:pPr>
            <w:r w:rsidRPr="00B84B0C">
              <w:rPr>
                <w:rFonts w:cs="Arial"/>
                <w:b/>
                <w:lang w:val="en-US"/>
              </w:rPr>
              <w:t>Corporate Bonds–</w:t>
            </w:r>
          </w:p>
          <w:p w14:paraId="6969BF86" w14:textId="77777777" w:rsidR="00720F68" w:rsidRPr="00B84B0C" w:rsidRDefault="00720F68" w:rsidP="00720F68">
            <w:pPr>
              <w:pStyle w:val="08-Tabelageral"/>
              <w:jc w:val="left"/>
              <w:rPr>
                <w:rFonts w:cs="Arial"/>
                <w:b/>
              </w:rPr>
            </w:pPr>
            <w:proofErr w:type="gramStart"/>
            <w:r w:rsidRPr="00B84B0C">
              <w:rPr>
                <w:rFonts w:cs="Arial"/>
                <w:b/>
                <w:lang w:val="en-US"/>
              </w:rPr>
              <w:t>Rating</w:t>
            </w:r>
            <w:r w:rsidRPr="00B84B0C">
              <w:rPr>
                <w:rFonts w:cs="Arial"/>
                <w:b/>
                <w:vertAlign w:val="superscript"/>
                <w:lang w:val="en-US"/>
              </w:rPr>
              <w:t>(</w:t>
            </w:r>
            <w:proofErr w:type="gramEnd"/>
            <w:r w:rsidRPr="00B84B0C">
              <w:rPr>
                <w:rFonts w:cs="Arial"/>
                <w:b/>
                <w:vertAlign w:val="superscript"/>
                <w:lang w:val="en-US"/>
              </w:rPr>
              <w:t>1)</w:t>
            </w:r>
          </w:p>
        </w:tc>
        <w:tc>
          <w:tcPr>
            <w:tcW w:w="2055" w:type="pct"/>
            <w:gridSpan w:val="5"/>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bottom"/>
            <w:hideMark/>
          </w:tcPr>
          <w:p w14:paraId="18E55485" w14:textId="77777777" w:rsidR="00720F68" w:rsidRPr="00B84B0C" w:rsidRDefault="00720F68" w:rsidP="00720F68">
            <w:pPr>
              <w:pStyle w:val="08-Tabelageral"/>
              <w:jc w:val="center"/>
              <w:rPr>
                <w:rFonts w:cs="Arial"/>
                <w:b/>
              </w:rPr>
            </w:pPr>
            <w:r w:rsidRPr="00B84B0C">
              <w:rPr>
                <w:rFonts w:cs="Arial"/>
                <w:b/>
                <w:lang w:val="en-US"/>
              </w:rPr>
              <w:t xml:space="preserve">Mar 31, </w:t>
            </w:r>
            <w:r w:rsidRPr="00B84B0C">
              <w:rPr>
                <w:rFonts w:cs="Arial"/>
                <w:b/>
              </w:rPr>
              <w:t>2020</w:t>
            </w:r>
          </w:p>
        </w:tc>
        <w:tc>
          <w:tcPr>
            <w:tcW w:w="131" w:type="pct"/>
            <w:tcBorders>
              <w:left w:val="nil"/>
              <w:bottom w:val="nil"/>
              <w:right w:val="nil"/>
            </w:tcBorders>
            <w:shd w:val="clear" w:color="auto" w:fill="D9E2F3" w:themeFill="accent5" w:themeFillTint="33"/>
            <w:vAlign w:val="bottom"/>
            <w:hideMark/>
          </w:tcPr>
          <w:p w14:paraId="30E827D1" w14:textId="77777777" w:rsidR="00720F68" w:rsidRPr="00B84B0C" w:rsidRDefault="00720F68" w:rsidP="00720F68">
            <w:pPr>
              <w:pStyle w:val="08-Tabelageral"/>
              <w:jc w:val="center"/>
              <w:rPr>
                <w:rFonts w:cs="Arial"/>
                <w:b/>
              </w:rPr>
            </w:pPr>
          </w:p>
        </w:tc>
        <w:tc>
          <w:tcPr>
            <w:tcW w:w="1870" w:type="pct"/>
            <w:gridSpan w:val="5"/>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bottom"/>
          </w:tcPr>
          <w:p w14:paraId="554C4AED" w14:textId="77777777" w:rsidR="00720F68" w:rsidRPr="00B84B0C" w:rsidRDefault="00720F68" w:rsidP="00720F68">
            <w:pPr>
              <w:pStyle w:val="08-Tabelageral"/>
              <w:jc w:val="center"/>
              <w:rPr>
                <w:rFonts w:cs="Arial"/>
                <w:b/>
              </w:rPr>
            </w:pPr>
            <w:r w:rsidRPr="00B84B0C">
              <w:rPr>
                <w:rFonts w:cs="Arial"/>
                <w:b/>
                <w:lang w:val="en-US"/>
              </w:rPr>
              <w:t>Dec 31, 2019</w:t>
            </w:r>
          </w:p>
        </w:tc>
      </w:tr>
      <w:tr w:rsidR="00720F68" w:rsidRPr="00B84B0C" w14:paraId="236B7239" w14:textId="77777777" w:rsidTr="00720F68">
        <w:trPr>
          <w:trHeight w:val="238"/>
        </w:trPr>
        <w:tc>
          <w:tcPr>
            <w:tcW w:w="943" w:type="pct"/>
            <w:vMerge/>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2B9A060B" w14:textId="77777777" w:rsidR="00720F68" w:rsidRPr="00B84B0C" w:rsidRDefault="00720F68" w:rsidP="00720F68">
            <w:pPr>
              <w:pStyle w:val="08-Tabelageral"/>
              <w:jc w:val="center"/>
              <w:rPr>
                <w:rFonts w:cs="Arial"/>
                <w:b/>
              </w:rPr>
            </w:pPr>
          </w:p>
        </w:tc>
        <w:tc>
          <w:tcPr>
            <w:tcW w:w="438"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4EE68D77" w14:textId="77777777" w:rsidR="00720F68" w:rsidRPr="00B84B0C" w:rsidRDefault="00720F68" w:rsidP="00720F68">
            <w:pPr>
              <w:pStyle w:val="08-Tabelageral"/>
              <w:jc w:val="center"/>
              <w:rPr>
                <w:rFonts w:cs="Arial"/>
                <w:b/>
              </w:rPr>
            </w:pPr>
            <w:r w:rsidRPr="00B84B0C">
              <w:rPr>
                <w:rFonts w:cs="Arial"/>
                <w:b/>
              </w:rPr>
              <w:t>Debentures</w:t>
            </w:r>
          </w:p>
        </w:tc>
        <w:tc>
          <w:tcPr>
            <w:tcW w:w="413"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7DCDF448" w14:textId="77777777" w:rsidR="00720F68" w:rsidRPr="00B84B0C" w:rsidRDefault="00720F68" w:rsidP="00720F68">
            <w:pPr>
              <w:pStyle w:val="08-Tabelageral"/>
              <w:jc w:val="center"/>
              <w:rPr>
                <w:rFonts w:cs="Arial"/>
                <w:b/>
              </w:rPr>
            </w:pPr>
            <w:r w:rsidRPr="00B84B0C">
              <w:rPr>
                <w:rFonts w:cs="Arial"/>
                <w:b/>
                <w:lang w:val="en-US"/>
              </w:rPr>
              <w:t>Financial bills</w:t>
            </w:r>
          </w:p>
        </w:tc>
        <w:tc>
          <w:tcPr>
            <w:tcW w:w="353"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tcPr>
          <w:p w14:paraId="61215721" w14:textId="77777777" w:rsidR="00720F68" w:rsidRPr="00B84B0C" w:rsidRDefault="00720F68" w:rsidP="00720F68">
            <w:pPr>
              <w:pStyle w:val="08-Tabelageral"/>
              <w:jc w:val="center"/>
              <w:rPr>
                <w:rFonts w:cs="Arial"/>
                <w:b/>
              </w:rPr>
            </w:pPr>
            <w:proofErr w:type="gramStart"/>
            <w:r w:rsidRPr="00B84B0C">
              <w:rPr>
                <w:rFonts w:cs="Arial"/>
                <w:b/>
              </w:rPr>
              <w:t>FIDC</w:t>
            </w:r>
            <w:r w:rsidRPr="00B84B0C">
              <w:rPr>
                <w:rFonts w:cs="Arial"/>
                <w:b/>
                <w:vertAlign w:val="superscript"/>
                <w:lang w:val="en-US"/>
              </w:rPr>
              <w:t>(</w:t>
            </w:r>
            <w:proofErr w:type="gramEnd"/>
            <w:r w:rsidRPr="00B84B0C">
              <w:rPr>
                <w:rFonts w:cs="Arial"/>
                <w:b/>
                <w:vertAlign w:val="superscript"/>
                <w:lang w:val="en-US"/>
              </w:rPr>
              <w:t>2)</w:t>
            </w:r>
          </w:p>
        </w:tc>
        <w:tc>
          <w:tcPr>
            <w:tcW w:w="425"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tcPr>
          <w:p w14:paraId="57187942" w14:textId="77777777" w:rsidR="00720F68" w:rsidRPr="00B84B0C" w:rsidRDefault="00720F68" w:rsidP="00720F68">
            <w:pPr>
              <w:pStyle w:val="08-Tabelageral"/>
              <w:jc w:val="center"/>
              <w:rPr>
                <w:rFonts w:cs="Arial"/>
                <w:b/>
              </w:rPr>
            </w:pPr>
            <w:proofErr w:type="gramStart"/>
            <w:r w:rsidRPr="00B84B0C">
              <w:rPr>
                <w:rFonts w:cs="Arial"/>
                <w:b/>
                <w:lang w:val="en-US"/>
              </w:rPr>
              <w:t>Other</w:t>
            </w:r>
            <w:r w:rsidRPr="00B84B0C">
              <w:rPr>
                <w:rFonts w:cs="Arial"/>
                <w:b/>
                <w:vertAlign w:val="superscript"/>
                <w:lang w:val="en-US"/>
              </w:rPr>
              <w:t>(</w:t>
            </w:r>
            <w:proofErr w:type="gramEnd"/>
            <w:r w:rsidRPr="00B84B0C">
              <w:rPr>
                <w:rFonts w:cs="Arial"/>
                <w:b/>
                <w:vertAlign w:val="superscript"/>
                <w:lang w:val="en-US"/>
              </w:rPr>
              <w:t>3)</w:t>
            </w:r>
          </w:p>
        </w:tc>
        <w:tc>
          <w:tcPr>
            <w:tcW w:w="427"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tcPr>
          <w:p w14:paraId="60F0C4DF" w14:textId="77777777" w:rsidR="00720F68" w:rsidRPr="00B84B0C" w:rsidRDefault="00720F68" w:rsidP="00720F68">
            <w:pPr>
              <w:pStyle w:val="08-Tabelageral"/>
              <w:jc w:val="center"/>
              <w:rPr>
                <w:rFonts w:cs="Arial"/>
                <w:b/>
              </w:rPr>
            </w:pPr>
            <w:r w:rsidRPr="00B84B0C">
              <w:rPr>
                <w:rFonts w:cs="Arial"/>
                <w:b/>
              </w:rPr>
              <w:t>Total</w:t>
            </w:r>
          </w:p>
        </w:tc>
        <w:tc>
          <w:tcPr>
            <w:tcW w:w="131" w:type="pct"/>
            <w:tcBorders>
              <w:left w:val="nil"/>
              <w:right w:val="nil"/>
            </w:tcBorders>
            <w:shd w:val="clear" w:color="auto" w:fill="D9E2F3" w:themeFill="accent5" w:themeFillTint="33"/>
            <w:vAlign w:val="center"/>
            <w:hideMark/>
          </w:tcPr>
          <w:p w14:paraId="0FBD8E6F" w14:textId="77777777" w:rsidR="00720F68" w:rsidRPr="00B84B0C" w:rsidRDefault="00720F68" w:rsidP="00720F68">
            <w:pPr>
              <w:pStyle w:val="08-Tabelageral"/>
              <w:jc w:val="center"/>
              <w:rPr>
                <w:rFonts w:cs="Arial"/>
                <w:b/>
              </w:rPr>
            </w:pPr>
          </w:p>
        </w:tc>
        <w:tc>
          <w:tcPr>
            <w:tcW w:w="419"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760DEF9E" w14:textId="77777777" w:rsidR="00720F68" w:rsidRPr="00B84B0C" w:rsidRDefault="00720F68" w:rsidP="00720F68">
            <w:pPr>
              <w:pStyle w:val="08-Tabelageral"/>
              <w:jc w:val="center"/>
              <w:rPr>
                <w:rFonts w:cs="Arial"/>
                <w:b/>
              </w:rPr>
            </w:pPr>
            <w:r w:rsidRPr="00B84B0C">
              <w:rPr>
                <w:rFonts w:cs="Arial"/>
                <w:b/>
              </w:rPr>
              <w:t>Debentures</w:t>
            </w:r>
          </w:p>
        </w:tc>
        <w:tc>
          <w:tcPr>
            <w:tcW w:w="408"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tcPr>
          <w:p w14:paraId="0FAE828D" w14:textId="77777777" w:rsidR="00720F68" w:rsidRPr="00B84B0C" w:rsidRDefault="00720F68" w:rsidP="00720F68">
            <w:pPr>
              <w:pStyle w:val="08-Tabelageral"/>
              <w:jc w:val="center"/>
              <w:rPr>
                <w:rFonts w:cs="Arial"/>
                <w:b/>
              </w:rPr>
            </w:pPr>
            <w:r w:rsidRPr="00B84B0C">
              <w:rPr>
                <w:rFonts w:cs="Arial"/>
                <w:b/>
                <w:lang w:val="en-US"/>
              </w:rPr>
              <w:t>Financial bills</w:t>
            </w:r>
          </w:p>
        </w:tc>
        <w:tc>
          <w:tcPr>
            <w:tcW w:w="293"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tcPr>
          <w:p w14:paraId="34D32255" w14:textId="77777777" w:rsidR="00720F68" w:rsidRPr="00B84B0C" w:rsidRDefault="00720F68" w:rsidP="00720F68">
            <w:pPr>
              <w:pStyle w:val="08-Tabelageral"/>
              <w:jc w:val="left"/>
              <w:rPr>
                <w:rFonts w:cs="Arial"/>
                <w:b/>
              </w:rPr>
            </w:pPr>
            <w:r w:rsidRPr="00B84B0C">
              <w:rPr>
                <w:rFonts w:cs="Arial"/>
                <w:b/>
              </w:rPr>
              <w:t>FIDC</w:t>
            </w:r>
          </w:p>
        </w:tc>
        <w:tc>
          <w:tcPr>
            <w:tcW w:w="315"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22D8D8D1" w14:textId="77777777" w:rsidR="00720F68" w:rsidRPr="00B84B0C" w:rsidRDefault="00720F68" w:rsidP="00720F68">
            <w:pPr>
              <w:pStyle w:val="08-Tabelageral"/>
              <w:jc w:val="center"/>
              <w:rPr>
                <w:rFonts w:cs="Arial"/>
                <w:b/>
              </w:rPr>
            </w:pPr>
            <w:proofErr w:type="gramStart"/>
            <w:r w:rsidRPr="00B84B0C">
              <w:rPr>
                <w:rFonts w:cs="Arial"/>
                <w:b/>
                <w:lang w:val="en-US"/>
              </w:rPr>
              <w:t>Other</w:t>
            </w:r>
            <w:r w:rsidRPr="00B84B0C">
              <w:rPr>
                <w:rFonts w:cs="Arial"/>
                <w:b/>
                <w:vertAlign w:val="superscript"/>
                <w:lang w:val="en-US"/>
              </w:rPr>
              <w:t>(</w:t>
            </w:r>
            <w:proofErr w:type="gramEnd"/>
            <w:r w:rsidRPr="00B84B0C">
              <w:rPr>
                <w:rFonts w:cs="Arial"/>
                <w:b/>
                <w:vertAlign w:val="superscript"/>
                <w:lang w:val="en-US"/>
              </w:rPr>
              <w:t>3</w:t>
            </w:r>
            <w:r w:rsidRPr="00B84B0C">
              <w:rPr>
                <w:rFonts w:cs="Arial"/>
                <w:b/>
                <w:vertAlign w:val="superscript"/>
              </w:rPr>
              <w:t>)</w:t>
            </w:r>
          </w:p>
        </w:tc>
        <w:tc>
          <w:tcPr>
            <w:tcW w:w="435" w:type="pc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74029DC5" w14:textId="77777777" w:rsidR="00720F68" w:rsidRPr="00B84B0C" w:rsidRDefault="00720F68" w:rsidP="00720F68">
            <w:pPr>
              <w:pStyle w:val="08-Tabelageral"/>
              <w:jc w:val="center"/>
              <w:rPr>
                <w:rFonts w:cs="Arial"/>
                <w:b/>
              </w:rPr>
            </w:pPr>
            <w:r w:rsidRPr="00B84B0C">
              <w:rPr>
                <w:rFonts w:cs="Arial"/>
                <w:b/>
              </w:rPr>
              <w:t>Total</w:t>
            </w:r>
          </w:p>
        </w:tc>
      </w:tr>
      <w:tr w:rsidR="00720F68" w:rsidRPr="00B84B0C" w14:paraId="2FAC9900" w14:textId="77777777" w:rsidTr="00720F68">
        <w:trPr>
          <w:trHeight w:val="238"/>
        </w:trPr>
        <w:tc>
          <w:tcPr>
            <w:tcW w:w="943" w:type="pct"/>
            <w:tcBorders>
              <w:top w:val="single" w:sz="2" w:space="0" w:color="8EAADB" w:themeColor="accent5" w:themeTint="99"/>
              <w:left w:val="nil"/>
              <w:bottom w:val="nil"/>
              <w:right w:val="nil"/>
            </w:tcBorders>
            <w:shd w:val="clear" w:color="auto" w:fill="FFFFFF" w:themeFill="background1"/>
            <w:noWrap/>
            <w:hideMark/>
          </w:tcPr>
          <w:p w14:paraId="6C09BEA9" w14:textId="77777777" w:rsidR="00720F68" w:rsidRPr="00B84B0C" w:rsidRDefault="00720F68" w:rsidP="00720F68">
            <w:pPr>
              <w:pStyle w:val="08-Tabelageral"/>
              <w:jc w:val="left"/>
              <w:rPr>
                <w:rFonts w:cs="Arial"/>
              </w:rPr>
            </w:pPr>
            <w:r w:rsidRPr="00B84B0C">
              <w:rPr>
                <w:rFonts w:cs="Arial"/>
              </w:rPr>
              <w:t xml:space="preserve">AAA </w:t>
            </w:r>
          </w:p>
        </w:tc>
        <w:tc>
          <w:tcPr>
            <w:tcW w:w="438" w:type="pct"/>
            <w:tcBorders>
              <w:top w:val="single" w:sz="2" w:space="0" w:color="8EAADB" w:themeColor="accent5" w:themeTint="99"/>
              <w:left w:val="nil"/>
              <w:bottom w:val="nil"/>
              <w:right w:val="nil"/>
            </w:tcBorders>
            <w:shd w:val="clear" w:color="auto" w:fill="FFFFFF" w:themeFill="background1"/>
            <w:noWrap/>
            <w:vAlign w:val="center"/>
          </w:tcPr>
          <w:p w14:paraId="4CE43DF3" w14:textId="77777777" w:rsidR="00720F68" w:rsidRPr="00B84B0C" w:rsidRDefault="00720F68" w:rsidP="00720F68">
            <w:pPr>
              <w:pStyle w:val="08-Tabelageral"/>
              <w:rPr>
                <w:rFonts w:cs="Arial"/>
                <w:szCs w:val="14"/>
              </w:rPr>
            </w:pPr>
            <w:r w:rsidRPr="00B84B0C">
              <w:rPr>
                <w:rFonts w:cs="Arial"/>
                <w:color w:val="000000"/>
                <w:szCs w:val="14"/>
              </w:rPr>
              <w:t>30,885</w:t>
            </w:r>
          </w:p>
        </w:tc>
        <w:tc>
          <w:tcPr>
            <w:tcW w:w="413" w:type="pct"/>
            <w:tcBorders>
              <w:top w:val="single" w:sz="2" w:space="0" w:color="8EAADB" w:themeColor="accent5" w:themeTint="99"/>
              <w:left w:val="nil"/>
              <w:bottom w:val="nil"/>
              <w:right w:val="nil"/>
            </w:tcBorders>
            <w:shd w:val="clear" w:color="auto" w:fill="FFFFFF" w:themeFill="background1"/>
            <w:noWrap/>
            <w:vAlign w:val="center"/>
          </w:tcPr>
          <w:p w14:paraId="6B29641F" w14:textId="77777777" w:rsidR="00720F68" w:rsidRPr="00B84B0C" w:rsidRDefault="00720F68" w:rsidP="00720F68">
            <w:pPr>
              <w:pStyle w:val="08-Tabelageral"/>
              <w:rPr>
                <w:rFonts w:cs="Arial"/>
                <w:szCs w:val="14"/>
              </w:rPr>
            </w:pPr>
            <w:r w:rsidRPr="00B84B0C">
              <w:rPr>
                <w:rFonts w:cs="Arial"/>
                <w:color w:val="000000"/>
                <w:szCs w:val="14"/>
              </w:rPr>
              <w:t>18,776</w:t>
            </w:r>
          </w:p>
        </w:tc>
        <w:tc>
          <w:tcPr>
            <w:tcW w:w="353" w:type="pct"/>
            <w:tcBorders>
              <w:top w:val="single" w:sz="2" w:space="0" w:color="8EAADB" w:themeColor="accent5" w:themeTint="99"/>
              <w:left w:val="nil"/>
              <w:bottom w:val="nil"/>
              <w:right w:val="nil"/>
            </w:tcBorders>
            <w:shd w:val="clear" w:color="auto" w:fill="auto"/>
            <w:noWrap/>
          </w:tcPr>
          <w:p w14:paraId="2DF2F917" w14:textId="77777777" w:rsidR="00720F68" w:rsidRPr="00B84B0C" w:rsidRDefault="00720F68" w:rsidP="00720F68">
            <w:pPr>
              <w:pStyle w:val="08-Tabelageral"/>
              <w:rPr>
                <w:rFonts w:cs="Arial"/>
                <w:szCs w:val="14"/>
              </w:rPr>
            </w:pPr>
            <w:r w:rsidRPr="00B84B0C">
              <w:rPr>
                <w:rFonts w:cs="Arial"/>
              </w:rPr>
              <w:t xml:space="preserve"> --   </w:t>
            </w:r>
          </w:p>
        </w:tc>
        <w:tc>
          <w:tcPr>
            <w:tcW w:w="425" w:type="pct"/>
            <w:tcBorders>
              <w:top w:val="single" w:sz="2" w:space="0" w:color="8EAADB" w:themeColor="accent5" w:themeTint="99"/>
              <w:left w:val="nil"/>
              <w:bottom w:val="nil"/>
              <w:right w:val="nil"/>
            </w:tcBorders>
            <w:vAlign w:val="center"/>
          </w:tcPr>
          <w:p w14:paraId="5D4ABCB3" w14:textId="77777777" w:rsidR="00720F68" w:rsidRPr="00B84B0C" w:rsidRDefault="00720F68" w:rsidP="00720F68">
            <w:pPr>
              <w:pStyle w:val="08-Tabelageral"/>
              <w:rPr>
                <w:rFonts w:cs="Arial"/>
                <w:szCs w:val="14"/>
              </w:rPr>
            </w:pPr>
            <w:r w:rsidRPr="00B84B0C">
              <w:rPr>
                <w:rFonts w:cs="Arial"/>
                <w:color w:val="000000"/>
                <w:szCs w:val="14"/>
              </w:rPr>
              <w:t>1,499</w:t>
            </w:r>
          </w:p>
        </w:tc>
        <w:tc>
          <w:tcPr>
            <w:tcW w:w="427" w:type="pct"/>
            <w:tcBorders>
              <w:top w:val="single" w:sz="2" w:space="0" w:color="8EAADB" w:themeColor="accent5" w:themeTint="99"/>
              <w:left w:val="nil"/>
              <w:bottom w:val="nil"/>
              <w:right w:val="nil"/>
            </w:tcBorders>
            <w:vAlign w:val="center"/>
          </w:tcPr>
          <w:p w14:paraId="1735F499" w14:textId="77777777" w:rsidR="00720F68" w:rsidRPr="00B84B0C" w:rsidRDefault="00720F68" w:rsidP="00720F68">
            <w:pPr>
              <w:pStyle w:val="08-Tabelageral"/>
              <w:rPr>
                <w:rFonts w:cs="Arial"/>
                <w:b/>
                <w:szCs w:val="14"/>
              </w:rPr>
            </w:pPr>
            <w:r w:rsidRPr="00B84B0C">
              <w:rPr>
                <w:rFonts w:cs="Arial"/>
                <w:b/>
                <w:bCs/>
                <w:color w:val="000000"/>
                <w:szCs w:val="14"/>
              </w:rPr>
              <w:t>51,160</w:t>
            </w:r>
          </w:p>
        </w:tc>
        <w:tc>
          <w:tcPr>
            <w:tcW w:w="131" w:type="pct"/>
            <w:tcBorders>
              <w:top w:val="single" w:sz="2" w:space="0" w:color="8EAADB" w:themeColor="accent5" w:themeTint="99"/>
              <w:left w:val="nil"/>
              <w:bottom w:val="nil"/>
              <w:right w:val="nil"/>
            </w:tcBorders>
            <w:shd w:val="clear" w:color="auto" w:fill="FFFFFF" w:themeFill="background1"/>
            <w:noWrap/>
            <w:vAlign w:val="center"/>
          </w:tcPr>
          <w:p w14:paraId="0BF555B2" w14:textId="77777777" w:rsidR="00720F68" w:rsidRPr="00B84B0C" w:rsidRDefault="00720F68" w:rsidP="00720F68">
            <w:pPr>
              <w:pStyle w:val="08-Tabelageral"/>
              <w:rPr>
                <w:rFonts w:cs="Arial"/>
                <w:szCs w:val="14"/>
              </w:rPr>
            </w:pPr>
          </w:p>
        </w:tc>
        <w:tc>
          <w:tcPr>
            <w:tcW w:w="419" w:type="pct"/>
            <w:tcBorders>
              <w:top w:val="single" w:sz="2" w:space="0" w:color="8EAADB" w:themeColor="accent5" w:themeTint="99"/>
              <w:left w:val="nil"/>
              <w:bottom w:val="nil"/>
              <w:right w:val="nil"/>
            </w:tcBorders>
            <w:shd w:val="clear" w:color="auto" w:fill="FFFFFF" w:themeFill="background1"/>
            <w:noWrap/>
          </w:tcPr>
          <w:p w14:paraId="5DE54569" w14:textId="77777777" w:rsidR="00720F68" w:rsidRPr="00B84B0C" w:rsidRDefault="00720F68" w:rsidP="00720F68">
            <w:pPr>
              <w:pStyle w:val="08-Tabelageral"/>
              <w:rPr>
                <w:rFonts w:cs="Arial"/>
                <w:szCs w:val="14"/>
              </w:rPr>
            </w:pPr>
            <w:r w:rsidRPr="00B84B0C">
              <w:rPr>
                <w:rFonts w:cs="Arial"/>
              </w:rPr>
              <w:t xml:space="preserve"> 27,767 </w:t>
            </w:r>
          </w:p>
        </w:tc>
        <w:tc>
          <w:tcPr>
            <w:tcW w:w="408" w:type="pct"/>
            <w:tcBorders>
              <w:top w:val="single" w:sz="2" w:space="0" w:color="8EAADB" w:themeColor="accent5" w:themeTint="99"/>
              <w:left w:val="nil"/>
              <w:bottom w:val="nil"/>
              <w:right w:val="nil"/>
            </w:tcBorders>
            <w:shd w:val="clear" w:color="auto" w:fill="FFFFFF" w:themeFill="background1"/>
          </w:tcPr>
          <w:p w14:paraId="3FA4AC61" w14:textId="77777777" w:rsidR="00720F68" w:rsidRPr="00B84B0C" w:rsidRDefault="00720F68" w:rsidP="00720F68">
            <w:pPr>
              <w:pStyle w:val="08-Tabelageral"/>
              <w:rPr>
                <w:rFonts w:cs="Arial"/>
              </w:rPr>
            </w:pPr>
            <w:r w:rsidRPr="00B84B0C">
              <w:rPr>
                <w:rFonts w:cs="Arial"/>
              </w:rPr>
              <w:t xml:space="preserve"> 17,294 </w:t>
            </w:r>
          </w:p>
        </w:tc>
        <w:tc>
          <w:tcPr>
            <w:tcW w:w="293" w:type="pct"/>
            <w:tcBorders>
              <w:top w:val="single" w:sz="2" w:space="0" w:color="8EAADB" w:themeColor="accent5" w:themeTint="99"/>
              <w:left w:val="nil"/>
              <w:bottom w:val="nil"/>
              <w:right w:val="nil"/>
            </w:tcBorders>
            <w:shd w:val="clear" w:color="auto" w:fill="FFFFFF" w:themeFill="background1"/>
          </w:tcPr>
          <w:p w14:paraId="2B75D9E9" w14:textId="77777777" w:rsidR="00720F68" w:rsidRPr="00B84B0C" w:rsidRDefault="00720F68" w:rsidP="00720F68">
            <w:pPr>
              <w:pStyle w:val="08-Tabelageral"/>
              <w:rPr>
                <w:rFonts w:cs="Arial"/>
                <w:szCs w:val="14"/>
              </w:rPr>
            </w:pPr>
          </w:p>
        </w:tc>
        <w:tc>
          <w:tcPr>
            <w:tcW w:w="315" w:type="pct"/>
            <w:tcBorders>
              <w:top w:val="single" w:sz="2" w:space="0" w:color="8EAADB" w:themeColor="accent5" w:themeTint="99"/>
              <w:left w:val="nil"/>
              <w:bottom w:val="nil"/>
              <w:right w:val="nil"/>
            </w:tcBorders>
            <w:shd w:val="clear" w:color="auto" w:fill="FFFFFF" w:themeFill="background1"/>
            <w:noWrap/>
          </w:tcPr>
          <w:p w14:paraId="63357CDC" w14:textId="77777777" w:rsidR="00720F68" w:rsidRPr="00B84B0C" w:rsidRDefault="00720F68" w:rsidP="00720F68">
            <w:pPr>
              <w:pStyle w:val="08-Tabelageral"/>
              <w:rPr>
                <w:rFonts w:cs="Arial"/>
                <w:szCs w:val="14"/>
              </w:rPr>
            </w:pPr>
            <w:r w:rsidRPr="00B84B0C">
              <w:rPr>
                <w:rFonts w:cs="Arial"/>
              </w:rPr>
              <w:t xml:space="preserve"> 1,616 </w:t>
            </w:r>
          </w:p>
        </w:tc>
        <w:tc>
          <w:tcPr>
            <w:tcW w:w="435" w:type="pct"/>
            <w:tcBorders>
              <w:top w:val="single" w:sz="2" w:space="0" w:color="8EAADB" w:themeColor="accent5" w:themeTint="99"/>
              <w:left w:val="nil"/>
              <w:bottom w:val="nil"/>
              <w:right w:val="nil"/>
            </w:tcBorders>
            <w:shd w:val="clear" w:color="auto" w:fill="FFFFFF" w:themeFill="background1"/>
            <w:noWrap/>
          </w:tcPr>
          <w:p w14:paraId="1603ED20" w14:textId="77777777" w:rsidR="00720F68" w:rsidRPr="00B84B0C" w:rsidRDefault="00720F68" w:rsidP="00720F68">
            <w:pPr>
              <w:pStyle w:val="08-Tabelageral"/>
              <w:rPr>
                <w:rFonts w:cs="Arial"/>
                <w:b/>
                <w:bCs/>
                <w:szCs w:val="14"/>
              </w:rPr>
            </w:pPr>
            <w:r w:rsidRPr="00B84B0C">
              <w:rPr>
                <w:rFonts w:cs="Arial"/>
                <w:b/>
              </w:rPr>
              <w:t xml:space="preserve"> 46,677 </w:t>
            </w:r>
          </w:p>
        </w:tc>
      </w:tr>
      <w:tr w:rsidR="00720F68" w:rsidRPr="00B84B0C" w14:paraId="4BF68892" w14:textId="77777777" w:rsidTr="00720F68">
        <w:trPr>
          <w:trHeight w:val="238"/>
        </w:trPr>
        <w:tc>
          <w:tcPr>
            <w:tcW w:w="943" w:type="pct"/>
            <w:tcBorders>
              <w:top w:val="nil"/>
              <w:left w:val="nil"/>
              <w:bottom w:val="nil"/>
              <w:right w:val="nil"/>
            </w:tcBorders>
            <w:shd w:val="clear" w:color="auto" w:fill="D9E2F3" w:themeFill="accent5" w:themeFillTint="33"/>
            <w:noWrap/>
          </w:tcPr>
          <w:p w14:paraId="0B766D92" w14:textId="77777777" w:rsidR="00720F68" w:rsidRPr="00B84B0C" w:rsidRDefault="00720F68" w:rsidP="00720F68">
            <w:pPr>
              <w:pStyle w:val="08-Tabelageral"/>
              <w:jc w:val="left"/>
              <w:rPr>
                <w:rFonts w:cs="Arial"/>
              </w:rPr>
            </w:pPr>
            <w:r w:rsidRPr="00B84B0C">
              <w:rPr>
                <w:rFonts w:cs="Arial"/>
              </w:rPr>
              <w:t>AA+ / AA / AA-</w:t>
            </w:r>
          </w:p>
        </w:tc>
        <w:tc>
          <w:tcPr>
            <w:tcW w:w="438" w:type="pct"/>
            <w:tcBorders>
              <w:top w:val="nil"/>
              <w:left w:val="nil"/>
              <w:bottom w:val="nil"/>
              <w:right w:val="nil"/>
            </w:tcBorders>
            <w:shd w:val="clear" w:color="auto" w:fill="D9E2F3" w:themeFill="accent5" w:themeFillTint="33"/>
            <w:noWrap/>
            <w:vAlign w:val="center"/>
          </w:tcPr>
          <w:p w14:paraId="595621FA" w14:textId="77777777" w:rsidR="00720F68" w:rsidRPr="00B84B0C" w:rsidRDefault="00720F68" w:rsidP="00720F68">
            <w:pPr>
              <w:pStyle w:val="08-Tabelageral"/>
              <w:rPr>
                <w:rFonts w:cs="Arial"/>
                <w:szCs w:val="14"/>
              </w:rPr>
            </w:pPr>
            <w:r w:rsidRPr="00B84B0C">
              <w:rPr>
                <w:rFonts w:cs="Arial"/>
                <w:color w:val="000000"/>
                <w:szCs w:val="14"/>
              </w:rPr>
              <w:t>20,525</w:t>
            </w:r>
          </w:p>
        </w:tc>
        <w:tc>
          <w:tcPr>
            <w:tcW w:w="413" w:type="pct"/>
            <w:tcBorders>
              <w:top w:val="nil"/>
              <w:left w:val="nil"/>
              <w:bottom w:val="nil"/>
              <w:right w:val="nil"/>
            </w:tcBorders>
            <w:shd w:val="clear" w:color="auto" w:fill="D9E2F3" w:themeFill="accent5" w:themeFillTint="33"/>
            <w:noWrap/>
            <w:vAlign w:val="center"/>
          </w:tcPr>
          <w:p w14:paraId="5862468A" w14:textId="77777777" w:rsidR="00720F68" w:rsidRPr="00B84B0C" w:rsidRDefault="00720F68" w:rsidP="00720F68">
            <w:pPr>
              <w:pStyle w:val="08-Tabelageral"/>
              <w:rPr>
                <w:rFonts w:cs="Arial"/>
                <w:szCs w:val="14"/>
              </w:rPr>
            </w:pPr>
            <w:r w:rsidRPr="00B84B0C">
              <w:rPr>
                <w:rFonts w:cs="Arial"/>
                <w:color w:val="000000"/>
                <w:szCs w:val="14"/>
              </w:rPr>
              <w:t>834,206</w:t>
            </w:r>
          </w:p>
        </w:tc>
        <w:tc>
          <w:tcPr>
            <w:tcW w:w="353" w:type="pct"/>
            <w:tcBorders>
              <w:top w:val="nil"/>
              <w:left w:val="nil"/>
              <w:bottom w:val="nil"/>
              <w:right w:val="nil"/>
            </w:tcBorders>
            <w:shd w:val="clear" w:color="auto" w:fill="D9E2F3" w:themeFill="accent5" w:themeFillTint="33"/>
            <w:noWrap/>
          </w:tcPr>
          <w:p w14:paraId="4D390A5A" w14:textId="77777777" w:rsidR="00720F68" w:rsidRPr="00B84B0C" w:rsidRDefault="00720F68" w:rsidP="00720F68">
            <w:pPr>
              <w:pStyle w:val="08-Tabelageral"/>
              <w:rPr>
                <w:rFonts w:cs="Arial"/>
                <w:szCs w:val="14"/>
              </w:rPr>
            </w:pPr>
            <w:r w:rsidRPr="00B84B0C">
              <w:rPr>
                <w:rFonts w:cs="Arial"/>
              </w:rPr>
              <w:t xml:space="preserve"> --   </w:t>
            </w:r>
          </w:p>
        </w:tc>
        <w:tc>
          <w:tcPr>
            <w:tcW w:w="425" w:type="pct"/>
            <w:tcBorders>
              <w:top w:val="nil"/>
              <w:left w:val="nil"/>
              <w:bottom w:val="nil"/>
              <w:right w:val="nil"/>
            </w:tcBorders>
            <w:shd w:val="clear" w:color="auto" w:fill="D9E2F3" w:themeFill="accent5" w:themeFillTint="33"/>
            <w:vAlign w:val="center"/>
          </w:tcPr>
          <w:p w14:paraId="204EFFF4" w14:textId="77777777" w:rsidR="00720F68" w:rsidRPr="00B84B0C" w:rsidRDefault="00720F68" w:rsidP="00720F68">
            <w:pPr>
              <w:pStyle w:val="08-Tabelageral"/>
              <w:rPr>
                <w:rFonts w:cs="Arial"/>
                <w:szCs w:val="14"/>
              </w:rPr>
            </w:pPr>
            <w:r w:rsidRPr="00B84B0C">
              <w:rPr>
                <w:rFonts w:cs="Arial"/>
                <w:color w:val="000000"/>
                <w:szCs w:val="14"/>
              </w:rPr>
              <w:t>4,216</w:t>
            </w:r>
          </w:p>
        </w:tc>
        <w:tc>
          <w:tcPr>
            <w:tcW w:w="427" w:type="pct"/>
            <w:tcBorders>
              <w:top w:val="nil"/>
              <w:left w:val="nil"/>
              <w:bottom w:val="nil"/>
              <w:right w:val="nil"/>
            </w:tcBorders>
            <w:shd w:val="clear" w:color="auto" w:fill="D9E2F3" w:themeFill="accent5" w:themeFillTint="33"/>
            <w:vAlign w:val="center"/>
          </w:tcPr>
          <w:p w14:paraId="11BE04A4" w14:textId="77777777" w:rsidR="00720F68" w:rsidRPr="00B84B0C" w:rsidRDefault="00720F68" w:rsidP="00720F68">
            <w:pPr>
              <w:pStyle w:val="08-Tabelageral"/>
              <w:rPr>
                <w:rFonts w:cs="Arial"/>
                <w:b/>
                <w:szCs w:val="14"/>
              </w:rPr>
            </w:pPr>
            <w:r w:rsidRPr="00B84B0C">
              <w:rPr>
                <w:rFonts w:cs="Arial"/>
                <w:b/>
                <w:bCs/>
                <w:color w:val="000000"/>
                <w:szCs w:val="14"/>
              </w:rPr>
              <w:t>858,947</w:t>
            </w:r>
          </w:p>
        </w:tc>
        <w:tc>
          <w:tcPr>
            <w:tcW w:w="131" w:type="pct"/>
            <w:tcBorders>
              <w:top w:val="nil"/>
              <w:left w:val="nil"/>
              <w:bottom w:val="nil"/>
              <w:right w:val="nil"/>
            </w:tcBorders>
            <w:shd w:val="clear" w:color="auto" w:fill="D9E2F3" w:themeFill="accent5" w:themeFillTint="33"/>
            <w:noWrap/>
            <w:vAlign w:val="center"/>
          </w:tcPr>
          <w:p w14:paraId="41C4C89E" w14:textId="77777777" w:rsidR="00720F68" w:rsidRPr="00B84B0C" w:rsidRDefault="00720F68" w:rsidP="00720F68">
            <w:pPr>
              <w:pStyle w:val="08-Tabelageral"/>
              <w:rPr>
                <w:rFonts w:cs="Arial"/>
                <w:szCs w:val="14"/>
              </w:rPr>
            </w:pPr>
          </w:p>
        </w:tc>
        <w:tc>
          <w:tcPr>
            <w:tcW w:w="419" w:type="pct"/>
            <w:tcBorders>
              <w:top w:val="nil"/>
              <w:left w:val="nil"/>
              <w:bottom w:val="nil"/>
              <w:right w:val="nil"/>
            </w:tcBorders>
            <w:shd w:val="clear" w:color="auto" w:fill="D9E2F3" w:themeFill="accent5" w:themeFillTint="33"/>
            <w:noWrap/>
          </w:tcPr>
          <w:p w14:paraId="3551225A" w14:textId="77777777" w:rsidR="00720F68" w:rsidRPr="00B84B0C" w:rsidRDefault="00720F68" w:rsidP="00720F68">
            <w:pPr>
              <w:pStyle w:val="08-Tabelageral"/>
              <w:rPr>
                <w:rFonts w:cs="Arial"/>
                <w:szCs w:val="14"/>
              </w:rPr>
            </w:pPr>
            <w:r w:rsidRPr="00B84B0C">
              <w:rPr>
                <w:rFonts w:cs="Arial"/>
              </w:rPr>
              <w:t xml:space="preserve"> 18,684 </w:t>
            </w:r>
          </w:p>
        </w:tc>
        <w:tc>
          <w:tcPr>
            <w:tcW w:w="408" w:type="pct"/>
            <w:tcBorders>
              <w:top w:val="nil"/>
              <w:left w:val="nil"/>
              <w:bottom w:val="nil"/>
              <w:right w:val="nil"/>
            </w:tcBorders>
            <w:shd w:val="clear" w:color="auto" w:fill="D9E2F3" w:themeFill="accent5" w:themeFillTint="33"/>
          </w:tcPr>
          <w:p w14:paraId="049F9F14" w14:textId="77777777" w:rsidR="00720F68" w:rsidRPr="00B84B0C" w:rsidRDefault="00720F68" w:rsidP="00720F68">
            <w:pPr>
              <w:pStyle w:val="08-Tabelageral"/>
              <w:rPr>
                <w:rFonts w:cs="Arial"/>
              </w:rPr>
            </w:pPr>
            <w:r w:rsidRPr="00B84B0C">
              <w:rPr>
                <w:rFonts w:cs="Arial"/>
              </w:rPr>
              <w:t xml:space="preserve"> 623,120 </w:t>
            </w:r>
          </w:p>
        </w:tc>
        <w:tc>
          <w:tcPr>
            <w:tcW w:w="293" w:type="pct"/>
            <w:tcBorders>
              <w:top w:val="nil"/>
              <w:left w:val="nil"/>
              <w:bottom w:val="nil"/>
              <w:right w:val="nil"/>
            </w:tcBorders>
            <w:shd w:val="clear" w:color="auto" w:fill="D9E2F3" w:themeFill="accent5" w:themeFillTint="33"/>
          </w:tcPr>
          <w:p w14:paraId="7AA68792" w14:textId="77777777" w:rsidR="00720F68" w:rsidRPr="00B84B0C" w:rsidRDefault="00720F68" w:rsidP="00720F68">
            <w:pPr>
              <w:pStyle w:val="08-Tabelageral"/>
              <w:rPr>
                <w:rFonts w:cs="Arial"/>
                <w:szCs w:val="14"/>
              </w:rPr>
            </w:pPr>
          </w:p>
        </w:tc>
        <w:tc>
          <w:tcPr>
            <w:tcW w:w="315" w:type="pct"/>
            <w:tcBorders>
              <w:top w:val="nil"/>
              <w:left w:val="nil"/>
              <w:bottom w:val="nil"/>
              <w:right w:val="nil"/>
            </w:tcBorders>
            <w:shd w:val="clear" w:color="auto" w:fill="D9E2F3" w:themeFill="accent5" w:themeFillTint="33"/>
            <w:noWrap/>
          </w:tcPr>
          <w:p w14:paraId="61ABECEA" w14:textId="77777777" w:rsidR="00720F68" w:rsidRPr="00B84B0C" w:rsidRDefault="00720F68" w:rsidP="00720F68">
            <w:pPr>
              <w:pStyle w:val="08-Tabelageral"/>
              <w:rPr>
                <w:rFonts w:cs="Arial"/>
                <w:szCs w:val="14"/>
              </w:rPr>
            </w:pPr>
            <w:r w:rsidRPr="00B84B0C">
              <w:rPr>
                <w:rFonts w:cs="Arial"/>
              </w:rPr>
              <w:t xml:space="preserve"> 3,795 </w:t>
            </w:r>
          </w:p>
        </w:tc>
        <w:tc>
          <w:tcPr>
            <w:tcW w:w="435" w:type="pct"/>
            <w:tcBorders>
              <w:top w:val="nil"/>
              <w:left w:val="nil"/>
              <w:bottom w:val="nil"/>
              <w:right w:val="nil"/>
            </w:tcBorders>
            <w:shd w:val="clear" w:color="auto" w:fill="D9E2F3" w:themeFill="accent5" w:themeFillTint="33"/>
            <w:noWrap/>
          </w:tcPr>
          <w:p w14:paraId="1BACB709" w14:textId="77777777" w:rsidR="00720F68" w:rsidRPr="00B84B0C" w:rsidRDefault="00720F68" w:rsidP="00720F68">
            <w:pPr>
              <w:pStyle w:val="08-Tabelageral"/>
              <w:rPr>
                <w:rFonts w:cs="Arial"/>
                <w:b/>
                <w:bCs/>
                <w:szCs w:val="14"/>
              </w:rPr>
            </w:pPr>
            <w:r w:rsidRPr="00B84B0C">
              <w:rPr>
                <w:rFonts w:cs="Arial"/>
                <w:b/>
              </w:rPr>
              <w:t xml:space="preserve"> 645,599 </w:t>
            </w:r>
          </w:p>
        </w:tc>
      </w:tr>
      <w:tr w:rsidR="00720F68" w:rsidRPr="00B84B0C" w14:paraId="750189F6" w14:textId="77777777" w:rsidTr="00720F68">
        <w:trPr>
          <w:trHeight w:val="238"/>
        </w:trPr>
        <w:tc>
          <w:tcPr>
            <w:tcW w:w="943" w:type="pct"/>
            <w:tcBorders>
              <w:top w:val="nil"/>
              <w:left w:val="nil"/>
              <w:bottom w:val="nil"/>
              <w:right w:val="nil"/>
            </w:tcBorders>
            <w:shd w:val="clear" w:color="auto" w:fill="FFFFFF" w:themeFill="background1"/>
            <w:noWrap/>
          </w:tcPr>
          <w:p w14:paraId="4BE21AA3" w14:textId="77777777" w:rsidR="00720F68" w:rsidRPr="00B84B0C" w:rsidRDefault="00720F68" w:rsidP="00720F68">
            <w:pPr>
              <w:pStyle w:val="08-Tabelageral"/>
              <w:jc w:val="left"/>
              <w:rPr>
                <w:rFonts w:cs="Arial"/>
              </w:rPr>
            </w:pPr>
            <w:r w:rsidRPr="00B84B0C">
              <w:rPr>
                <w:rFonts w:cs="Arial"/>
              </w:rPr>
              <w:t>A+ / A / A-</w:t>
            </w:r>
          </w:p>
        </w:tc>
        <w:tc>
          <w:tcPr>
            <w:tcW w:w="438" w:type="pct"/>
            <w:tcBorders>
              <w:top w:val="nil"/>
              <w:left w:val="nil"/>
              <w:bottom w:val="nil"/>
              <w:right w:val="nil"/>
            </w:tcBorders>
            <w:shd w:val="clear" w:color="auto" w:fill="FFFFFF" w:themeFill="background1"/>
            <w:noWrap/>
            <w:vAlign w:val="center"/>
          </w:tcPr>
          <w:p w14:paraId="3C24B1A3" w14:textId="77777777" w:rsidR="00720F68" w:rsidRPr="00B84B0C" w:rsidRDefault="00720F68" w:rsidP="00720F68">
            <w:pPr>
              <w:pStyle w:val="08-Tabelageral"/>
              <w:rPr>
                <w:rFonts w:cs="Arial"/>
                <w:szCs w:val="14"/>
              </w:rPr>
            </w:pPr>
            <w:r w:rsidRPr="00B84B0C">
              <w:rPr>
                <w:rFonts w:cs="Arial"/>
                <w:color w:val="000000"/>
                <w:szCs w:val="14"/>
              </w:rPr>
              <w:t>1,010</w:t>
            </w:r>
          </w:p>
        </w:tc>
        <w:tc>
          <w:tcPr>
            <w:tcW w:w="413" w:type="pct"/>
            <w:tcBorders>
              <w:top w:val="nil"/>
              <w:left w:val="nil"/>
              <w:bottom w:val="nil"/>
              <w:right w:val="nil"/>
            </w:tcBorders>
            <w:shd w:val="clear" w:color="auto" w:fill="FFFFFF" w:themeFill="background1"/>
            <w:noWrap/>
          </w:tcPr>
          <w:p w14:paraId="66BF8C8F" w14:textId="77777777" w:rsidR="00720F68" w:rsidRPr="00B84B0C" w:rsidRDefault="00720F68" w:rsidP="00720F68">
            <w:pPr>
              <w:pStyle w:val="08-Tabelageral"/>
              <w:rPr>
                <w:rFonts w:cs="Arial"/>
                <w:szCs w:val="14"/>
              </w:rPr>
            </w:pPr>
            <w:r w:rsidRPr="00B84B0C">
              <w:rPr>
                <w:rFonts w:cs="Arial"/>
              </w:rPr>
              <w:t xml:space="preserve"> --   </w:t>
            </w:r>
          </w:p>
        </w:tc>
        <w:tc>
          <w:tcPr>
            <w:tcW w:w="353" w:type="pct"/>
            <w:tcBorders>
              <w:top w:val="nil"/>
              <w:left w:val="nil"/>
              <w:bottom w:val="nil"/>
              <w:right w:val="nil"/>
            </w:tcBorders>
            <w:shd w:val="clear" w:color="auto" w:fill="FFFFFF" w:themeFill="background1"/>
            <w:noWrap/>
          </w:tcPr>
          <w:p w14:paraId="5D803BB0" w14:textId="77777777" w:rsidR="00720F68" w:rsidRPr="00B84B0C" w:rsidRDefault="00720F68" w:rsidP="00720F68">
            <w:pPr>
              <w:pStyle w:val="08-Tabelageral"/>
              <w:rPr>
                <w:rFonts w:cs="Arial"/>
                <w:b/>
                <w:szCs w:val="14"/>
              </w:rPr>
            </w:pPr>
            <w:r w:rsidRPr="00B84B0C">
              <w:rPr>
                <w:rFonts w:cs="Arial"/>
              </w:rPr>
              <w:t xml:space="preserve"> --   </w:t>
            </w:r>
          </w:p>
        </w:tc>
        <w:tc>
          <w:tcPr>
            <w:tcW w:w="425" w:type="pct"/>
            <w:tcBorders>
              <w:top w:val="nil"/>
              <w:left w:val="nil"/>
              <w:bottom w:val="nil"/>
              <w:right w:val="nil"/>
            </w:tcBorders>
            <w:shd w:val="clear" w:color="auto" w:fill="FFFFFF" w:themeFill="background1"/>
          </w:tcPr>
          <w:p w14:paraId="1B7EC4CD" w14:textId="77777777" w:rsidR="00720F68" w:rsidRPr="00B84B0C" w:rsidRDefault="00720F68" w:rsidP="00720F68">
            <w:pPr>
              <w:pStyle w:val="08-Tabelageral"/>
              <w:rPr>
                <w:rFonts w:cs="Arial"/>
                <w:szCs w:val="14"/>
              </w:rPr>
            </w:pPr>
            <w:r w:rsidRPr="00B84B0C">
              <w:rPr>
                <w:rFonts w:cs="Arial"/>
              </w:rPr>
              <w:t xml:space="preserve"> --   </w:t>
            </w:r>
          </w:p>
        </w:tc>
        <w:tc>
          <w:tcPr>
            <w:tcW w:w="427" w:type="pct"/>
            <w:tcBorders>
              <w:top w:val="nil"/>
              <w:left w:val="nil"/>
              <w:bottom w:val="nil"/>
              <w:right w:val="nil"/>
            </w:tcBorders>
            <w:shd w:val="clear" w:color="auto" w:fill="FFFFFF" w:themeFill="background1"/>
            <w:vAlign w:val="center"/>
          </w:tcPr>
          <w:p w14:paraId="6950BB98" w14:textId="77777777" w:rsidR="00720F68" w:rsidRPr="00B84B0C" w:rsidRDefault="00720F68" w:rsidP="00720F68">
            <w:pPr>
              <w:pStyle w:val="08-Tabelageral"/>
              <w:rPr>
                <w:rFonts w:cs="Arial"/>
                <w:b/>
                <w:szCs w:val="14"/>
              </w:rPr>
            </w:pPr>
            <w:r w:rsidRPr="00B84B0C">
              <w:rPr>
                <w:rFonts w:cs="Arial"/>
                <w:b/>
                <w:bCs/>
                <w:color w:val="000000"/>
                <w:szCs w:val="14"/>
              </w:rPr>
              <w:t>1,010</w:t>
            </w:r>
          </w:p>
        </w:tc>
        <w:tc>
          <w:tcPr>
            <w:tcW w:w="131" w:type="pct"/>
            <w:tcBorders>
              <w:top w:val="nil"/>
              <w:left w:val="nil"/>
              <w:bottom w:val="nil"/>
              <w:right w:val="nil"/>
            </w:tcBorders>
            <w:shd w:val="clear" w:color="auto" w:fill="FFFFFF" w:themeFill="background1"/>
            <w:noWrap/>
            <w:vAlign w:val="center"/>
          </w:tcPr>
          <w:p w14:paraId="5939AF3A" w14:textId="77777777" w:rsidR="00720F68" w:rsidRPr="00B84B0C" w:rsidRDefault="00720F68" w:rsidP="00720F68">
            <w:pPr>
              <w:pStyle w:val="08-Tabelageral"/>
              <w:rPr>
                <w:rFonts w:cs="Arial"/>
                <w:szCs w:val="14"/>
              </w:rPr>
            </w:pPr>
          </w:p>
        </w:tc>
        <w:tc>
          <w:tcPr>
            <w:tcW w:w="419" w:type="pct"/>
            <w:tcBorders>
              <w:top w:val="nil"/>
              <w:left w:val="nil"/>
              <w:bottom w:val="nil"/>
              <w:right w:val="nil"/>
            </w:tcBorders>
            <w:shd w:val="clear" w:color="auto" w:fill="FFFFFF" w:themeFill="background1"/>
            <w:noWrap/>
          </w:tcPr>
          <w:p w14:paraId="15042B53" w14:textId="77777777" w:rsidR="00720F68" w:rsidRPr="00B84B0C" w:rsidRDefault="00720F68" w:rsidP="00720F68">
            <w:pPr>
              <w:pStyle w:val="08-Tabelageral"/>
              <w:rPr>
                <w:rFonts w:cs="Arial"/>
                <w:szCs w:val="14"/>
              </w:rPr>
            </w:pPr>
            <w:r w:rsidRPr="00B84B0C">
              <w:rPr>
                <w:rFonts w:cs="Arial"/>
              </w:rPr>
              <w:t xml:space="preserve"> 1,055 </w:t>
            </w:r>
          </w:p>
        </w:tc>
        <w:tc>
          <w:tcPr>
            <w:tcW w:w="408" w:type="pct"/>
            <w:tcBorders>
              <w:top w:val="nil"/>
              <w:left w:val="nil"/>
              <w:bottom w:val="nil"/>
              <w:right w:val="nil"/>
            </w:tcBorders>
            <w:shd w:val="clear" w:color="auto" w:fill="FFFFFF" w:themeFill="background1"/>
          </w:tcPr>
          <w:p w14:paraId="5BFECE2A" w14:textId="77777777" w:rsidR="00720F68" w:rsidRPr="00B84B0C" w:rsidRDefault="00720F68" w:rsidP="00720F68">
            <w:pPr>
              <w:pStyle w:val="08-Tabelageral"/>
              <w:rPr>
                <w:rFonts w:cs="Arial"/>
              </w:rPr>
            </w:pPr>
            <w:r w:rsidRPr="00B84B0C">
              <w:rPr>
                <w:rFonts w:cs="Arial"/>
              </w:rPr>
              <w:t xml:space="preserve"> --   </w:t>
            </w:r>
          </w:p>
        </w:tc>
        <w:tc>
          <w:tcPr>
            <w:tcW w:w="293" w:type="pct"/>
            <w:tcBorders>
              <w:top w:val="nil"/>
              <w:left w:val="nil"/>
              <w:bottom w:val="nil"/>
              <w:right w:val="nil"/>
            </w:tcBorders>
            <w:shd w:val="clear" w:color="auto" w:fill="FFFFFF" w:themeFill="background1"/>
          </w:tcPr>
          <w:p w14:paraId="5938183E" w14:textId="77777777" w:rsidR="00720F68" w:rsidRPr="00B84B0C" w:rsidRDefault="00720F68" w:rsidP="00720F68">
            <w:pPr>
              <w:pStyle w:val="08-Tabelageral"/>
              <w:rPr>
                <w:rFonts w:cs="Arial"/>
                <w:szCs w:val="14"/>
              </w:rPr>
            </w:pPr>
          </w:p>
        </w:tc>
        <w:tc>
          <w:tcPr>
            <w:tcW w:w="315" w:type="pct"/>
            <w:tcBorders>
              <w:top w:val="nil"/>
              <w:left w:val="nil"/>
              <w:bottom w:val="nil"/>
              <w:right w:val="nil"/>
            </w:tcBorders>
            <w:shd w:val="clear" w:color="auto" w:fill="FFFFFF" w:themeFill="background1"/>
            <w:noWrap/>
          </w:tcPr>
          <w:p w14:paraId="5806ED72" w14:textId="77777777" w:rsidR="00720F68" w:rsidRPr="00B84B0C" w:rsidRDefault="00720F68" w:rsidP="00720F68">
            <w:pPr>
              <w:pStyle w:val="08-Tabelageral"/>
              <w:rPr>
                <w:rFonts w:cs="Arial"/>
                <w:szCs w:val="14"/>
              </w:rPr>
            </w:pPr>
            <w:r w:rsidRPr="00B84B0C">
              <w:rPr>
                <w:rFonts w:cs="Arial"/>
              </w:rPr>
              <w:t xml:space="preserve"> --   </w:t>
            </w:r>
          </w:p>
        </w:tc>
        <w:tc>
          <w:tcPr>
            <w:tcW w:w="435" w:type="pct"/>
            <w:tcBorders>
              <w:top w:val="nil"/>
              <w:left w:val="nil"/>
              <w:bottom w:val="nil"/>
              <w:right w:val="nil"/>
            </w:tcBorders>
            <w:shd w:val="clear" w:color="auto" w:fill="FFFFFF" w:themeFill="background1"/>
            <w:noWrap/>
          </w:tcPr>
          <w:p w14:paraId="1CD00FF9" w14:textId="77777777" w:rsidR="00720F68" w:rsidRPr="00B84B0C" w:rsidRDefault="00720F68" w:rsidP="00720F68">
            <w:pPr>
              <w:pStyle w:val="08-Tabelageral"/>
              <w:rPr>
                <w:rFonts w:cs="Arial"/>
                <w:b/>
                <w:bCs/>
                <w:szCs w:val="14"/>
              </w:rPr>
            </w:pPr>
            <w:r w:rsidRPr="00B84B0C">
              <w:rPr>
                <w:rFonts w:cs="Arial"/>
                <w:b/>
              </w:rPr>
              <w:t xml:space="preserve"> 1,055 </w:t>
            </w:r>
          </w:p>
        </w:tc>
      </w:tr>
      <w:tr w:rsidR="00720F68" w:rsidRPr="00B84B0C" w14:paraId="44E3108C" w14:textId="77777777" w:rsidTr="00720F68">
        <w:trPr>
          <w:trHeight w:val="238"/>
        </w:trPr>
        <w:tc>
          <w:tcPr>
            <w:tcW w:w="943" w:type="pct"/>
            <w:tcBorders>
              <w:top w:val="nil"/>
              <w:left w:val="nil"/>
              <w:bottom w:val="nil"/>
              <w:right w:val="nil"/>
            </w:tcBorders>
            <w:shd w:val="clear" w:color="auto" w:fill="D9E2F3" w:themeFill="accent5" w:themeFillTint="33"/>
            <w:noWrap/>
          </w:tcPr>
          <w:p w14:paraId="57169FA5" w14:textId="77777777" w:rsidR="00720F68" w:rsidRPr="00B84B0C" w:rsidRDefault="00720F68" w:rsidP="00720F68">
            <w:pPr>
              <w:pStyle w:val="08-Tabelageral"/>
              <w:jc w:val="left"/>
              <w:rPr>
                <w:rFonts w:cs="Arial"/>
              </w:rPr>
            </w:pPr>
            <w:r w:rsidRPr="00B84B0C">
              <w:rPr>
                <w:rFonts w:cs="Arial"/>
              </w:rPr>
              <w:t>BBB+ / BBB / BBB-</w:t>
            </w:r>
          </w:p>
        </w:tc>
        <w:tc>
          <w:tcPr>
            <w:tcW w:w="438" w:type="pct"/>
            <w:tcBorders>
              <w:top w:val="nil"/>
              <w:left w:val="nil"/>
              <w:bottom w:val="nil"/>
              <w:right w:val="nil"/>
            </w:tcBorders>
            <w:shd w:val="clear" w:color="auto" w:fill="D9E2F3" w:themeFill="accent5" w:themeFillTint="33"/>
            <w:noWrap/>
            <w:vAlign w:val="center"/>
          </w:tcPr>
          <w:p w14:paraId="19F771C2" w14:textId="77777777" w:rsidR="00720F68" w:rsidRPr="00B84B0C" w:rsidRDefault="00720F68" w:rsidP="00720F68">
            <w:pPr>
              <w:pStyle w:val="08-Tabelageral"/>
              <w:rPr>
                <w:rFonts w:cs="Arial"/>
                <w:szCs w:val="14"/>
              </w:rPr>
            </w:pPr>
            <w:r w:rsidRPr="00B84B0C">
              <w:rPr>
                <w:rFonts w:cs="Arial"/>
                <w:color w:val="000000"/>
                <w:szCs w:val="14"/>
              </w:rPr>
              <w:t>198</w:t>
            </w:r>
          </w:p>
        </w:tc>
        <w:tc>
          <w:tcPr>
            <w:tcW w:w="413" w:type="pct"/>
            <w:tcBorders>
              <w:top w:val="nil"/>
              <w:left w:val="nil"/>
              <w:bottom w:val="nil"/>
              <w:right w:val="nil"/>
            </w:tcBorders>
            <w:shd w:val="clear" w:color="auto" w:fill="D9E2F3" w:themeFill="accent5" w:themeFillTint="33"/>
            <w:noWrap/>
          </w:tcPr>
          <w:p w14:paraId="44D3D9C5" w14:textId="77777777" w:rsidR="00720F68" w:rsidRPr="00B84B0C" w:rsidRDefault="00720F68" w:rsidP="00720F68">
            <w:pPr>
              <w:pStyle w:val="08-Tabelageral"/>
              <w:rPr>
                <w:rFonts w:cs="Arial"/>
                <w:szCs w:val="14"/>
              </w:rPr>
            </w:pPr>
            <w:r w:rsidRPr="00B84B0C">
              <w:rPr>
                <w:rFonts w:cs="Arial"/>
              </w:rPr>
              <w:t xml:space="preserve"> --   </w:t>
            </w:r>
          </w:p>
        </w:tc>
        <w:tc>
          <w:tcPr>
            <w:tcW w:w="353" w:type="pct"/>
            <w:tcBorders>
              <w:top w:val="nil"/>
              <w:left w:val="nil"/>
              <w:bottom w:val="nil"/>
              <w:right w:val="nil"/>
            </w:tcBorders>
            <w:shd w:val="clear" w:color="auto" w:fill="D9E2F3" w:themeFill="accent5" w:themeFillTint="33"/>
            <w:noWrap/>
          </w:tcPr>
          <w:p w14:paraId="0E56408C" w14:textId="77777777" w:rsidR="00720F68" w:rsidRPr="00B84B0C" w:rsidRDefault="00720F68" w:rsidP="00720F68">
            <w:pPr>
              <w:pStyle w:val="08-Tabelageral"/>
              <w:rPr>
                <w:rFonts w:cs="Arial"/>
                <w:b/>
                <w:szCs w:val="14"/>
              </w:rPr>
            </w:pPr>
            <w:r w:rsidRPr="00B84B0C">
              <w:rPr>
                <w:rFonts w:cs="Arial"/>
              </w:rPr>
              <w:t xml:space="preserve"> --   </w:t>
            </w:r>
          </w:p>
        </w:tc>
        <w:tc>
          <w:tcPr>
            <w:tcW w:w="425" w:type="pct"/>
            <w:tcBorders>
              <w:top w:val="nil"/>
              <w:left w:val="nil"/>
              <w:bottom w:val="nil"/>
              <w:right w:val="nil"/>
            </w:tcBorders>
            <w:shd w:val="clear" w:color="auto" w:fill="D9E2F3" w:themeFill="accent5" w:themeFillTint="33"/>
          </w:tcPr>
          <w:p w14:paraId="1DF6F681" w14:textId="77777777" w:rsidR="00720F68" w:rsidRPr="00B84B0C" w:rsidRDefault="00720F68" w:rsidP="00720F68">
            <w:pPr>
              <w:pStyle w:val="08-Tabelageral"/>
              <w:rPr>
                <w:rFonts w:cs="Arial"/>
                <w:szCs w:val="14"/>
              </w:rPr>
            </w:pPr>
            <w:r w:rsidRPr="00B84B0C">
              <w:rPr>
                <w:rFonts w:cs="Arial"/>
              </w:rPr>
              <w:t xml:space="preserve"> --   </w:t>
            </w:r>
          </w:p>
        </w:tc>
        <w:tc>
          <w:tcPr>
            <w:tcW w:w="427" w:type="pct"/>
            <w:tcBorders>
              <w:top w:val="nil"/>
              <w:left w:val="nil"/>
              <w:bottom w:val="nil"/>
              <w:right w:val="nil"/>
            </w:tcBorders>
            <w:shd w:val="clear" w:color="auto" w:fill="D9E2F3" w:themeFill="accent5" w:themeFillTint="33"/>
            <w:vAlign w:val="center"/>
          </w:tcPr>
          <w:p w14:paraId="265B7CD2" w14:textId="77777777" w:rsidR="00720F68" w:rsidRPr="00B84B0C" w:rsidRDefault="00720F68" w:rsidP="00720F68">
            <w:pPr>
              <w:pStyle w:val="08-Tabelageral"/>
              <w:rPr>
                <w:rFonts w:cs="Arial"/>
                <w:b/>
                <w:szCs w:val="14"/>
              </w:rPr>
            </w:pPr>
            <w:r w:rsidRPr="00B84B0C">
              <w:rPr>
                <w:rFonts w:cs="Arial"/>
                <w:b/>
                <w:bCs/>
                <w:color w:val="000000"/>
                <w:szCs w:val="14"/>
              </w:rPr>
              <w:t>198</w:t>
            </w:r>
          </w:p>
        </w:tc>
        <w:tc>
          <w:tcPr>
            <w:tcW w:w="131" w:type="pct"/>
            <w:tcBorders>
              <w:top w:val="nil"/>
              <w:left w:val="nil"/>
              <w:bottom w:val="nil"/>
              <w:right w:val="nil"/>
            </w:tcBorders>
            <w:shd w:val="clear" w:color="auto" w:fill="D9E2F3" w:themeFill="accent5" w:themeFillTint="33"/>
            <w:noWrap/>
            <w:vAlign w:val="center"/>
          </w:tcPr>
          <w:p w14:paraId="1ED0427B" w14:textId="77777777" w:rsidR="00720F68" w:rsidRPr="00B84B0C" w:rsidRDefault="00720F68" w:rsidP="00720F68">
            <w:pPr>
              <w:pStyle w:val="08-Tabelageral"/>
              <w:rPr>
                <w:rFonts w:cs="Arial"/>
                <w:szCs w:val="14"/>
              </w:rPr>
            </w:pPr>
          </w:p>
        </w:tc>
        <w:tc>
          <w:tcPr>
            <w:tcW w:w="419" w:type="pct"/>
            <w:tcBorders>
              <w:top w:val="nil"/>
              <w:left w:val="nil"/>
              <w:bottom w:val="nil"/>
              <w:right w:val="nil"/>
            </w:tcBorders>
            <w:shd w:val="clear" w:color="auto" w:fill="D9E2F3" w:themeFill="accent5" w:themeFillTint="33"/>
            <w:noWrap/>
          </w:tcPr>
          <w:p w14:paraId="36933962" w14:textId="77777777" w:rsidR="00720F68" w:rsidRPr="00B84B0C" w:rsidRDefault="00720F68" w:rsidP="00720F68">
            <w:pPr>
              <w:pStyle w:val="08-Tabelageral"/>
              <w:rPr>
                <w:rFonts w:cs="Arial"/>
              </w:rPr>
            </w:pPr>
            <w:r w:rsidRPr="00B84B0C">
              <w:rPr>
                <w:rFonts w:cs="Arial"/>
              </w:rPr>
              <w:t xml:space="preserve"> 347 </w:t>
            </w:r>
          </w:p>
        </w:tc>
        <w:tc>
          <w:tcPr>
            <w:tcW w:w="408" w:type="pct"/>
            <w:tcBorders>
              <w:top w:val="nil"/>
              <w:left w:val="nil"/>
              <w:bottom w:val="nil"/>
              <w:right w:val="nil"/>
            </w:tcBorders>
            <w:shd w:val="clear" w:color="auto" w:fill="D9E2F3" w:themeFill="accent5" w:themeFillTint="33"/>
          </w:tcPr>
          <w:p w14:paraId="490D3021" w14:textId="77777777" w:rsidR="00720F68" w:rsidRPr="00B84B0C" w:rsidRDefault="00720F68" w:rsidP="00720F68">
            <w:pPr>
              <w:pStyle w:val="08-Tabelageral"/>
              <w:rPr>
                <w:rFonts w:cs="Arial"/>
              </w:rPr>
            </w:pPr>
            <w:r w:rsidRPr="00B84B0C">
              <w:rPr>
                <w:rFonts w:cs="Arial"/>
              </w:rPr>
              <w:t xml:space="preserve"> --   </w:t>
            </w:r>
          </w:p>
        </w:tc>
        <w:tc>
          <w:tcPr>
            <w:tcW w:w="293" w:type="pct"/>
            <w:tcBorders>
              <w:top w:val="nil"/>
              <w:left w:val="nil"/>
              <w:bottom w:val="nil"/>
              <w:right w:val="nil"/>
            </w:tcBorders>
            <w:shd w:val="clear" w:color="auto" w:fill="D9E2F3" w:themeFill="accent5" w:themeFillTint="33"/>
          </w:tcPr>
          <w:p w14:paraId="19FC3F6D" w14:textId="77777777" w:rsidR="00720F68" w:rsidRPr="00B84B0C" w:rsidDel="009D4ED3" w:rsidRDefault="00720F68" w:rsidP="00720F68">
            <w:pPr>
              <w:pStyle w:val="08-Tabelageral"/>
              <w:rPr>
                <w:rFonts w:cs="Arial"/>
              </w:rPr>
            </w:pPr>
          </w:p>
        </w:tc>
        <w:tc>
          <w:tcPr>
            <w:tcW w:w="315" w:type="pct"/>
            <w:tcBorders>
              <w:top w:val="nil"/>
              <w:left w:val="nil"/>
              <w:bottom w:val="nil"/>
              <w:right w:val="nil"/>
            </w:tcBorders>
            <w:shd w:val="clear" w:color="auto" w:fill="D9E2F3" w:themeFill="accent5" w:themeFillTint="33"/>
            <w:noWrap/>
          </w:tcPr>
          <w:p w14:paraId="7D19FF7A" w14:textId="77777777" w:rsidR="00720F68" w:rsidRPr="00B84B0C" w:rsidDel="009D4ED3" w:rsidRDefault="00720F68" w:rsidP="00720F68">
            <w:pPr>
              <w:pStyle w:val="08-Tabelageral"/>
              <w:rPr>
                <w:rFonts w:cs="Arial"/>
              </w:rPr>
            </w:pPr>
            <w:r w:rsidRPr="00B84B0C">
              <w:rPr>
                <w:rFonts w:cs="Arial"/>
              </w:rPr>
              <w:t xml:space="preserve"> --   </w:t>
            </w:r>
          </w:p>
        </w:tc>
        <w:tc>
          <w:tcPr>
            <w:tcW w:w="435" w:type="pct"/>
            <w:tcBorders>
              <w:top w:val="nil"/>
              <w:left w:val="nil"/>
              <w:bottom w:val="nil"/>
              <w:right w:val="nil"/>
            </w:tcBorders>
            <w:shd w:val="clear" w:color="auto" w:fill="D9E2F3" w:themeFill="accent5" w:themeFillTint="33"/>
            <w:noWrap/>
          </w:tcPr>
          <w:p w14:paraId="696AE514" w14:textId="77777777" w:rsidR="00720F68" w:rsidRPr="00B84B0C" w:rsidRDefault="00720F68" w:rsidP="00720F68">
            <w:pPr>
              <w:pStyle w:val="08-Tabelageral"/>
              <w:rPr>
                <w:rFonts w:cs="Arial"/>
                <w:b/>
              </w:rPr>
            </w:pPr>
            <w:r w:rsidRPr="00B84B0C">
              <w:rPr>
                <w:rFonts w:cs="Arial"/>
                <w:b/>
              </w:rPr>
              <w:t xml:space="preserve"> 347 </w:t>
            </w:r>
          </w:p>
        </w:tc>
      </w:tr>
      <w:tr w:rsidR="00720F68" w:rsidRPr="00B84B0C" w14:paraId="1E2D863D" w14:textId="77777777" w:rsidTr="00720F68">
        <w:trPr>
          <w:trHeight w:val="238"/>
        </w:trPr>
        <w:tc>
          <w:tcPr>
            <w:tcW w:w="943" w:type="pct"/>
            <w:tcBorders>
              <w:top w:val="nil"/>
              <w:left w:val="nil"/>
              <w:bottom w:val="nil"/>
              <w:right w:val="nil"/>
            </w:tcBorders>
            <w:shd w:val="clear" w:color="auto" w:fill="FFFFFF" w:themeFill="background1"/>
            <w:noWrap/>
          </w:tcPr>
          <w:p w14:paraId="55FEB45B" w14:textId="77777777" w:rsidR="00720F68" w:rsidRPr="00B84B0C" w:rsidRDefault="00720F68" w:rsidP="00720F68">
            <w:pPr>
              <w:pStyle w:val="08-Tabelageral"/>
              <w:jc w:val="left"/>
              <w:rPr>
                <w:rFonts w:cs="Arial"/>
              </w:rPr>
            </w:pPr>
            <w:r w:rsidRPr="00B84B0C">
              <w:rPr>
                <w:rFonts w:cs="Arial"/>
              </w:rPr>
              <w:t xml:space="preserve">BB+ / BB / BB- </w:t>
            </w:r>
          </w:p>
        </w:tc>
        <w:tc>
          <w:tcPr>
            <w:tcW w:w="438" w:type="pct"/>
            <w:tcBorders>
              <w:top w:val="nil"/>
              <w:left w:val="nil"/>
              <w:bottom w:val="nil"/>
              <w:right w:val="nil"/>
            </w:tcBorders>
            <w:shd w:val="clear" w:color="auto" w:fill="FFFFFF" w:themeFill="background1"/>
            <w:noWrap/>
            <w:vAlign w:val="center"/>
          </w:tcPr>
          <w:p w14:paraId="2759FDAC" w14:textId="77777777" w:rsidR="00720F68" w:rsidRPr="00B84B0C" w:rsidRDefault="00720F68" w:rsidP="00720F68">
            <w:pPr>
              <w:pStyle w:val="08-Tabelageral"/>
              <w:rPr>
                <w:rFonts w:cs="Arial"/>
                <w:szCs w:val="14"/>
              </w:rPr>
            </w:pPr>
            <w:r w:rsidRPr="00B84B0C">
              <w:rPr>
                <w:rFonts w:cs="Arial"/>
                <w:color w:val="000000"/>
                <w:szCs w:val="14"/>
              </w:rPr>
              <w:t>47</w:t>
            </w:r>
          </w:p>
        </w:tc>
        <w:tc>
          <w:tcPr>
            <w:tcW w:w="413" w:type="pct"/>
            <w:tcBorders>
              <w:top w:val="nil"/>
              <w:left w:val="nil"/>
              <w:bottom w:val="nil"/>
              <w:right w:val="nil"/>
            </w:tcBorders>
            <w:shd w:val="clear" w:color="auto" w:fill="FFFFFF" w:themeFill="background1"/>
            <w:noWrap/>
          </w:tcPr>
          <w:p w14:paraId="42657791" w14:textId="77777777" w:rsidR="00720F68" w:rsidRPr="00B84B0C" w:rsidRDefault="00720F68" w:rsidP="00720F68">
            <w:pPr>
              <w:pStyle w:val="08-Tabelageral"/>
              <w:rPr>
                <w:rFonts w:cs="Arial"/>
                <w:szCs w:val="14"/>
              </w:rPr>
            </w:pPr>
            <w:r w:rsidRPr="00B84B0C">
              <w:rPr>
                <w:rFonts w:cs="Arial"/>
              </w:rPr>
              <w:t xml:space="preserve"> --   </w:t>
            </w:r>
          </w:p>
        </w:tc>
        <w:tc>
          <w:tcPr>
            <w:tcW w:w="353" w:type="pct"/>
            <w:tcBorders>
              <w:top w:val="nil"/>
              <w:left w:val="nil"/>
              <w:bottom w:val="nil"/>
              <w:right w:val="nil"/>
            </w:tcBorders>
            <w:shd w:val="clear" w:color="auto" w:fill="FFFFFF" w:themeFill="background1"/>
            <w:noWrap/>
          </w:tcPr>
          <w:p w14:paraId="49A8C579" w14:textId="77777777" w:rsidR="00720F68" w:rsidRPr="00B84B0C" w:rsidRDefault="00720F68" w:rsidP="00720F68">
            <w:pPr>
              <w:pStyle w:val="08-Tabelageral"/>
              <w:rPr>
                <w:rFonts w:cs="Arial"/>
                <w:b/>
                <w:szCs w:val="14"/>
              </w:rPr>
            </w:pPr>
            <w:r w:rsidRPr="00B84B0C">
              <w:rPr>
                <w:rFonts w:cs="Arial"/>
              </w:rPr>
              <w:t xml:space="preserve"> --   </w:t>
            </w:r>
          </w:p>
        </w:tc>
        <w:tc>
          <w:tcPr>
            <w:tcW w:w="425" w:type="pct"/>
            <w:tcBorders>
              <w:top w:val="nil"/>
              <w:left w:val="nil"/>
              <w:bottom w:val="nil"/>
              <w:right w:val="nil"/>
            </w:tcBorders>
            <w:shd w:val="clear" w:color="auto" w:fill="FFFFFF" w:themeFill="background1"/>
          </w:tcPr>
          <w:p w14:paraId="6AAC9DF4" w14:textId="77777777" w:rsidR="00720F68" w:rsidRPr="00B84B0C" w:rsidRDefault="00720F68" w:rsidP="00720F68">
            <w:pPr>
              <w:pStyle w:val="08-Tabelageral"/>
              <w:rPr>
                <w:rFonts w:cs="Arial"/>
                <w:szCs w:val="14"/>
              </w:rPr>
            </w:pPr>
            <w:r w:rsidRPr="00B84B0C">
              <w:rPr>
                <w:rFonts w:cs="Arial"/>
              </w:rPr>
              <w:t xml:space="preserve"> --   </w:t>
            </w:r>
          </w:p>
        </w:tc>
        <w:tc>
          <w:tcPr>
            <w:tcW w:w="427" w:type="pct"/>
            <w:tcBorders>
              <w:top w:val="nil"/>
              <w:left w:val="nil"/>
              <w:bottom w:val="nil"/>
              <w:right w:val="nil"/>
            </w:tcBorders>
            <w:shd w:val="clear" w:color="auto" w:fill="FFFFFF" w:themeFill="background1"/>
            <w:vAlign w:val="center"/>
          </w:tcPr>
          <w:p w14:paraId="7B34822A" w14:textId="77777777" w:rsidR="00720F68" w:rsidRPr="00B84B0C" w:rsidRDefault="00720F68" w:rsidP="00720F68">
            <w:pPr>
              <w:pStyle w:val="08-Tabelageral"/>
              <w:rPr>
                <w:rFonts w:cs="Arial"/>
                <w:b/>
                <w:szCs w:val="14"/>
              </w:rPr>
            </w:pPr>
            <w:r w:rsidRPr="00B84B0C">
              <w:rPr>
                <w:rFonts w:cs="Arial"/>
                <w:b/>
                <w:bCs/>
                <w:color w:val="000000"/>
                <w:szCs w:val="14"/>
              </w:rPr>
              <w:t>47</w:t>
            </w:r>
          </w:p>
        </w:tc>
        <w:tc>
          <w:tcPr>
            <w:tcW w:w="131" w:type="pct"/>
            <w:tcBorders>
              <w:top w:val="nil"/>
              <w:left w:val="nil"/>
              <w:bottom w:val="nil"/>
              <w:right w:val="nil"/>
            </w:tcBorders>
            <w:shd w:val="clear" w:color="auto" w:fill="FFFFFF" w:themeFill="background1"/>
            <w:noWrap/>
            <w:vAlign w:val="center"/>
          </w:tcPr>
          <w:p w14:paraId="28726E02" w14:textId="77777777" w:rsidR="00720F68" w:rsidRPr="00B84B0C" w:rsidRDefault="00720F68" w:rsidP="00720F68">
            <w:pPr>
              <w:pStyle w:val="08-Tabelageral"/>
              <w:rPr>
                <w:rFonts w:cs="Arial"/>
                <w:szCs w:val="14"/>
              </w:rPr>
            </w:pPr>
          </w:p>
        </w:tc>
        <w:tc>
          <w:tcPr>
            <w:tcW w:w="419" w:type="pct"/>
            <w:tcBorders>
              <w:top w:val="nil"/>
              <w:left w:val="nil"/>
              <w:bottom w:val="nil"/>
              <w:right w:val="nil"/>
            </w:tcBorders>
            <w:shd w:val="clear" w:color="auto" w:fill="FFFFFF" w:themeFill="background1"/>
            <w:noWrap/>
          </w:tcPr>
          <w:p w14:paraId="48F31A2B" w14:textId="77777777" w:rsidR="00720F68" w:rsidRPr="00B84B0C" w:rsidRDefault="00720F68" w:rsidP="00720F68">
            <w:pPr>
              <w:pStyle w:val="08-Tabelageral"/>
              <w:rPr>
                <w:rFonts w:cs="Arial"/>
              </w:rPr>
            </w:pPr>
            <w:r w:rsidRPr="00B84B0C">
              <w:rPr>
                <w:rFonts w:cs="Arial"/>
              </w:rPr>
              <w:t xml:space="preserve"> 96 </w:t>
            </w:r>
          </w:p>
        </w:tc>
        <w:tc>
          <w:tcPr>
            <w:tcW w:w="408" w:type="pct"/>
            <w:tcBorders>
              <w:top w:val="nil"/>
              <w:left w:val="nil"/>
              <w:bottom w:val="nil"/>
              <w:right w:val="nil"/>
            </w:tcBorders>
            <w:shd w:val="clear" w:color="auto" w:fill="FFFFFF" w:themeFill="background1"/>
          </w:tcPr>
          <w:p w14:paraId="313FBC7D" w14:textId="77777777" w:rsidR="00720F68" w:rsidRPr="00B84B0C" w:rsidRDefault="00720F68" w:rsidP="00720F68">
            <w:pPr>
              <w:pStyle w:val="08-Tabelageral"/>
              <w:rPr>
                <w:rFonts w:cs="Arial"/>
              </w:rPr>
            </w:pPr>
            <w:r w:rsidRPr="00B84B0C">
              <w:rPr>
                <w:rFonts w:cs="Arial"/>
              </w:rPr>
              <w:t xml:space="preserve"> --   </w:t>
            </w:r>
          </w:p>
        </w:tc>
        <w:tc>
          <w:tcPr>
            <w:tcW w:w="293" w:type="pct"/>
            <w:tcBorders>
              <w:top w:val="nil"/>
              <w:left w:val="nil"/>
              <w:bottom w:val="nil"/>
              <w:right w:val="nil"/>
            </w:tcBorders>
            <w:shd w:val="clear" w:color="auto" w:fill="FFFFFF" w:themeFill="background1"/>
          </w:tcPr>
          <w:p w14:paraId="752ECB38" w14:textId="77777777" w:rsidR="00720F68" w:rsidRPr="00B84B0C" w:rsidDel="009D4ED3" w:rsidRDefault="00720F68" w:rsidP="00720F68">
            <w:pPr>
              <w:pStyle w:val="08-Tabelageral"/>
              <w:rPr>
                <w:rFonts w:cs="Arial"/>
              </w:rPr>
            </w:pPr>
          </w:p>
        </w:tc>
        <w:tc>
          <w:tcPr>
            <w:tcW w:w="315" w:type="pct"/>
            <w:tcBorders>
              <w:top w:val="nil"/>
              <w:left w:val="nil"/>
              <w:bottom w:val="nil"/>
              <w:right w:val="nil"/>
            </w:tcBorders>
            <w:shd w:val="clear" w:color="auto" w:fill="FFFFFF" w:themeFill="background1"/>
            <w:noWrap/>
          </w:tcPr>
          <w:p w14:paraId="1F370BF2" w14:textId="77777777" w:rsidR="00720F68" w:rsidRPr="00B84B0C" w:rsidDel="009D4ED3" w:rsidRDefault="00720F68" w:rsidP="00720F68">
            <w:pPr>
              <w:pStyle w:val="08-Tabelageral"/>
              <w:rPr>
                <w:rFonts w:cs="Arial"/>
              </w:rPr>
            </w:pPr>
            <w:r w:rsidRPr="00B84B0C">
              <w:rPr>
                <w:rFonts w:cs="Arial"/>
              </w:rPr>
              <w:t xml:space="preserve"> --   </w:t>
            </w:r>
          </w:p>
        </w:tc>
        <w:tc>
          <w:tcPr>
            <w:tcW w:w="435" w:type="pct"/>
            <w:tcBorders>
              <w:top w:val="nil"/>
              <w:left w:val="nil"/>
              <w:bottom w:val="nil"/>
              <w:right w:val="nil"/>
            </w:tcBorders>
            <w:shd w:val="clear" w:color="auto" w:fill="FFFFFF" w:themeFill="background1"/>
            <w:noWrap/>
          </w:tcPr>
          <w:p w14:paraId="1DD20C45" w14:textId="77777777" w:rsidR="00720F68" w:rsidRPr="00B84B0C" w:rsidRDefault="00720F68" w:rsidP="00720F68">
            <w:pPr>
              <w:pStyle w:val="08-Tabelageral"/>
              <w:rPr>
                <w:rFonts w:cs="Arial"/>
                <w:b/>
              </w:rPr>
            </w:pPr>
            <w:r w:rsidRPr="00B84B0C">
              <w:rPr>
                <w:rFonts w:cs="Arial"/>
                <w:b/>
              </w:rPr>
              <w:t xml:space="preserve"> 96 </w:t>
            </w:r>
          </w:p>
        </w:tc>
      </w:tr>
      <w:tr w:rsidR="00720F68" w:rsidRPr="00B84B0C" w14:paraId="0C73F08C" w14:textId="77777777" w:rsidTr="00720F68">
        <w:trPr>
          <w:trHeight w:val="238"/>
        </w:trPr>
        <w:tc>
          <w:tcPr>
            <w:tcW w:w="943" w:type="pct"/>
            <w:tcBorders>
              <w:top w:val="nil"/>
              <w:left w:val="nil"/>
              <w:bottom w:val="nil"/>
              <w:right w:val="nil"/>
            </w:tcBorders>
            <w:shd w:val="clear" w:color="auto" w:fill="D9E2F3" w:themeFill="accent5" w:themeFillTint="33"/>
            <w:noWrap/>
          </w:tcPr>
          <w:p w14:paraId="53839D76" w14:textId="77777777" w:rsidR="00720F68" w:rsidRPr="00B84B0C" w:rsidRDefault="00720F68" w:rsidP="00720F68">
            <w:pPr>
              <w:pStyle w:val="08-Tabelageral"/>
              <w:jc w:val="left"/>
              <w:rPr>
                <w:rFonts w:cs="Arial"/>
              </w:rPr>
            </w:pPr>
            <w:r w:rsidRPr="00B84B0C">
              <w:rPr>
                <w:rFonts w:cs="Arial"/>
              </w:rPr>
              <w:t>B+ / B / B-</w:t>
            </w:r>
          </w:p>
        </w:tc>
        <w:tc>
          <w:tcPr>
            <w:tcW w:w="438" w:type="pct"/>
            <w:tcBorders>
              <w:top w:val="nil"/>
              <w:left w:val="nil"/>
              <w:bottom w:val="nil"/>
              <w:right w:val="nil"/>
            </w:tcBorders>
            <w:shd w:val="clear" w:color="auto" w:fill="D9E2F3" w:themeFill="accent5" w:themeFillTint="33"/>
            <w:noWrap/>
            <w:vAlign w:val="center"/>
          </w:tcPr>
          <w:p w14:paraId="7B3CA6C2" w14:textId="77777777" w:rsidR="00720F68" w:rsidRPr="00B84B0C" w:rsidRDefault="00720F68" w:rsidP="00720F68">
            <w:pPr>
              <w:pStyle w:val="08-Tabelageral"/>
              <w:rPr>
                <w:rFonts w:cs="Arial"/>
                <w:szCs w:val="14"/>
              </w:rPr>
            </w:pPr>
            <w:r w:rsidRPr="00B84B0C">
              <w:rPr>
                <w:rFonts w:cs="Arial"/>
                <w:color w:val="000000"/>
                <w:szCs w:val="14"/>
              </w:rPr>
              <w:t>16</w:t>
            </w:r>
          </w:p>
        </w:tc>
        <w:tc>
          <w:tcPr>
            <w:tcW w:w="413" w:type="pct"/>
            <w:tcBorders>
              <w:top w:val="nil"/>
              <w:left w:val="nil"/>
              <w:bottom w:val="nil"/>
              <w:right w:val="nil"/>
            </w:tcBorders>
            <w:shd w:val="clear" w:color="auto" w:fill="D9E2F3" w:themeFill="accent5" w:themeFillTint="33"/>
            <w:noWrap/>
          </w:tcPr>
          <w:p w14:paraId="60D65A15" w14:textId="77777777" w:rsidR="00720F68" w:rsidRPr="00B84B0C" w:rsidRDefault="00720F68" w:rsidP="00720F68">
            <w:pPr>
              <w:pStyle w:val="08-Tabelageral"/>
              <w:rPr>
                <w:rFonts w:cs="Arial"/>
                <w:szCs w:val="14"/>
              </w:rPr>
            </w:pPr>
            <w:r w:rsidRPr="00B84B0C">
              <w:rPr>
                <w:rFonts w:cs="Arial"/>
              </w:rPr>
              <w:t xml:space="preserve"> --   </w:t>
            </w:r>
          </w:p>
        </w:tc>
        <w:tc>
          <w:tcPr>
            <w:tcW w:w="353" w:type="pct"/>
            <w:tcBorders>
              <w:top w:val="nil"/>
              <w:left w:val="nil"/>
              <w:bottom w:val="nil"/>
              <w:right w:val="nil"/>
            </w:tcBorders>
            <w:shd w:val="clear" w:color="auto" w:fill="D9E2F3" w:themeFill="accent5" w:themeFillTint="33"/>
            <w:noWrap/>
          </w:tcPr>
          <w:p w14:paraId="1A4AD057" w14:textId="77777777" w:rsidR="00720F68" w:rsidRPr="00B84B0C" w:rsidRDefault="00720F68" w:rsidP="00720F68">
            <w:pPr>
              <w:pStyle w:val="08-Tabelageral"/>
              <w:rPr>
                <w:rFonts w:cs="Arial"/>
                <w:b/>
                <w:szCs w:val="14"/>
              </w:rPr>
            </w:pPr>
            <w:r w:rsidRPr="00B84B0C">
              <w:rPr>
                <w:rFonts w:cs="Arial"/>
              </w:rPr>
              <w:t xml:space="preserve"> --   </w:t>
            </w:r>
          </w:p>
        </w:tc>
        <w:tc>
          <w:tcPr>
            <w:tcW w:w="425" w:type="pct"/>
            <w:tcBorders>
              <w:top w:val="nil"/>
              <w:left w:val="nil"/>
              <w:bottom w:val="nil"/>
              <w:right w:val="nil"/>
            </w:tcBorders>
            <w:shd w:val="clear" w:color="auto" w:fill="D9E2F3" w:themeFill="accent5" w:themeFillTint="33"/>
          </w:tcPr>
          <w:p w14:paraId="432764FC" w14:textId="77777777" w:rsidR="00720F68" w:rsidRPr="00B84B0C" w:rsidRDefault="00720F68" w:rsidP="00720F68">
            <w:pPr>
              <w:pStyle w:val="08-Tabelageral"/>
              <w:rPr>
                <w:rFonts w:cs="Arial"/>
                <w:szCs w:val="14"/>
              </w:rPr>
            </w:pPr>
            <w:r w:rsidRPr="00B84B0C">
              <w:rPr>
                <w:rFonts w:cs="Arial"/>
              </w:rPr>
              <w:t xml:space="preserve"> --   </w:t>
            </w:r>
          </w:p>
        </w:tc>
        <w:tc>
          <w:tcPr>
            <w:tcW w:w="427" w:type="pct"/>
            <w:tcBorders>
              <w:top w:val="nil"/>
              <w:left w:val="nil"/>
              <w:bottom w:val="nil"/>
              <w:right w:val="nil"/>
            </w:tcBorders>
            <w:shd w:val="clear" w:color="auto" w:fill="D9E2F3" w:themeFill="accent5" w:themeFillTint="33"/>
            <w:vAlign w:val="center"/>
          </w:tcPr>
          <w:p w14:paraId="5959E70B" w14:textId="77777777" w:rsidR="00720F68" w:rsidRPr="00B84B0C" w:rsidRDefault="00720F68" w:rsidP="00720F68">
            <w:pPr>
              <w:pStyle w:val="08-Tabelageral"/>
              <w:rPr>
                <w:rFonts w:cs="Arial"/>
                <w:b/>
                <w:szCs w:val="14"/>
              </w:rPr>
            </w:pPr>
            <w:r w:rsidRPr="00B84B0C">
              <w:rPr>
                <w:rFonts w:cs="Arial"/>
                <w:b/>
                <w:bCs/>
                <w:color w:val="000000"/>
                <w:szCs w:val="14"/>
              </w:rPr>
              <w:t>16</w:t>
            </w:r>
          </w:p>
        </w:tc>
        <w:tc>
          <w:tcPr>
            <w:tcW w:w="131" w:type="pct"/>
            <w:tcBorders>
              <w:top w:val="nil"/>
              <w:left w:val="nil"/>
              <w:bottom w:val="nil"/>
              <w:right w:val="nil"/>
            </w:tcBorders>
            <w:shd w:val="clear" w:color="auto" w:fill="D9E2F3" w:themeFill="accent5" w:themeFillTint="33"/>
            <w:noWrap/>
            <w:vAlign w:val="center"/>
          </w:tcPr>
          <w:p w14:paraId="6901867B" w14:textId="77777777" w:rsidR="00720F68" w:rsidRPr="00B84B0C" w:rsidRDefault="00720F68" w:rsidP="00720F68">
            <w:pPr>
              <w:pStyle w:val="08-Tabelageral"/>
              <w:rPr>
                <w:rFonts w:cs="Arial"/>
                <w:szCs w:val="14"/>
              </w:rPr>
            </w:pPr>
          </w:p>
        </w:tc>
        <w:tc>
          <w:tcPr>
            <w:tcW w:w="419" w:type="pct"/>
            <w:tcBorders>
              <w:top w:val="nil"/>
              <w:left w:val="nil"/>
              <w:bottom w:val="nil"/>
              <w:right w:val="nil"/>
            </w:tcBorders>
            <w:shd w:val="clear" w:color="auto" w:fill="D9E2F3" w:themeFill="accent5" w:themeFillTint="33"/>
            <w:noWrap/>
          </w:tcPr>
          <w:p w14:paraId="7A9115B1" w14:textId="77777777" w:rsidR="00720F68" w:rsidRPr="00B84B0C" w:rsidRDefault="00720F68" w:rsidP="00720F68">
            <w:pPr>
              <w:pStyle w:val="08-Tabelageral"/>
              <w:rPr>
                <w:rFonts w:cs="Arial"/>
              </w:rPr>
            </w:pPr>
            <w:r w:rsidRPr="00B84B0C">
              <w:rPr>
                <w:rFonts w:cs="Arial"/>
              </w:rPr>
              <w:t xml:space="preserve"> --   </w:t>
            </w:r>
          </w:p>
        </w:tc>
        <w:tc>
          <w:tcPr>
            <w:tcW w:w="408" w:type="pct"/>
            <w:tcBorders>
              <w:top w:val="nil"/>
              <w:left w:val="nil"/>
              <w:bottom w:val="nil"/>
              <w:right w:val="nil"/>
            </w:tcBorders>
            <w:shd w:val="clear" w:color="auto" w:fill="D9E2F3" w:themeFill="accent5" w:themeFillTint="33"/>
          </w:tcPr>
          <w:p w14:paraId="2AFA0E8E" w14:textId="77777777" w:rsidR="00720F68" w:rsidRPr="00B84B0C" w:rsidRDefault="00720F68" w:rsidP="00720F68">
            <w:pPr>
              <w:pStyle w:val="08-Tabelageral"/>
              <w:rPr>
                <w:rFonts w:cs="Arial"/>
              </w:rPr>
            </w:pPr>
            <w:r w:rsidRPr="00B84B0C">
              <w:rPr>
                <w:rFonts w:cs="Arial"/>
              </w:rPr>
              <w:t xml:space="preserve"> --   </w:t>
            </w:r>
          </w:p>
        </w:tc>
        <w:tc>
          <w:tcPr>
            <w:tcW w:w="293" w:type="pct"/>
            <w:tcBorders>
              <w:top w:val="nil"/>
              <w:left w:val="nil"/>
              <w:bottom w:val="nil"/>
              <w:right w:val="nil"/>
            </w:tcBorders>
            <w:shd w:val="clear" w:color="auto" w:fill="D9E2F3" w:themeFill="accent5" w:themeFillTint="33"/>
          </w:tcPr>
          <w:p w14:paraId="560D1CC0" w14:textId="77777777" w:rsidR="00720F68" w:rsidRPr="00B84B0C" w:rsidDel="009D4ED3" w:rsidRDefault="00720F68" w:rsidP="00720F68">
            <w:pPr>
              <w:pStyle w:val="08-Tabelageral"/>
              <w:rPr>
                <w:rFonts w:cs="Arial"/>
              </w:rPr>
            </w:pPr>
          </w:p>
        </w:tc>
        <w:tc>
          <w:tcPr>
            <w:tcW w:w="315" w:type="pct"/>
            <w:tcBorders>
              <w:top w:val="nil"/>
              <w:left w:val="nil"/>
              <w:bottom w:val="nil"/>
              <w:right w:val="nil"/>
            </w:tcBorders>
            <w:shd w:val="clear" w:color="auto" w:fill="D9E2F3" w:themeFill="accent5" w:themeFillTint="33"/>
            <w:noWrap/>
          </w:tcPr>
          <w:p w14:paraId="5014D04F" w14:textId="77777777" w:rsidR="00720F68" w:rsidRPr="00B84B0C" w:rsidDel="009D4ED3" w:rsidRDefault="00720F68" w:rsidP="00720F68">
            <w:pPr>
              <w:pStyle w:val="08-Tabelageral"/>
              <w:rPr>
                <w:rFonts w:cs="Arial"/>
              </w:rPr>
            </w:pPr>
            <w:r w:rsidRPr="00B84B0C">
              <w:rPr>
                <w:rFonts w:cs="Arial"/>
              </w:rPr>
              <w:t xml:space="preserve"> --   </w:t>
            </w:r>
          </w:p>
        </w:tc>
        <w:tc>
          <w:tcPr>
            <w:tcW w:w="435" w:type="pct"/>
            <w:tcBorders>
              <w:top w:val="nil"/>
              <w:left w:val="nil"/>
              <w:bottom w:val="nil"/>
              <w:right w:val="nil"/>
            </w:tcBorders>
            <w:shd w:val="clear" w:color="auto" w:fill="D9E2F3" w:themeFill="accent5" w:themeFillTint="33"/>
            <w:noWrap/>
          </w:tcPr>
          <w:p w14:paraId="49884961" w14:textId="77777777" w:rsidR="00720F68" w:rsidRPr="00B84B0C" w:rsidRDefault="00720F68" w:rsidP="00720F68">
            <w:pPr>
              <w:pStyle w:val="08-Tabelageral"/>
              <w:rPr>
                <w:rFonts w:cs="Arial"/>
                <w:b/>
              </w:rPr>
            </w:pPr>
            <w:r w:rsidRPr="00B84B0C">
              <w:rPr>
                <w:rFonts w:cs="Arial"/>
                <w:b/>
              </w:rPr>
              <w:t xml:space="preserve"> --   </w:t>
            </w:r>
          </w:p>
        </w:tc>
      </w:tr>
      <w:tr w:rsidR="00720F68" w:rsidRPr="00B84B0C" w14:paraId="0CE213A3" w14:textId="77777777" w:rsidTr="00720F68">
        <w:trPr>
          <w:trHeight w:val="238"/>
        </w:trPr>
        <w:tc>
          <w:tcPr>
            <w:tcW w:w="943" w:type="pct"/>
            <w:tcBorders>
              <w:top w:val="nil"/>
              <w:left w:val="nil"/>
              <w:bottom w:val="nil"/>
              <w:right w:val="nil"/>
            </w:tcBorders>
            <w:shd w:val="clear" w:color="auto" w:fill="FFFFFF" w:themeFill="background1"/>
            <w:noWrap/>
          </w:tcPr>
          <w:p w14:paraId="56DFEA53" w14:textId="77777777" w:rsidR="00720F68" w:rsidRPr="00B84B0C" w:rsidRDefault="00720F68" w:rsidP="00720F68">
            <w:pPr>
              <w:pStyle w:val="08-Tabelageral"/>
              <w:jc w:val="left"/>
              <w:rPr>
                <w:rFonts w:cs="Arial"/>
              </w:rPr>
            </w:pPr>
            <w:r w:rsidRPr="00B84B0C">
              <w:rPr>
                <w:rFonts w:cs="Arial"/>
              </w:rPr>
              <w:t>CCC+ / CCC / CCC- / CC / C</w:t>
            </w:r>
          </w:p>
        </w:tc>
        <w:tc>
          <w:tcPr>
            <w:tcW w:w="438" w:type="pct"/>
            <w:tcBorders>
              <w:top w:val="nil"/>
              <w:left w:val="nil"/>
              <w:bottom w:val="nil"/>
              <w:right w:val="nil"/>
            </w:tcBorders>
            <w:shd w:val="clear" w:color="auto" w:fill="FFFFFF" w:themeFill="background1"/>
            <w:noWrap/>
          </w:tcPr>
          <w:p w14:paraId="672D4638" w14:textId="77777777" w:rsidR="00720F68" w:rsidRPr="00B84B0C" w:rsidRDefault="00720F68" w:rsidP="00720F68">
            <w:pPr>
              <w:pStyle w:val="08-Tabelageral"/>
              <w:rPr>
                <w:rFonts w:cs="Arial"/>
                <w:szCs w:val="14"/>
              </w:rPr>
            </w:pPr>
            <w:r w:rsidRPr="00B84B0C">
              <w:rPr>
                <w:rFonts w:cs="Arial"/>
              </w:rPr>
              <w:t xml:space="preserve"> --   </w:t>
            </w:r>
          </w:p>
        </w:tc>
        <w:tc>
          <w:tcPr>
            <w:tcW w:w="413" w:type="pct"/>
            <w:tcBorders>
              <w:top w:val="nil"/>
              <w:left w:val="nil"/>
              <w:bottom w:val="nil"/>
              <w:right w:val="nil"/>
            </w:tcBorders>
            <w:shd w:val="clear" w:color="auto" w:fill="FFFFFF" w:themeFill="background1"/>
            <w:noWrap/>
          </w:tcPr>
          <w:p w14:paraId="4EEBCAE7" w14:textId="77777777" w:rsidR="00720F68" w:rsidRPr="00B84B0C" w:rsidRDefault="00720F68" w:rsidP="00720F68">
            <w:pPr>
              <w:pStyle w:val="08-Tabelageral"/>
              <w:rPr>
                <w:rFonts w:cs="Arial"/>
                <w:szCs w:val="14"/>
              </w:rPr>
            </w:pPr>
            <w:r w:rsidRPr="00B84B0C">
              <w:rPr>
                <w:rFonts w:cs="Arial"/>
              </w:rPr>
              <w:t xml:space="preserve"> --   </w:t>
            </w:r>
          </w:p>
        </w:tc>
        <w:tc>
          <w:tcPr>
            <w:tcW w:w="353" w:type="pct"/>
            <w:tcBorders>
              <w:top w:val="nil"/>
              <w:left w:val="nil"/>
              <w:bottom w:val="nil"/>
              <w:right w:val="nil"/>
            </w:tcBorders>
            <w:shd w:val="clear" w:color="auto" w:fill="FFFFFF" w:themeFill="background1"/>
            <w:noWrap/>
          </w:tcPr>
          <w:p w14:paraId="46D3E3B9" w14:textId="77777777" w:rsidR="00720F68" w:rsidRPr="00B84B0C" w:rsidRDefault="00720F68" w:rsidP="00720F68">
            <w:pPr>
              <w:pStyle w:val="08-Tabelageral"/>
              <w:rPr>
                <w:rFonts w:cs="Arial"/>
                <w:b/>
                <w:szCs w:val="14"/>
              </w:rPr>
            </w:pPr>
            <w:r w:rsidRPr="00B84B0C">
              <w:rPr>
                <w:rFonts w:cs="Arial"/>
              </w:rPr>
              <w:t xml:space="preserve"> --   </w:t>
            </w:r>
          </w:p>
        </w:tc>
        <w:tc>
          <w:tcPr>
            <w:tcW w:w="425" w:type="pct"/>
            <w:tcBorders>
              <w:top w:val="nil"/>
              <w:left w:val="nil"/>
              <w:bottom w:val="nil"/>
              <w:right w:val="nil"/>
            </w:tcBorders>
            <w:shd w:val="clear" w:color="auto" w:fill="FFFFFF" w:themeFill="background1"/>
            <w:vAlign w:val="center"/>
          </w:tcPr>
          <w:p w14:paraId="49D407F3" w14:textId="77777777" w:rsidR="00720F68" w:rsidRPr="00B84B0C" w:rsidRDefault="00720F68" w:rsidP="00720F68">
            <w:pPr>
              <w:pStyle w:val="08-Tabelageral"/>
              <w:rPr>
                <w:rFonts w:cs="Arial"/>
                <w:szCs w:val="14"/>
              </w:rPr>
            </w:pPr>
            <w:r w:rsidRPr="00B84B0C">
              <w:rPr>
                <w:rFonts w:cs="Arial"/>
                <w:color w:val="000000"/>
                <w:szCs w:val="14"/>
              </w:rPr>
              <w:t>145</w:t>
            </w:r>
          </w:p>
        </w:tc>
        <w:tc>
          <w:tcPr>
            <w:tcW w:w="427" w:type="pct"/>
            <w:tcBorders>
              <w:top w:val="nil"/>
              <w:left w:val="nil"/>
              <w:bottom w:val="nil"/>
              <w:right w:val="nil"/>
            </w:tcBorders>
            <w:shd w:val="clear" w:color="auto" w:fill="FFFFFF" w:themeFill="background1"/>
            <w:vAlign w:val="center"/>
          </w:tcPr>
          <w:p w14:paraId="6641C3A6" w14:textId="77777777" w:rsidR="00720F68" w:rsidRPr="00B84B0C" w:rsidRDefault="00720F68" w:rsidP="00720F68">
            <w:pPr>
              <w:pStyle w:val="08-Tabelageral"/>
              <w:rPr>
                <w:rFonts w:cs="Arial"/>
                <w:b/>
                <w:szCs w:val="14"/>
              </w:rPr>
            </w:pPr>
            <w:r w:rsidRPr="00B84B0C">
              <w:rPr>
                <w:rFonts w:cs="Arial"/>
                <w:b/>
                <w:bCs/>
                <w:color w:val="000000"/>
                <w:szCs w:val="14"/>
              </w:rPr>
              <w:t>145</w:t>
            </w:r>
          </w:p>
        </w:tc>
        <w:tc>
          <w:tcPr>
            <w:tcW w:w="131" w:type="pct"/>
            <w:tcBorders>
              <w:top w:val="nil"/>
              <w:left w:val="nil"/>
              <w:bottom w:val="nil"/>
              <w:right w:val="nil"/>
            </w:tcBorders>
            <w:shd w:val="clear" w:color="auto" w:fill="FFFFFF" w:themeFill="background1"/>
            <w:noWrap/>
            <w:vAlign w:val="center"/>
          </w:tcPr>
          <w:p w14:paraId="03FBB75C" w14:textId="77777777" w:rsidR="00720F68" w:rsidRPr="00B84B0C" w:rsidRDefault="00720F68" w:rsidP="00720F68">
            <w:pPr>
              <w:pStyle w:val="08-Tabelageral"/>
              <w:rPr>
                <w:rFonts w:cs="Arial"/>
                <w:szCs w:val="14"/>
              </w:rPr>
            </w:pPr>
          </w:p>
        </w:tc>
        <w:tc>
          <w:tcPr>
            <w:tcW w:w="419" w:type="pct"/>
            <w:tcBorders>
              <w:top w:val="nil"/>
              <w:left w:val="nil"/>
              <w:bottom w:val="nil"/>
              <w:right w:val="nil"/>
            </w:tcBorders>
            <w:shd w:val="clear" w:color="auto" w:fill="FFFFFF" w:themeFill="background1"/>
            <w:noWrap/>
          </w:tcPr>
          <w:p w14:paraId="6AB60828" w14:textId="77777777" w:rsidR="00720F68" w:rsidRPr="00B84B0C" w:rsidRDefault="00720F68" w:rsidP="00720F68">
            <w:pPr>
              <w:pStyle w:val="08-Tabelageral"/>
              <w:rPr>
                <w:rFonts w:cs="Arial"/>
              </w:rPr>
            </w:pPr>
            <w:r w:rsidRPr="00B84B0C">
              <w:rPr>
                <w:rFonts w:cs="Arial"/>
              </w:rPr>
              <w:t xml:space="preserve"> --   </w:t>
            </w:r>
          </w:p>
        </w:tc>
        <w:tc>
          <w:tcPr>
            <w:tcW w:w="408" w:type="pct"/>
            <w:tcBorders>
              <w:top w:val="nil"/>
              <w:left w:val="nil"/>
              <w:bottom w:val="nil"/>
              <w:right w:val="nil"/>
            </w:tcBorders>
            <w:shd w:val="clear" w:color="auto" w:fill="FFFFFF" w:themeFill="background1"/>
          </w:tcPr>
          <w:p w14:paraId="6463C829" w14:textId="77777777" w:rsidR="00720F68" w:rsidRPr="00B84B0C" w:rsidRDefault="00720F68" w:rsidP="00720F68">
            <w:pPr>
              <w:pStyle w:val="08-Tabelageral"/>
              <w:rPr>
                <w:rFonts w:cs="Arial"/>
              </w:rPr>
            </w:pPr>
            <w:r w:rsidRPr="00B84B0C">
              <w:rPr>
                <w:rFonts w:cs="Arial"/>
              </w:rPr>
              <w:t xml:space="preserve"> --   </w:t>
            </w:r>
          </w:p>
        </w:tc>
        <w:tc>
          <w:tcPr>
            <w:tcW w:w="293" w:type="pct"/>
            <w:tcBorders>
              <w:top w:val="nil"/>
              <w:left w:val="nil"/>
              <w:bottom w:val="nil"/>
              <w:right w:val="nil"/>
            </w:tcBorders>
            <w:shd w:val="clear" w:color="auto" w:fill="FFFFFF" w:themeFill="background1"/>
          </w:tcPr>
          <w:p w14:paraId="6302C0BB" w14:textId="77777777" w:rsidR="00720F68" w:rsidRPr="00B84B0C" w:rsidDel="009D4ED3" w:rsidRDefault="00720F68" w:rsidP="00720F68">
            <w:pPr>
              <w:pStyle w:val="08-Tabelageral"/>
              <w:rPr>
                <w:rFonts w:cs="Arial"/>
              </w:rPr>
            </w:pPr>
          </w:p>
        </w:tc>
        <w:tc>
          <w:tcPr>
            <w:tcW w:w="315" w:type="pct"/>
            <w:tcBorders>
              <w:top w:val="nil"/>
              <w:left w:val="nil"/>
              <w:bottom w:val="nil"/>
              <w:right w:val="nil"/>
            </w:tcBorders>
            <w:shd w:val="clear" w:color="auto" w:fill="FFFFFF" w:themeFill="background1"/>
            <w:noWrap/>
          </w:tcPr>
          <w:p w14:paraId="7BA8BF17" w14:textId="77777777" w:rsidR="00720F68" w:rsidRPr="00B84B0C" w:rsidDel="009D4ED3" w:rsidRDefault="00720F68" w:rsidP="00720F68">
            <w:pPr>
              <w:pStyle w:val="08-Tabelageral"/>
              <w:rPr>
                <w:rFonts w:cs="Arial"/>
              </w:rPr>
            </w:pPr>
            <w:r w:rsidRPr="00B84B0C">
              <w:rPr>
                <w:rFonts w:cs="Arial"/>
              </w:rPr>
              <w:t xml:space="preserve"> --   </w:t>
            </w:r>
          </w:p>
        </w:tc>
        <w:tc>
          <w:tcPr>
            <w:tcW w:w="435" w:type="pct"/>
            <w:tcBorders>
              <w:top w:val="nil"/>
              <w:left w:val="nil"/>
              <w:bottom w:val="nil"/>
              <w:right w:val="nil"/>
            </w:tcBorders>
            <w:shd w:val="clear" w:color="auto" w:fill="FFFFFF" w:themeFill="background1"/>
            <w:noWrap/>
          </w:tcPr>
          <w:p w14:paraId="13B7CA8C" w14:textId="77777777" w:rsidR="00720F68" w:rsidRPr="00B84B0C" w:rsidRDefault="00720F68" w:rsidP="00720F68">
            <w:pPr>
              <w:pStyle w:val="08-Tabelageral"/>
              <w:rPr>
                <w:rFonts w:cs="Arial"/>
                <w:b/>
              </w:rPr>
            </w:pPr>
            <w:r w:rsidRPr="00B84B0C">
              <w:rPr>
                <w:rFonts w:cs="Arial"/>
                <w:b/>
              </w:rPr>
              <w:t xml:space="preserve"> --   </w:t>
            </w:r>
          </w:p>
        </w:tc>
      </w:tr>
      <w:tr w:rsidR="00720F68" w:rsidRPr="00B84B0C" w14:paraId="756E3CC4" w14:textId="77777777" w:rsidTr="00720F68">
        <w:trPr>
          <w:trHeight w:val="238"/>
        </w:trPr>
        <w:tc>
          <w:tcPr>
            <w:tcW w:w="943" w:type="pct"/>
            <w:tcBorders>
              <w:top w:val="nil"/>
              <w:left w:val="nil"/>
              <w:bottom w:val="nil"/>
              <w:right w:val="nil"/>
            </w:tcBorders>
            <w:shd w:val="clear" w:color="auto" w:fill="D9E2F3" w:themeFill="accent5" w:themeFillTint="33"/>
            <w:noWrap/>
          </w:tcPr>
          <w:p w14:paraId="5817FF39" w14:textId="77777777" w:rsidR="00720F68" w:rsidRPr="00B84B0C" w:rsidRDefault="00720F68" w:rsidP="00720F68">
            <w:pPr>
              <w:pStyle w:val="08-Tabelageral"/>
              <w:jc w:val="left"/>
              <w:rPr>
                <w:rFonts w:cs="Arial"/>
              </w:rPr>
            </w:pPr>
            <w:proofErr w:type="gramStart"/>
            <w:r w:rsidRPr="00B84B0C">
              <w:rPr>
                <w:rFonts w:cs="Arial"/>
              </w:rPr>
              <w:t>D</w:t>
            </w:r>
            <w:r w:rsidRPr="00B84B0C">
              <w:rPr>
                <w:rFonts w:cs="Arial"/>
                <w:vertAlign w:val="superscript"/>
              </w:rPr>
              <w:t>(</w:t>
            </w:r>
            <w:proofErr w:type="gramEnd"/>
            <w:r w:rsidRPr="00B84B0C">
              <w:rPr>
                <w:rFonts w:cs="Arial"/>
                <w:vertAlign w:val="superscript"/>
              </w:rPr>
              <w:t>4)</w:t>
            </w:r>
          </w:p>
        </w:tc>
        <w:tc>
          <w:tcPr>
            <w:tcW w:w="438" w:type="pct"/>
            <w:tcBorders>
              <w:top w:val="nil"/>
              <w:left w:val="nil"/>
              <w:bottom w:val="nil"/>
              <w:right w:val="nil"/>
            </w:tcBorders>
            <w:shd w:val="clear" w:color="auto" w:fill="D9E2F3" w:themeFill="accent5" w:themeFillTint="33"/>
            <w:noWrap/>
            <w:vAlign w:val="center"/>
          </w:tcPr>
          <w:p w14:paraId="2BA71197" w14:textId="77777777" w:rsidR="00720F68" w:rsidRPr="00B84B0C" w:rsidRDefault="00720F68" w:rsidP="00720F68">
            <w:pPr>
              <w:pStyle w:val="08-Tabelageral"/>
              <w:rPr>
                <w:rFonts w:cs="Arial"/>
              </w:rPr>
            </w:pPr>
            <w:r w:rsidRPr="00B84B0C">
              <w:rPr>
                <w:rFonts w:cs="Arial"/>
                <w:color w:val="000000"/>
                <w:szCs w:val="14"/>
              </w:rPr>
              <w:t>326</w:t>
            </w:r>
          </w:p>
        </w:tc>
        <w:tc>
          <w:tcPr>
            <w:tcW w:w="413" w:type="pct"/>
            <w:tcBorders>
              <w:top w:val="nil"/>
              <w:left w:val="nil"/>
              <w:bottom w:val="nil"/>
              <w:right w:val="nil"/>
            </w:tcBorders>
            <w:shd w:val="clear" w:color="auto" w:fill="D9E2F3" w:themeFill="accent5" w:themeFillTint="33"/>
            <w:noWrap/>
          </w:tcPr>
          <w:p w14:paraId="435A8634" w14:textId="77777777" w:rsidR="00720F68" w:rsidRPr="00B84B0C" w:rsidRDefault="00720F68" w:rsidP="00720F68">
            <w:pPr>
              <w:pStyle w:val="08-Tabelageral"/>
              <w:rPr>
                <w:rFonts w:cs="Arial"/>
                <w:szCs w:val="14"/>
              </w:rPr>
            </w:pPr>
            <w:r w:rsidRPr="00B84B0C">
              <w:rPr>
                <w:rFonts w:cs="Arial"/>
              </w:rPr>
              <w:t xml:space="preserve"> --   </w:t>
            </w:r>
          </w:p>
        </w:tc>
        <w:tc>
          <w:tcPr>
            <w:tcW w:w="353" w:type="pct"/>
            <w:tcBorders>
              <w:top w:val="nil"/>
              <w:left w:val="nil"/>
              <w:bottom w:val="nil"/>
              <w:right w:val="nil"/>
            </w:tcBorders>
            <w:shd w:val="clear" w:color="auto" w:fill="D9E2F3" w:themeFill="accent5" w:themeFillTint="33"/>
            <w:noWrap/>
          </w:tcPr>
          <w:p w14:paraId="02DB4326" w14:textId="77777777" w:rsidR="00720F68" w:rsidRPr="00B84B0C" w:rsidRDefault="00720F68" w:rsidP="00720F68">
            <w:pPr>
              <w:pStyle w:val="08-Tabelageral"/>
              <w:rPr>
                <w:rFonts w:cs="Arial"/>
                <w:b/>
              </w:rPr>
            </w:pPr>
            <w:r w:rsidRPr="00B84B0C">
              <w:rPr>
                <w:rFonts w:cs="Arial"/>
              </w:rPr>
              <w:t xml:space="preserve"> --   </w:t>
            </w:r>
          </w:p>
        </w:tc>
        <w:tc>
          <w:tcPr>
            <w:tcW w:w="425" w:type="pct"/>
            <w:tcBorders>
              <w:top w:val="nil"/>
              <w:left w:val="nil"/>
              <w:bottom w:val="nil"/>
              <w:right w:val="nil"/>
            </w:tcBorders>
            <w:shd w:val="clear" w:color="auto" w:fill="D9E2F3" w:themeFill="accent5" w:themeFillTint="33"/>
          </w:tcPr>
          <w:p w14:paraId="30ABBC82" w14:textId="77777777" w:rsidR="00720F68" w:rsidRPr="00B84B0C" w:rsidRDefault="00720F68" w:rsidP="00720F68">
            <w:pPr>
              <w:pStyle w:val="08-Tabelageral"/>
              <w:rPr>
                <w:rFonts w:cs="Arial"/>
                <w:szCs w:val="14"/>
              </w:rPr>
            </w:pPr>
            <w:r w:rsidRPr="00B84B0C">
              <w:rPr>
                <w:rFonts w:cs="Arial"/>
              </w:rPr>
              <w:t xml:space="preserve"> --   </w:t>
            </w:r>
          </w:p>
        </w:tc>
        <w:tc>
          <w:tcPr>
            <w:tcW w:w="427" w:type="pct"/>
            <w:tcBorders>
              <w:top w:val="nil"/>
              <w:left w:val="nil"/>
              <w:bottom w:val="nil"/>
              <w:right w:val="nil"/>
            </w:tcBorders>
            <w:shd w:val="clear" w:color="auto" w:fill="D9E2F3" w:themeFill="accent5" w:themeFillTint="33"/>
            <w:vAlign w:val="center"/>
          </w:tcPr>
          <w:p w14:paraId="476B8771" w14:textId="77777777" w:rsidR="00720F68" w:rsidRPr="00B84B0C" w:rsidRDefault="00720F68" w:rsidP="00720F68">
            <w:pPr>
              <w:pStyle w:val="08-Tabelageral"/>
              <w:rPr>
                <w:rFonts w:cs="Arial"/>
                <w:b/>
                <w:szCs w:val="14"/>
              </w:rPr>
            </w:pPr>
            <w:r w:rsidRPr="00B84B0C">
              <w:rPr>
                <w:rFonts w:cs="Arial"/>
                <w:b/>
                <w:bCs/>
                <w:color w:val="000000"/>
                <w:szCs w:val="14"/>
              </w:rPr>
              <w:t>326</w:t>
            </w:r>
          </w:p>
        </w:tc>
        <w:tc>
          <w:tcPr>
            <w:tcW w:w="131" w:type="pct"/>
            <w:tcBorders>
              <w:top w:val="nil"/>
              <w:left w:val="nil"/>
              <w:bottom w:val="nil"/>
              <w:right w:val="nil"/>
            </w:tcBorders>
            <w:shd w:val="clear" w:color="auto" w:fill="D9E2F3" w:themeFill="accent5" w:themeFillTint="33"/>
            <w:noWrap/>
            <w:vAlign w:val="center"/>
          </w:tcPr>
          <w:p w14:paraId="0337DE16" w14:textId="77777777" w:rsidR="00720F68" w:rsidRPr="00B84B0C" w:rsidRDefault="00720F68" w:rsidP="00720F68">
            <w:pPr>
              <w:pStyle w:val="08-Tabelageral"/>
              <w:rPr>
                <w:rFonts w:cs="Arial"/>
                <w:szCs w:val="14"/>
              </w:rPr>
            </w:pPr>
          </w:p>
        </w:tc>
        <w:tc>
          <w:tcPr>
            <w:tcW w:w="419" w:type="pct"/>
            <w:tcBorders>
              <w:top w:val="nil"/>
              <w:left w:val="nil"/>
              <w:bottom w:val="nil"/>
              <w:right w:val="nil"/>
            </w:tcBorders>
            <w:shd w:val="clear" w:color="auto" w:fill="D9E2F3" w:themeFill="accent5" w:themeFillTint="33"/>
            <w:noWrap/>
          </w:tcPr>
          <w:p w14:paraId="114F91EA" w14:textId="77777777" w:rsidR="00720F68" w:rsidRPr="00B84B0C" w:rsidRDefault="00720F68" w:rsidP="00720F68">
            <w:pPr>
              <w:pStyle w:val="08-Tabelageral"/>
              <w:rPr>
                <w:rFonts w:cs="Arial"/>
                <w:color w:val="000000"/>
                <w:szCs w:val="14"/>
              </w:rPr>
            </w:pPr>
            <w:r w:rsidRPr="00B84B0C">
              <w:rPr>
                <w:rFonts w:cs="Arial"/>
              </w:rPr>
              <w:t xml:space="preserve"> 276 </w:t>
            </w:r>
          </w:p>
        </w:tc>
        <w:tc>
          <w:tcPr>
            <w:tcW w:w="408" w:type="pct"/>
            <w:tcBorders>
              <w:top w:val="nil"/>
              <w:left w:val="nil"/>
              <w:bottom w:val="nil"/>
              <w:right w:val="nil"/>
            </w:tcBorders>
            <w:shd w:val="clear" w:color="auto" w:fill="D9E2F3" w:themeFill="accent5" w:themeFillTint="33"/>
          </w:tcPr>
          <w:p w14:paraId="349D8006" w14:textId="77777777" w:rsidR="00720F68" w:rsidRPr="00B84B0C" w:rsidRDefault="00720F68" w:rsidP="00720F68">
            <w:pPr>
              <w:pStyle w:val="08-Tabelageral"/>
              <w:rPr>
                <w:rFonts w:cs="Arial"/>
              </w:rPr>
            </w:pPr>
            <w:r w:rsidRPr="00B84B0C">
              <w:rPr>
                <w:rFonts w:cs="Arial"/>
              </w:rPr>
              <w:t xml:space="preserve"> --   </w:t>
            </w:r>
          </w:p>
        </w:tc>
        <w:tc>
          <w:tcPr>
            <w:tcW w:w="293" w:type="pct"/>
            <w:tcBorders>
              <w:top w:val="nil"/>
              <w:left w:val="nil"/>
              <w:bottom w:val="nil"/>
              <w:right w:val="nil"/>
            </w:tcBorders>
            <w:shd w:val="clear" w:color="auto" w:fill="D9E2F3" w:themeFill="accent5" w:themeFillTint="33"/>
          </w:tcPr>
          <w:p w14:paraId="194531A3" w14:textId="77777777" w:rsidR="00720F68" w:rsidRPr="00B84B0C" w:rsidRDefault="00720F68" w:rsidP="00720F68">
            <w:pPr>
              <w:pStyle w:val="08-Tabelageral"/>
              <w:rPr>
                <w:rFonts w:cs="Arial"/>
                <w:color w:val="000000"/>
                <w:szCs w:val="14"/>
              </w:rPr>
            </w:pPr>
          </w:p>
        </w:tc>
        <w:tc>
          <w:tcPr>
            <w:tcW w:w="315" w:type="pct"/>
            <w:tcBorders>
              <w:top w:val="nil"/>
              <w:left w:val="nil"/>
              <w:bottom w:val="nil"/>
              <w:right w:val="nil"/>
            </w:tcBorders>
            <w:shd w:val="clear" w:color="auto" w:fill="D9E2F3" w:themeFill="accent5" w:themeFillTint="33"/>
            <w:noWrap/>
          </w:tcPr>
          <w:p w14:paraId="0E8DEA52" w14:textId="77777777" w:rsidR="00720F68" w:rsidRPr="00B84B0C" w:rsidRDefault="00720F68" w:rsidP="00720F68">
            <w:pPr>
              <w:pStyle w:val="08-Tabelageral"/>
              <w:rPr>
                <w:rFonts w:cs="Arial"/>
                <w:color w:val="000000"/>
                <w:szCs w:val="14"/>
              </w:rPr>
            </w:pPr>
            <w:r w:rsidRPr="00B84B0C">
              <w:rPr>
                <w:rFonts w:cs="Arial"/>
              </w:rPr>
              <w:t xml:space="preserve"> --   </w:t>
            </w:r>
          </w:p>
        </w:tc>
        <w:tc>
          <w:tcPr>
            <w:tcW w:w="435" w:type="pct"/>
            <w:tcBorders>
              <w:top w:val="nil"/>
              <w:left w:val="nil"/>
              <w:bottom w:val="nil"/>
              <w:right w:val="nil"/>
            </w:tcBorders>
            <w:shd w:val="clear" w:color="auto" w:fill="D9E2F3" w:themeFill="accent5" w:themeFillTint="33"/>
            <w:noWrap/>
          </w:tcPr>
          <w:p w14:paraId="756316CA" w14:textId="77777777" w:rsidR="00720F68" w:rsidRPr="00B84B0C" w:rsidRDefault="00720F68" w:rsidP="00720F68">
            <w:pPr>
              <w:pStyle w:val="08-Tabelageral"/>
              <w:rPr>
                <w:rFonts w:cs="Arial"/>
                <w:b/>
                <w:bCs/>
                <w:color w:val="000000"/>
                <w:szCs w:val="14"/>
              </w:rPr>
            </w:pPr>
            <w:r w:rsidRPr="00B84B0C">
              <w:rPr>
                <w:rFonts w:cs="Arial"/>
                <w:b/>
              </w:rPr>
              <w:t xml:space="preserve"> 276 </w:t>
            </w:r>
          </w:p>
        </w:tc>
      </w:tr>
      <w:tr w:rsidR="00720F68" w:rsidRPr="00B84B0C" w14:paraId="639C6337" w14:textId="77777777" w:rsidTr="00720F68">
        <w:trPr>
          <w:trHeight w:val="238"/>
        </w:trPr>
        <w:tc>
          <w:tcPr>
            <w:tcW w:w="943" w:type="pct"/>
            <w:tcBorders>
              <w:top w:val="nil"/>
              <w:left w:val="nil"/>
              <w:right w:val="nil"/>
            </w:tcBorders>
            <w:shd w:val="clear" w:color="auto" w:fill="auto"/>
            <w:noWrap/>
          </w:tcPr>
          <w:p w14:paraId="211E0EEF" w14:textId="77777777" w:rsidR="00720F68" w:rsidRPr="00B84B0C" w:rsidRDefault="00720F68" w:rsidP="00720F68">
            <w:pPr>
              <w:pStyle w:val="08-Tabelageral"/>
              <w:jc w:val="left"/>
              <w:rPr>
                <w:rFonts w:cs="Arial"/>
              </w:rPr>
            </w:pPr>
            <w:r w:rsidRPr="00B84B0C">
              <w:rPr>
                <w:rFonts w:cs="Arial"/>
              </w:rPr>
              <w:t>No Rating</w:t>
            </w:r>
          </w:p>
        </w:tc>
        <w:tc>
          <w:tcPr>
            <w:tcW w:w="438" w:type="pct"/>
            <w:tcBorders>
              <w:top w:val="nil"/>
              <w:left w:val="nil"/>
              <w:right w:val="nil"/>
            </w:tcBorders>
            <w:shd w:val="clear" w:color="auto" w:fill="auto"/>
            <w:noWrap/>
            <w:vAlign w:val="center"/>
          </w:tcPr>
          <w:p w14:paraId="192FB7AD" w14:textId="77777777" w:rsidR="00720F68" w:rsidRPr="00B84B0C" w:rsidRDefault="00720F68" w:rsidP="00720F68">
            <w:pPr>
              <w:pStyle w:val="08-Tabelageral"/>
              <w:rPr>
                <w:rFonts w:cs="Arial"/>
              </w:rPr>
            </w:pPr>
            <w:r w:rsidRPr="00B84B0C">
              <w:rPr>
                <w:rFonts w:cs="Arial"/>
                <w:color w:val="000000"/>
                <w:szCs w:val="14"/>
              </w:rPr>
              <w:t>1,811</w:t>
            </w:r>
          </w:p>
        </w:tc>
        <w:tc>
          <w:tcPr>
            <w:tcW w:w="413" w:type="pct"/>
            <w:tcBorders>
              <w:top w:val="nil"/>
              <w:left w:val="nil"/>
              <w:right w:val="nil"/>
            </w:tcBorders>
            <w:shd w:val="clear" w:color="auto" w:fill="auto"/>
            <w:noWrap/>
            <w:vAlign w:val="center"/>
          </w:tcPr>
          <w:p w14:paraId="56A61AF3" w14:textId="77777777" w:rsidR="00720F68" w:rsidRPr="00B84B0C" w:rsidRDefault="00720F68" w:rsidP="00720F68">
            <w:pPr>
              <w:pStyle w:val="08-Tabelageral"/>
              <w:rPr>
                <w:rFonts w:cs="Arial"/>
                <w:szCs w:val="14"/>
              </w:rPr>
            </w:pPr>
            <w:r w:rsidRPr="00B84B0C">
              <w:rPr>
                <w:rFonts w:cs="Arial"/>
                <w:color w:val="000000"/>
                <w:szCs w:val="14"/>
              </w:rPr>
              <w:t>1,484</w:t>
            </w:r>
          </w:p>
        </w:tc>
        <w:tc>
          <w:tcPr>
            <w:tcW w:w="353" w:type="pct"/>
            <w:tcBorders>
              <w:top w:val="nil"/>
              <w:left w:val="nil"/>
              <w:right w:val="nil"/>
            </w:tcBorders>
            <w:shd w:val="clear" w:color="auto" w:fill="auto"/>
            <w:noWrap/>
            <w:vAlign w:val="center"/>
          </w:tcPr>
          <w:p w14:paraId="3D64B179" w14:textId="77777777" w:rsidR="00720F68" w:rsidRPr="00B84B0C" w:rsidRDefault="00720F68" w:rsidP="00720F68">
            <w:pPr>
              <w:pStyle w:val="08-Tabelageral"/>
              <w:rPr>
                <w:rFonts w:cs="Arial"/>
                <w:b/>
              </w:rPr>
            </w:pPr>
            <w:r w:rsidRPr="00B84B0C">
              <w:rPr>
                <w:rFonts w:cs="Arial"/>
                <w:color w:val="000000"/>
                <w:szCs w:val="14"/>
              </w:rPr>
              <w:t>4,489</w:t>
            </w:r>
          </w:p>
        </w:tc>
        <w:tc>
          <w:tcPr>
            <w:tcW w:w="425" w:type="pct"/>
            <w:tcBorders>
              <w:top w:val="nil"/>
              <w:left w:val="nil"/>
              <w:right w:val="nil"/>
            </w:tcBorders>
          </w:tcPr>
          <w:p w14:paraId="5AF93696" w14:textId="77777777" w:rsidR="00720F68" w:rsidRPr="00B84B0C" w:rsidRDefault="00720F68" w:rsidP="00720F68">
            <w:pPr>
              <w:pStyle w:val="08-Tabelageral"/>
              <w:rPr>
                <w:rFonts w:cs="Arial"/>
                <w:szCs w:val="14"/>
              </w:rPr>
            </w:pPr>
            <w:r w:rsidRPr="00B84B0C">
              <w:rPr>
                <w:rFonts w:cs="Arial"/>
              </w:rPr>
              <w:t xml:space="preserve"> --   </w:t>
            </w:r>
          </w:p>
        </w:tc>
        <w:tc>
          <w:tcPr>
            <w:tcW w:w="427" w:type="pct"/>
            <w:tcBorders>
              <w:top w:val="nil"/>
              <w:left w:val="nil"/>
              <w:right w:val="nil"/>
            </w:tcBorders>
            <w:vAlign w:val="center"/>
          </w:tcPr>
          <w:p w14:paraId="25B00B36" w14:textId="77777777" w:rsidR="00720F68" w:rsidRPr="00B84B0C" w:rsidRDefault="00720F68" w:rsidP="00720F68">
            <w:pPr>
              <w:pStyle w:val="08-Tabelageral"/>
              <w:rPr>
                <w:rFonts w:cs="Arial"/>
                <w:b/>
                <w:szCs w:val="14"/>
              </w:rPr>
            </w:pPr>
            <w:r w:rsidRPr="00B84B0C">
              <w:rPr>
                <w:rFonts w:cs="Arial"/>
                <w:b/>
                <w:bCs/>
                <w:color w:val="000000"/>
                <w:szCs w:val="14"/>
              </w:rPr>
              <w:t>7,784</w:t>
            </w:r>
          </w:p>
        </w:tc>
        <w:tc>
          <w:tcPr>
            <w:tcW w:w="131" w:type="pct"/>
            <w:tcBorders>
              <w:top w:val="nil"/>
              <w:left w:val="nil"/>
              <w:right w:val="nil"/>
            </w:tcBorders>
            <w:shd w:val="clear" w:color="auto" w:fill="auto"/>
            <w:noWrap/>
            <w:vAlign w:val="center"/>
          </w:tcPr>
          <w:p w14:paraId="6DAACD9D" w14:textId="77777777" w:rsidR="00720F68" w:rsidRPr="00B84B0C" w:rsidRDefault="00720F68" w:rsidP="00720F68">
            <w:pPr>
              <w:pStyle w:val="08-Tabelageral"/>
              <w:rPr>
                <w:rFonts w:cs="Arial"/>
                <w:szCs w:val="14"/>
              </w:rPr>
            </w:pPr>
          </w:p>
        </w:tc>
        <w:tc>
          <w:tcPr>
            <w:tcW w:w="419" w:type="pct"/>
            <w:tcBorders>
              <w:top w:val="nil"/>
              <w:left w:val="nil"/>
              <w:right w:val="nil"/>
            </w:tcBorders>
            <w:shd w:val="clear" w:color="auto" w:fill="auto"/>
            <w:noWrap/>
          </w:tcPr>
          <w:p w14:paraId="4C9EE650" w14:textId="77777777" w:rsidR="00720F68" w:rsidRPr="00B84B0C" w:rsidRDefault="00720F68" w:rsidP="00720F68">
            <w:pPr>
              <w:pStyle w:val="08-Tabelageral"/>
              <w:rPr>
                <w:rFonts w:cs="Arial"/>
              </w:rPr>
            </w:pPr>
            <w:r w:rsidRPr="00B84B0C">
              <w:rPr>
                <w:rFonts w:cs="Arial"/>
              </w:rPr>
              <w:t xml:space="preserve"> 1,635 </w:t>
            </w:r>
          </w:p>
        </w:tc>
        <w:tc>
          <w:tcPr>
            <w:tcW w:w="408" w:type="pct"/>
            <w:tcBorders>
              <w:top w:val="nil"/>
              <w:left w:val="nil"/>
              <w:right w:val="nil"/>
            </w:tcBorders>
          </w:tcPr>
          <w:p w14:paraId="06F662A8" w14:textId="77777777" w:rsidR="00720F68" w:rsidRPr="00B84B0C" w:rsidRDefault="00720F68" w:rsidP="00720F68">
            <w:pPr>
              <w:pStyle w:val="08-Tabelageral"/>
              <w:rPr>
                <w:rFonts w:cs="Arial"/>
              </w:rPr>
            </w:pPr>
            <w:r w:rsidRPr="00B84B0C">
              <w:rPr>
                <w:rFonts w:cs="Arial"/>
              </w:rPr>
              <w:t xml:space="preserve"> 1,258 </w:t>
            </w:r>
          </w:p>
        </w:tc>
        <w:tc>
          <w:tcPr>
            <w:tcW w:w="293" w:type="pct"/>
            <w:tcBorders>
              <w:top w:val="nil"/>
              <w:left w:val="nil"/>
              <w:right w:val="nil"/>
            </w:tcBorders>
          </w:tcPr>
          <w:p w14:paraId="35338778" w14:textId="77777777" w:rsidR="00720F68" w:rsidRPr="00B84B0C" w:rsidRDefault="00720F68" w:rsidP="00720F68">
            <w:pPr>
              <w:pStyle w:val="08-Tabelageral"/>
              <w:rPr>
                <w:rFonts w:cs="Arial"/>
              </w:rPr>
            </w:pPr>
            <w:r w:rsidRPr="00B84B0C">
              <w:rPr>
                <w:rFonts w:cs="Arial"/>
              </w:rPr>
              <w:t xml:space="preserve"> 3,458 </w:t>
            </w:r>
          </w:p>
        </w:tc>
        <w:tc>
          <w:tcPr>
            <w:tcW w:w="315" w:type="pct"/>
            <w:tcBorders>
              <w:top w:val="nil"/>
              <w:left w:val="nil"/>
              <w:right w:val="nil"/>
            </w:tcBorders>
            <w:shd w:val="clear" w:color="auto" w:fill="auto"/>
            <w:noWrap/>
          </w:tcPr>
          <w:p w14:paraId="14E0E887" w14:textId="77777777" w:rsidR="00720F68" w:rsidRPr="00B84B0C" w:rsidRDefault="00720F68" w:rsidP="00720F68">
            <w:pPr>
              <w:pStyle w:val="08-Tabelageral"/>
              <w:rPr>
                <w:rFonts w:cs="Arial"/>
              </w:rPr>
            </w:pPr>
            <w:r w:rsidRPr="00B84B0C">
              <w:rPr>
                <w:rFonts w:cs="Arial"/>
              </w:rPr>
              <w:t xml:space="preserve"> --   </w:t>
            </w:r>
          </w:p>
        </w:tc>
        <w:tc>
          <w:tcPr>
            <w:tcW w:w="435" w:type="pct"/>
            <w:tcBorders>
              <w:top w:val="nil"/>
              <w:left w:val="nil"/>
              <w:right w:val="nil"/>
            </w:tcBorders>
            <w:shd w:val="clear" w:color="auto" w:fill="auto"/>
            <w:noWrap/>
          </w:tcPr>
          <w:p w14:paraId="13454608" w14:textId="77777777" w:rsidR="00720F68" w:rsidRPr="00B84B0C" w:rsidRDefault="00720F68" w:rsidP="00720F68">
            <w:pPr>
              <w:pStyle w:val="08-Tabelageral"/>
              <w:rPr>
                <w:rFonts w:cs="Arial"/>
                <w:b/>
              </w:rPr>
            </w:pPr>
            <w:r w:rsidRPr="00B84B0C">
              <w:rPr>
                <w:rFonts w:cs="Arial"/>
                <w:b/>
              </w:rPr>
              <w:t xml:space="preserve"> 6,351 </w:t>
            </w:r>
          </w:p>
        </w:tc>
      </w:tr>
      <w:tr w:rsidR="00720F68" w:rsidRPr="00B84B0C" w14:paraId="6ED78678" w14:textId="77777777" w:rsidTr="00720F68">
        <w:trPr>
          <w:trHeight w:val="238"/>
        </w:trPr>
        <w:tc>
          <w:tcPr>
            <w:tcW w:w="943" w:type="pct"/>
            <w:tcBorders>
              <w:left w:val="nil"/>
              <w:bottom w:val="single" w:sz="2" w:space="0" w:color="8EAADB" w:themeColor="accent5" w:themeTint="99"/>
              <w:right w:val="nil"/>
            </w:tcBorders>
            <w:shd w:val="clear" w:color="auto" w:fill="D9E2F3" w:themeFill="accent5" w:themeFillTint="33"/>
            <w:noWrap/>
            <w:vAlign w:val="center"/>
          </w:tcPr>
          <w:p w14:paraId="01972BAC" w14:textId="77777777" w:rsidR="00720F68" w:rsidRPr="00B84B0C" w:rsidRDefault="00720F68" w:rsidP="00720F68">
            <w:pPr>
              <w:pStyle w:val="08-Tabelageral"/>
              <w:jc w:val="left"/>
              <w:rPr>
                <w:rFonts w:cs="Arial"/>
                <w:b/>
              </w:rPr>
            </w:pPr>
            <w:r w:rsidRPr="00B84B0C">
              <w:rPr>
                <w:rFonts w:cs="Arial"/>
                <w:b/>
              </w:rPr>
              <w:t>Total</w:t>
            </w:r>
          </w:p>
        </w:tc>
        <w:tc>
          <w:tcPr>
            <w:tcW w:w="438" w:type="pct"/>
            <w:tcBorders>
              <w:left w:val="nil"/>
              <w:bottom w:val="single" w:sz="2" w:space="0" w:color="8EAADB" w:themeColor="accent5" w:themeTint="99"/>
              <w:right w:val="nil"/>
            </w:tcBorders>
            <w:shd w:val="clear" w:color="auto" w:fill="D9E2F3" w:themeFill="accent5" w:themeFillTint="33"/>
            <w:noWrap/>
            <w:vAlign w:val="center"/>
          </w:tcPr>
          <w:p w14:paraId="1F730E2C" w14:textId="77777777" w:rsidR="00720F68" w:rsidRPr="00B84B0C" w:rsidRDefault="00720F68" w:rsidP="00720F68">
            <w:pPr>
              <w:pStyle w:val="08-Tabelageral"/>
              <w:rPr>
                <w:rFonts w:cs="Arial"/>
                <w:b/>
              </w:rPr>
            </w:pPr>
            <w:r w:rsidRPr="00B84B0C">
              <w:rPr>
                <w:rFonts w:cs="Arial"/>
                <w:b/>
                <w:bCs/>
                <w:color w:val="000000"/>
                <w:szCs w:val="14"/>
              </w:rPr>
              <w:t>54,818</w:t>
            </w:r>
          </w:p>
        </w:tc>
        <w:tc>
          <w:tcPr>
            <w:tcW w:w="413" w:type="pct"/>
            <w:tcBorders>
              <w:left w:val="nil"/>
              <w:bottom w:val="single" w:sz="2" w:space="0" w:color="8EAADB" w:themeColor="accent5" w:themeTint="99"/>
              <w:right w:val="nil"/>
            </w:tcBorders>
            <w:shd w:val="clear" w:color="auto" w:fill="D9E2F3" w:themeFill="accent5" w:themeFillTint="33"/>
            <w:noWrap/>
            <w:vAlign w:val="center"/>
          </w:tcPr>
          <w:p w14:paraId="1BF379AA" w14:textId="77777777" w:rsidR="00720F68" w:rsidRPr="00B84B0C" w:rsidRDefault="00720F68" w:rsidP="00720F68">
            <w:pPr>
              <w:pStyle w:val="08-Tabelageral"/>
              <w:rPr>
                <w:rFonts w:cs="Arial"/>
                <w:b/>
              </w:rPr>
            </w:pPr>
            <w:r w:rsidRPr="00B84B0C">
              <w:rPr>
                <w:rFonts w:cs="Arial"/>
                <w:b/>
                <w:bCs/>
                <w:color w:val="000000"/>
                <w:szCs w:val="14"/>
              </w:rPr>
              <w:t>854,466</w:t>
            </w:r>
          </w:p>
        </w:tc>
        <w:tc>
          <w:tcPr>
            <w:tcW w:w="353" w:type="pct"/>
            <w:tcBorders>
              <w:left w:val="nil"/>
              <w:bottom w:val="single" w:sz="2" w:space="0" w:color="8EAADB" w:themeColor="accent5" w:themeTint="99"/>
              <w:right w:val="nil"/>
            </w:tcBorders>
            <w:shd w:val="clear" w:color="auto" w:fill="D9E2F3" w:themeFill="accent5" w:themeFillTint="33"/>
            <w:vAlign w:val="center"/>
          </w:tcPr>
          <w:p w14:paraId="668F3F44" w14:textId="77777777" w:rsidR="00720F68" w:rsidRPr="00B84B0C" w:rsidRDefault="00720F68" w:rsidP="00720F68">
            <w:pPr>
              <w:pStyle w:val="08-Tabelageral"/>
              <w:rPr>
                <w:rFonts w:cs="Arial"/>
                <w:b/>
                <w:bCs/>
                <w:szCs w:val="14"/>
              </w:rPr>
            </w:pPr>
            <w:r w:rsidRPr="00B84B0C">
              <w:rPr>
                <w:rFonts w:cs="Arial"/>
                <w:b/>
                <w:bCs/>
                <w:color w:val="000000"/>
                <w:szCs w:val="14"/>
              </w:rPr>
              <w:t>4,489</w:t>
            </w:r>
          </w:p>
        </w:tc>
        <w:tc>
          <w:tcPr>
            <w:tcW w:w="425" w:type="pct"/>
            <w:tcBorders>
              <w:left w:val="nil"/>
              <w:bottom w:val="single" w:sz="2" w:space="0" w:color="8EAADB" w:themeColor="accent5" w:themeTint="99"/>
              <w:right w:val="nil"/>
            </w:tcBorders>
            <w:shd w:val="clear" w:color="auto" w:fill="D9E2F3" w:themeFill="accent5" w:themeFillTint="33"/>
            <w:vAlign w:val="center"/>
          </w:tcPr>
          <w:p w14:paraId="207B075B" w14:textId="77777777" w:rsidR="00720F68" w:rsidRPr="00B84B0C" w:rsidRDefault="00720F68" w:rsidP="00720F68">
            <w:pPr>
              <w:pStyle w:val="08-Tabelageral"/>
              <w:rPr>
                <w:rFonts w:cs="Arial"/>
                <w:b/>
                <w:bCs/>
              </w:rPr>
            </w:pPr>
            <w:r w:rsidRPr="00B84B0C">
              <w:rPr>
                <w:rFonts w:cs="Arial"/>
                <w:b/>
                <w:bCs/>
                <w:color w:val="000000"/>
                <w:szCs w:val="14"/>
              </w:rPr>
              <w:t>5,860</w:t>
            </w:r>
          </w:p>
        </w:tc>
        <w:tc>
          <w:tcPr>
            <w:tcW w:w="427" w:type="pct"/>
            <w:tcBorders>
              <w:left w:val="nil"/>
              <w:bottom w:val="single" w:sz="2" w:space="0" w:color="8EAADB" w:themeColor="accent5" w:themeTint="99"/>
              <w:right w:val="nil"/>
            </w:tcBorders>
            <w:shd w:val="clear" w:color="auto" w:fill="D9E2F3" w:themeFill="accent5" w:themeFillTint="33"/>
            <w:vAlign w:val="center"/>
          </w:tcPr>
          <w:p w14:paraId="2AD60294" w14:textId="77777777" w:rsidR="00720F68" w:rsidRPr="00B84B0C" w:rsidRDefault="00720F68" w:rsidP="00720F68">
            <w:pPr>
              <w:pStyle w:val="08-Tabelageral"/>
              <w:rPr>
                <w:rFonts w:cs="Arial"/>
                <w:b/>
                <w:bCs/>
              </w:rPr>
            </w:pPr>
            <w:r w:rsidRPr="00B84B0C">
              <w:rPr>
                <w:rFonts w:cs="Arial"/>
                <w:b/>
                <w:bCs/>
                <w:color w:val="000000"/>
                <w:szCs w:val="14"/>
              </w:rPr>
              <w:t>919,633</w:t>
            </w:r>
          </w:p>
        </w:tc>
        <w:tc>
          <w:tcPr>
            <w:tcW w:w="131" w:type="pct"/>
            <w:tcBorders>
              <w:left w:val="nil"/>
              <w:bottom w:val="single" w:sz="2" w:space="0" w:color="8EAADB" w:themeColor="accent5" w:themeTint="99"/>
              <w:right w:val="nil"/>
            </w:tcBorders>
            <w:shd w:val="clear" w:color="auto" w:fill="D9E2F3" w:themeFill="accent5" w:themeFillTint="33"/>
            <w:vAlign w:val="center"/>
          </w:tcPr>
          <w:p w14:paraId="6F2DBD68" w14:textId="77777777" w:rsidR="00720F68" w:rsidRPr="00B84B0C" w:rsidRDefault="00720F68" w:rsidP="00720F68">
            <w:pPr>
              <w:pStyle w:val="08-Tabelageral"/>
              <w:rPr>
                <w:rFonts w:cs="Arial"/>
                <w:b/>
                <w:bCs/>
              </w:rPr>
            </w:pPr>
          </w:p>
        </w:tc>
        <w:tc>
          <w:tcPr>
            <w:tcW w:w="419" w:type="pct"/>
            <w:tcBorders>
              <w:left w:val="nil"/>
              <w:bottom w:val="single" w:sz="2" w:space="0" w:color="8EAADB" w:themeColor="accent5" w:themeTint="99"/>
              <w:right w:val="nil"/>
            </w:tcBorders>
            <w:shd w:val="clear" w:color="auto" w:fill="D9E2F3" w:themeFill="accent5" w:themeFillTint="33"/>
          </w:tcPr>
          <w:p w14:paraId="48C83039" w14:textId="77777777" w:rsidR="00720F68" w:rsidRPr="00B84B0C" w:rsidRDefault="00720F68" w:rsidP="00720F68">
            <w:pPr>
              <w:pStyle w:val="08-Tabelageral"/>
              <w:rPr>
                <w:rFonts w:cs="Arial"/>
                <w:b/>
                <w:bCs/>
                <w:szCs w:val="14"/>
              </w:rPr>
            </w:pPr>
            <w:r w:rsidRPr="00B84B0C">
              <w:rPr>
                <w:rFonts w:cs="Arial"/>
                <w:b/>
              </w:rPr>
              <w:t xml:space="preserve"> 49,860 </w:t>
            </w:r>
          </w:p>
        </w:tc>
        <w:tc>
          <w:tcPr>
            <w:tcW w:w="408" w:type="pct"/>
            <w:tcBorders>
              <w:left w:val="nil"/>
              <w:bottom w:val="single" w:sz="2" w:space="0" w:color="8EAADB" w:themeColor="accent5" w:themeTint="99"/>
              <w:right w:val="nil"/>
            </w:tcBorders>
            <w:shd w:val="clear" w:color="auto" w:fill="D9E2F3" w:themeFill="accent5" w:themeFillTint="33"/>
          </w:tcPr>
          <w:p w14:paraId="42EED4D9" w14:textId="77777777" w:rsidR="00720F68" w:rsidRPr="00B84B0C" w:rsidRDefault="00720F68" w:rsidP="00720F68">
            <w:pPr>
              <w:pStyle w:val="08-Tabelageral"/>
              <w:rPr>
                <w:rFonts w:cs="Arial"/>
                <w:b/>
              </w:rPr>
            </w:pPr>
            <w:r w:rsidRPr="00B84B0C">
              <w:rPr>
                <w:rFonts w:cs="Arial"/>
                <w:b/>
              </w:rPr>
              <w:t xml:space="preserve"> 641,672 </w:t>
            </w:r>
          </w:p>
        </w:tc>
        <w:tc>
          <w:tcPr>
            <w:tcW w:w="293" w:type="pct"/>
            <w:tcBorders>
              <w:left w:val="nil"/>
              <w:bottom w:val="single" w:sz="2" w:space="0" w:color="8EAADB" w:themeColor="accent5" w:themeTint="99"/>
              <w:right w:val="nil"/>
            </w:tcBorders>
            <w:shd w:val="clear" w:color="auto" w:fill="D9E2F3" w:themeFill="accent5" w:themeFillTint="33"/>
          </w:tcPr>
          <w:p w14:paraId="5F685003" w14:textId="77777777" w:rsidR="00720F68" w:rsidRPr="00B84B0C" w:rsidRDefault="00720F68" w:rsidP="00720F68">
            <w:pPr>
              <w:pStyle w:val="08-Tabelageral"/>
              <w:rPr>
                <w:rFonts w:cs="Arial"/>
                <w:b/>
                <w:bCs/>
                <w:szCs w:val="14"/>
              </w:rPr>
            </w:pPr>
            <w:r w:rsidRPr="00B84B0C">
              <w:rPr>
                <w:rFonts w:cs="Arial"/>
                <w:b/>
              </w:rPr>
              <w:t xml:space="preserve"> 3,458 </w:t>
            </w:r>
          </w:p>
        </w:tc>
        <w:tc>
          <w:tcPr>
            <w:tcW w:w="315" w:type="pct"/>
            <w:tcBorders>
              <w:left w:val="nil"/>
              <w:bottom w:val="single" w:sz="2" w:space="0" w:color="8EAADB" w:themeColor="accent5" w:themeTint="99"/>
              <w:right w:val="nil"/>
            </w:tcBorders>
            <w:shd w:val="clear" w:color="auto" w:fill="D9E2F3" w:themeFill="accent5" w:themeFillTint="33"/>
          </w:tcPr>
          <w:p w14:paraId="3FD2725C" w14:textId="77777777" w:rsidR="00720F68" w:rsidRPr="00B84B0C" w:rsidRDefault="00720F68" w:rsidP="00720F68">
            <w:pPr>
              <w:pStyle w:val="08-Tabelageral"/>
              <w:rPr>
                <w:rFonts w:cs="Arial"/>
                <w:b/>
                <w:bCs/>
                <w:szCs w:val="14"/>
              </w:rPr>
            </w:pPr>
            <w:r w:rsidRPr="00B84B0C">
              <w:rPr>
                <w:rFonts w:cs="Arial"/>
                <w:b/>
              </w:rPr>
              <w:t xml:space="preserve"> 5,411 </w:t>
            </w:r>
          </w:p>
        </w:tc>
        <w:tc>
          <w:tcPr>
            <w:tcW w:w="435" w:type="pct"/>
            <w:tcBorders>
              <w:left w:val="nil"/>
              <w:bottom w:val="single" w:sz="2" w:space="0" w:color="8EAADB" w:themeColor="accent5" w:themeTint="99"/>
              <w:right w:val="nil"/>
            </w:tcBorders>
            <w:shd w:val="clear" w:color="auto" w:fill="D9E2F3" w:themeFill="accent5" w:themeFillTint="33"/>
          </w:tcPr>
          <w:p w14:paraId="077A0326" w14:textId="77777777" w:rsidR="00720F68" w:rsidRPr="00B84B0C" w:rsidRDefault="00720F68" w:rsidP="00720F68">
            <w:pPr>
              <w:pStyle w:val="08-Tabelageral"/>
              <w:rPr>
                <w:rFonts w:cs="Arial"/>
                <w:b/>
                <w:bCs/>
                <w:szCs w:val="14"/>
              </w:rPr>
            </w:pPr>
            <w:r w:rsidRPr="00B84B0C">
              <w:rPr>
                <w:rFonts w:cs="Arial"/>
                <w:b/>
              </w:rPr>
              <w:t xml:space="preserve"> 700,401 </w:t>
            </w:r>
          </w:p>
        </w:tc>
      </w:tr>
    </w:tbl>
    <w:p w14:paraId="5D4E963D" w14:textId="77777777" w:rsidR="00720F68" w:rsidRPr="00B84B0C" w:rsidRDefault="00720F68" w:rsidP="00720F68">
      <w:pPr>
        <w:pStyle w:val="07-Legenda1"/>
        <w:numPr>
          <w:ilvl w:val="0"/>
          <w:numId w:val="12"/>
        </w:numPr>
        <w:tabs>
          <w:tab w:val="clear" w:pos="284"/>
        </w:tabs>
        <w:ind w:hanging="720"/>
        <w:rPr>
          <w:rFonts w:ascii="Arial" w:hAnsi="Arial" w:cs="Arial"/>
          <w:szCs w:val="14"/>
          <w:lang w:val="en-US"/>
        </w:rPr>
      </w:pPr>
      <w:r w:rsidRPr="00B84B0C">
        <w:rPr>
          <w:rFonts w:ascii="Arial" w:hAnsi="Arial" w:cs="Arial"/>
          <w:szCs w:val="14"/>
          <w:lang w:val="en-US"/>
        </w:rPr>
        <w:t>Standard &amp; Poor's was used as the basis for conversion of ratings from other agencies, all presented as national scale ratings.</w:t>
      </w:r>
    </w:p>
    <w:p w14:paraId="2AE68AB0" w14:textId="77777777" w:rsidR="00720F68" w:rsidRPr="00B84B0C" w:rsidRDefault="00720F68" w:rsidP="00720F68">
      <w:pPr>
        <w:pStyle w:val="07-Legenda1"/>
        <w:numPr>
          <w:ilvl w:val="0"/>
          <w:numId w:val="12"/>
        </w:numPr>
        <w:tabs>
          <w:tab w:val="clear" w:pos="284"/>
        </w:tabs>
        <w:ind w:hanging="720"/>
        <w:rPr>
          <w:rFonts w:ascii="Arial" w:hAnsi="Arial" w:cs="Arial"/>
          <w:szCs w:val="14"/>
          <w:lang w:val="en-US"/>
        </w:rPr>
      </w:pPr>
      <w:r w:rsidRPr="00B84B0C">
        <w:rPr>
          <w:rFonts w:ascii="Arial" w:hAnsi="Arial" w:cs="Arial"/>
          <w:szCs w:val="14"/>
          <w:lang w:val="en-US"/>
        </w:rPr>
        <w:t>Receivables Investment Funds (FIDC).</w:t>
      </w:r>
    </w:p>
    <w:p w14:paraId="69634452" w14:textId="77777777" w:rsidR="00720F68" w:rsidRPr="00B84B0C" w:rsidRDefault="00720F68" w:rsidP="00720F68">
      <w:pPr>
        <w:pStyle w:val="07-Legenda1"/>
        <w:numPr>
          <w:ilvl w:val="0"/>
          <w:numId w:val="12"/>
        </w:numPr>
        <w:tabs>
          <w:tab w:val="clear" w:pos="284"/>
        </w:tabs>
        <w:ind w:hanging="720"/>
        <w:rPr>
          <w:rFonts w:ascii="Arial" w:hAnsi="Arial" w:cs="Arial"/>
          <w:szCs w:val="14"/>
          <w:lang w:val="en-US"/>
        </w:rPr>
      </w:pPr>
      <w:r w:rsidRPr="00B84B0C">
        <w:rPr>
          <w:rFonts w:ascii="Arial" w:hAnsi="Arial" w:cs="Arial"/>
          <w:szCs w:val="14"/>
          <w:lang w:val="en-US"/>
        </w:rPr>
        <w:t>Includes Guaranteed Time-Deposit assets (DPGE), mortgage bills, time-deposits (CDB) and Commercial Papers.</w:t>
      </w:r>
    </w:p>
    <w:p w14:paraId="2040FB72" w14:textId="77777777" w:rsidR="00720F68" w:rsidRPr="00B84B0C" w:rsidRDefault="00720F68" w:rsidP="00720F68">
      <w:pPr>
        <w:pStyle w:val="07-Legenda1"/>
        <w:numPr>
          <w:ilvl w:val="0"/>
          <w:numId w:val="12"/>
        </w:numPr>
        <w:tabs>
          <w:tab w:val="clear" w:pos="284"/>
        </w:tabs>
        <w:ind w:hanging="720"/>
        <w:rPr>
          <w:rFonts w:ascii="Arial" w:hAnsi="Arial" w:cs="Arial"/>
          <w:szCs w:val="14"/>
          <w:lang w:val="en-US"/>
        </w:rPr>
      </w:pPr>
      <w:r w:rsidRPr="00B84B0C">
        <w:rPr>
          <w:rFonts w:ascii="Arial" w:hAnsi="Arial" w:cs="Arial"/>
          <w:szCs w:val="14"/>
          <w:lang w:val="en-US"/>
        </w:rPr>
        <w:t>Does not include part of the amount invested in debentures issued by Oi Sa, present in mutual funds, because this amount is provisioned by the fund due to the court-ordered reorganization of this company. The amount of this provision is R$475 thousand on March 31, 2020 (R$402 thousand on Dec 31, 2019).</w:t>
      </w:r>
    </w:p>
    <w:p w14:paraId="77FB0F57" w14:textId="77777777" w:rsidR="00720F68" w:rsidRPr="00B84B0C" w:rsidRDefault="00720F68" w:rsidP="00720F68">
      <w:pPr>
        <w:pStyle w:val="07-Legenda1"/>
        <w:tabs>
          <w:tab w:val="clear" w:pos="284"/>
        </w:tabs>
        <w:ind w:left="0" w:firstLine="0"/>
        <w:rPr>
          <w:rFonts w:ascii="Arial" w:hAnsi="Arial" w:cs="Arial"/>
          <w:szCs w:val="14"/>
          <w:lang w:val="en-US"/>
        </w:rPr>
      </w:pPr>
    </w:p>
    <w:p w14:paraId="75886F05" w14:textId="77777777" w:rsidR="00720F68" w:rsidRPr="00B84B0C" w:rsidRDefault="00720F68" w:rsidP="00720F68">
      <w:pPr>
        <w:pStyle w:val="01-TtulodeNota"/>
        <w:jc w:val="left"/>
        <w:rPr>
          <w:rFonts w:cs="Arial"/>
          <w:color w:val="1F4E79" w:themeColor="accent1" w:themeShade="80"/>
          <w:lang w:val="en-US"/>
        </w:rPr>
      </w:pPr>
      <w:r w:rsidRPr="00B84B0C">
        <w:rPr>
          <w:rFonts w:cs="Arial"/>
          <w:color w:val="1F4E79" w:themeColor="accent1" w:themeShade="80"/>
          <w:lang w:val="en-US"/>
        </w:rPr>
        <w:t>a.4) Liquidity Risk and capital management</w:t>
      </w:r>
    </w:p>
    <w:p w14:paraId="0E17FABF" w14:textId="77777777" w:rsidR="00720F68" w:rsidRPr="00B84B0C" w:rsidRDefault="00720F68" w:rsidP="00720F68">
      <w:pPr>
        <w:pStyle w:val="05-Textonormal"/>
        <w:rPr>
          <w:rFonts w:cs="Arial"/>
          <w:lang w:val="en-US"/>
        </w:rPr>
      </w:pPr>
      <w:r w:rsidRPr="00B84B0C">
        <w:rPr>
          <w:rFonts w:cs="Arial"/>
          <w:lang w:val="en-US"/>
        </w:rPr>
        <w:t>The liquidity risk is defined by the Group as the possibility of negative impacts due to lack of resources to pay financial commitments at maturity.</w:t>
      </w:r>
    </w:p>
    <w:p w14:paraId="48FB2277" w14:textId="77777777" w:rsidR="00720F68" w:rsidRPr="00B84B0C" w:rsidRDefault="00720F68" w:rsidP="00720F68">
      <w:pPr>
        <w:pStyle w:val="05-Textonormal"/>
        <w:rPr>
          <w:rFonts w:cs="Arial"/>
          <w:lang w:val="en-US"/>
        </w:rPr>
      </w:pPr>
      <w:r w:rsidRPr="00B84B0C">
        <w:rPr>
          <w:rFonts w:cs="Arial"/>
          <w:lang w:val="en-US"/>
        </w:rPr>
        <w:t xml:space="preserve">BB </w:t>
      </w:r>
      <w:proofErr w:type="spellStart"/>
      <w:r w:rsidRPr="00B84B0C">
        <w:rPr>
          <w:rFonts w:cs="Arial"/>
          <w:lang w:val="en-US"/>
        </w:rPr>
        <w:t>Seguridade</w:t>
      </w:r>
      <w:proofErr w:type="spellEnd"/>
      <w:r w:rsidRPr="00B84B0C">
        <w:rPr>
          <w:rFonts w:cs="Arial"/>
          <w:lang w:val="en-US"/>
        </w:rPr>
        <w:t xml:space="preserve"> and its subsidiaries maintain assets with a high degree of conversion in cash to cover liabilities and other expected a</w:t>
      </w:r>
    </w:p>
    <w:p w14:paraId="65660818" w14:textId="77777777" w:rsidR="00720F68" w:rsidRPr="00B84B0C" w:rsidRDefault="00720F68" w:rsidP="00720F68">
      <w:pPr>
        <w:pStyle w:val="05-Textonormal"/>
        <w:rPr>
          <w:rFonts w:cs="Arial"/>
          <w:lang w:val="en-US"/>
        </w:rPr>
      </w:pPr>
      <w:proofErr w:type="spellStart"/>
      <w:r w:rsidRPr="00B84B0C">
        <w:rPr>
          <w:rFonts w:cs="Arial"/>
          <w:lang w:val="en-US"/>
        </w:rPr>
        <w:t>llocations</w:t>
      </w:r>
      <w:proofErr w:type="spellEnd"/>
      <w:r w:rsidRPr="00B84B0C">
        <w:rPr>
          <w:rFonts w:cs="Arial"/>
          <w:lang w:val="en-US"/>
        </w:rPr>
        <w:t xml:space="preserve"> to short term. The parameters used are defined in the Financial Investment Policy, Capital Management </w:t>
      </w:r>
      <w:proofErr w:type="gramStart"/>
      <w:r w:rsidRPr="00B84B0C">
        <w:rPr>
          <w:rFonts w:cs="Arial"/>
          <w:lang w:val="en-US"/>
        </w:rPr>
        <w:t>Policy</w:t>
      </w:r>
      <w:proofErr w:type="gramEnd"/>
      <w:r w:rsidRPr="00B84B0C">
        <w:rPr>
          <w:rFonts w:cs="Arial"/>
          <w:lang w:val="en-US"/>
        </w:rPr>
        <w:t xml:space="preserve"> and the Capital Plan. </w:t>
      </w:r>
    </w:p>
    <w:p w14:paraId="16516AE5" w14:textId="77777777" w:rsidR="00720F68" w:rsidRPr="00B84B0C" w:rsidRDefault="00720F68" w:rsidP="00720F68">
      <w:pPr>
        <w:pStyle w:val="05-Textonormal"/>
        <w:rPr>
          <w:rFonts w:cs="Arial"/>
          <w:lang w:val="en-US"/>
        </w:rPr>
      </w:pPr>
      <w:r w:rsidRPr="00B84B0C">
        <w:rPr>
          <w:rFonts w:cs="Arial"/>
          <w:lang w:val="en-US"/>
        </w:rPr>
        <w:t>The Capital Plan, prepared for a minimum three-year horizon, presents the projected financial flows from the operational activity, such as compensation from commissions, equity interests, expenses inherent to the Group's activities and those resulting from strategic movements, such as allocation of funds to equity interests, strategic investments, divestitures and disposals and considers the maintenance of a liquidity margin in order to keep the financial balance in case of unpredictable events.</w:t>
      </w:r>
    </w:p>
    <w:p w14:paraId="4C7E956D" w14:textId="77777777" w:rsidR="00720F68" w:rsidRPr="00B84B0C" w:rsidRDefault="00720F68" w:rsidP="00720F68">
      <w:pPr>
        <w:pStyle w:val="05-Textonormal"/>
        <w:keepNext/>
        <w:keepLines/>
        <w:pageBreakBefore/>
        <w:rPr>
          <w:rFonts w:cs="Arial"/>
          <w:lang w:val="en-US" w:eastAsia="en-US"/>
        </w:rPr>
      </w:pPr>
      <w:r w:rsidRPr="00B84B0C">
        <w:rPr>
          <w:rFonts w:cs="Arial"/>
          <w:lang w:val="en-US"/>
        </w:rPr>
        <w:lastRenderedPageBreak/>
        <w:t>The Company and its subsidiaries’ main liabilities refer to administrative costs, payment of taxes and dividends, as presented below</w:t>
      </w:r>
      <w:r w:rsidRPr="00B84B0C">
        <w:rPr>
          <w:rFonts w:cs="Arial"/>
          <w:lang w:val="en-US" w:eastAsia="en-US"/>
        </w:rPr>
        <w:t>.</w:t>
      </w:r>
    </w:p>
    <w:p w14:paraId="2F376651" w14:textId="77777777" w:rsidR="00720F68" w:rsidRPr="00B84B0C" w:rsidRDefault="00720F68" w:rsidP="00720F68">
      <w:pPr>
        <w:pStyle w:val="06-Rmil"/>
        <w:rPr>
          <w:rFonts w:cs="Arial"/>
          <w:lang w:val="en-US"/>
        </w:rPr>
      </w:pPr>
      <w:r w:rsidRPr="00B84B0C">
        <w:rPr>
          <w:rFonts w:cs="Arial"/>
          <w:lang w:val="en-US"/>
        </w:rPr>
        <w:t>R$ thousand</w:t>
      </w:r>
    </w:p>
    <w:tbl>
      <w:tblPr>
        <w:tblStyle w:val="TabeladeLista6Colorida-nfase53"/>
        <w:tblW w:w="0" w:type="auto"/>
        <w:tblInd w:w="108" w:type="dxa"/>
        <w:tblLayout w:type="fixed"/>
        <w:tblLook w:val="04A0" w:firstRow="1" w:lastRow="0" w:firstColumn="1" w:lastColumn="0" w:noHBand="0" w:noVBand="1"/>
      </w:tblPr>
      <w:tblGrid>
        <w:gridCol w:w="1965"/>
        <w:gridCol w:w="1188"/>
        <w:gridCol w:w="708"/>
        <w:gridCol w:w="1134"/>
        <w:gridCol w:w="1418"/>
        <w:gridCol w:w="283"/>
        <w:gridCol w:w="1418"/>
        <w:gridCol w:w="1525"/>
      </w:tblGrid>
      <w:tr w:rsidR="00720F68" w:rsidRPr="00B84B0C" w14:paraId="4874C912" w14:textId="77777777" w:rsidTr="00711D9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965" w:type="dxa"/>
            <w:tcBorders>
              <w:top w:val="single" w:sz="2" w:space="0" w:color="8EAADB" w:themeColor="accent5" w:themeTint="99"/>
              <w:bottom w:val="nil"/>
            </w:tcBorders>
            <w:shd w:val="clear" w:color="auto" w:fill="D9E2F3" w:themeFill="accent5" w:themeFillTint="33"/>
          </w:tcPr>
          <w:p w14:paraId="7B5D0498" w14:textId="77777777" w:rsidR="00720F68" w:rsidRPr="00B84B0C" w:rsidRDefault="00720F68" w:rsidP="00720F68">
            <w:pPr>
              <w:jc w:val="center"/>
              <w:rPr>
                <w:rFonts w:cs="Arial"/>
                <w:sz w:val="14"/>
                <w:szCs w:val="18"/>
                <w:lang w:val="en-US"/>
              </w:rPr>
            </w:pPr>
          </w:p>
        </w:tc>
        <w:tc>
          <w:tcPr>
            <w:tcW w:w="7674" w:type="dxa"/>
            <w:gridSpan w:val="7"/>
            <w:tcBorders>
              <w:top w:val="single" w:sz="2" w:space="0" w:color="8EAADB" w:themeColor="accent5" w:themeTint="99"/>
              <w:bottom w:val="nil"/>
            </w:tcBorders>
            <w:shd w:val="clear" w:color="auto" w:fill="D9E2F3" w:themeFill="accent5" w:themeFillTint="33"/>
            <w:vAlign w:val="center"/>
          </w:tcPr>
          <w:p w14:paraId="3A862CE3"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lang w:val="en-US"/>
              </w:rPr>
            </w:pPr>
            <w:r w:rsidRPr="00B84B0C">
              <w:rPr>
                <w:rFonts w:cs="Arial"/>
                <w:sz w:val="14"/>
                <w:szCs w:val="18"/>
                <w:lang w:val="en-US"/>
              </w:rPr>
              <w:t>Parent</w:t>
            </w:r>
          </w:p>
        </w:tc>
      </w:tr>
      <w:tr w:rsidR="00720F68" w:rsidRPr="00B84B0C" w14:paraId="2E7D1657" w14:textId="77777777" w:rsidTr="00711D9A">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153" w:type="dxa"/>
            <w:gridSpan w:val="2"/>
            <w:vMerge w:val="restart"/>
            <w:tcBorders>
              <w:top w:val="single" w:sz="2" w:space="0" w:color="8EAADB" w:themeColor="accent5" w:themeTint="99"/>
            </w:tcBorders>
            <w:vAlign w:val="center"/>
          </w:tcPr>
          <w:p w14:paraId="435291C1" w14:textId="77777777" w:rsidR="00720F68" w:rsidRPr="00B84B0C" w:rsidRDefault="00720F68" w:rsidP="00720F68">
            <w:pPr>
              <w:rPr>
                <w:rFonts w:cs="Arial"/>
                <w:sz w:val="14"/>
                <w:szCs w:val="14"/>
                <w:lang w:val="en-US"/>
              </w:rPr>
            </w:pPr>
            <w:r w:rsidRPr="00B84B0C">
              <w:rPr>
                <w:rFonts w:cs="Arial"/>
                <w:sz w:val="14"/>
                <w:szCs w:val="14"/>
                <w:lang w:val="en-US"/>
              </w:rPr>
              <w:t>Liquidity Risk</w:t>
            </w:r>
          </w:p>
        </w:tc>
        <w:tc>
          <w:tcPr>
            <w:tcW w:w="708" w:type="dxa"/>
            <w:tcBorders>
              <w:top w:val="single" w:sz="2" w:space="0" w:color="8EAADB" w:themeColor="accent5" w:themeTint="99"/>
            </w:tcBorders>
          </w:tcPr>
          <w:p w14:paraId="51AE6743"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8"/>
                <w:lang w:val="en-US"/>
              </w:rPr>
            </w:pPr>
          </w:p>
        </w:tc>
        <w:tc>
          <w:tcPr>
            <w:tcW w:w="2552" w:type="dxa"/>
            <w:gridSpan w:val="2"/>
            <w:tcBorders>
              <w:top w:val="single" w:sz="2" w:space="0" w:color="8EAADB" w:themeColor="accent5" w:themeTint="99"/>
              <w:bottom w:val="single" w:sz="2" w:space="0" w:color="8EAADB" w:themeColor="accent5" w:themeTint="99"/>
            </w:tcBorders>
            <w:vAlign w:val="center"/>
          </w:tcPr>
          <w:p w14:paraId="2ABC607D"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8"/>
                <w:lang w:val="en-US"/>
              </w:rPr>
            </w:pPr>
            <w:r w:rsidRPr="00B84B0C">
              <w:rPr>
                <w:rFonts w:cs="Arial"/>
                <w:b/>
                <w:sz w:val="14"/>
                <w:szCs w:val="18"/>
                <w:lang w:val="en-US"/>
              </w:rPr>
              <w:t>Mar 31, 2020</w:t>
            </w:r>
          </w:p>
        </w:tc>
        <w:tc>
          <w:tcPr>
            <w:tcW w:w="283" w:type="dxa"/>
            <w:tcBorders>
              <w:top w:val="single" w:sz="2" w:space="0" w:color="8EAADB" w:themeColor="accent5" w:themeTint="99"/>
              <w:bottom w:val="nil"/>
            </w:tcBorders>
          </w:tcPr>
          <w:p w14:paraId="17CE6B83"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Cs w:val="18"/>
                <w:lang w:val="en-US"/>
              </w:rPr>
            </w:pPr>
          </w:p>
        </w:tc>
        <w:tc>
          <w:tcPr>
            <w:tcW w:w="2943" w:type="dxa"/>
            <w:gridSpan w:val="2"/>
            <w:tcBorders>
              <w:top w:val="single" w:sz="2" w:space="0" w:color="8EAADB" w:themeColor="accent5" w:themeTint="99"/>
              <w:bottom w:val="single" w:sz="2" w:space="0" w:color="8EAADB" w:themeColor="accent5" w:themeTint="99"/>
            </w:tcBorders>
            <w:vAlign w:val="center"/>
          </w:tcPr>
          <w:p w14:paraId="64FF3ABB"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8"/>
                <w:lang w:val="en-US"/>
              </w:rPr>
            </w:pPr>
            <w:r w:rsidRPr="00B84B0C">
              <w:rPr>
                <w:rFonts w:cs="Arial"/>
                <w:b/>
                <w:sz w:val="14"/>
                <w:szCs w:val="18"/>
                <w:lang w:val="en-US"/>
              </w:rPr>
              <w:t>Dec 31, 2019</w:t>
            </w:r>
          </w:p>
        </w:tc>
      </w:tr>
      <w:tr w:rsidR="00720F68" w:rsidRPr="00B84B0C" w14:paraId="6C4EC858"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vMerge/>
            <w:tcBorders>
              <w:bottom w:val="single" w:sz="2" w:space="0" w:color="8EAADB" w:themeColor="accent5" w:themeTint="99"/>
            </w:tcBorders>
            <w:shd w:val="clear" w:color="auto" w:fill="D9E2F3" w:themeFill="accent5" w:themeFillTint="33"/>
          </w:tcPr>
          <w:p w14:paraId="0FCECB7E" w14:textId="77777777" w:rsidR="00720F68" w:rsidRPr="00B84B0C" w:rsidRDefault="00720F68" w:rsidP="00720F68">
            <w:pPr>
              <w:pStyle w:val="08-Tabelageral"/>
              <w:jc w:val="left"/>
              <w:rPr>
                <w:rFonts w:cs="Arial"/>
                <w:b w:val="0"/>
                <w:lang w:val="en-US"/>
              </w:rPr>
            </w:pPr>
          </w:p>
        </w:tc>
        <w:tc>
          <w:tcPr>
            <w:tcW w:w="708" w:type="dxa"/>
            <w:tcBorders>
              <w:bottom w:val="single" w:sz="2" w:space="0" w:color="8EAADB" w:themeColor="accent5" w:themeTint="99"/>
            </w:tcBorders>
            <w:shd w:val="clear" w:color="auto" w:fill="D9E2F3" w:themeFill="accent5" w:themeFillTint="33"/>
            <w:vAlign w:val="center"/>
          </w:tcPr>
          <w:p w14:paraId="0B6169FB"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Note</w:t>
            </w:r>
          </w:p>
        </w:tc>
        <w:tc>
          <w:tcPr>
            <w:tcW w:w="1134"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32B876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 xml:space="preserve">Up to 1 year </w:t>
            </w:r>
          </w:p>
        </w:tc>
        <w:tc>
          <w:tcPr>
            <w:tcW w:w="1418"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7F6E76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b/>
                <w:lang w:val="en-US"/>
              </w:rPr>
              <w:t>More than 1 year</w:t>
            </w:r>
          </w:p>
          <w:p w14:paraId="4618BBA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w:t>
            </w:r>
          </w:p>
          <w:p w14:paraId="3DE3CFF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p w14:paraId="67ADBF1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3.472.955</w:t>
            </w:r>
          </w:p>
          <w:p w14:paraId="0F89EF4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(11.856)</w:t>
            </w:r>
          </w:p>
          <w:p w14:paraId="39ADBA5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(11.615)</w:t>
            </w:r>
          </w:p>
          <w:p w14:paraId="58D3120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(4.419)</w:t>
            </w:r>
          </w:p>
          <w:p w14:paraId="346819C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(8.200)</w:t>
            </w:r>
          </w:p>
          <w:p w14:paraId="18B26CD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12.378</w:t>
            </w:r>
          </w:p>
          <w:p w14:paraId="10075E9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p w14:paraId="05C557F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113.161</w:t>
            </w:r>
          </w:p>
          <w:p w14:paraId="7ECCA20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150.380</w:t>
            </w:r>
          </w:p>
          <w:p w14:paraId="0B6FE33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(37.219)</w:t>
            </w:r>
          </w:p>
          <w:p w14:paraId="5E6BBF1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3.574.260</w:t>
            </w:r>
          </w:p>
          <w:p w14:paraId="668FC67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(34.707)</w:t>
            </w:r>
          </w:p>
          <w:p w14:paraId="34BD20D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3.539.553</w:t>
            </w:r>
          </w:p>
          <w:p w14:paraId="56A1A3A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2.000.000.000</w:t>
            </w:r>
          </w:p>
          <w:p w14:paraId="120F5B4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1.996.597.417</w:t>
            </w:r>
          </w:p>
          <w:p w14:paraId="722DECC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lang w:val="en-US"/>
              </w:rPr>
              <w:t>1,77</w:t>
            </w:r>
          </w:p>
        </w:tc>
        <w:tc>
          <w:tcPr>
            <w:tcW w:w="283" w:type="dxa"/>
            <w:tcBorders>
              <w:top w:val="nil"/>
              <w:bottom w:val="single" w:sz="2" w:space="0" w:color="8EAADB" w:themeColor="accent5" w:themeTint="99"/>
            </w:tcBorders>
            <w:shd w:val="clear" w:color="auto" w:fill="D9E2F3" w:themeFill="accent5" w:themeFillTint="33"/>
            <w:vAlign w:val="center"/>
          </w:tcPr>
          <w:p w14:paraId="66E0EE9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1418"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E2E43D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 xml:space="preserve">Up to 1 year </w:t>
            </w:r>
          </w:p>
        </w:tc>
        <w:tc>
          <w:tcPr>
            <w:tcW w:w="1525"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FEE5EC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b/>
                <w:lang w:val="en-US"/>
              </w:rPr>
              <w:t>More than 1 year</w:t>
            </w:r>
          </w:p>
          <w:p w14:paraId="66B7154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w:t>
            </w:r>
          </w:p>
          <w:p w14:paraId="18B7C02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p w14:paraId="5C53419A"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3.472.955</w:t>
            </w:r>
          </w:p>
          <w:p w14:paraId="01089BF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(11.856)</w:t>
            </w:r>
          </w:p>
          <w:p w14:paraId="4253551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(11.615)</w:t>
            </w:r>
          </w:p>
          <w:p w14:paraId="11F3A2A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(4.419)</w:t>
            </w:r>
          </w:p>
          <w:p w14:paraId="4AB3C36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(8.200)</w:t>
            </w:r>
          </w:p>
          <w:p w14:paraId="6D5CEF8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12.378</w:t>
            </w:r>
          </w:p>
          <w:p w14:paraId="215D2FE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p w14:paraId="0F04B84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113.161</w:t>
            </w:r>
          </w:p>
          <w:p w14:paraId="431DFDB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150.380</w:t>
            </w:r>
          </w:p>
          <w:p w14:paraId="709C313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(37.219)</w:t>
            </w:r>
          </w:p>
          <w:p w14:paraId="3319315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3.574.260</w:t>
            </w:r>
          </w:p>
          <w:p w14:paraId="6885F9E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(34.707)</w:t>
            </w:r>
          </w:p>
          <w:p w14:paraId="76D1921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3.539.553</w:t>
            </w:r>
          </w:p>
          <w:p w14:paraId="60DFA2B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2.000.000.000</w:t>
            </w:r>
          </w:p>
          <w:p w14:paraId="7E728FF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1.996.597.417</w:t>
            </w:r>
          </w:p>
          <w:p w14:paraId="0C09BAC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lang w:val="en-US"/>
              </w:rPr>
              <w:t>1,77</w:t>
            </w:r>
          </w:p>
        </w:tc>
      </w:tr>
      <w:tr w:rsidR="00720F68" w:rsidRPr="00B84B0C" w14:paraId="7BD5EDED"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2568BB53" w14:textId="77777777" w:rsidR="00720F68" w:rsidRPr="00B84B0C" w:rsidRDefault="00720F68" w:rsidP="00720F68">
            <w:pPr>
              <w:pStyle w:val="08-Tabelageral"/>
              <w:jc w:val="left"/>
              <w:rPr>
                <w:rFonts w:cs="Arial"/>
                <w:lang w:val="en-US"/>
              </w:rPr>
            </w:pPr>
            <w:r w:rsidRPr="00B84B0C">
              <w:rPr>
                <w:rFonts w:cs="Arial"/>
                <w:lang w:val="en-US"/>
              </w:rPr>
              <w:t>ASSETS</w:t>
            </w:r>
          </w:p>
        </w:tc>
        <w:tc>
          <w:tcPr>
            <w:tcW w:w="708" w:type="dxa"/>
            <w:tcBorders>
              <w:top w:val="single" w:sz="2" w:space="0" w:color="8EAADB" w:themeColor="accent5" w:themeTint="99"/>
              <w:bottom w:val="nil"/>
            </w:tcBorders>
            <w:shd w:val="clear" w:color="auto" w:fill="FFFFFF" w:themeFill="background1"/>
            <w:vAlign w:val="center"/>
          </w:tcPr>
          <w:p w14:paraId="3DE73399" w14:textId="77777777" w:rsidR="00720F68" w:rsidRPr="00B84B0C" w:rsidRDefault="00720F68" w:rsidP="00720F68">
            <w:pPr>
              <w:pStyle w:val="07-Legenda"/>
              <w:jc w:val="center"/>
              <w:cnfStyle w:val="000000100000" w:firstRow="0" w:lastRow="0" w:firstColumn="0" w:lastColumn="0" w:oddVBand="0" w:evenVBand="0" w:oddHBand="1" w:evenHBand="0" w:firstRowFirstColumn="0" w:firstRowLastColumn="0" w:lastRowFirstColumn="0" w:lastRowLastColumn="0"/>
              <w:rPr>
                <w:rFonts w:cs="Arial"/>
                <w:lang w:val="en-US"/>
              </w:rPr>
            </w:pPr>
          </w:p>
        </w:tc>
        <w:tc>
          <w:tcPr>
            <w:tcW w:w="1134" w:type="dxa"/>
            <w:tcBorders>
              <w:top w:val="single" w:sz="2" w:space="0" w:color="8EAADB" w:themeColor="accent5" w:themeTint="99"/>
              <w:bottom w:val="nil"/>
            </w:tcBorders>
            <w:shd w:val="clear" w:color="auto" w:fill="FFFFFF" w:themeFill="background1"/>
            <w:vAlign w:val="center"/>
          </w:tcPr>
          <w:p w14:paraId="69B34341"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c>
          <w:tcPr>
            <w:tcW w:w="1418" w:type="dxa"/>
            <w:tcBorders>
              <w:top w:val="single" w:sz="2" w:space="0" w:color="8EAADB" w:themeColor="accent5" w:themeTint="99"/>
              <w:bottom w:val="nil"/>
            </w:tcBorders>
            <w:shd w:val="clear" w:color="auto" w:fill="FFFFFF" w:themeFill="background1"/>
            <w:vAlign w:val="center"/>
          </w:tcPr>
          <w:p w14:paraId="1D280A2E"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c>
          <w:tcPr>
            <w:tcW w:w="283" w:type="dxa"/>
            <w:tcBorders>
              <w:top w:val="single" w:sz="2" w:space="0" w:color="8EAADB" w:themeColor="accent5" w:themeTint="99"/>
              <w:bottom w:val="nil"/>
            </w:tcBorders>
            <w:shd w:val="clear" w:color="auto" w:fill="FFFFFF" w:themeFill="background1"/>
            <w:vAlign w:val="center"/>
          </w:tcPr>
          <w:p w14:paraId="241B39F7"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c>
          <w:tcPr>
            <w:tcW w:w="1418" w:type="dxa"/>
            <w:tcBorders>
              <w:top w:val="single" w:sz="2" w:space="0" w:color="8EAADB" w:themeColor="accent5" w:themeTint="99"/>
              <w:bottom w:val="nil"/>
            </w:tcBorders>
            <w:shd w:val="clear" w:color="auto" w:fill="FFFFFF" w:themeFill="background1"/>
            <w:vAlign w:val="center"/>
          </w:tcPr>
          <w:p w14:paraId="438B757F"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c>
          <w:tcPr>
            <w:tcW w:w="1525" w:type="dxa"/>
            <w:tcBorders>
              <w:top w:val="single" w:sz="2" w:space="0" w:color="8EAADB" w:themeColor="accent5" w:themeTint="99"/>
              <w:bottom w:val="nil"/>
            </w:tcBorders>
            <w:shd w:val="clear" w:color="auto" w:fill="FFFFFF" w:themeFill="background1"/>
            <w:vAlign w:val="center"/>
          </w:tcPr>
          <w:p w14:paraId="58276EE3"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r>
      <w:tr w:rsidR="00720F68" w:rsidRPr="00B84B0C" w14:paraId="07E01857"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591599C7" w14:textId="77777777" w:rsidR="00720F68" w:rsidRPr="00B84B0C" w:rsidRDefault="00720F68" w:rsidP="00720F68">
            <w:pPr>
              <w:pStyle w:val="08-Tabelageral"/>
              <w:jc w:val="left"/>
              <w:rPr>
                <w:rFonts w:cs="Arial"/>
                <w:b w:val="0"/>
                <w:lang w:val="en-US"/>
              </w:rPr>
            </w:pPr>
            <w:r w:rsidRPr="00B84B0C">
              <w:rPr>
                <w:rFonts w:cs="Arial"/>
                <w:b w:val="0"/>
                <w:lang w:val="en-US"/>
              </w:rPr>
              <w:t>Cash and cash equivalents</w:t>
            </w:r>
          </w:p>
        </w:tc>
        <w:tc>
          <w:tcPr>
            <w:tcW w:w="708" w:type="dxa"/>
            <w:tcBorders>
              <w:top w:val="nil"/>
              <w:bottom w:val="nil"/>
            </w:tcBorders>
            <w:shd w:val="clear" w:color="auto" w:fill="D9E2F3" w:themeFill="accent5" w:themeFillTint="33"/>
            <w:vAlign w:val="center"/>
          </w:tcPr>
          <w:p w14:paraId="2CB94AB9" w14:textId="77777777" w:rsidR="00720F68" w:rsidRPr="00B84B0C" w:rsidRDefault="00720F68" w:rsidP="00720F68">
            <w:pPr>
              <w:pStyle w:val="07-Legenda"/>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val="en-US"/>
              </w:rPr>
              <w:t>[07]</w:t>
            </w:r>
          </w:p>
        </w:tc>
        <w:tc>
          <w:tcPr>
            <w:tcW w:w="1134" w:type="dxa"/>
            <w:tcBorders>
              <w:top w:val="nil"/>
              <w:bottom w:val="nil"/>
            </w:tcBorders>
            <w:shd w:val="clear" w:color="auto" w:fill="D9E2F3" w:themeFill="accent5" w:themeFillTint="33"/>
            <w:vAlign w:val="center"/>
          </w:tcPr>
          <w:p w14:paraId="5B747678"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lang w:val="en-US"/>
              </w:rPr>
            </w:pPr>
            <w:r w:rsidRPr="00B84B0C">
              <w:rPr>
                <w:rFonts w:cs="Arial"/>
                <w:color w:val="000000"/>
                <w:sz w:val="14"/>
                <w:szCs w:val="14"/>
              </w:rPr>
              <w:t>2,402,707</w:t>
            </w:r>
          </w:p>
        </w:tc>
        <w:tc>
          <w:tcPr>
            <w:tcW w:w="1418" w:type="dxa"/>
            <w:tcBorders>
              <w:top w:val="nil"/>
              <w:bottom w:val="nil"/>
            </w:tcBorders>
            <w:shd w:val="clear" w:color="auto" w:fill="D9E2F3" w:themeFill="accent5" w:themeFillTint="33"/>
            <w:vAlign w:val="center"/>
          </w:tcPr>
          <w:p w14:paraId="1DF1BC94"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283" w:type="dxa"/>
            <w:tcBorders>
              <w:top w:val="nil"/>
              <w:bottom w:val="nil"/>
            </w:tcBorders>
            <w:shd w:val="clear" w:color="auto" w:fill="D9E2F3" w:themeFill="accent5" w:themeFillTint="33"/>
            <w:vAlign w:val="center"/>
          </w:tcPr>
          <w:p w14:paraId="5DDC2B38"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8" w:type="dxa"/>
            <w:tcBorders>
              <w:top w:val="nil"/>
              <w:bottom w:val="nil"/>
            </w:tcBorders>
            <w:shd w:val="clear" w:color="auto" w:fill="D9E2F3" w:themeFill="accent5" w:themeFillTint="33"/>
            <w:vAlign w:val="center"/>
          </w:tcPr>
          <w:p w14:paraId="6272D8A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rPr>
              <w:t>4,231,195</w:t>
            </w:r>
          </w:p>
        </w:tc>
        <w:tc>
          <w:tcPr>
            <w:tcW w:w="1525" w:type="dxa"/>
            <w:tcBorders>
              <w:top w:val="nil"/>
              <w:bottom w:val="nil"/>
            </w:tcBorders>
            <w:shd w:val="clear" w:color="auto" w:fill="D9E2F3" w:themeFill="accent5" w:themeFillTint="33"/>
            <w:vAlign w:val="center"/>
          </w:tcPr>
          <w:p w14:paraId="6AEFAD8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rPr>
              <w:t>--</w:t>
            </w:r>
          </w:p>
        </w:tc>
      </w:tr>
      <w:tr w:rsidR="00720F68" w:rsidRPr="00B84B0C" w14:paraId="4DA270BE"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3B12796D" w14:textId="77777777" w:rsidR="00720F68" w:rsidRPr="00B84B0C" w:rsidRDefault="00720F68" w:rsidP="00720F68">
            <w:pPr>
              <w:pStyle w:val="08-Tabelageral"/>
              <w:jc w:val="left"/>
              <w:rPr>
                <w:rFonts w:cs="Arial"/>
                <w:b w:val="0"/>
                <w:szCs w:val="14"/>
                <w:lang w:val="en-US"/>
              </w:rPr>
            </w:pPr>
            <w:r w:rsidRPr="00B84B0C">
              <w:rPr>
                <w:rFonts w:cs="Arial"/>
                <w:b w:val="0"/>
                <w:szCs w:val="14"/>
                <w:lang w:val="en-US"/>
              </w:rPr>
              <w:t xml:space="preserve">Financial assets measured at </w:t>
            </w:r>
            <w:proofErr w:type="spellStart"/>
            <w:r w:rsidRPr="00B84B0C">
              <w:rPr>
                <w:rFonts w:cs="Arial"/>
                <w:b w:val="0"/>
                <w:szCs w:val="14"/>
                <w:lang w:val="en-US"/>
              </w:rPr>
              <w:t>amortised</w:t>
            </w:r>
            <w:proofErr w:type="spellEnd"/>
            <w:r w:rsidRPr="00B84B0C">
              <w:rPr>
                <w:rFonts w:cs="Arial"/>
                <w:b w:val="0"/>
                <w:szCs w:val="14"/>
                <w:lang w:val="en-US"/>
              </w:rPr>
              <w:t xml:space="preserve"> cost</w:t>
            </w:r>
          </w:p>
        </w:tc>
        <w:tc>
          <w:tcPr>
            <w:tcW w:w="708" w:type="dxa"/>
            <w:tcBorders>
              <w:top w:val="nil"/>
              <w:bottom w:val="nil"/>
            </w:tcBorders>
            <w:shd w:val="clear" w:color="auto" w:fill="FFFFFF" w:themeFill="background1"/>
            <w:vAlign w:val="center"/>
          </w:tcPr>
          <w:p w14:paraId="4EC930CD" w14:textId="77777777" w:rsidR="00720F68" w:rsidRPr="00B84B0C" w:rsidRDefault="00720F68" w:rsidP="00720F68">
            <w:pPr>
              <w:pStyle w:val="07-Legenda"/>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B84B0C">
              <w:rPr>
                <w:rFonts w:cs="Arial"/>
                <w:color w:val="000000"/>
                <w:szCs w:val="14"/>
                <w:lang w:val="en-US"/>
              </w:rPr>
              <w:t>[08]</w:t>
            </w:r>
          </w:p>
        </w:tc>
        <w:tc>
          <w:tcPr>
            <w:tcW w:w="1134" w:type="dxa"/>
            <w:tcBorders>
              <w:top w:val="nil"/>
              <w:bottom w:val="nil"/>
            </w:tcBorders>
            <w:shd w:val="clear" w:color="auto" w:fill="FFFFFF" w:themeFill="background1"/>
            <w:vAlign w:val="center"/>
          </w:tcPr>
          <w:p w14:paraId="1761F906"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1418" w:type="dxa"/>
            <w:tcBorders>
              <w:top w:val="nil"/>
              <w:bottom w:val="nil"/>
            </w:tcBorders>
            <w:shd w:val="clear" w:color="auto" w:fill="FFFFFF" w:themeFill="background1"/>
            <w:vAlign w:val="center"/>
          </w:tcPr>
          <w:p w14:paraId="249B18C6"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283" w:type="dxa"/>
            <w:tcBorders>
              <w:top w:val="nil"/>
              <w:bottom w:val="nil"/>
            </w:tcBorders>
            <w:shd w:val="clear" w:color="auto" w:fill="FFFFFF" w:themeFill="background1"/>
            <w:vAlign w:val="center"/>
          </w:tcPr>
          <w:p w14:paraId="6D12233E"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8" w:type="dxa"/>
            <w:tcBorders>
              <w:top w:val="nil"/>
              <w:bottom w:val="nil"/>
            </w:tcBorders>
            <w:shd w:val="clear" w:color="auto" w:fill="FFFFFF" w:themeFill="background1"/>
            <w:vAlign w:val="center"/>
          </w:tcPr>
          <w:p w14:paraId="6BDEEE0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B84B0C">
              <w:rPr>
                <w:rFonts w:cs="Arial"/>
                <w:color w:val="000000"/>
                <w:szCs w:val="14"/>
              </w:rPr>
              <w:t>--</w:t>
            </w:r>
          </w:p>
        </w:tc>
        <w:tc>
          <w:tcPr>
            <w:tcW w:w="1525" w:type="dxa"/>
            <w:tcBorders>
              <w:top w:val="nil"/>
              <w:bottom w:val="nil"/>
            </w:tcBorders>
            <w:shd w:val="clear" w:color="auto" w:fill="FFFFFF" w:themeFill="background1"/>
            <w:vAlign w:val="center"/>
          </w:tcPr>
          <w:p w14:paraId="625E104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B84B0C">
              <w:rPr>
                <w:rFonts w:cs="Arial"/>
                <w:color w:val="000000"/>
                <w:szCs w:val="14"/>
              </w:rPr>
              <w:t>--</w:t>
            </w:r>
          </w:p>
        </w:tc>
      </w:tr>
      <w:tr w:rsidR="00720F68" w:rsidRPr="00B84B0C" w14:paraId="61314637"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6BCC0EC6" w14:textId="77777777" w:rsidR="00720F68" w:rsidRPr="00B84B0C" w:rsidRDefault="00720F68" w:rsidP="00720F68">
            <w:pPr>
              <w:pStyle w:val="08-Tabelageral"/>
              <w:jc w:val="left"/>
              <w:rPr>
                <w:rFonts w:cs="Arial"/>
                <w:b w:val="0"/>
                <w:szCs w:val="14"/>
                <w:lang w:val="en-US"/>
              </w:rPr>
            </w:pPr>
            <w:r w:rsidRPr="00B84B0C">
              <w:rPr>
                <w:rFonts w:cs="Arial"/>
                <w:b w:val="0"/>
                <w:szCs w:val="14"/>
                <w:lang w:val="en-US"/>
              </w:rPr>
              <w:t>Financial assets at fair value through profit or loss</w:t>
            </w:r>
          </w:p>
        </w:tc>
        <w:tc>
          <w:tcPr>
            <w:tcW w:w="708" w:type="dxa"/>
            <w:tcBorders>
              <w:top w:val="nil"/>
              <w:bottom w:val="nil"/>
            </w:tcBorders>
            <w:shd w:val="clear" w:color="auto" w:fill="D9E2F3" w:themeFill="accent5" w:themeFillTint="33"/>
            <w:vAlign w:val="center"/>
          </w:tcPr>
          <w:p w14:paraId="0E5FB566" w14:textId="77777777" w:rsidR="00720F68" w:rsidRPr="00B84B0C" w:rsidRDefault="00720F68" w:rsidP="00720F68">
            <w:pPr>
              <w:pStyle w:val="07-Legenda"/>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val="en-US"/>
              </w:rPr>
              <w:t>[08]</w:t>
            </w:r>
          </w:p>
        </w:tc>
        <w:tc>
          <w:tcPr>
            <w:tcW w:w="1134" w:type="dxa"/>
            <w:tcBorders>
              <w:top w:val="nil"/>
              <w:bottom w:val="nil"/>
            </w:tcBorders>
            <w:shd w:val="clear" w:color="auto" w:fill="D9E2F3" w:themeFill="accent5" w:themeFillTint="33"/>
            <w:vAlign w:val="center"/>
          </w:tcPr>
          <w:p w14:paraId="08BEBA16"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1418" w:type="dxa"/>
            <w:tcBorders>
              <w:top w:val="nil"/>
              <w:bottom w:val="nil"/>
            </w:tcBorders>
            <w:shd w:val="clear" w:color="auto" w:fill="D9E2F3" w:themeFill="accent5" w:themeFillTint="33"/>
            <w:vAlign w:val="center"/>
          </w:tcPr>
          <w:p w14:paraId="17F5A208"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3,582</w:t>
            </w:r>
          </w:p>
        </w:tc>
        <w:tc>
          <w:tcPr>
            <w:tcW w:w="283" w:type="dxa"/>
            <w:tcBorders>
              <w:top w:val="nil"/>
              <w:bottom w:val="nil"/>
            </w:tcBorders>
            <w:shd w:val="clear" w:color="auto" w:fill="D9E2F3" w:themeFill="accent5" w:themeFillTint="33"/>
            <w:vAlign w:val="center"/>
          </w:tcPr>
          <w:p w14:paraId="4555BDAF"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8" w:type="dxa"/>
            <w:tcBorders>
              <w:top w:val="nil"/>
              <w:bottom w:val="nil"/>
            </w:tcBorders>
            <w:shd w:val="clear" w:color="auto" w:fill="D9E2F3" w:themeFill="accent5" w:themeFillTint="33"/>
            <w:vAlign w:val="center"/>
          </w:tcPr>
          <w:p w14:paraId="055AC5E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color w:val="000000"/>
                <w:szCs w:val="14"/>
              </w:rPr>
              <w:t>--</w:t>
            </w:r>
          </w:p>
        </w:tc>
        <w:tc>
          <w:tcPr>
            <w:tcW w:w="1525" w:type="dxa"/>
            <w:tcBorders>
              <w:top w:val="nil"/>
              <w:bottom w:val="nil"/>
            </w:tcBorders>
            <w:shd w:val="clear" w:color="auto" w:fill="D9E2F3" w:themeFill="accent5" w:themeFillTint="33"/>
            <w:vAlign w:val="center"/>
          </w:tcPr>
          <w:p w14:paraId="06680FC2"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B84B0C">
              <w:rPr>
                <w:rFonts w:cs="Arial"/>
                <w:color w:val="000000"/>
                <w:szCs w:val="14"/>
              </w:rPr>
              <w:t>3,413</w:t>
            </w:r>
          </w:p>
        </w:tc>
      </w:tr>
      <w:tr w:rsidR="00720F68" w:rsidRPr="00B84B0C" w14:paraId="4DBD2F76"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3A5F836C" w14:textId="77777777" w:rsidR="00720F68" w:rsidRPr="00B84B0C" w:rsidRDefault="00720F68" w:rsidP="00720F68">
            <w:pPr>
              <w:pStyle w:val="08-Tabelageral"/>
              <w:jc w:val="left"/>
              <w:rPr>
                <w:rFonts w:cs="Arial"/>
                <w:b w:val="0"/>
                <w:szCs w:val="14"/>
                <w:lang w:val="en-US"/>
              </w:rPr>
            </w:pPr>
            <w:proofErr w:type="gramStart"/>
            <w:r w:rsidRPr="00B84B0C">
              <w:rPr>
                <w:rFonts w:cs="Arial"/>
                <w:b w:val="0"/>
                <w:szCs w:val="14"/>
                <w:lang w:val="en-US"/>
              </w:rPr>
              <w:t>Commissions</w:t>
            </w:r>
            <w:proofErr w:type="gramEnd"/>
            <w:r w:rsidRPr="00B84B0C">
              <w:rPr>
                <w:rFonts w:cs="Arial"/>
                <w:b w:val="0"/>
                <w:szCs w:val="14"/>
                <w:lang w:val="en-US"/>
              </w:rPr>
              <w:t xml:space="preserve"> receivable</w:t>
            </w:r>
          </w:p>
        </w:tc>
        <w:tc>
          <w:tcPr>
            <w:tcW w:w="708" w:type="dxa"/>
            <w:tcBorders>
              <w:top w:val="nil"/>
              <w:bottom w:val="nil"/>
            </w:tcBorders>
            <w:shd w:val="clear" w:color="auto" w:fill="FFFFFF" w:themeFill="background1"/>
            <w:vAlign w:val="center"/>
          </w:tcPr>
          <w:p w14:paraId="7D419F19" w14:textId="77777777" w:rsidR="00720F68" w:rsidRPr="00B84B0C" w:rsidRDefault="00720F68" w:rsidP="00720F68">
            <w:pPr>
              <w:pStyle w:val="07-Legenda"/>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B84B0C">
              <w:rPr>
                <w:rFonts w:cs="Arial"/>
                <w:color w:val="000000"/>
                <w:szCs w:val="14"/>
                <w:lang w:val="en-US"/>
              </w:rPr>
              <w:t>[13]</w:t>
            </w:r>
          </w:p>
        </w:tc>
        <w:tc>
          <w:tcPr>
            <w:tcW w:w="1134" w:type="dxa"/>
            <w:tcBorders>
              <w:top w:val="nil"/>
              <w:bottom w:val="nil"/>
            </w:tcBorders>
            <w:shd w:val="clear" w:color="auto" w:fill="FFFFFF" w:themeFill="background1"/>
            <w:vAlign w:val="center"/>
          </w:tcPr>
          <w:p w14:paraId="59816C41"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1418" w:type="dxa"/>
            <w:tcBorders>
              <w:top w:val="nil"/>
              <w:bottom w:val="nil"/>
            </w:tcBorders>
            <w:shd w:val="clear" w:color="auto" w:fill="FFFFFF" w:themeFill="background1"/>
            <w:vAlign w:val="center"/>
          </w:tcPr>
          <w:p w14:paraId="5522E24A"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283" w:type="dxa"/>
            <w:tcBorders>
              <w:top w:val="nil"/>
              <w:bottom w:val="nil"/>
            </w:tcBorders>
            <w:shd w:val="clear" w:color="auto" w:fill="FFFFFF" w:themeFill="background1"/>
            <w:vAlign w:val="center"/>
          </w:tcPr>
          <w:p w14:paraId="36500135"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8" w:type="dxa"/>
            <w:tcBorders>
              <w:top w:val="nil"/>
              <w:bottom w:val="nil"/>
            </w:tcBorders>
            <w:shd w:val="clear" w:color="auto" w:fill="FFFFFF" w:themeFill="background1"/>
            <w:vAlign w:val="center"/>
          </w:tcPr>
          <w:p w14:paraId="364B1D4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color w:val="000000"/>
                <w:szCs w:val="14"/>
              </w:rPr>
              <w:t>--</w:t>
            </w:r>
          </w:p>
        </w:tc>
        <w:tc>
          <w:tcPr>
            <w:tcW w:w="1525" w:type="dxa"/>
            <w:tcBorders>
              <w:top w:val="nil"/>
              <w:bottom w:val="nil"/>
            </w:tcBorders>
            <w:shd w:val="clear" w:color="auto" w:fill="FFFFFF" w:themeFill="background1"/>
            <w:vAlign w:val="center"/>
          </w:tcPr>
          <w:p w14:paraId="7AB0050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B84B0C">
              <w:rPr>
                <w:rFonts w:cs="Arial"/>
                <w:color w:val="000000"/>
                <w:szCs w:val="14"/>
              </w:rPr>
              <w:t>--</w:t>
            </w:r>
          </w:p>
        </w:tc>
      </w:tr>
      <w:tr w:rsidR="00720F68" w:rsidRPr="00B84B0C" w14:paraId="2CF320B8"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6DD2A6F1" w14:textId="77777777" w:rsidR="00720F68" w:rsidRPr="00B84B0C" w:rsidRDefault="00720F68" w:rsidP="00720F68">
            <w:pPr>
              <w:pStyle w:val="08-Tabelageral"/>
              <w:jc w:val="left"/>
              <w:rPr>
                <w:rFonts w:cs="Arial"/>
                <w:b w:val="0"/>
                <w:szCs w:val="14"/>
                <w:lang w:val="en-US"/>
              </w:rPr>
            </w:pPr>
          </w:p>
        </w:tc>
        <w:tc>
          <w:tcPr>
            <w:tcW w:w="708" w:type="dxa"/>
            <w:tcBorders>
              <w:top w:val="nil"/>
              <w:bottom w:val="nil"/>
            </w:tcBorders>
            <w:shd w:val="clear" w:color="auto" w:fill="D9E2F3" w:themeFill="accent5" w:themeFillTint="33"/>
            <w:vAlign w:val="center"/>
          </w:tcPr>
          <w:p w14:paraId="455B6D07" w14:textId="77777777" w:rsidR="00720F68" w:rsidRPr="00B84B0C" w:rsidRDefault="00720F68" w:rsidP="00720F68">
            <w:pPr>
              <w:pStyle w:val="07-Legenda"/>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p>
        </w:tc>
        <w:tc>
          <w:tcPr>
            <w:tcW w:w="1134" w:type="dxa"/>
            <w:tcBorders>
              <w:top w:val="nil"/>
              <w:bottom w:val="nil"/>
            </w:tcBorders>
            <w:shd w:val="clear" w:color="auto" w:fill="D9E2F3" w:themeFill="accent5" w:themeFillTint="33"/>
            <w:vAlign w:val="center"/>
          </w:tcPr>
          <w:p w14:paraId="5F727A96"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p>
        </w:tc>
        <w:tc>
          <w:tcPr>
            <w:tcW w:w="1418" w:type="dxa"/>
            <w:tcBorders>
              <w:top w:val="nil"/>
              <w:bottom w:val="nil"/>
            </w:tcBorders>
            <w:shd w:val="clear" w:color="auto" w:fill="D9E2F3" w:themeFill="accent5" w:themeFillTint="33"/>
            <w:vAlign w:val="center"/>
          </w:tcPr>
          <w:p w14:paraId="45D5AC8D"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283" w:type="dxa"/>
            <w:tcBorders>
              <w:top w:val="nil"/>
              <w:bottom w:val="nil"/>
            </w:tcBorders>
            <w:shd w:val="clear" w:color="auto" w:fill="D9E2F3" w:themeFill="accent5" w:themeFillTint="33"/>
            <w:vAlign w:val="center"/>
          </w:tcPr>
          <w:p w14:paraId="314971D1"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8" w:type="dxa"/>
            <w:tcBorders>
              <w:top w:val="nil"/>
              <w:bottom w:val="nil"/>
            </w:tcBorders>
            <w:shd w:val="clear" w:color="auto" w:fill="D9E2F3" w:themeFill="accent5" w:themeFillTint="33"/>
            <w:vAlign w:val="center"/>
          </w:tcPr>
          <w:p w14:paraId="69A03B8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1525" w:type="dxa"/>
            <w:tcBorders>
              <w:top w:val="nil"/>
              <w:bottom w:val="nil"/>
            </w:tcBorders>
            <w:shd w:val="clear" w:color="auto" w:fill="D9E2F3" w:themeFill="accent5" w:themeFillTint="33"/>
            <w:vAlign w:val="center"/>
          </w:tcPr>
          <w:p w14:paraId="4318E41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r>
      <w:tr w:rsidR="00720F68" w:rsidRPr="00B84B0C" w14:paraId="40087C74"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063B0EEF" w14:textId="77777777" w:rsidR="00720F68" w:rsidRPr="00B84B0C" w:rsidRDefault="00720F68" w:rsidP="00720F68">
            <w:pPr>
              <w:pStyle w:val="08-Tabelageral"/>
              <w:jc w:val="left"/>
              <w:rPr>
                <w:rFonts w:cs="Arial"/>
                <w:szCs w:val="14"/>
                <w:lang w:val="en-US"/>
              </w:rPr>
            </w:pPr>
            <w:r w:rsidRPr="00B84B0C">
              <w:rPr>
                <w:rFonts w:cs="Arial"/>
                <w:szCs w:val="14"/>
                <w:lang w:val="en-US"/>
              </w:rPr>
              <w:t>LIABILITIES</w:t>
            </w:r>
          </w:p>
        </w:tc>
        <w:tc>
          <w:tcPr>
            <w:tcW w:w="708" w:type="dxa"/>
            <w:tcBorders>
              <w:top w:val="nil"/>
              <w:bottom w:val="nil"/>
            </w:tcBorders>
            <w:shd w:val="clear" w:color="auto" w:fill="FFFFFF" w:themeFill="background1"/>
            <w:vAlign w:val="center"/>
          </w:tcPr>
          <w:p w14:paraId="22B8A35E" w14:textId="77777777" w:rsidR="00720F68" w:rsidRPr="00B84B0C" w:rsidRDefault="00720F68" w:rsidP="00720F68">
            <w:pPr>
              <w:pStyle w:val="07-Legenda"/>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134" w:type="dxa"/>
            <w:tcBorders>
              <w:top w:val="nil"/>
              <w:bottom w:val="nil"/>
            </w:tcBorders>
            <w:shd w:val="clear" w:color="auto" w:fill="FFFFFF" w:themeFill="background1"/>
            <w:vAlign w:val="center"/>
          </w:tcPr>
          <w:p w14:paraId="20601E00"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418" w:type="dxa"/>
            <w:tcBorders>
              <w:top w:val="nil"/>
              <w:bottom w:val="nil"/>
            </w:tcBorders>
            <w:shd w:val="clear" w:color="auto" w:fill="FFFFFF" w:themeFill="background1"/>
            <w:vAlign w:val="center"/>
          </w:tcPr>
          <w:p w14:paraId="226B991A"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283" w:type="dxa"/>
            <w:tcBorders>
              <w:top w:val="nil"/>
              <w:bottom w:val="nil"/>
            </w:tcBorders>
            <w:shd w:val="clear" w:color="auto" w:fill="FFFFFF" w:themeFill="background1"/>
            <w:vAlign w:val="center"/>
          </w:tcPr>
          <w:p w14:paraId="14DD4FA4"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8" w:type="dxa"/>
            <w:tcBorders>
              <w:top w:val="nil"/>
              <w:bottom w:val="nil"/>
            </w:tcBorders>
            <w:shd w:val="clear" w:color="auto" w:fill="FFFFFF" w:themeFill="background1"/>
            <w:vAlign w:val="center"/>
          </w:tcPr>
          <w:p w14:paraId="09450E3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525" w:type="dxa"/>
            <w:tcBorders>
              <w:top w:val="nil"/>
              <w:bottom w:val="nil"/>
            </w:tcBorders>
            <w:shd w:val="clear" w:color="auto" w:fill="FFFFFF" w:themeFill="background1"/>
            <w:vAlign w:val="center"/>
          </w:tcPr>
          <w:p w14:paraId="393EF9F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r>
      <w:tr w:rsidR="00720F68" w:rsidRPr="00B84B0C" w14:paraId="4311D97B"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209B546C" w14:textId="77777777" w:rsidR="00720F68" w:rsidRPr="00B84B0C" w:rsidRDefault="00720F68" w:rsidP="00720F68">
            <w:pPr>
              <w:pStyle w:val="08-Tabelageral"/>
              <w:jc w:val="left"/>
              <w:rPr>
                <w:rFonts w:cs="Arial"/>
                <w:b w:val="0"/>
                <w:szCs w:val="14"/>
                <w:lang w:val="en-US"/>
              </w:rPr>
            </w:pPr>
            <w:r w:rsidRPr="00B84B0C">
              <w:rPr>
                <w:rFonts w:cs="Arial"/>
                <w:b w:val="0"/>
                <w:szCs w:val="14"/>
                <w:lang w:val="en-US"/>
              </w:rPr>
              <w:t>Dividends payable</w:t>
            </w:r>
          </w:p>
        </w:tc>
        <w:tc>
          <w:tcPr>
            <w:tcW w:w="708" w:type="dxa"/>
            <w:tcBorders>
              <w:top w:val="nil"/>
              <w:bottom w:val="nil"/>
            </w:tcBorders>
            <w:shd w:val="clear" w:color="auto" w:fill="D9E2F3" w:themeFill="accent5" w:themeFillTint="33"/>
            <w:vAlign w:val="center"/>
          </w:tcPr>
          <w:p w14:paraId="02026464" w14:textId="77777777" w:rsidR="00720F68" w:rsidRPr="00B84B0C" w:rsidRDefault="00720F68" w:rsidP="00720F68">
            <w:pPr>
              <w:pStyle w:val="07-Legenda"/>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val="en-US"/>
              </w:rPr>
              <w:t>[15]</w:t>
            </w:r>
          </w:p>
        </w:tc>
        <w:tc>
          <w:tcPr>
            <w:tcW w:w="1134" w:type="dxa"/>
            <w:tcBorders>
              <w:top w:val="nil"/>
              <w:bottom w:val="nil"/>
            </w:tcBorders>
            <w:shd w:val="clear" w:color="auto" w:fill="D9E2F3" w:themeFill="accent5" w:themeFillTint="33"/>
            <w:vAlign w:val="center"/>
          </w:tcPr>
          <w:p w14:paraId="30D209CD"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lang w:val="en-US"/>
              </w:rPr>
            </w:pPr>
            <w:r w:rsidRPr="00B84B0C">
              <w:rPr>
                <w:rFonts w:cs="Arial"/>
                <w:color w:val="000000"/>
                <w:sz w:val="14"/>
                <w:szCs w:val="14"/>
              </w:rPr>
              <w:t>2,700,475</w:t>
            </w:r>
          </w:p>
        </w:tc>
        <w:tc>
          <w:tcPr>
            <w:tcW w:w="1418" w:type="dxa"/>
            <w:tcBorders>
              <w:top w:val="nil"/>
              <w:bottom w:val="nil"/>
            </w:tcBorders>
            <w:shd w:val="clear" w:color="auto" w:fill="D9E2F3" w:themeFill="accent5" w:themeFillTint="33"/>
            <w:vAlign w:val="center"/>
          </w:tcPr>
          <w:p w14:paraId="04CEBD2B"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283" w:type="dxa"/>
            <w:tcBorders>
              <w:top w:val="nil"/>
              <w:bottom w:val="nil"/>
            </w:tcBorders>
            <w:shd w:val="clear" w:color="auto" w:fill="D9E2F3" w:themeFill="accent5" w:themeFillTint="33"/>
            <w:vAlign w:val="center"/>
          </w:tcPr>
          <w:p w14:paraId="0A3BCDE0"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8" w:type="dxa"/>
            <w:tcBorders>
              <w:top w:val="nil"/>
              <w:bottom w:val="nil"/>
            </w:tcBorders>
            <w:shd w:val="clear" w:color="auto" w:fill="D9E2F3" w:themeFill="accent5" w:themeFillTint="33"/>
            <w:vAlign w:val="center"/>
          </w:tcPr>
          <w:p w14:paraId="3355C72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rPr>
              <w:t>6,490,643</w:t>
            </w:r>
          </w:p>
        </w:tc>
        <w:tc>
          <w:tcPr>
            <w:tcW w:w="1525" w:type="dxa"/>
            <w:tcBorders>
              <w:top w:val="nil"/>
              <w:bottom w:val="nil"/>
            </w:tcBorders>
            <w:shd w:val="clear" w:color="auto" w:fill="D9E2F3" w:themeFill="accent5" w:themeFillTint="33"/>
            <w:vAlign w:val="center"/>
          </w:tcPr>
          <w:p w14:paraId="7CC595D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Cs/>
                <w:szCs w:val="14"/>
                <w:lang w:val="en-US"/>
              </w:rPr>
            </w:pPr>
            <w:r w:rsidRPr="00B84B0C">
              <w:rPr>
                <w:rFonts w:cs="Arial"/>
                <w:color w:val="000000"/>
                <w:szCs w:val="14"/>
              </w:rPr>
              <w:t>--</w:t>
            </w:r>
          </w:p>
        </w:tc>
      </w:tr>
      <w:tr w:rsidR="00720F68" w:rsidRPr="00B84B0C" w14:paraId="2562E0F0"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1ED11A14" w14:textId="77777777" w:rsidR="00720F68" w:rsidRPr="00B84B0C" w:rsidRDefault="00720F68" w:rsidP="00720F68">
            <w:pPr>
              <w:pStyle w:val="08-Tabelageral"/>
              <w:jc w:val="left"/>
              <w:rPr>
                <w:rFonts w:cs="Arial"/>
                <w:b w:val="0"/>
                <w:szCs w:val="14"/>
                <w:lang w:val="en-US"/>
              </w:rPr>
            </w:pPr>
            <w:r w:rsidRPr="00B84B0C">
              <w:rPr>
                <w:rFonts w:cs="Arial"/>
                <w:b w:val="0"/>
                <w:szCs w:val="14"/>
                <w:lang w:val="en-US"/>
              </w:rPr>
              <w:t>Current tax liabilities</w:t>
            </w:r>
          </w:p>
        </w:tc>
        <w:tc>
          <w:tcPr>
            <w:tcW w:w="708" w:type="dxa"/>
            <w:tcBorders>
              <w:top w:val="nil"/>
              <w:bottom w:val="nil"/>
            </w:tcBorders>
            <w:shd w:val="clear" w:color="auto" w:fill="FFFFFF" w:themeFill="background1"/>
            <w:vAlign w:val="center"/>
          </w:tcPr>
          <w:p w14:paraId="56E2354D" w14:textId="77777777" w:rsidR="00720F68" w:rsidRPr="00B84B0C" w:rsidRDefault="00720F68" w:rsidP="00720F68">
            <w:pPr>
              <w:pStyle w:val="07-Legenda"/>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B84B0C">
              <w:rPr>
                <w:rFonts w:cs="Arial"/>
                <w:color w:val="000000"/>
                <w:szCs w:val="14"/>
                <w:lang w:val="en-US"/>
              </w:rPr>
              <w:t>[12]</w:t>
            </w:r>
          </w:p>
        </w:tc>
        <w:tc>
          <w:tcPr>
            <w:tcW w:w="1134" w:type="dxa"/>
            <w:tcBorders>
              <w:top w:val="nil"/>
              <w:bottom w:val="nil"/>
            </w:tcBorders>
            <w:shd w:val="clear" w:color="auto" w:fill="FFFFFF" w:themeFill="background1"/>
            <w:vAlign w:val="center"/>
          </w:tcPr>
          <w:p w14:paraId="3F23A21D"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6,576</w:t>
            </w:r>
          </w:p>
        </w:tc>
        <w:tc>
          <w:tcPr>
            <w:tcW w:w="1418" w:type="dxa"/>
            <w:tcBorders>
              <w:top w:val="nil"/>
              <w:bottom w:val="nil"/>
            </w:tcBorders>
            <w:shd w:val="clear" w:color="auto" w:fill="FFFFFF" w:themeFill="background1"/>
            <w:vAlign w:val="center"/>
          </w:tcPr>
          <w:p w14:paraId="550F15E4"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283" w:type="dxa"/>
            <w:tcBorders>
              <w:top w:val="nil"/>
              <w:bottom w:val="nil"/>
            </w:tcBorders>
            <w:shd w:val="clear" w:color="auto" w:fill="FFFFFF" w:themeFill="background1"/>
            <w:vAlign w:val="center"/>
          </w:tcPr>
          <w:p w14:paraId="3EC7A01F"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8" w:type="dxa"/>
            <w:tcBorders>
              <w:top w:val="nil"/>
              <w:bottom w:val="nil"/>
            </w:tcBorders>
            <w:shd w:val="clear" w:color="auto" w:fill="FFFFFF" w:themeFill="background1"/>
            <w:vAlign w:val="center"/>
          </w:tcPr>
          <w:p w14:paraId="0B56AC5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color w:val="000000"/>
                <w:szCs w:val="14"/>
              </w:rPr>
              <w:t>1,713</w:t>
            </w:r>
          </w:p>
        </w:tc>
        <w:tc>
          <w:tcPr>
            <w:tcW w:w="1525" w:type="dxa"/>
            <w:tcBorders>
              <w:top w:val="nil"/>
              <w:bottom w:val="nil"/>
            </w:tcBorders>
            <w:shd w:val="clear" w:color="auto" w:fill="FFFFFF" w:themeFill="background1"/>
            <w:vAlign w:val="center"/>
          </w:tcPr>
          <w:p w14:paraId="171F433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val="en-US"/>
              </w:rPr>
            </w:pPr>
            <w:r w:rsidRPr="00B84B0C">
              <w:rPr>
                <w:rFonts w:cs="Arial"/>
                <w:color w:val="000000"/>
                <w:szCs w:val="14"/>
              </w:rPr>
              <w:t>--</w:t>
            </w:r>
          </w:p>
        </w:tc>
      </w:tr>
      <w:tr w:rsidR="00720F68" w:rsidRPr="00B84B0C" w14:paraId="6420C4A9"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5D5C1AFF" w14:textId="77777777" w:rsidR="00720F68" w:rsidRPr="00B84B0C" w:rsidRDefault="00720F68" w:rsidP="00720F68">
            <w:pPr>
              <w:pStyle w:val="08-Tabelageral"/>
              <w:jc w:val="left"/>
              <w:rPr>
                <w:rFonts w:cs="Arial"/>
                <w:b w:val="0"/>
                <w:szCs w:val="14"/>
                <w:lang w:val="en-US"/>
              </w:rPr>
            </w:pPr>
            <w:r w:rsidRPr="00B84B0C">
              <w:rPr>
                <w:rFonts w:cs="Arial"/>
                <w:b w:val="0"/>
                <w:szCs w:val="14"/>
                <w:lang w:val="en-US"/>
              </w:rPr>
              <w:t>Unearned commissions</w:t>
            </w:r>
          </w:p>
        </w:tc>
        <w:tc>
          <w:tcPr>
            <w:tcW w:w="708" w:type="dxa"/>
            <w:tcBorders>
              <w:top w:val="nil"/>
              <w:bottom w:val="nil"/>
            </w:tcBorders>
            <w:shd w:val="clear" w:color="auto" w:fill="D9E2F3" w:themeFill="accent5" w:themeFillTint="33"/>
            <w:vAlign w:val="center"/>
          </w:tcPr>
          <w:p w14:paraId="3184913D" w14:textId="77777777" w:rsidR="00720F68" w:rsidRPr="00B84B0C" w:rsidRDefault="00720F68" w:rsidP="00720F68">
            <w:pPr>
              <w:pStyle w:val="07-Legenda"/>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val="en-US"/>
              </w:rPr>
              <w:t>[17]</w:t>
            </w:r>
          </w:p>
        </w:tc>
        <w:tc>
          <w:tcPr>
            <w:tcW w:w="1134" w:type="dxa"/>
            <w:tcBorders>
              <w:top w:val="nil"/>
              <w:bottom w:val="nil"/>
            </w:tcBorders>
            <w:shd w:val="clear" w:color="auto" w:fill="D9E2F3" w:themeFill="accent5" w:themeFillTint="33"/>
            <w:vAlign w:val="center"/>
          </w:tcPr>
          <w:p w14:paraId="45C49A84"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1418" w:type="dxa"/>
            <w:tcBorders>
              <w:top w:val="nil"/>
              <w:bottom w:val="nil"/>
            </w:tcBorders>
            <w:shd w:val="clear" w:color="auto" w:fill="D9E2F3" w:themeFill="accent5" w:themeFillTint="33"/>
            <w:vAlign w:val="center"/>
          </w:tcPr>
          <w:p w14:paraId="22688D20"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283" w:type="dxa"/>
            <w:tcBorders>
              <w:top w:val="nil"/>
              <w:bottom w:val="nil"/>
            </w:tcBorders>
            <w:shd w:val="clear" w:color="auto" w:fill="D9E2F3" w:themeFill="accent5" w:themeFillTint="33"/>
            <w:vAlign w:val="center"/>
          </w:tcPr>
          <w:p w14:paraId="1FFACFEE" w14:textId="77777777" w:rsidR="00720F68" w:rsidRPr="00B84B0C" w:rsidRDefault="00720F68" w:rsidP="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8" w:type="dxa"/>
            <w:tcBorders>
              <w:top w:val="nil"/>
              <w:bottom w:val="nil"/>
            </w:tcBorders>
            <w:shd w:val="clear" w:color="auto" w:fill="D9E2F3" w:themeFill="accent5" w:themeFillTint="33"/>
            <w:vAlign w:val="center"/>
          </w:tcPr>
          <w:p w14:paraId="7407A5F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color w:val="000000"/>
                <w:szCs w:val="14"/>
              </w:rPr>
              <w:t>--</w:t>
            </w:r>
          </w:p>
        </w:tc>
        <w:tc>
          <w:tcPr>
            <w:tcW w:w="1525" w:type="dxa"/>
            <w:tcBorders>
              <w:top w:val="nil"/>
              <w:bottom w:val="nil"/>
            </w:tcBorders>
            <w:shd w:val="clear" w:color="auto" w:fill="D9E2F3" w:themeFill="accent5" w:themeFillTint="33"/>
            <w:vAlign w:val="center"/>
          </w:tcPr>
          <w:p w14:paraId="6477D48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Cs/>
                <w:szCs w:val="14"/>
                <w:lang w:val="en-US"/>
              </w:rPr>
            </w:pPr>
            <w:r w:rsidRPr="00B84B0C">
              <w:rPr>
                <w:rFonts w:cs="Arial"/>
                <w:color w:val="000000"/>
                <w:szCs w:val="14"/>
              </w:rPr>
              <w:t>--</w:t>
            </w:r>
          </w:p>
        </w:tc>
      </w:tr>
      <w:tr w:rsidR="00720F68" w:rsidRPr="00B84B0C" w14:paraId="608B25CC"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single" w:sz="2" w:space="0" w:color="8EAADB" w:themeColor="accent5" w:themeTint="99"/>
            </w:tcBorders>
            <w:shd w:val="clear" w:color="auto" w:fill="FFFFFF" w:themeFill="background1"/>
          </w:tcPr>
          <w:p w14:paraId="58257922" w14:textId="77777777" w:rsidR="00720F68" w:rsidRPr="00B84B0C" w:rsidRDefault="00720F68" w:rsidP="00720F68">
            <w:pPr>
              <w:pStyle w:val="08-Tabelageral"/>
              <w:jc w:val="left"/>
              <w:rPr>
                <w:rFonts w:cs="Arial"/>
                <w:b w:val="0"/>
                <w:szCs w:val="14"/>
                <w:lang w:val="en-US"/>
              </w:rPr>
            </w:pPr>
            <w:r w:rsidRPr="00B84B0C">
              <w:rPr>
                <w:rFonts w:cs="Arial"/>
                <w:b w:val="0"/>
                <w:szCs w:val="14"/>
                <w:lang w:val="en-US"/>
              </w:rPr>
              <w:t>Other liabilities</w:t>
            </w:r>
          </w:p>
        </w:tc>
        <w:tc>
          <w:tcPr>
            <w:tcW w:w="708" w:type="dxa"/>
            <w:tcBorders>
              <w:top w:val="nil"/>
              <w:bottom w:val="single" w:sz="2" w:space="0" w:color="8EAADB" w:themeColor="accent5" w:themeTint="99"/>
            </w:tcBorders>
            <w:shd w:val="clear" w:color="auto" w:fill="FFFFFF" w:themeFill="background1"/>
            <w:vAlign w:val="center"/>
          </w:tcPr>
          <w:p w14:paraId="30A50337" w14:textId="77777777" w:rsidR="00720F68" w:rsidRPr="00B84B0C" w:rsidRDefault="00720F68" w:rsidP="00720F68">
            <w:pPr>
              <w:pStyle w:val="07-Legenda"/>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szCs w:val="14"/>
                <w:lang w:val="en-US"/>
              </w:rPr>
              <w:t>[18]</w:t>
            </w:r>
          </w:p>
        </w:tc>
        <w:tc>
          <w:tcPr>
            <w:tcW w:w="1134" w:type="dxa"/>
            <w:tcBorders>
              <w:top w:val="nil"/>
              <w:bottom w:val="single" w:sz="2" w:space="0" w:color="8EAADB" w:themeColor="accent5" w:themeTint="99"/>
            </w:tcBorders>
            <w:shd w:val="clear" w:color="auto" w:fill="FFFFFF" w:themeFill="background1"/>
            <w:vAlign w:val="center"/>
          </w:tcPr>
          <w:p w14:paraId="4579241B"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7,621</w:t>
            </w:r>
          </w:p>
        </w:tc>
        <w:tc>
          <w:tcPr>
            <w:tcW w:w="1418" w:type="dxa"/>
            <w:tcBorders>
              <w:top w:val="nil"/>
              <w:bottom w:val="single" w:sz="2" w:space="0" w:color="8EAADB" w:themeColor="accent5" w:themeTint="99"/>
            </w:tcBorders>
            <w:shd w:val="clear" w:color="auto" w:fill="FFFFFF" w:themeFill="background1"/>
            <w:vAlign w:val="center"/>
          </w:tcPr>
          <w:p w14:paraId="536AF274"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283" w:type="dxa"/>
            <w:tcBorders>
              <w:top w:val="nil"/>
              <w:bottom w:val="single" w:sz="2" w:space="0" w:color="8EAADB" w:themeColor="accent5" w:themeTint="99"/>
            </w:tcBorders>
            <w:shd w:val="clear" w:color="auto" w:fill="FFFFFF" w:themeFill="background1"/>
            <w:vAlign w:val="center"/>
          </w:tcPr>
          <w:p w14:paraId="48E43364"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8" w:type="dxa"/>
            <w:tcBorders>
              <w:top w:val="nil"/>
              <w:bottom w:val="single" w:sz="2" w:space="0" w:color="8EAADB" w:themeColor="accent5" w:themeTint="99"/>
            </w:tcBorders>
            <w:shd w:val="clear" w:color="auto" w:fill="FFFFFF" w:themeFill="background1"/>
            <w:vAlign w:val="center"/>
          </w:tcPr>
          <w:p w14:paraId="759468B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color w:val="000000"/>
                <w:szCs w:val="14"/>
              </w:rPr>
              <w:t>8,238</w:t>
            </w:r>
          </w:p>
        </w:tc>
        <w:tc>
          <w:tcPr>
            <w:tcW w:w="1525" w:type="dxa"/>
            <w:tcBorders>
              <w:top w:val="nil"/>
              <w:bottom w:val="single" w:sz="2" w:space="0" w:color="8EAADB" w:themeColor="accent5" w:themeTint="99"/>
            </w:tcBorders>
            <w:shd w:val="clear" w:color="auto" w:fill="FFFFFF" w:themeFill="background1"/>
            <w:vAlign w:val="center"/>
          </w:tcPr>
          <w:p w14:paraId="5981B860"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Cs/>
                <w:szCs w:val="14"/>
                <w:lang w:val="en-US"/>
              </w:rPr>
            </w:pPr>
            <w:r w:rsidRPr="00B84B0C">
              <w:rPr>
                <w:rFonts w:cs="Arial"/>
                <w:color w:val="000000"/>
                <w:szCs w:val="14"/>
              </w:rPr>
              <w:t>--</w:t>
            </w:r>
          </w:p>
        </w:tc>
      </w:tr>
    </w:tbl>
    <w:p w14:paraId="5535E4AA" w14:textId="77777777" w:rsidR="00720F68" w:rsidRPr="00B84B0C" w:rsidRDefault="00720F68">
      <w:pPr>
        <w:rPr>
          <w:rFonts w:cs="Arial"/>
          <w:b/>
          <w:color w:val="1F4E79" w:themeColor="accent1" w:themeShade="80"/>
          <w:szCs w:val="18"/>
          <w:lang w:val="en-US"/>
        </w:rPr>
      </w:pPr>
    </w:p>
    <w:p w14:paraId="4FCDC134" w14:textId="77777777" w:rsidR="00720F68" w:rsidRPr="00B84B0C" w:rsidRDefault="00720F68" w:rsidP="00720F68">
      <w:pPr>
        <w:pStyle w:val="06-Rmil"/>
        <w:rPr>
          <w:rFonts w:cs="Arial"/>
          <w:lang w:val="en-US"/>
        </w:rPr>
      </w:pPr>
      <w:r w:rsidRPr="00B84B0C">
        <w:rPr>
          <w:rFonts w:cs="Arial"/>
          <w:lang w:val="en-US"/>
        </w:rPr>
        <w:t>R$ thousand</w:t>
      </w:r>
    </w:p>
    <w:tbl>
      <w:tblPr>
        <w:tblStyle w:val="TabeladeLista6Colorida-nfase53"/>
        <w:tblW w:w="0" w:type="auto"/>
        <w:tblInd w:w="108" w:type="dxa"/>
        <w:tblLayout w:type="fixed"/>
        <w:tblLook w:val="04A0" w:firstRow="1" w:lastRow="0" w:firstColumn="1" w:lastColumn="0" w:noHBand="0" w:noVBand="1"/>
      </w:tblPr>
      <w:tblGrid>
        <w:gridCol w:w="1965"/>
        <w:gridCol w:w="1188"/>
        <w:gridCol w:w="708"/>
        <w:gridCol w:w="1134"/>
        <w:gridCol w:w="1418"/>
        <w:gridCol w:w="378"/>
        <w:gridCol w:w="1323"/>
        <w:gridCol w:w="1525"/>
      </w:tblGrid>
      <w:tr w:rsidR="00720F68" w:rsidRPr="00B84B0C" w14:paraId="08D40DCC" w14:textId="77777777" w:rsidTr="00711D9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1965" w:type="dxa"/>
            <w:tcBorders>
              <w:top w:val="single" w:sz="2" w:space="0" w:color="8EAADB" w:themeColor="accent5" w:themeTint="99"/>
              <w:bottom w:val="nil"/>
            </w:tcBorders>
            <w:shd w:val="clear" w:color="auto" w:fill="D9E2F3" w:themeFill="accent5" w:themeFillTint="33"/>
          </w:tcPr>
          <w:p w14:paraId="2379C5C7" w14:textId="77777777" w:rsidR="00720F68" w:rsidRPr="00B84B0C" w:rsidRDefault="00720F68" w:rsidP="00720F68">
            <w:pPr>
              <w:jc w:val="center"/>
              <w:rPr>
                <w:rFonts w:cs="Arial"/>
                <w:sz w:val="14"/>
                <w:szCs w:val="18"/>
                <w:lang w:val="en-US"/>
              </w:rPr>
            </w:pPr>
          </w:p>
        </w:tc>
        <w:tc>
          <w:tcPr>
            <w:tcW w:w="7674" w:type="dxa"/>
            <w:gridSpan w:val="7"/>
            <w:tcBorders>
              <w:top w:val="single" w:sz="2" w:space="0" w:color="8EAADB" w:themeColor="accent5" w:themeTint="99"/>
              <w:bottom w:val="nil"/>
            </w:tcBorders>
            <w:shd w:val="clear" w:color="auto" w:fill="D9E2F3" w:themeFill="accent5" w:themeFillTint="33"/>
            <w:vAlign w:val="center"/>
          </w:tcPr>
          <w:p w14:paraId="11A52DA0" w14:textId="77777777" w:rsidR="00720F68" w:rsidRPr="00B84B0C" w:rsidRDefault="00720F68" w:rsidP="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lang w:val="en-US"/>
              </w:rPr>
            </w:pPr>
            <w:r w:rsidRPr="00B84B0C">
              <w:rPr>
                <w:rFonts w:cs="Arial"/>
                <w:sz w:val="14"/>
                <w:szCs w:val="18"/>
                <w:lang w:val="en-US"/>
              </w:rPr>
              <w:t>Consolidated</w:t>
            </w:r>
          </w:p>
        </w:tc>
      </w:tr>
      <w:tr w:rsidR="00720F68" w:rsidRPr="00B84B0C" w14:paraId="1BAEDC1D" w14:textId="77777777" w:rsidTr="00711D9A">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153" w:type="dxa"/>
            <w:gridSpan w:val="2"/>
            <w:vMerge w:val="restart"/>
            <w:tcBorders>
              <w:top w:val="single" w:sz="2" w:space="0" w:color="8EAADB" w:themeColor="accent5" w:themeTint="99"/>
            </w:tcBorders>
            <w:vAlign w:val="center"/>
          </w:tcPr>
          <w:p w14:paraId="4A220734" w14:textId="77777777" w:rsidR="00720F68" w:rsidRPr="00B84B0C" w:rsidRDefault="00720F68" w:rsidP="00720F68">
            <w:pPr>
              <w:rPr>
                <w:rFonts w:cs="Arial"/>
                <w:sz w:val="14"/>
                <w:szCs w:val="14"/>
                <w:lang w:val="en-US"/>
              </w:rPr>
            </w:pPr>
            <w:r w:rsidRPr="00B84B0C">
              <w:rPr>
                <w:rFonts w:cs="Arial"/>
                <w:sz w:val="14"/>
                <w:szCs w:val="14"/>
                <w:lang w:val="en-US"/>
              </w:rPr>
              <w:t>Liquidity Risk</w:t>
            </w:r>
          </w:p>
        </w:tc>
        <w:tc>
          <w:tcPr>
            <w:tcW w:w="708" w:type="dxa"/>
            <w:tcBorders>
              <w:top w:val="single" w:sz="2" w:space="0" w:color="8EAADB" w:themeColor="accent5" w:themeTint="99"/>
            </w:tcBorders>
          </w:tcPr>
          <w:p w14:paraId="167B234B"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8"/>
                <w:lang w:val="en-US"/>
              </w:rPr>
            </w:pPr>
          </w:p>
        </w:tc>
        <w:tc>
          <w:tcPr>
            <w:tcW w:w="2552" w:type="dxa"/>
            <w:gridSpan w:val="2"/>
            <w:tcBorders>
              <w:top w:val="single" w:sz="2" w:space="0" w:color="8EAADB" w:themeColor="accent5" w:themeTint="99"/>
              <w:bottom w:val="single" w:sz="2" w:space="0" w:color="8EAADB" w:themeColor="accent5" w:themeTint="99"/>
            </w:tcBorders>
            <w:vAlign w:val="center"/>
          </w:tcPr>
          <w:p w14:paraId="0D05C014"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8"/>
                <w:lang w:val="en-US"/>
              </w:rPr>
            </w:pPr>
            <w:r w:rsidRPr="00B84B0C">
              <w:rPr>
                <w:rFonts w:cs="Arial"/>
                <w:b/>
                <w:sz w:val="14"/>
                <w:szCs w:val="18"/>
                <w:lang w:val="en-US"/>
              </w:rPr>
              <w:t>Mar 31, 2020</w:t>
            </w:r>
          </w:p>
        </w:tc>
        <w:tc>
          <w:tcPr>
            <w:tcW w:w="378" w:type="dxa"/>
            <w:tcBorders>
              <w:top w:val="single" w:sz="2" w:space="0" w:color="8EAADB" w:themeColor="accent5" w:themeTint="99"/>
              <w:bottom w:val="nil"/>
            </w:tcBorders>
          </w:tcPr>
          <w:p w14:paraId="30A66BD9"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Cs w:val="18"/>
                <w:lang w:val="en-US"/>
              </w:rPr>
            </w:pPr>
          </w:p>
        </w:tc>
        <w:tc>
          <w:tcPr>
            <w:tcW w:w="2848" w:type="dxa"/>
            <w:gridSpan w:val="2"/>
            <w:tcBorders>
              <w:top w:val="single" w:sz="2" w:space="0" w:color="8EAADB" w:themeColor="accent5" w:themeTint="99"/>
              <w:bottom w:val="single" w:sz="2" w:space="0" w:color="8EAADB" w:themeColor="accent5" w:themeTint="99"/>
            </w:tcBorders>
            <w:vAlign w:val="center"/>
          </w:tcPr>
          <w:p w14:paraId="7B844097" w14:textId="77777777" w:rsidR="00720F68" w:rsidRPr="00B84B0C" w:rsidRDefault="00720F68" w:rsidP="00720F68">
            <w:pPr>
              <w:jc w:val="center"/>
              <w:cnfStyle w:val="000000100000" w:firstRow="0" w:lastRow="0" w:firstColumn="0" w:lastColumn="0" w:oddVBand="0" w:evenVBand="0" w:oddHBand="1" w:evenHBand="0" w:firstRowFirstColumn="0" w:firstRowLastColumn="0" w:lastRowFirstColumn="0" w:lastRowLastColumn="0"/>
              <w:rPr>
                <w:rFonts w:cs="Arial"/>
                <w:b/>
                <w:sz w:val="14"/>
                <w:szCs w:val="18"/>
                <w:lang w:val="en-US"/>
              </w:rPr>
            </w:pPr>
            <w:r w:rsidRPr="00B84B0C">
              <w:rPr>
                <w:rFonts w:cs="Arial"/>
                <w:b/>
                <w:sz w:val="14"/>
                <w:szCs w:val="18"/>
                <w:lang w:val="en-US"/>
              </w:rPr>
              <w:t>Dec 31, 2019</w:t>
            </w:r>
          </w:p>
        </w:tc>
      </w:tr>
      <w:tr w:rsidR="00720F68" w:rsidRPr="00B84B0C" w14:paraId="09EBBB38"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vMerge/>
            <w:tcBorders>
              <w:bottom w:val="single" w:sz="2" w:space="0" w:color="8EAADB" w:themeColor="accent5" w:themeTint="99"/>
            </w:tcBorders>
            <w:shd w:val="clear" w:color="auto" w:fill="D9E2F3" w:themeFill="accent5" w:themeFillTint="33"/>
          </w:tcPr>
          <w:p w14:paraId="1E3F16BC" w14:textId="77777777" w:rsidR="00720F68" w:rsidRPr="00B84B0C" w:rsidRDefault="00720F68" w:rsidP="00720F68">
            <w:pPr>
              <w:pStyle w:val="08-Tabelageral"/>
              <w:jc w:val="left"/>
              <w:rPr>
                <w:rFonts w:cs="Arial"/>
                <w:b w:val="0"/>
                <w:lang w:val="en-US"/>
              </w:rPr>
            </w:pPr>
          </w:p>
        </w:tc>
        <w:tc>
          <w:tcPr>
            <w:tcW w:w="708" w:type="dxa"/>
            <w:tcBorders>
              <w:bottom w:val="single" w:sz="2" w:space="0" w:color="8EAADB" w:themeColor="accent5" w:themeTint="99"/>
            </w:tcBorders>
            <w:shd w:val="clear" w:color="auto" w:fill="D9E2F3" w:themeFill="accent5" w:themeFillTint="33"/>
            <w:vAlign w:val="center"/>
          </w:tcPr>
          <w:p w14:paraId="7557E7BC" w14:textId="77777777" w:rsidR="00720F68" w:rsidRPr="00B84B0C" w:rsidRDefault="00720F68" w:rsidP="00720F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Note</w:t>
            </w:r>
          </w:p>
        </w:tc>
        <w:tc>
          <w:tcPr>
            <w:tcW w:w="1134"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862156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 xml:space="preserve">Up to 1 year </w:t>
            </w:r>
          </w:p>
        </w:tc>
        <w:tc>
          <w:tcPr>
            <w:tcW w:w="1418"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75DBDEDD"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b/>
                <w:lang w:val="en-US"/>
              </w:rPr>
              <w:t>More than 1 year</w:t>
            </w:r>
          </w:p>
          <w:p w14:paraId="0F01CB4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w:t>
            </w:r>
          </w:p>
          <w:p w14:paraId="52E1557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p w14:paraId="29987FD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3.472.955</w:t>
            </w:r>
          </w:p>
          <w:p w14:paraId="5A6C104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(11.856)</w:t>
            </w:r>
          </w:p>
          <w:p w14:paraId="7EB932B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(11.615)</w:t>
            </w:r>
          </w:p>
          <w:p w14:paraId="21DC1FF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(4.419)</w:t>
            </w:r>
          </w:p>
          <w:p w14:paraId="14C29C6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(8.200)</w:t>
            </w:r>
          </w:p>
          <w:p w14:paraId="08F6B6D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12.378</w:t>
            </w:r>
          </w:p>
          <w:p w14:paraId="7BD1426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p w14:paraId="25EC48C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113.161</w:t>
            </w:r>
          </w:p>
          <w:p w14:paraId="74B09CF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150.380</w:t>
            </w:r>
          </w:p>
          <w:p w14:paraId="36834D3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(37.219)</w:t>
            </w:r>
          </w:p>
          <w:p w14:paraId="6635C63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3.574.260</w:t>
            </w:r>
          </w:p>
          <w:p w14:paraId="38011AC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(34.707)</w:t>
            </w:r>
          </w:p>
          <w:p w14:paraId="1D6CD0A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3.539.553</w:t>
            </w:r>
          </w:p>
          <w:p w14:paraId="728D95B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2.000.000.000</w:t>
            </w:r>
          </w:p>
          <w:p w14:paraId="3CB69CA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1.996.597.417</w:t>
            </w:r>
          </w:p>
          <w:p w14:paraId="44A370A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lang w:val="en-US"/>
              </w:rPr>
              <w:t>1,77</w:t>
            </w:r>
          </w:p>
        </w:tc>
        <w:tc>
          <w:tcPr>
            <w:tcW w:w="378" w:type="dxa"/>
            <w:tcBorders>
              <w:top w:val="nil"/>
              <w:bottom w:val="single" w:sz="2" w:space="0" w:color="8EAADB" w:themeColor="accent5" w:themeTint="99"/>
            </w:tcBorders>
            <w:shd w:val="clear" w:color="auto" w:fill="D9E2F3" w:themeFill="accent5" w:themeFillTint="33"/>
            <w:vAlign w:val="center"/>
          </w:tcPr>
          <w:p w14:paraId="4D2692C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1323"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BD9FF1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 xml:space="preserve">Up to 1 year </w:t>
            </w:r>
          </w:p>
        </w:tc>
        <w:tc>
          <w:tcPr>
            <w:tcW w:w="1525"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51CCA0F"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b/>
                <w:lang w:val="en-US"/>
              </w:rPr>
              <w:t>More than 1 year</w:t>
            </w:r>
          </w:p>
          <w:p w14:paraId="4C808913"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w:t>
            </w:r>
          </w:p>
          <w:p w14:paraId="7A177FC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p w14:paraId="728D17DB"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3.472.955</w:t>
            </w:r>
          </w:p>
          <w:p w14:paraId="29D9196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(11.856)</w:t>
            </w:r>
          </w:p>
          <w:p w14:paraId="08B167F5"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(11.615)</w:t>
            </w:r>
          </w:p>
          <w:p w14:paraId="18EDD11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(4.419)</w:t>
            </w:r>
          </w:p>
          <w:p w14:paraId="767A08F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(8.200)</w:t>
            </w:r>
          </w:p>
          <w:p w14:paraId="42B791E6"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12.378</w:t>
            </w:r>
          </w:p>
          <w:p w14:paraId="17650331"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w:t>
            </w:r>
          </w:p>
          <w:p w14:paraId="19383217"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113.161</w:t>
            </w:r>
          </w:p>
          <w:p w14:paraId="1BE6542E"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150.380</w:t>
            </w:r>
          </w:p>
          <w:p w14:paraId="6E38288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(37.219)</w:t>
            </w:r>
          </w:p>
          <w:p w14:paraId="7B7879C4"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3.574.260</w:t>
            </w:r>
          </w:p>
          <w:p w14:paraId="57E45E98"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(34.707)</w:t>
            </w:r>
          </w:p>
          <w:p w14:paraId="6F0DD9F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b/>
                <w:lang w:val="en-US"/>
              </w:rPr>
              <w:t>3.539.553</w:t>
            </w:r>
          </w:p>
          <w:p w14:paraId="016EBB89"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2.000.000.000</w:t>
            </w:r>
          </w:p>
          <w:p w14:paraId="101D2740"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lang w:val="en-US"/>
              </w:rPr>
            </w:pPr>
            <w:r w:rsidRPr="00B84B0C">
              <w:rPr>
                <w:rFonts w:cs="Arial"/>
                <w:lang w:val="en-US"/>
              </w:rPr>
              <w:t>1.996.597.417</w:t>
            </w:r>
          </w:p>
          <w:p w14:paraId="497789BC" w14:textId="77777777" w:rsidR="00720F68" w:rsidRPr="00B84B0C" w:rsidRDefault="00720F68" w:rsidP="00720F68">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r w:rsidRPr="00B84B0C">
              <w:rPr>
                <w:rFonts w:cs="Arial"/>
                <w:lang w:val="en-US"/>
              </w:rPr>
              <w:t>1,77</w:t>
            </w:r>
          </w:p>
        </w:tc>
      </w:tr>
      <w:tr w:rsidR="00720F68" w:rsidRPr="00B84B0C" w14:paraId="275123DC"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3379FAE8" w14:textId="77777777" w:rsidR="00720F68" w:rsidRPr="00B84B0C" w:rsidRDefault="00720F68" w:rsidP="00720F68">
            <w:pPr>
              <w:pStyle w:val="08-Tabelageral"/>
              <w:jc w:val="left"/>
              <w:rPr>
                <w:rFonts w:cs="Arial"/>
                <w:lang w:val="en-US"/>
              </w:rPr>
            </w:pPr>
            <w:r w:rsidRPr="00B84B0C">
              <w:rPr>
                <w:rFonts w:cs="Arial"/>
                <w:lang w:val="en-US"/>
              </w:rPr>
              <w:t>ASSETS</w:t>
            </w:r>
          </w:p>
        </w:tc>
        <w:tc>
          <w:tcPr>
            <w:tcW w:w="708" w:type="dxa"/>
            <w:tcBorders>
              <w:top w:val="single" w:sz="2" w:space="0" w:color="8EAADB" w:themeColor="accent5" w:themeTint="99"/>
              <w:bottom w:val="nil"/>
            </w:tcBorders>
            <w:shd w:val="clear" w:color="auto" w:fill="FFFFFF" w:themeFill="background1"/>
            <w:vAlign w:val="center"/>
          </w:tcPr>
          <w:p w14:paraId="699B6C86" w14:textId="77777777" w:rsidR="00720F68" w:rsidRPr="00B84B0C" w:rsidRDefault="00720F68" w:rsidP="00720F68">
            <w:pPr>
              <w:pStyle w:val="07-Legenda"/>
              <w:jc w:val="center"/>
              <w:cnfStyle w:val="000000100000" w:firstRow="0" w:lastRow="0" w:firstColumn="0" w:lastColumn="0" w:oddVBand="0" w:evenVBand="0" w:oddHBand="1" w:evenHBand="0" w:firstRowFirstColumn="0" w:firstRowLastColumn="0" w:lastRowFirstColumn="0" w:lastRowLastColumn="0"/>
              <w:rPr>
                <w:rFonts w:cs="Arial"/>
                <w:lang w:val="en-US"/>
              </w:rPr>
            </w:pPr>
          </w:p>
        </w:tc>
        <w:tc>
          <w:tcPr>
            <w:tcW w:w="1134" w:type="dxa"/>
            <w:tcBorders>
              <w:top w:val="single" w:sz="2" w:space="0" w:color="8EAADB" w:themeColor="accent5" w:themeTint="99"/>
              <w:bottom w:val="nil"/>
            </w:tcBorders>
            <w:shd w:val="clear" w:color="auto" w:fill="FFFFFF" w:themeFill="background1"/>
            <w:vAlign w:val="center"/>
          </w:tcPr>
          <w:p w14:paraId="0A9F2D25"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c>
          <w:tcPr>
            <w:tcW w:w="1418" w:type="dxa"/>
            <w:tcBorders>
              <w:top w:val="single" w:sz="2" w:space="0" w:color="8EAADB" w:themeColor="accent5" w:themeTint="99"/>
              <w:bottom w:val="nil"/>
            </w:tcBorders>
            <w:shd w:val="clear" w:color="auto" w:fill="FFFFFF" w:themeFill="background1"/>
            <w:vAlign w:val="center"/>
          </w:tcPr>
          <w:p w14:paraId="17939D77"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c>
          <w:tcPr>
            <w:tcW w:w="378" w:type="dxa"/>
            <w:tcBorders>
              <w:top w:val="single" w:sz="2" w:space="0" w:color="8EAADB" w:themeColor="accent5" w:themeTint="99"/>
              <w:bottom w:val="nil"/>
            </w:tcBorders>
            <w:shd w:val="clear" w:color="auto" w:fill="FFFFFF" w:themeFill="background1"/>
            <w:vAlign w:val="center"/>
          </w:tcPr>
          <w:p w14:paraId="150C9A7A"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c>
          <w:tcPr>
            <w:tcW w:w="1323" w:type="dxa"/>
            <w:tcBorders>
              <w:top w:val="single" w:sz="2" w:space="0" w:color="8EAADB" w:themeColor="accent5" w:themeTint="99"/>
              <w:bottom w:val="nil"/>
            </w:tcBorders>
            <w:shd w:val="clear" w:color="auto" w:fill="FFFFFF" w:themeFill="background1"/>
            <w:vAlign w:val="center"/>
          </w:tcPr>
          <w:p w14:paraId="1F8EEF4C"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c>
          <w:tcPr>
            <w:tcW w:w="1525" w:type="dxa"/>
            <w:tcBorders>
              <w:top w:val="single" w:sz="2" w:space="0" w:color="8EAADB" w:themeColor="accent5" w:themeTint="99"/>
              <w:bottom w:val="nil"/>
            </w:tcBorders>
            <w:shd w:val="clear" w:color="auto" w:fill="FFFFFF" w:themeFill="background1"/>
            <w:vAlign w:val="center"/>
          </w:tcPr>
          <w:p w14:paraId="497EFA32" w14:textId="77777777" w:rsidR="00720F68" w:rsidRPr="00B84B0C" w:rsidRDefault="00720F68" w:rsidP="00720F68">
            <w:pPr>
              <w:pStyle w:val="07-Legenda"/>
              <w:jc w:val="right"/>
              <w:cnfStyle w:val="000000100000" w:firstRow="0" w:lastRow="0" w:firstColumn="0" w:lastColumn="0" w:oddVBand="0" w:evenVBand="0" w:oddHBand="1" w:evenHBand="0" w:firstRowFirstColumn="0" w:firstRowLastColumn="0" w:lastRowFirstColumn="0" w:lastRowLastColumn="0"/>
              <w:rPr>
                <w:rFonts w:cs="Arial"/>
                <w:lang w:val="en-US"/>
              </w:rPr>
            </w:pPr>
          </w:p>
        </w:tc>
      </w:tr>
      <w:tr w:rsidR="00720F68" w:rsidRPr="00B84B0C" w14:paraId="5784AE89"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6ED984A3" w14:textId="77777777" w:rsidR="00720F68" w:rsidRPr="00B84B0C" w:rsidRDefault="00720F68" w:rsidP="00720F68">
            <w:pPr>
              <w:pStyle w:val="08-Tabelageral"/>
              <w:spacing w:before="0" w:after="0"/>
              <w:jc w:val="left"/>
              <w:rPr>
                <w:rFonts w:cs="Arial"/>
                <w:b w:val="0"/>
                <w:lang w:val="en-US"/>
              </w:rPr>
            </w:pPr>
            <w:r w:rsidRPr="00B84B0C">
              <w:rPr>
                <w:rFonts w:cs="Arial"/>
                <w:b w:val="0"/>
                <w:lang w:val="en-US"/>
              </w:rPr>
              <w:t>Cash and cash equivalents</w:t>
            </w:r>
          </w:p>
        </w:tc>
        <w:tc>
          <w:tcPr>
            <w:tcW w:w="708" w:type="dxa"/>
            <w:tcBorders>
              <w:top w:val="nil"/>
              <w:bottom w:val="nil"/>
            </w:tcBorders>
            <w:shd w:val="clear" w:color="auto" w:fill="D9E2F3" w:themeFill="accent5" w:themeFillTint="33"/>
            <w:vAlign w:val="center"/>
          </w:tcPr>
          <w:p w14:paraId="29C259A0" w14:textId="77777777" w:rsidR="00720F68" w:rsidRPr="00B84B0C" w:rsidRDefault="00720F68" w:rsidP="00720F68">
            <w:pPr>
              <w:pStyle w:val="07-Legenda"/>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val="en-US"/>
              </w:rPr>
              <w:t>[07]</w:t>
            </w:r>
          </w:p>
        </w:tc>
        <w:tc>
          <w:tcPr>
            <w:tcW w:w="1134" w:type="dxa"/>
            <w:tcBorders>
              <w:top w:val="nil"/>
              <w:bottom w:val="nil"/>
            </w:tcBorders>
            <w:shd w:val="clear" w:color="auto" w:fill="D9E2F3" w:themeFill="accent5" w:themeFillTint="33"/>
            <w:vAlign w:val="center"/>
          </w:tcPr>
          <w:p w14:paraId="1FF52512"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lang w:val="en-US"/>
              </w:rPr>
            </w:pPr>
            <w:r w:rsidRPr="00B84B0C">
              <w:rPr>
                <w:rFonts w:cs="Arial"/>
                <w:color w:val="000000"/>
                <w:sz w:val="14"/>
                <w:szCs w:val="14"/>
              </w:rPr>
              <w:t>4,110,033</w:t>
            </w:r>
          </w:p>
        </w:tc>
        <w:tc>
          <w:tcPr>
            <w:tcW w:w="1418" w:type="dxa"/>
            <w:tcBorders>
              <w:top w:val="nil"/>
              <w:bottom w:val="nil"/>
            </w:tcBorders>
            <w:shd w:val="clear" w:color="auto" w:fill="D9E2F3" w:themeFill="accent5" w:themeFillTint="33"/>
            <w:vAlign w:val="center"/>
          </w:tcPr>
          <w:p w14:paraId="1A9BE421"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378" w:type="dxa"/>
            <w:tcBorders>
              <w:top w:val="nil"/>
              <w:bottom w:val="nil"/>
            </w:tcBorders>
            <w:shd w:val="clear" w:color="auto" w:fill="D9E2F3" w:themeFill="accent5" w:themeFillTint="33"/>
            <w:vAlign w:val="center"/>
          </w:tcPr>
          <w:p w14:paraId="698B8F7E" w14:textId="77777777" w:rsidR="00720F68" w:rsidRPr="00B84B0C" w:rsidRDefault="00720F68" w:rsidP="00720F68">
            <w:pPr>
              <w:pStyle w:val="07-Legenda"/>
              <w:spacing w:before="0"/>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323" w:type="dxa"/>
            <w:tcBorders>
              <w:top w:val="nil"/>
              <w:bottom w:val="nil"/>
            </w:tcBorders>
            <w:shd w:val="clear" w:color="auto" w:fill="D9E2F3" w:themeFill="accent5" w:themeFillTint="33"/>
            <w:vAlign w:val="center"/>
          </w:tcPr>
          <w:p w14:paraId="2A0CB5E2"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rPr>
              <w:t>7,381,292</w:t>
            </w:r>
          </w:p>
        </w:tc>
        <w:tc>
          <w:tcPr>
            <w:tcW w:w="1525" w:type="dxa"/>
            <w:tcBorders>
              <w:top w:val="nil"/>
              <w:bottom w:val="nil"/>
            </w:tcBorders>
            <w:shd w:val="clear" w:color="auto" w:fill="D9E2F3" w:themeFill="accent5" w:themeFillTint="33"/>
            <w:vAlign w:val="center"/>
          </w:tcPr>
          <w:p w14:paraId="44AA622A"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rPr>
              <w:t>-- </w:t>
            </w:r>
          </w:p>
        </w:tc>
      </w:tr>
      <w:tr w:rsidR="00720F68" w:rsidRPr="00B84B0C" w14:paraId="6EE38131"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1828B056" w14:textId="77777777" w:rsidR="00720F68" w:rsidRPr="00B84B0C" w:rsidRDefault="00720F68" w:rsidP="00720F68">
            <w:pPr>
              <w:pStyle w:val="08-Tabelageral"/>
              <w:spacing w:before="0" w:after="0"/>
              <w:jc w:val="left"/>
              <w:rPr>
                <w:rFonts w:cs="Arial"/>
                <w:b w:val="0"/>
                <w:szCs w:val="14"/>
                <w:lang w:val="en-US"/>
              </w:rPr>
            </w:pPr>
            <w:r w:rsidRPr="00B84B0C">
              <w:rPr>
                <w:rFonts w:cs="Arial"/>
                <w:b w:val="0"/>
                <w:szCs w:val="14"/>
                <w:lang w:val="en-US"/>
              </w:rPr>
              <w:t xml:space="preserve">Financial assets measured at </w:t>
            </w:r>
            <w:proofErr w:type="spellStart"/>
            <w:r w:rsidRPr="00B84B0C">
              <w:rPr>
                <w:rFonts w:cs="Arial"/>
                <w:b w:val="0"/>
                <w:szCs w:val="14"/>
                <w:lang w:val="en-US"/>
              </w:rPr>
              <w:t>amortised</w:t>
            </w:r>
            <w:proofErr w:type="spellEnd"/>
            <w:r w:rsidRPr="00B84B0C">
              <w:rPr>
                <w:rFonts w:cs="Arial"/>
                <w:b w:val="0"/>
                <w:szCs w:val="14"/>
                <w:lang w:val="en-US"/>
              </w:rPr>
              <w:t xml:space="preserve"> cost</w:t>
            </w:r>
          </w:p>
        </w:tc>
        <w:tc>
          <w:tcPr>
            <w:tcW w:w="708" w:type="dxa"/>
            <w:tcBorders>
              <w:top w:val="nil"/>
              <w:bottom w:val="nil"/>
            </w:tcBorders>
            <w:shd w:val="clear" w:color="auto" w:fill="FFFFFF" w:themeFill="background1"/>
            <w:vAlign w:val="center"/>
          </w:tcPr>
          <w:p w14:paraId="6C01A2AA" w14:textId="77777777" w:rsidR="00720F68" w:rsidRPr="00B84B0C" w:rsidRDefault="00720F68" w:rsidP="00720F68">
            <w:pPr>
              <w:pStyle w:val="07-Legenda"/>
              <w:spacing w:before="0"/>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B84B0C">
              <w:rPr>
                <w:rFonts w:cs="Arial"/>
                <w:color w:val="000000"/>
                <w:szCs w:val="14"/>
                <w:lang w:val="en-US"/>
              </w:rPr>
              <w:t>[08]</w:t>
            </w:r>
          </w:p>
        </w:tc>
        <w:tc>
          <w:tcPr>
            <w:tcW w:w="1134" w:type="dxa"/>
            <w:tcBorders>
              <w:top w:val="nil"/>
              <w:bottom w:val="nil"/>
            </w:tcBorders>
            <w:shd w:val="clear" w:color="auto" w:fill="FFFFFF" w:themeFill="background1"/>
            <w:vAlign w:val="center"/>
          </w:tcPr>
          <w:p w14:paraId="15CA4248"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435,939</w:t>
            </w:r>
          </w:p>
        </w:tc>
        <w:tc>
          <w:tcPr>
            <w:tcW w:w="1418" w:type="dxa"/>
            <w:tcBorders>
              <w:top w:val="nil"/>
              <w:bottom w:val="nil"/>
            </w:tcBorders>
            <w:shd w:val="clear" w:color="auto" w:fill="FFFFFF" w:themeFill="background1"/>
            <w:vAlign w:val="center"/>
          </w:tcPr>
          <w:p w14:paraId="0B5D74A3"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294,791</w:t>
            </w:r>
          </w:p>
        </w:tc>
        <w:tc>
          <w:tcPr>
            <w:tcW w:w="378" w:type="dxa"/>
            <w:tcBorders>
              <w:top w:val="nil"/>
              <w:bottom w:val="nil"/>
            </w:tcBorders>
            <w:shd w:val="clear" w:color="auto" w:fill="FFFFFF" w:themeFill="background1"/>
            <w:vAlign w:val="center"/>
          </w:tcPr>
          <w:p w14:paraId="1B5058B3" w14:textId="77777777" w:rsidR="00720F68" w:rsidRPr="00B84B0C" w:rsidRDefault="00720F68" w:rsidP="00720F68">
            <w:pPr>
              <w:pStyle w:val="07-Legenda"/>
              <w:spacing w:before="0"/>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23" w:type="dxa"/>
            <w:tcBorders>
              <w:top w:val="nil"/>
              <w:bottom w:val="nil"/>
            </w:tcBorders>
            <w:shd w:val="clear" w:color="auto" w:fill="FFFFFF" w:themeFill="background1"/>
            <w:vAlign w:val="center"/>
          </w:tcPr>
          <w:p w14:paraId="74678971"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B84B0C">
              <w:rPr>
                <w:rFonts w:cs="Arial"/>
                <w:color w:val="000000"/>
                <w:szCs w:val="14"/>
              </w:rPr>
              <w:t>286,301</w:t>
            </w:r>
          </w:p>
        </w:tc>
        <w:tc>
          <w:tcPr>
            <w:tcW w:w="1525" w:type="dxa"/>
            <w:tcBorders>
              <w:top w:val="nil"/>
              <w:bottom w:val="nil"/>
            </w:tcBorders>
            <w:shd w:val="clear" w:color="auto" w:fill="FFFFFF" w:themeFill="background1"/>
            <w:vAlign w:val="center"/>
          </w:tcPr>
          <w:p w14:paraId="431099A7"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B84B0C">
              <w:rPr>
                <w:rFonts w:cs="Arial"/>
                <w:color w:val="000000"/>
                <w:szCs w:val="14"/>
              </w:rPr>
              <w:t>238,305</w:t>
            </w:r>
          </w:p>
        </w:tc>
      </w:tr>
      <w:tr w:rsidR="00720F68" w:rsidRPr="00B84B0C" w14:paraId="7D34E3F4"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28E039BA" w14:textId="77777777" w:rsidR="00720F68" w:rsidRPr="00B84B0C" w:rsidRDefault="00720F68" w:rsidP="00720F68">
            <w:pPr>
              <w:pStyle w:val="08-Tabelageral"/>
              <w:spacing w:before="0" w:after="0"/>
              <w:jc w:val="left"/>
              <w:rPr>
                <w:rFonts w:cs="Arial"/>
                <w:b w:val="0"/>
                <w:szCs w:val="14"/>
                <w:lang w:val="en-US"/>
              </w:rPr>
            </w:pPr>
            <w:r w:rsidRPr="00B84B0C">
              <w:rPr>
                <w:rFonts w:cs="Arial"/>
                <w:b w:val="0"/>
                <w:szCs w:val="14"/>
                <w:lang w:val="en-US"/>
              </w:rPr>
              <w:t>Financial assets at fair value through profit or loss</w:t>
            </w:r>
          </w:p>
        </w:tc>
        <w:tc>
          <w:tcPr>
            <w:tcW w:w="708" w:type="dxa"/>
            <w:tcBorders>
              <w:top w:val="nil"/>
              <w:bottom w:val="nil"/>
            </w:tcBorders>
            <w:shd w:val="clear" w:color="auto" w:fill="D9E2F3" w:themeFill="accent5" w:themeFillTint="33"/>
            <w:vAlign w:val="center"/>
          </w:tcPr>
          <w:p w14:paraId="3D13510A" w14:textId="77777777" w:rsidR="00720F68" w:rsidRPr="00B84B0C" w:rsidRDefault="00720F68" w:rsidP="00720F68">
            <w:pPr>
              <w:pStyle w:val="07-Legenda"/>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val="en-US"/>
              </w:rPr>
              <w:t>[08]</w:t>
            </w:r>
          </w:p>
        </w:tc>
        <w:tc>
          <w:tcPr>
            <w:tcW w:w="1134" w:type="dxa"/>
            <w:tcBorders>
              <w:top w:val="nil"/>
              <w:bottom w:val="nil"/>
            </w:tcBorders>
            <w:shd w:val="clear" w:color="auto" w:fill="D9E2F3" w:themeFill="accent5" w:themeFillTint="33"/>
            <w:vAlign w:val="center"/>
          </w:tcPr>
          <w:p w14:paraId="2918B684"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1418" w:type="dxa"/>
            <w:tcBorders>
              <w:top w:val="nil"/>
              <w:bottom w:val="nil"/>
            </w:tcBorders>
            <w:shd w:val="clear" w:color="auto" w:fill="D9E2F3" w:themeFill="accent5" w:themeFillTint="33"/>
            <w:vAlign w:val="center"/>
          </w:tcPr>
          <w:p w14:paraId="341E9D2D"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462,086</w:t>
            </w:r>
          </w:p>
        </w:tc>
        <w:tc>
          <w:tcPr>
            <w:tcW w:w="378" w:type="dxa"/>
            <w:tcBorders>
              <w:top w:val="nil"/>
              <w:bottom w:val="nil"/>
            </w:tcBorders>
            <w:shd w:val="clear" w:color="auto" w:fill="D9E2F3" w:themeFill="accent5" w:themeFillTint="33"/>
            <w:vAlign w:val="center"/>
          </w:tcPr>
          <w:p w14:paraId="15809C2B" w14:textId="77777777" w:rsidR="00720F68" w:rsidRPr="00B84B0C" w:rsidRDefault="00720F68" w:rsidP="00720F68">
            <w:pPr>
              <w:pStyle w:val="07-Legenda"/>
              <w:spacing w:before="0"/>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323" w:type="dxa"/>
            <w:tcBorders>
              <w:top w:val="nil"/>
              <w:bottom w:val="nil"/>
            </w:tcBorders>
            <w:shd w:val="clear" w:color="auto" w:fill="D9E2F3" w:themeFill="accent5" w:themeFillTint="33"/>
            <w:vAlign w:val="center"/>
          </w:tcPr>
          <w:p w14:paraId="01F3E8C7"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szCs w:val="14"/>
                <w:lang w:val="en-US"/>
              </w:rPr>
            </w:pPr>
            <w:r w:rsidRPr="00B84B0C">
              <w:rPr>
                <w:rFonts w:cs="Arial"/>
                <w:color w:val="000000"/>
                <w:szCs w:val="14"/>
              </w:rPr>
              <w:t>--</w:t>
            </w:r>
          </w:p>
        </w:tc>
        <w:tc>
          <w:tcPr>
            <w:tcW w:w="1525" w:type="dxa"/>
            <w:tcBorders>
              <w:top w:val="nil"/>
              <w:bottom w:val="nil"/>
            </w:tcBorders>
            <w:shd w:val="clear" w:color="auto" w:fill="D9E2F3" w:themeFill="accent5" w:themeFillTint="33"/>
            <w:vAlign w:val="center"/>
          </w:tcPr>
          <w:p w14:paraId="0535D4E4"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bCs/>
                <w:szCs w:val="14"/>
                <w:lang w:val="en-US"/>
              </w:rPr>
            </w:pPr>
            <w:r w:rsidRPr="00B84B0C">
              <w:rPr>
                <w:rFonts w:cs="Arial"/>
                <w:color w:val="000000"/>
                <w:szCs w:val="14"/>
              </w:rPr>
              <w:t>460,147</w:t>
            </w:r>
          </w:p>
        </w:tc>
      </w:tr>
      <w:tr w:rsidR="00720F68" w:rsidRPr="00B84B0C" w14:paraId="62164BCF"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7119F027" w14:textId="77777777" w:rsidR="00720F68" w:rsidRPr="00B84B0C" w:rsidRDefault="00720F68" w:rsidP="00720F68">
            <w:pPr>
              <w:pStyle w:val="08-Tabelageral"/>
              <w:spacing w:before="0" w:after="0"/>
              <w:jc w:val="left"/>
              <w:rPr>
                <w:rFonts w:cs="Arial"/>
                <w:b w:val="0"/>
                <w:szCs w:val="14"/>
                <w:lang w:val="en-US"/>
              </w:rPr>
            </w:pPr>
            <w:proofErr w:type="gramStart"/>
            <w:r w:rsidRPr="00B84B0C">
              <w:rPr>
                <w:rFonts w:cs="Arial"/>
                <w:b w:val="0"/>
                <w:szCs w:val="14"/>
                <w:lang w:val="en-US"/>
              </w:rPr>
              <w:t>Commissions</w:t>
            </w:r>
            <w:proofErr w:type="gramEnd"/>
            <w:r w:rsidRPr="00B84B0C">
              <w:rPr>
                <w:rFonts w:cs="Arial"/>
                <w:b w:val="0"/>
                <w:szCs w:val="14"/>
                <w:lang w:val="en-US"/>
              </w:rPr>
              <w:t xml:space="preserve"> receivable</w:t>
            </w:r>
          </w:p>
        </w:tc>
        <w:tc>
          <w:tcPr>
            <w:tcW w:w="708" w:type="dxa"/>
            <w:tcBorders>
              <w:top w:val="nil"/>
              <w:bottom w:val="nil"/>
            </w:tcBorders>
            <w:shd w:val="clear" w:color="auto" w:fill="FFFFFF" w:themeFill="background1"/>
            <w:vAlign w:val="center"/>
          </w:tcPr>
          <w:p w14:paraId="0B1F0813" w14:textId="77777777" w:rsidR="00720F68" w:rsidRPr="00B84B0C" w:rsidRDefault="00720F68" w:rsidP="00720F68">
            <w:pPr>
              <w:pStyle w:val="07-Legenda"/>
              <w:spacing w:before="0"/>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B84B0C">
              <w:rPr>
                <w:rFonts w:cs="Arial"/>
                <w:color w:val="000000"/>
                <w:szCs w:val="14"/>
                <w:lang w:val="en-US"/>
              </w:rPr>
              <w:t>[13]</w:t>
            </w:r>
          </w:p>
        </w:tc>
        <w:tc>
          <w:tcPr>
            <w:tcW w:w="1134" w:type="dxa"/>
            <w:tcBorders>
              <w:top w:val="nil"/>
              <w:bottom w:val="nil"/>
            </w:tcBorders>
            <w:shd w:val="clear" w:color="auto" w:fill="FFFFFF" w:themeFill="background1"/>
            <w:vAlign w:val="center"/>
          </w:tcPr>
          <w:p w14:paraId="408576C7"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662,137</w:t>
            </w:r>
          </w:p>
        </w:tc>
        <w:tc>
          <w:tcPr>
            <w:tcW w:w="1418" w:type="dxa"/>
            <w:tcBorders>
              <w:top w:val="nil"/>
              <w:bottom w:val="nil"/>
            </w:tcBorders>
            <w:shd w:val="clear" w:color="auto" w:fill="FFFFFF" w:themeFill="background1"/>
            <w:vAlign w:val="center"/>
          </w:tcPr>
          <w:p w14:paraId="5B2A7AC5"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509,265</w:t>
            </w:r>
          </w:p>
        </w:tc>
        <w:tc>
          <w:tcPr>
            <w:tcW w:w="378" w:type="dxa"/>
            <w:tcBorders>
              <w:top w:val="nil"/>
              <w:bottom w:val="nil"/>
            </w:tcBorders>
            <w:shd w:val="clear" w:color="auto" w:fill="FFFFFF" w:themeFill="background1"/>
            <w:vAlign w:val="center"/>
          </w:tcPr>
          <w:p w14:paraId="07B4C68A" w14:textId="77777777" w:rsidR="00720F68" w:rsidRPr="00B84B0C" w:rsidRDefault="00720F68" w:rsidP="00720F68">
            <w:pPr>
              <w:pStyle w:val="07-Legenda"/>
              <w:spacing w:before="0"/>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23" w:type="dxa"/>
            <w:tcBorders>
              <w:top w:val="nil"/>
              <w:bottom w:val="nil"/>
            </w:tcBorders>
            <w:shd w:val="clear" w:color="auto" w:fill="FFFFFF" w:themeFill="background1"/>
            <w:vAlign w:val="center"/>
          </w:tcPr>
          <w:p w14:paraId="3D314FFC"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color w:val="000000"/>
                <w:szCs w:val="14"/>
              </w:rPr>
              <w:t>996,720</w:t>
            </w:r>
          </w:p>
        </w:tc>
        <w:tc>
          <w:tcPr>
            <w:tcW w:w="1525" w:type="dxa"/>
            <w:tcBorders>
              <w:top w:val="nil"/>
              <w:bottom w:val="nil"/>
            </w:tcBorders>
            <w:shd w:val="clear" w:color="auto" w:fill="FFFFFF" w:themeFill="background1"/>
            <w:vAlign w:val="center"/>
          </w:tcPr>
          <w:p w14:paraId="27D644B3"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B84B0C">
              <w:rPr>
                <w:rFonts w:cs="Arial"/>
                <w:color w:val="000000"/>
                <w:szCs w:val="14"/>
              </w:rPr>
              <w:t>343,595</w:t>
            </w:r>
          </w:p>
        </w:tc>
      </w:tr>
      <w:tr w:rsidR="00720F68" w:rsidRPr="00B84B0C" w14:paraId="57AF9A38"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0C673AAA" w14:textId="77777777" w:rsidR="00720F68" w:rsidRPr="00B84B0C" w:rsidRDefault="00720F68" w:rsidP="00720F68">
            <w:pPr>
              <w:pStyle w:val="08-Tabelageral"/>
              <w:spacing w:before="0" w:after="0"/>
              <w:jc w:val="left"/>
              <w:rPr>
                <w:rFonts w:cs="Arial"/>
                <w:b w:val="0"/>
                <w:szCs w:val="14"/>
                <w:lang w:val="en-US"/>
              </w:rPr>
            </w:pPr>
          </w:p>
        </w:tc>
        <w:tc>
          <w:tcPr>
            <w:tcW w:w="708" w:type="dxa"/>
            <w:tcBorders>
              <w:top w:val="nil"/>
              <w:bottom w:val="nil"/>
            </w:tcBorders>
            <w:shd w:val="clear" w:color="auto" w:fill="D9E2F3" w:themeFill="accent5" w:themeFillTint="33"/>
            <w:vAlign w:val="center"/>
          </w:tcPr>
          <w:p w14:paraId="6F4245E6" w14:textId="77777777" w:rsidR="00720F68" w:rsidRPr="00B84B0C" w:rsidRDefault="00720F68" w:rsidP="00720F68">
            <w:pPr>
              <w:pStyle w:val="07-Legenda"/>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p>
        </w:tc>
        <w:tc>
          <w:tcPr>
            <w:tcW w:w="1134" w:type="dxa"/>
            <w:tcBorders>
              <w:top w:val="nil"/>
              <w:bottom w:val="nil"/>
            </w:tcBorders>
            <w:shd w:val="clear" w:color="auto" w:fill="D9E2F3" w:themeFill="accent5" w:themeFillTint="33"/>
            <w:vAlign w:val="center"/>
          </w:tcPr>
          <w:p w14:paraId="5C8086F5" w14:textId="77777777" w:rsidR="00720F68" w:rsidRPr="00B84B0C" w:rsidRDefault="00720F68" w:rsidP="00720F68">
            <w:pPr>
              <w:pStyle w:val="07-Legenda"/>
              <w:spacing w:before="0"/>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p>
        </w:tc>
        <w:tc>
          <w:tcPr>
            <w:tcW w:w="1418" w:type="dxa"/>
            <w:tcBorders>
              <w:top w:val="nil"/>
              <w:bottom w:val="nil"/>
            </w:tcBorders>
            <w:shd w:val="clear" w:color="auto" w:fill="D9E2F3" w:themeFill="accent5" w:themeFillTint="33"/>
            <w:vAlign w:val="center"/>
          </w:tcPr>
          <w:p w14:paraId="49C64F54" w14:textId="77777777" w:rsidR="00720F68" w:rsidRPr="00B84B0C" w:rsidRDefault="00720F68" w:rsidP="00720F68">
            <w:pPr>
              <w:pStyle w:val="07-Legenda"/>
              <w:spacing w:before="0"/>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378" w:type="dxa"/>
            <w:tcBorders>
              <w:top w:val="nil"/>
              <w:bottom w:val="nil"/>
            </w:tcBorders>
            <w:shd w:val="clear" w:color="auto" w:fill="D9E2F3" w:themeFill="accent5" w:themeFillTint="33"/>
            <w:vAlign w:val="center"/>
          </w:tcPr>
          <w:p w14:paraId="57DE19B0" w14:textId="77777777" w:rsidR="00720F68" w:rsidRPr="00B84B0C" w:rsidRDefault="00720F68" w:rsidP="00720F68">
            <w:pPr>
              <w:pStyle w:val="07-Legenda"/>
              <w:spacing w:before="0"/>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323" w:type="dxa"/>
            <w:tcBorders>
              <w:top w:val="nil"/>
              <w:bottom w:val="nil"/>
            </w:tcBorders>
            <w:shd w:val="clear" w:color="auto" w:fill="D9E2F3" w:themeFill="accent5" w:themeFillTint="33"/>
            <w:vAlign w:val="center"/>
          </w:tcPr>
          <w:p w14:paraId="7E8C5C69"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b/>
                <w:szCs w:val="14"/>
                <w:lang w:val="en-US"/>
              </w:rPr>
            </w:pPr>
          </w:p>
        </w:tc>
        <w:tc>
          <w:tcPr>
            <w:tcW w:w="1525" w:type="dxa"/>
            <w:tcBorders>
              <w:top w:val="nil"/>
              <w:bottom w:val="nil"/>
            </w:tcBorders>
            <w:shd w:val="clear" w:color="auto" w:fill="D9E2F3" w:themeFill="accent5" w:themeFillTint="33"/>
            <w:vAlign w:val="center"/>
          </w:tcPr>
          <w:p w14:paraId="69C2226D"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b/>
                <w:bCs/>
                <w:szCs w:val="14"/>
                <w:lang w:val="en-US"/>
              </w:rPr>
            </w:pPr>
          </w:p>
        </w:tc>
      </w:tr>
      <w:tr w:rsidR="00720F68" w:rsidRPr="00B84B0C" w14:paraId="589FC693"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06BC4265" w14:textId="77777777" w:rsidR="00720F68" w:rsidRPr="00B84B0C" w:rsidRDefault="00720F68" w:rsidP="00720F68">
            <w:pPr>
              <w:pStyle w:val="08-Tabelageral"/>
              <w:spacing w:before="0" w:after="0"/>
              <w:jc w:val="left"/>
              <w:rPr>
                <w:rFonts w:cs="Arial"/>
                <w:szCs w:val="14"/>
                <w:lang w:val="en-US"/>
              </w:rPr>
            </w:pPr>
            <w:r w:rsidRPr="00B84B0C">
              <w:rPr>
                <w:rFonts w:cs="Arial"/>
                <w:szCs w:val="14"/>
                <w:lang w:val="en-US"/>
              </w:rPr>
              <w:t>LIABILITIES</w:t>
            </w:r>
          </w:p>
        </w:tc>
        <w:tc>
          <w:tcPr>
            <w:tcW w:w="708" w:type="dxa"/>
            <w:tcBorders>
              <w:top w:val="nil"/>
              <w:bottom w:val="nil"/>
            </w:tcBorders>
            <w:shd w:val="clear" w:color="auto" w:fill="FFFFFF" w:themeFill="background1"/>
            <w:vAlign w:val="center"/>
          </w:tcPr>
          <w:p w14:paraId="7F4BCD51" w14:textId="77777777" w:rsidR="00720F68" w:rsidRPr="00B84B0C" w:rsidRDefault="00720F68" w:rsidP="00720F68">
            <w:pPr>
              <w:pStyle w:val="07-Legenda"/>
              <w:spacing w:before="0"/>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134" w:type="dxa"/>
            <w:tcBorders>
              <w:top w:val="nil"/>
              <w:bottom w:val="nil"/>
            </w:tcBorders>
            <w:shd w:val="clear" w:color="auto" w:fill="FFFFFF" w:themeFill="background1"/>
            <w:vAlign w:val="center"/>
          </w:tcPr>
          <w:p w14:paraId="1A109836" w14:textId="77777777" w:rsidR="00720F68" w:rsidRPr="00B84B0C" w:rsidRDefault="00720F68" w:rsidP="00720F68">
            <w:pPr>
              <w:pStyle w:val="07-Legenda"/>
              <w:spacing w:before="0"/>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p>
        </w:tc>
        <w:tc>
          <w:tcPr>
            <w:tcW w:w="1418" w:type="dxa"/>
            <w:tcBorders>
              <w:top w:val="nil"/>
              <w:bottom w:val="nil"/>
            </w:tcBorders>
            <w:shd w:val="clear" w:color="auto" w:fill="FFFFFF" w:themeFill="background1"/>
            <w:vAlign w:val="center"/>
          </w:tcPr>
          <w:p w14:paraId="09AC05CB" w14:textId="77777777" w:rsidR="00720F68" w:rsidRPr="00B84B0C" w:rsidRDefault="00720F68" w:rsidP="00720F68">
            <w:pPr>
              <w:pStyle w:val="07-Legenda"/>
              <w:spacing w:before="0"/>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378" w:type="dxa"/>
            <w:tcBorders>
              <w:top w:val="nil"/>
              <w:bottom w:val="nil"/>
            </w:tcBorders>
            <w:shd w:val="clear" w:color="auto" w:fill="FFFFFF" w:themeFill="background1"/>
            <w:vAlign w:val="center"/>
          </w:tcPr>
          <w:p w14:paraId="2766FCBD" w14:textId="77777777" w:rsidR="00720F68" w:rsidRPr="00B84B0C" w:rsidRDefault="00720F68" w:rsidP="00720F68">
            <w:pPr>
              <w:pStyle w:val="07-Legenda"/>
              <w:spacing w:before="0"/>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23" w:type="dxa"/>
            <w:tcBorders>
              <w:top w:val="nil"/>
              <w:bottom w:val="nil"/>
            </w:tcBorders>
            <w:shd w:val="clear" w:color="auto" w:fill="FFFFFF" w:themeFill="background1"/>
            <w:vAlign w:val="center"/>
          </w:tcPr>
          <w:p w14:paraId="34FA96C8"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525" w:type="dxa"/>
            <w:tcBorders>
              <w:top w:val="nil"/>
              <w:bottom w:val="nil"/>
            </w:tcBorders>
            <w:shd w:val="clear" w:color="auto" w:fill="FFFFFF" w:themeFill="background1"/>
            <w:vAlign w:val="center"/>
          </w:tcPr>
          <w:p w14:paraId="0C77525F"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bCs/>
                <w:szCs w:val="14"/>
                <w:lang w:val="en-US"/>
              </w:rPr>
            </w:pPr>
          </w:p>
        </w:tc>
      </w:tr>
      <w:tr w:rsidR="00720F68" w:rsidRPr="00B84B0C" w14:paraId="38580293"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0491DADC" w14:textId="77777777" w:rsidR="00720F68" w:rsidRPr="00B84B0C" w:rsidRDefault="00720F68" w:rsidP="00720F68">
            <w:pPr>
              <w:pStyle w:val="08-Tabelageral"/>
              <w:spacing w:before="0" w:after="0"/>
              <w:jc w:val="left"/>
              <w:rPr>
                <w:rFonts w:cs="Arial"/>
                <w:b w:val="0"/>
                <w:szCs w:val="14"/>
                <w:lang w:val="en-US"/>
              </w:rPr>
            </w:pPr>
            <w:r w:rsidRPr="00B84B0C">
              <w:rPr>
                <w:rFonts w:cs="Arial"/>
                <w:b w:val="0"/>
                <w:szCs w:val="14"/>
                <w:lang w:val="en-US"/>
              </w:rPr>
              <w:t>Dividends payable</w:t>
            </w:r>
          </w:p>
        </w:tc>
        <w:tc>
          <w:tcPr>
            <w:tcW w:w="708" w:type="dxa"/>
            <w:tcBorders>
              <w:top w:val="nil"/>
              <w:bottom w:val="nil"/>
            </w:tcBorders>
            <w:shd w:val="clear" w:color="auto" w:fill="D9E2F3" w:themeFill="accent5" w:themeFillTint="33"/>
            <w:vAlign w:val="center"/>
          </w:tcPr>
          <w:p w14:paraId="6A85DB26" w14:textId="77777777" w:rsidR="00720F68" w:rsidRPr="00B84B0C" w:rsidRDefault="00720F68" w:rsidP="00720F68">
            <w:pPr>
              <w:pStyle w:val="07-Legenda"/>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val="en-US"/>
              </w:rPr>
              <w:t>[15]</w:t>
            </w:r>
          </w:p>
        </w:tc>
        <w:tc>
          <w:tcPr>
            <w:tcW w:w="1134" w:type="dxa"/>
            <w:tcBorders>
              <w:top w:val="nil"/>
              <w:bottom w:val="nil"/>
            </w:tcBorders>
            <w:shd w:val="clear" w:color="auto" w:fill="D9E2F3" w:themeFill="accent5" w:themeFillTint="33"/>
            <w:vAlign w:val="center"/>
          </w:tcPr>
          <w:p w14:paraId="2C35279C"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lang w:val="en-US"/>
              </w:rPr>
            </w:pPr>
            <w:r w:rsidRPr="00B84B0C">
              <w:rPr>
                <w:rFonts w:cs="Arial"/>
                <w:color w:val="000000"/>
                <w:sz w:val="14"/>
                <w:szCs w:val="14"/>
              </w:rPr>
              <w:t>2,700,475</w:t>
            </w:r>
          </w:p>
        </w:tc>
        <w:tc>
          <w:tcPr>
            <w:tcW w:w="1418" w:type="dxa"/>
            <w:tcBorders>
              <w:top w:val="nil"/>
              <w:bottom w:val="nil"/>
            </w:tcBorders>
            <w:shd w:val="clear" w:color="auto" w:fill="D9E2F3" w:themeFill="accent5" w:themeFillTint="33"/>
            <w:vAlign w:val="center"/>
          </w:tcPr>
          <w:p w14:paraId="0E3D473E"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378" w:type="dxa"/>
            <w:tcBorders>
              <w:top w:val="nil"/>
              <w:bottom w:val="nil"/>
            </w:tcBorders>
            <w:shd w:val="clear" w:color="auto" w:fill="D9E2F3" w:themeFill="accent5" w:themeFillTint="33"/>
            <w:vAlign w:val="center"/>
          </w:tcPr>
          <w:p w14:paraId="5FE2D882" w14:textId="77777777" w:rsidR="00720F68" w:rsidRPr="00B84B0C" w:rsidRDefault="00720F68" w:rsidP="00720F68">
            <w:pPr>
              <w:pStyle w:val="07-Legenda"/>
              <w:spacing w:before="0"/>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323" w:type="dxa"/>
            <w:tcBorders>
              <w:top w:val="nil"/>
              <w:bottom w:val="nil"/>
            </w:tcBorders>
            <w:shd w:val="clear" w:color="auto" w:fill="D9E2F3" w:themeFill="accent5" w:themeFillTint="33"/>
            <w:vAlign w:val="center"/>
          </w:tcPr>
          <w:p w14:paraId="1C98DBE7"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B84B0C">
              <w:rPr>
                <w:rFonts w:cs="Arial"/>
                <w:color w:val="000000"/>
                <w:szCs w:val="14"/>
              </w:rPr>
              <w:t>6,490,643</w:t>
            </w:r>
          </w:p>
        </w:tc>
        <w:tc>
          <w:tcPr>
            <w:tcW w:w="1525" w:type="dxa"/>
            <w:tcBorders>
              <w:top w:val="nil"/>
              <w:bottom w:val="nil"/>
            </w:tcBorders>
            <w:shd w:val="clear" w:color="auto" w:fill="D9E2F3" w:themeFill="accent5" w:themeFillTint="33"/>
            <w:vAlign w:val="center"/>
          </w:tcPr>
          <w:p w14:paraId="2F38FD3E"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B84B0C">
              <w:rPr>
                <w:rFonts w:cs="Arial"/>
                <w:color w:val="000000"/>
                <w:szCs w:val="14"/>
              </w:rPr>
              <w:t>--</w:t>
            </w:r>
          </w:p>
        </w:tc>
      </w:tr>
      <w:tr w:rsidR="00720F68" w:rsidRPr="00B84B0C" w14:paraId="5CC56106"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FFFFFF" w:themeFill="background1"/>
          </w:tcPr>
          <w:p w14:paraId="23678D15" w14:textId="77777777" w:rsidR="00720F68" w:rsidRPr="00B84B0C" w:rsidRDefault="00720F68" w:rsidP="00720F68">
            <w:pPr>
              <w:pStyle w:val="08-Tabelageral"/>
              <w:spacing w:before="0" w:after="0"/>
              <w:jc w:val="left"/>
              <w:rPr>
                <w:rFonts w:cs="Arial"/>
                <w:b w:val="0"/>
                <w:szCs w:val="14"/>
                <w:lang w:val="en-US"/>
              </w:rPr>
            </w:pPr>
            <w:r w:rsidRPr="00B84B0C">
              <w:rPr>
                <w:rFonts w:cs="Arial"/>
                <w:b w:val="0"/>
                <w:szCs w:val="14"/>
                <w:lang w:val="en-US"/>
              </w:rPr>
              <w:t>Current tax liabilities</w:t>
            </w:r>
          </w:p>
        </w:tc>
        <w:tc>
          <w:tcPr>
            <w:tcW w:w="708" w:type="dxa"/>
            <w:tcBorders>
              <w:top w:val="nil"/>
              <w:bottom w:val="nil"/>
            </w:tcBorders>
            <w:shd w:val="clear" w:color="auto" w:fill="FFFFFF" w:themeFill="background1"/>
            <w:vAlign w:val="center"/>
          </w:tcPr>
          <w:p w14:paraId="569C23A3" w14:textId="77777777" w:rsidR="00720F68" w:rsidRPr="00B84B0C" w:rsidRDefault="00720F68" w:rsidP="00720F68">
            <w:pPr>
              <w:pStyle w:val="07-Legenda"/>
              <w:spacing w:before="0"/>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val="en-US"/>
              </w:rPr>
            </w:pPr>
            <w:r w:rsidRPr="00B84B0C">
              <w:rPr>
                <w:rFonts w:cs="Arial"/>
                <w:color w:val="000000"/>
                <w:szCs w:val="14"/>
                <w:lang w:val="en-US"/>
              </w:rPr>
              <w:t>[12]</w:t>
            </w:r>
          </w:p>
        </w:tc>
        <w:tc>
          <w:tcPr>
            <w:tcW w:w="1134" w:type="dxa"/>
            <w:tcBorders>
              <w:top w:val="nil"/>
              <w:bottom w:val="nil"/>
            </w:tcBorders>
            <w:shd w:val="clear" w:color="auto" w:fill="FFFFFF" w:themeFill="background1"/>
            <w:vAlign w:val="center"/>
          </w:tcPr>
          <w:p w14:paraId="3F100938"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290,871</w:t>
            </w:r>
          </w:p>
        </w:tc>
        <w:tc>
          <w:tcPr>
            <w:tcW w:w="1418" w:type="dxa"/>
            <w:tcBorders>
              <w:top w:val="nil"/>
              <w:bottom w:val="nil"/>
            </w:tcBorders>
            <w:shd w:val="clear" w:color="auto" w:fill="FFFFFF" w:themeFill="background1"/>
            <w:vAlign w:val="center"/>
          </w:tcPr>
          <w:p w14:paraId="653E7D7C"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378" w:type="dxa"/>
            <w:tcBorders>
              <w:top w:val="nil"/>
              <w:bottom w:val="nil"/>
            </w:tcBorders>
            <w:shd w:val="clear" w:color="auto" w:fill="FFFFFF" w:themeFill="background1"/>
            <w:vAlign w:val="center"/>
          </w:tcPr>
          <w:p w14:paraId="2960FD94" w14:textId="77777777" w:rsidR="00720F68" w:rsidRPr="00B84B0C" w:rsidRDefault="00720F68" w:rsidP="00720F68">
            <w:pPr>
              <w:pStyle w:val="07-Legenda"/>
              <w:spacing w:before="0"/>
              <w:jc w:val="right"/>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323" w:type="dxa"/>
            <w:tcBorders>
              <w:top w:val="nil"/>
              <w:bottom w:val="nil"/>
            </w:tcBorders>
            <w:shd w:val="clear" w:color="auto" w:fill="FFFFFF" w:themeFill="background1"/>
            <w:vAlign w:val="center"/>
          </w:tcPr>
          <w:p w14:paraId="08ECD017"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color w:val="000000"/>
                <w:szCs w:val="14"/>
              </w:rPr>
              <w:t>656,871</w:t>
            </w:r>
          </w:p>
        </w:tc>
        <w:tc>
          <w:tcPr>
            <w:tcW w:w="1525" w:type="dxa"/>
            <w:tcBorders>
              <w:top w:val="nil"/>
              <w:bottom w:val="nil"/>
            </w:tcBorders>
            <w:shd w:val="clear" w:color="auto" w:fill="FFFFFF" w:themeFill="background1"/>
            <w:vAlign w:val="center"/>
          </w:tcPr>
          <w:p w14:paraId="7FF7B41B"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B84B0C">
              <w:rPr>
                <w:rFonts w:cs="Arial"/>
                <w:color w:val="000000"/>
                <w:szCs w:val="14"/>
              </w:rPr>
              <w:t>--</w:t>
            </w:r>
          </w:p>
        </w:tc>
      </w:tr>
      <w:tr w:rsidR="00720F68" w:rsidRPr="00B84B0C" w14:paraId="73E0BB09"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nil"/>
            </w:tcBorders>
            <w:shd w:val="clear" w:color="auto" w:fill="D9E2F3" w:themeFill="accent5" w:themeFillTint="33"/>
          </w:tcPr>
          <w:p w14:paraId="1B280EB4" w14:textId="77777777" w:rsidR="00720F68" w:rsidRPr="00B84B0C" w:rsidRDefault="00720F68" w:rsidP="00720F68">
            <w:pPr>
              <w:pStyle w:val="08-Tabelageral"/>
              <w:spacing w:before="0" w:after="0"/>
              <w:jc w:val="left"/>
              <w:rPr>
                <w:rFonts w:cs="Arial"/>
                <w:b w:val="0"/>
                <w:szCs w:val="14"/>
                <w:lang w:val="en-US"/>
              </w:rPr>
            </w:pPr>
            <w:r w:rsidRPr="00B84B0C">
              <w:rPr>
                <w:rFonts w:cs="Arial"/>
                <w:b w:val="0"/>
                <w:szCs w:val="14"/>
                <w:lang w:val="en-US"/>
              </w:rPr>
              <w:t>Unearned commissions</w:t>
            </w:r>
          </w:p>
        </w:tc>
        <w:tc>
          <w:tcPr>
            <w:tcW w:w="708" w:type="dxa"/>
            <w:tcBorders>
              <w:top w:val="nil"/>
              <w:bottom w:val="nil"/>
            </w:tcBorders>
            <w:shd w:val="clear" w:color="auto" w:fill="D9E2F3" w:themeFill="accent5" w:themeFillTint="33"/>
            <w:vAlign w:val="center"/>
          </w:tcPr>
          <w:p w14:paraId="6AC8DBF7" w14:textId="77777777" w:rsidR="00720F68" w:rsidRPr="00B84B0C" w:rsidRDefault="00720F68" w:rsidP="00720F68">
            <w:pPr>
              <w:pStyle w:val="07-Legenda"/>
              <w:spacing w:before="0"/>
              <w:jc w:val="center"/>
              <w:cnfStyle w:val="000000000000" w:firstRow="0" w:lastRow="0" w:firstColumn="0" w:lastColumn="0" w:oddVBand="0" w:evenVBand="0" w:oddHBand="0" w:evenHBand="0" w:firstRowFirstColumn="0" w:firstRowLastColumn="0" w:lastRowFirstColumn="0" w:lastRowLastColumn="0"/>
              <w:rPr>
                <w:rFonts w:cs="Arial"/>
                <w:color w:val="000000"/>
                <w:szCs w:val="14"/>
                <w:lang w:val="en-US"/>
              </w:rPr>
            </w:pPr>
            <w:r w:rsidRPr="00B84B0C">
              <w:rPr>
                <w:rFonts w:cs="Arial"/>
                <w:color w:val="000000"/>
                <w:szCs w:val="14"/>
                <w:lang w:val="en-US"/>
              </w:rPr>
              <w:t>[17]</w:t>
            </w:r>
          </w:p>
        </w:tc>
        <w:tc>
          <w:tcPr>
            <w:tcW w:w="1134" w:type="dxa"/>
            <w:tcBorders>
              <w:top w:val="nil"/>
              <w:bottom w:val="nil"/>
            </w:tcBorders>
            <w:shd w:val="clear" w:color="auto" w:fill="D9E2F3" w:themeFill="accent5" w:themeFillTint="33"/>
            <w:vAlign w:val="center"/>
          </w:tcPr>
          <w:p w14:paraId="36AB84FF"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949,137</w:t>
            </w:r>
          </w:p>
        </w:tc>
        <w:tc>
          <w:tcPr>
            <w:tcW w:w="1418" w:type="dxa"/>
            <w:tcBorders>
              <w:top w:val="nil"/>
              <w:bottom w:val="nil"/>
            </w:tcBorders>
            <w:shd w:val="clear" w:color="auto" w:fill="D9E2F3" w:themeFill="accent5" w:themeFillTint="33"/>
            <w:vAlign w:val="center"/>
          </w:tcPr>
          <w:p w14:paraId="6D1A04A0" w14:textId="77777777" w:rsidR="00720F68" w:rsidRPr="00B84B0C" w:rsidRDefault="00720F68" w:rsidP="00720F68">
            <w:pPr>
              <w:jc w:val="right"/>
              <w:cnfStyle w:val="000000000000" w:firstRow="0" w:lastRow="0" w:firstColumn="0" w:lastColumn="0" w:oddVBand="0" w:evenVBand="0" w:oddHBand="0" w:evenHBand="0" w:firstRowFirstColumn="0" w:firstRowLastColumn="0" w:lastRowFirstColumn="0" w:lastRowLastColumn="0"/>
              <w:rPr>
                <w:rFonts w:cs="Arial"/>
                <w:color w:val="000000"/>
                <w:sz w:val="14"/>
                <w:szCs w:val="14"/>
                <w:lang w:val="en-US"/>
              </w:rPr>
            </w:pPr>
            <w:r w:rsidRPr="00B84B0C">
              <w:rPr>
                <w:rFonts w:cs="Arial"/>
                <w:color w:val="000000"/>
                <w:sz w:val="14"/>
                <w:szCs w:val="14"/>
              </w:rPr>
              <w:t>1,301,691</w:t>
            </w:r>
          </w:p>
        </w:tc>
        <w:tc>
          <w:tcPr>
            <w:tcW w:w="378" w:type="dxa"/>
            <w:tcBorders>
              <w:top w:val="nil"/>
              <w:bottom w:val="nil"/>
            </w:tcBorders>
            <w:shd w:val="clear" w:color="auto" w:fill="D9E2F3" w:themeFill="accent5" w:themeFillTint="33"/>
            <w:vAlign w:val="center"/>
          </w:tcPr>
          <w:p w14:paraId="1A304DBC" w14:textId="77777777" w:rsidR="00720F68" w:rsidRPr="00B84B0C" w:rsidRDefault="00720F68" w:rsidP="00720F68">
            <w:pPr>
              <w:pStyle w:val="07-Legenda"/>
              <w:spacing w:before="0"/>
              <w:jc w:val="right"/>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323" w:type="dxa"/>
            <w:tcBorders>
              <w:top w:val="nil"/>
              <w:bottom w:val="nil"/>
            </w:tcBorders>
            <w:shd w:val="clear" w:color="auto" w:fill="D9E2F3" w:themeFill="accent5" w:themeFillTint="33"/>
            <w:vAlign w:val="center"/>
          </w:tcPr>
          <w:p w14:paraId="4A22F672"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b/>
                <w:szCs w:val="14"/>
                <w:lang w:val="en-US"/>
              </w:rPr>
            </w:pPr>
            <w:r w:rsidRPr="00B84B0C">
              <w:rPr>
                <w:rFonts w:cs="Arial"/>
                <w:color w:val="000000"/>
                <w:szCs w:val="14"/>
              </w:rPr>
              <w:t>993,057</w:t>
            </w:r>
          </w:p>
        </w:tc>
        <w:tc>
          <w:tcPr>
            <w:tcW w:w="1525" w:type="dxa"/>
            <w:tcBorders>
              <w:top w:val="nil"/>
              <w:bottom w:val="nil"/>
            </w:tcBorders>
            <w:shd w:val="clear" w:color="auto" w:fill="D9E2F3" w:themeFill="accent5" w:themeFillTint="33"/>
            <w:vAlign w:val="center"/>
          </w:tcPr>
          <w:p w14:paraId="3A554264" w14:textId="77777777" w:rsidR="00720F68" w:rsidRPr="00B84B0C" w:rsidRDefault="00720F68" w:rsidP="00720F68">
            <w:pPr>
              <w:pStyle w:val="08-Tabelageral"/>
              <w:spacing w:before="0" w:after="0"/>
              <w:cnfStyle w:val="000000000000" w:firstRow="0" w:lastRow="0" w:firstColumn="0" w:lastColumn="0" w:oddVBand="0" w:evenVBand="0" w:oddHBand="0" w:evenHBand="0" w:firstRowFirstColumn="0" w:firstRowLastColumn="0" w:lastRowFirstColumn="0" w:lastRowLastColumn="0"/>
              <w:rPr>
                <w:rFonts w:cs="Arial"/>
                <w:b/>
                <w:bCs/>
                <w:szCs w:val="14"/>
                <w:lang w:val="en-US"/>
              </w:rPr>
            </w:pPr>
            <w:r w:rsidRPr="00B84B0C">
              <w:rPr>
                <w:rFonts w:cs="Arial"/>
                <w:color w:val="000000"/>
                <w:szCs w:val="14"/>
              </w:rPr>
              <w:t>1,226,955</w:t>
            </w:r>
          </w:p>
        </w:tc>
      </w:tr>
      <w:tr w:rsidR="00720F68" w:rsidRPr="00B84B0C" w14:paraId="48F18338"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gridSpan w:val="2"/>
            <w:tcBorders>
              <w:top w:val="nil"/>
              <w:bottom w:val="single" w:sz="2" w:space="0" w:color="8EAADB" w:themeColor="accent5" w:themeTint="99"/>
            </w:tcBorders>
            <w:shd w:val="clear" w:color="auto" w:fill="FFFFFF" w:themeFill="background1"/>
          </w:tcPr>
          <w:p w14:paraId="0F7437C4" w14:textId="77777777" w:rsidR="00720F68" w:rsidRPr="00B84B0C" w:rsidRDefault="00720F68" w:rsidP="00720F68">
            <w:pPr>
              <w:pStyle w:val="08-Tabelageral"/>
              <w:spacing w:before="0" w:after="0"/>
              <w:jc w:val="left"/>
              <w:rPr>
                <w:rFonts w:cs="Arial"/>
                <w:b w:val="0"/>
                <w:szCs w:val="14"/>
                <w:lang w:val="en-US"/>
              </w:rPr>
            </w:pPr>
            <w:r w:rsidRPr="00B84B0C">
              <w:rPr>
                <w:rFonts w:cs="Arial"/>
                <w:b w:val="0"/>
                <w:szCs w:val="14"/>
                <w:lang w:val="en-US"/>
              </w:rPr>
              <w:t>Other liabilities</w:t>
            </w:r>
          </w:p>
        </w:tc>
        <w:tc>
          <w:tcPr>
            <w:tcW w:w="708" w:type="dxa"/>
            <w:tcBorders>
              <w:top w:val="nil"/>
              <w:bottom w:val="single" w:sz="2" w:space="0" w:color="8EAADB" w:themeColor="accent5" w:themeTint="99"/>
            </w:tcBorders>
            <w:shd w:val="clear" w:color="auto" w:fill="FFFFFF" w:themeFill="background1"/>
            <w:vAlign w:val="center"/>
          </w:tcPr>
          <w:p w14:paraId="788C1877" w14:textId="77777777" w:rsidR="00720F68" w:rsidRPr="00B84B0C" w:rsidRDefault="00720F68" w:rsidP="00720F68">
            <w:pPr>
              <w:pStyle w:val="07-Legenda"/>
              <w:spacing w:before="0"/>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r w:rsidRPr="00B84B0C">
              <w:rPr>
                <w:rFonts w:cs="Arial"/>
                <w:szCs w:val="14"/>
                <w:lang w:val="en-US"/>
              </w:rPr>
              <w:t>[18]</w:t>
            </w:r>
          </w:p>
        </w:tc>
        <w:tc>
          <w:tcPr>
            <w:tcW w:w="1134" w:type="dxa"/>
            <w:tcBorders>
              <w:top w:val="nil"/>
              <w:bottom w:val="single" w:sz="2" w:space="0" w:color="8EAADB" w:themeColor="accent5" w:themeTint="99"/>
            </w:tcBorders>
            <w:shd w:val="clear" w:color="auto" w:fill="FFFFFF" w:themeFill="background1"/>
            <w:vAlign w:val="center"/>
          </w:tcPr>
          <w:p w14:paraId="31938B43"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74,532</w:t>
            </w:r>
          </w:p>
        </w:tc>
        <w:tc>
          <w:tcPr>
            <w:tcW w:w="1418" w:type="dxa"/>
            <w:tcBorders>
              <w:top w:val="nil"/>
              <w:bottom w:val="single" w:sz="2" w:space="0" w:color="8EAADB" w:themeColor="accent5" w:themeTint="99"/>
            </w:tcBorders>
            <w:shd w:val="clear" w:color="auto" w:fill="FFFFFF" w:themeFill="background1"/>
            <w:vAlign w:val="center"/>
          </w:tcPr>
          <w:p w14:paraId="045250E6" w14:textId="77777777" w:rsidR="00720F68" w:rsidRPr="00B84B0C" w:rsidRDefault="00720F68" w:rsidP="00720F6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lang w:val="en-US"/>
              </w:rPr>
            </w:pPr>
            <w:r w:rsidRPr="00B84B0C">
              <w:rPr>
                <w:rFonts w:cs="Arial"/>
                <w:color w:val="000000"/>
                <w:sz w:val="14"/>
                <w:szCs w:val="14"/>
              </w:rPr>
              <w:t>--</w:t>
            </w:r>
          </w:p>
        </w:tc>
        <w:tc>
          <w:tcPr>
            <w:tcW w:w="378" w:type="dxa"/>
            <w:tcBorders>
              <w:top w:val="nil"/>
              <w:bottom w:val="single" w:sz="2" w:space="0" w:color="8EAADB" w:themeColor="accent5" w:themeTint="99"/>
            </w:tcBorders>
            <w:shd w:val="clear" w:color="auto" w:fill="FFFFFF" w:themeFill="background1"/>
            <w:vAlign w:val="center"/>
          </w:tcPr>
          <w:p w14:paraId="64F64CF0" w14:textId="77777777" w:rsidR="00720F68" w:rsidRPr="00B84B0C" w:rsidRDefault="00720F68" w:rsidP="00720F68">
            <w:pPr>
              <w:pStyle w:val="07-Legenda"/>
              <w:spacing w:before="0"/>
              <w:jc w:val="right"/>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323" w:type="dxa"/>
            <w:tcBorders>
              <w:top w:val="nil"/>
              <w:bottom w:val="single" w:sz="2" w:space="0" w:color="8EAADB" w:themeColor="accent5" w:themeTint="99"/>
            </w:tcBorders>
            <w:shd w:val="clear" w:color="auto" w:fill="FFFFFF" w:themeFill="background1"/>
            <w:vAlign w:val="center"/>
          </w:tcPr>
          <w:p w14:paraId="57F274AB"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szCs w:val="14"/>
                <w:lang w:val="en-US"/>
              </w:rPr>
            </w:pPr>
            <w:r w:rsidRPr="00B84B0C">
              <w:rPr>
                <w:rFonts w:cs="Arial"/>
                <w:color w:val="000000"/>
                <w:szCs w:val="14"/>
              </w:rPr>
              <w:t>64,643</w:t>
            </w:r>
          </w:p>
        </w:tc>
        <w:tc>
          <w:tcPr>
            <w:tcW w:w="1525" w:type="dxa"/>
            <w:tcBorders>
              <w:top w:val="nil"/>
              <w:bottom w:val="single" w:sz="2" w:space="0" w:color="8EAADB" w:themeColor="accent5" w:themeTint="99"/>
            </w:tcBorders>
            <w:shd w:val="clear" w:color="auto" w:fill="FFFFFF" w:themeFill="background1"/>
            <w:vAlign w:val="center"/>
          </w:tcPr>
          <w:p w14:paraId="0B72AA07" w14:textId="77777777" w:rsidR="00720F68" w:rsidRPr="00B84B0C" w:rsidRDefault="00720F68" w:rsidP="00720F68">
            <w:pPr>
              <w:pStyle w:val="08-Tabelageral"/>
              <w:spacing w:before="0" w:after="0"/>
              <w:cnfStyle w:val="000000100000" w:firstRow="0" w:lastRow="0" w:firstColumn="0" w:lastColumn="0" w:oddVBand="0" w:evenVBand="0" w:oddHBand="1" w:evenHBand="0" w:firstRowFirstColumn="0" w:firstRowLastColumn="0" w:lastRowFirstColumn="0" w:lastRowLastColumn="0"/>
              <w:rPr>
                <w:rFonts w:cs="Arial"/>
                <w:b/>
                <w:bCs/>
                <w:szCs w:val="14"/>
                <w:lang w:val="en-US"/>
              </w:rPr>
            </w:pPr>
            <w:r w:rsidRPr="00B84B0C">
              <w:rPr>
                <w:rFonts w:cs="Arial"/>
                <w:color w:val="000000"/>
                <w:szCs w:val="14"/>
              </w:rPr>
              <w:t>--</w:t>
            </w:r>
          </w:p>
        </w:tc>
      </w:tr>
    </w:tbl>
    <w:p w14:paraId="7443C96B" w14:textId="77777777" w:rsidR="00720F68" w:rsidRPr="00B84B0C" w:rsidRDefault="00720F68">
      <w:pPr>
        <w:rPr>
          <w:rFonts w:cs="Arial"/>
          <w:b/>
          <w:color w:val="1F4E79" w:themeColor="accent1" w:themeShade="80"/>
          <w:szCs w:val="18"/>
          <w:lang w:val="en-US"/>
        </w:rPr>
      </w:pPr>
    </w:p>
    <w:p w14:paraId="6792F20C" w14:textId="77777777" w:rsidR="00720F68" w:rsidRPr="00B84B0C" w:rsidRDefault="00720F68" w:rsidP="00720F68">
      <w:pPr>
        <w:pStyle w:val="01-TtulodeNota"/>
        <w:jc w:val="left"/>
        <w:rPr>
          <w:rFonts w:cs="Arial"/>
          <w:color w:val="1F4E79" w:themeColor="accent1" w:themeShade="80"/>
          <w:lang w:val="en-US"/>
        </w:rPr>
      </w:pPr>
      <w:r w:rsidRPr="00B84B0C">
        <w:rPr>
          <w:rFonts w:cs="Arial"/>
          <w:color w:val="1F4E79" w:themeColor="accent1" w:themeShade="80"/>
          <w:lang w:val="en-US"/>
        </w:rPr>
        <w:t>b) Risk Governance applied to Affiliated Companies</w:t>
      </w:r>
    </w:p>
    <w:p w14:paraId="0B5CB105" w14:textId="77777777" w:rsidR="00720F68" w:rsidRPr="00B84B0C" w:rsidRDefault="00720F68" w:rsidP="00720F68">
      <w:pPr>
        <w:pStyle w:val="01-Textonormal"/>
        <w:rPr>
          <w:rFonts w:cs="Arial"/>
          <w:lang w:val="en-US"/>
        </w:rPr>
      </w:pPr>
      <w:r w:rsidRPr="00B84B0C">
        <w:rPr>
          <w:rFonts w:cs="Arial"/>
          <w:lang w:val="en-US"/>
        </w:rPr>
        <w:t xml:space="preserve">The associates/joint ventures have own risk management framework. The results of the work performed by these frameworks provide inputs to the achievement of continuous assessment and monitoring performed by BB </w:t>
      </w:r>
      <w:proofErr w:type="spellStart"/>
      <w:r w:rsidRPr="00B84B0C">
        <w:rPr>
          <w:rFonts w:cs="Arial"/>
          <w:lang w:val="en-US"/>
        </w:rPr>
        <w:t>Seguridade</w:t>
      </w:r>
      <w:proofErr w:type="spellEnd"/>
      <w:r w:rsidRPr="00B84B0C">
        <w:rPr>
          <w:rFonts w:cs="Arial"/>
          <w:lang w:val="en-US"/>
        </w:rPr>
        <w:t xml:space="preserve"> which seeks, through governance, the adoption of best risk management practices by the associates/joint ventures. </w:t>
      </w:r>
    </w:p>
    <w:p w14:paraId="7DFFCD8D" w14:textId="77777777" w:rsidR="00720F68" w:rsidRPr="00B84B0C" w:rsidRDefault="00720F68" w:rsidP="00720F68">
      <w:pPr>
        <w:pStyle w:val="05-Textonormal"/>
        <w:rPr>
          <w:rFonts w:cs="Arial"/>
          <w:lang w:val="en-US"/>
        </w:rPr>
      </w:pPr>
      <w:r w:rsidRPr="00B84B0C">
        <w:rPr>
          <w:rFonts w:cs="Arial"/>
          <w:lang w:val="en-US"/>
        </w:rPr>
        <w:t xml:space="preserve">The associates/joint ventures regulated by </w:t>
      </w:r>
      <w:proofErr w:type="spellStart"/>
      <w:r w:rsidRPr="00B84B0C">
        <w:rPr>
          <w:rFonts w:cs="Arial"/>
          <w:lang w:val="en-US"/>
        </w:rPr>
        <w:t>Susep</w:t>
      </w:r>
      <w:proofErr w:type="spellEnd"/>
      <w:r w:rsidRPr="00B84B0C">
        <w:rPr>
          <w:rFonts w:cs="Arial"/>
          <w:lang w:val="en-US"/>
        </w:rPr>
        <w:t xml:space="preserve"> have risk management framework based on minimum requirements defined by the regulatory body, established at </w:t>
      </w:r>
      <w:proofErr w:type="spellStart"/>
      <w:r w:rsidRPr="00B84B0C">
        <w:rPr>
          <w:rFonts w:cs="Arial"/>
          <w:lang w:val="en-US"/>
        </w:rPr>
        <w:t>Susep</w:t>
      </w:r>
      <w:proofErr w:type="spellEnd"/>
      <w:r w:rsidRPr="00B84B0C">
        <w:rPr>
          <w:rFonts w:cs="Arial"/>
          <w:lang w:val="en-US"/>
        </w:rPr>
        <w:t xml:space="preserve"> Circular Letter 521/2015.</w:t>
      </w:r>
    </w:p>
    <w:p w14:paraId="597D9807" w14:textId="77777777" w:rsidR="00720F68" w:rsidRPr="00B84B0C" w:rsidRDefault="00720F68" w:rsidP="00720F68">
      <w:pPr>
        <w:pStyle w:val="01-TtulodeNota"/>
        <w:jc w:val="left"/>
        <w:rPr>
          <w:rFonts w:cs="Arial"/>
          <w:color w:val="1F4E79" w:themeColor="accent1" w:themeShade="80"/>
          <w:lang w:val="en-US"/>
        </w:rPr>
      </w:pPr>
      <w:r w:rsidRPr="00B84B0C">
        <w:rPr>
          <w:rFonts w:cs="Arial"/>
          <w:color w:val="1F4E79" w:themeColor="accent1" w:themeShade="80"/>
          <w:lang w:val="en-US"/>
        </w:rPr>
        <w:t xml:space="preserve">b.1) Liquidity, </w:t>
      </w:r>
      <w:proofErr w:type="gramStart"/>
      <w:r w:rsidRPr="00B84B0C">
        <w:rPr>
          <w:rFonts w:cs="Arial"/>
          <w:color w:val="1F4E79" w:themeColor="accent1" w:themeShade="80"/>
          <w:lang w:val="en-US"/>
        </w:rPr>
        <w:t>solvency</w:t>
      </w:r>
      <w:proofErr w:type="gramEnd"/>
      <w:r w:rsidRPr="00B84B0C">
        <w:rPr>
          <w:rFonts w:cs="Arial"/>
          <w:color w:val="1F4E79" w:themeColor="accent1" w:themeShade="80"/>
          <w:lang w:val="en-US"/>
        </w:rPr>
        <w:t xml:space="preserve"> and capital management</w:t>
      </w:r>
    </w:p>
    <w:p w14:paraId="423E1D7C" w14:textId="77777777" w:rsidR="00720F68" w:rsidRPr="00B84B0C" w:rsidRDefault="00720F68" w:rsidP="00720F68">
      <w:pPr>
        <w:pStyle w:val="05-Textonormal"/>
        <w:rPr>
          <w:rFonts w:cs="Arial"/>
          <w:lang w:val="en-US"/>
        </w:rPr>
      </w:pPr>
      <w:r w:rsidRPr="00B84B0C">
        <w:rPr>
          <w:rFonts w:cs="Arial"/>
          <w:lang w:val="en-US"/>
        </w:rPr>
        <w:t xml:space="preserve">For the associates/joint ventures regulated by </w:t>
      </w:r>
      <w:proofErr w:type="spellStart"/>
      <w:r w:rsidRPr="00B84B0C">
        <w:rPr>
          <w:rFonts w:cs="Arial"/>
          <w:lang w:val="en-US"/>
        </w:rPr>
        <w:t>Susep</w:t>
      </w:r>
      <w:proofErr w:type="spellEnd"/>
      <w:r w:rsidRPr="00B84B0C">
        <w:rPr>
          <w:rFonts w:cs="Arial"/>
          <w:lang w:val="en-US"/>
        </w:rPr>
        <w:t>, the main indicator for capital management is the Solvency Capital Requirement (CMR), which represents the total capital a company must maintain, at any time, to operate, and intends to guarantee the risks inherent to their operations, as regulated by CNSP Resolution 321/2015.</w:t>
      </w:r>
    </w:p>
    <w:p w14:paraId="63FDE8D3" w14:textId="77777777" w:rsidR="00720F68" w:rsidRPr="00B84B0C" w:rsidRDefault="00720F68" w:rsidP="00720F68">
      <w:pPr>
        <w:pStyle w:val="05-Textonormal"/>
        <w:rPr>
          <w:rStyle w:val="hps"/>
          <w:rFonts w:cs="Arial"/>
          <w:lang w:val="en-US"/>
        </w:rPr>
      </w:pPr>
      <w:r w:rsidRPr="00B84B0C">
        <w:rPr>
          <w:rStyle w:val="hps"/>
          <w:rFonts w:cs="Arial"/>
          <w:lang w:val="en-US"/>
        </w:rPr>
        <w:t>CMR</w:t>
      </w:r>
      <w:r w:rsidRPr="00B84B0C">
        <w:rPr>
          <w:rFonts w:cs="Arial"/>
          <w:lang w:val="en-US"/>
        </w:rPr>
        <w:t xml:space="preserve"> </w:t>
      </w:r>
      <w:r w:rsidRPr="00B84B0C">
        <w:rPr>
          <w:rStyle w:val="hps"/>
          <w:rFonts w:cs="Arial"/>
          <w:lang w:val="en-US"/>
        </w:rPr>
        <w:t>is</w:t>
      </w:r>
      <w:r w:rsidRPr="00B84B0C">
        <w:rPr>
          <w:rFonts w:cs="Arial"/>
          <w:lang w:val="en-US"/>
        </w:rPr>
        <w:t xml:space="preserve"> </w:t>
      </w:r>
      <w:r w:rsidRPr="00B84B0C">
        <w:rPr>
          <w:rStyle w:val="hps"/>
          <w:rFonts w:cs="Arial"/>
          <w:lang w:val="en-US"/>
        </w:rPr>
        <w:t>composed of</w:t>
      </w:r>
      <w:r w:rsidRPr="00B84B0C">
        <w:rPr>
          <w:rFonts w:cs="Arial"/>
          <w:lang w:val="en-US"/>
        </w:rPr>
        <w:t xml:space="preserve"> </w:t>
      </w:r>
      <w:r w:rsidRPr="00B84B0C">
        <w:rPr>
          <w:rStyle w:val="hps"/>
          <w:rFonts w:cs="Arial"/>
          <w:lang w:val="en-US"/>
        </w:rPr>
        <w:t>portions relating</w:t>
      </w:r>
      <w:r w:rsidRPr="00B84B0C">
        <w:rPr>
          <w:rFonts w:cs="Arial"/>
          <w:lang w:val="en-US"/>
        </w:rPr>
        <w:t xml:space="preserve"> </w:t>
      </w:r>
      <w:r w:rsidRPr="00B84B0C">
        <w:rPr>
          <w:rStyle w:val="hps"/>
          <w:rFonts w:cs="Arial"/>
          <w:lang w:val="en-US"/>
        </w:rPr>
        <w:t>to</w:t>
      </w:r>
      <w:r w:rsidRPr="00B84B0C">
        <w:rPr>
          <w:rFonts w:cs="Arial"/>
          <w:lang w:val="en-US"/>
        </w:rPr>
        <w:t xml:space="preserve"> </w:t>
      </w:r>
      <w:r w:rsidRPr="00B84B0C">
        <w:rPr>
          <w:rStyle w:val="hps"/>
          <w:rFonts w:cs="Arial"/>
          <w:lang w:val="en-US"/>
        </w:rPr>
        <w:t>underwriting</w:t>
      </w:r>
      <w:r w:rsidRPr="00B84B0C">
        <w:rPr>
          <w:rFonts w:cs="Arial"/>
          <w:lang w:val="en-US"/>
        </w:rPr>
        <w:t xml:space="preserve">, credit, </w:t>
      </w:r>
      <w:r w:rsidRPr="00B84B0C">
        <w:rPr>
          <w:rStyle w:val="hps"/>
          <w:rFonts w:cs="Arial"/>
          <w:lang w:val="en-US"/>
        </w:rPr>
        <w:t>operational and</w:t>
      </w:r>
      <w:r w:rsidRPr="00B84B0C">
        <w:rPr>
          <w:rFonts w:cs="Arial"/>
          <w:lang w:val="en-US"/>
        </w:rPr>
        <w:t xml:space="preserve"> </w:t>
      </w:r>
      <w:r w:rsidRPr="00B84B0C">
        <w:rPr>
          <w:rStyle w:val="hps"/>
          <w:rFonts w:cs="Arial"/>
          <w:lang w:val="en-US"/>
        </w:rPr>
        <w:t xml:space="preserve">market </w:t>
      </w:r>
      <w:proofErr w:type="gramStart"/>
      <w:r w:rsidRPr="00B84B0C">
        <w:rPr>
          <w:rStyle w:val="hps"/>
          <w:rFonts w:cs="Arial"/>
          <w:lang w:val="en-US"/>
        </w:rPr>
        <w:t>risks</w:t>
      </w:r>
      <w:proofErr w:type="gramEnd"/>
      <w:r w:rsidRPr="00B84B0C">
        <w:rPr>
          <w:rStyle w:val="hps"/>
          <w:rFonts w:cs="Arial"/>
          <w:lang w:val="en-US"/>
        </w:rPr>
        <w:t xml:space="preserve"> and the solvency capital requirement adequacy is measured using the Adjusted Net Equity (PLA) of the entity, which must be equal to or above the calculated CMR.</w:t>
      </w:r>
    </w:p>
    <w:p w14:paraId="1ED9CB22" w14:textId="77777777" w:rsidR="00720F68" w:rsidRPr="00B84B0C" w:rsidRDefault="00720F68" w:rsidP="00720F68">
      <w:pPr>
        <w:pStyle w:val="05-Textonormal"/>
        <w:rPr>
          <w:rFonts w:cs="Arial"/>
          <w:lang w:val="en-US"/>
        </w:rPr>
      </w:pPr>
      <w:r w:rsidRPr="00B84B0C">
        <w:rPr>
          <w:rStyle w:val="hps"/>
          <w:rFonts w:cs="Arial"/>
          <w:lang w:val="en-US"/>
        </w:rPr>
        <w:t xml:space="preserve">CNSP Resolution 321/2015 also establishes technical provisions calculation models and requires a minimal liquidity above the provisioned amounts. </w:t>
      </w:r>
    </w:p>
    <w:p w14:paraId="2452A115" w14:textId="77777777" w:rsidR="00720F68" w:rsidRPr="00B84B0C" w:rsidRDefault="00720F68" w:rsidP="00720F68">
      <w:pPr>
        <w:pStyle w:val="05-Textonormal"/>
        <w:rPr>
          <w:rFonts w:cs="Arial"/>
          <w:lang w:val="en-US"/>
        </w:rPr>
      </w:pPr>
      <w:r w:rsidRPr="00B84B0C">
        <w:rPr>
          <w:rFonts w:cs="Arial"/>
          <w:lang w:val="en-US"/>
        </w:rPr>
        <w:t xml:space="preserve">For </w:t>
      </w:r>
      <w:proofErr w:type="spellStart"/>
      <w:r w:rsidRPr="00B84B0C">
        <w:rPr>
          <w:rFonts w:cs="Arial"/>
          <w:lang w:val="en-US"/>
        </w:rPr>
        <w:t>Brasildental</w:t>
      </w:r>
      <w:proofErr w:type="spellEnd"/>
      <w:r w:rsidRPr="00B84B0C">
        <w:rPr>
          <w:rFonts w:cs="Arial"/>
          <w:lang w:val="en-US"/>
        </w:rPr>
        <w:t xml:space="preserve">, the National Agency of Supplementary Health (ANS) </w:t>
      </w:r>
      <w:r w:rsidRPr="00B84B0C">
        <w:rPr>
          <w:rStyle w:val="hps"/>
          <w:rFonts w:cs="Arial"/>
          <w:lang w:val="en-US"/>
        </w:rPr>
        <w:t>sets</w:t>
      </w:r>
      <w:r w:rsidRPr="00B84B0C">
        <w:rPr>
          <w:rFonts w:cs="Arial"/>
          <w:lang w:val="en-US"/>
        </w:rPr>
        <w:t xml:space="preserve"> </w:t>
      </w:r>
      <w:r w:rsidRPr="00B84B0C">
        <w:rPr>
          <w:rStyle w:val="hps"/>
          <w:rFonts w:cs="Arial"/>
          <w:lang w:val="en-US"/>
        </w:rPr>
        <w:t>rules</w:t>
      </w:r>
      <w:r w:rsidRPr="00B84B0C">
        <w:rPr>
          <w:rFonts w:cs="Arial"/>
          <w:lang w:val="en-US"/>
        </w:rPr>
        <w:t xml:space="preserve"> </w:t>
      </w:r>
      <w:r w:rsidRPr="00B84B0C">
        <w:rPr>
          <w:rStyle w:val="hps"/>
          <w:rFonts w:cs="Arial"/>
          <w:lang w:val="en-US"/>
        </w:rPr>
        <w:t>for</w:t>
      </w:r>
      <w:r w:rsidRPr="00B84B0C">
        <w:rPr>
          <w:rFonts w:cs="Arial"/>
          <w:lang w:val="en-US"/>
        </w:rPr>
        <w:t xml:space="preserve"> </w:t>
      </w:r>
      <w:r w:rsidRPr="00B84B0C">
        <w:rPr>
          <w:rStyle w:val="hps"/>
          <w:rFonts w:cs="Arial"/>
          <w:lang w:val="en-US"/>
        </w:rPr>
        <w:t>recognition of technical reserves</w:t>
      </w:r>
      <w:r w:rsidRPr="00B84B0C">
        <w:rPr>
          <w:rFonts w:cs="Arial"/>
          <w:lang w:val="en-US"/>
        </w:rPr>
        <w:t xml:space="preserve">, </w:t>
      </w:r>
      <w:r w:rsidRPr="00B84B0C">
        <w:rPr>
          <w:rStyle w:val="hps"/>
          <w:rFonts w:cs="Arial"/>
          <w:lang w:val="en-US"/>
        </w:rPr>
        <w:t>Minimum</w:t>
      </w:r>
      <w:r w:rsidRPr="00B84B0C">
        <w:rPr>
          <w:rFonts w:cs="Arial"/>
          <w:lang w:val="en-US"/>
        </w:rPr>
        <w:t xml:space="preserve"> </w:t>
      </w:r>
      <w:r w:rsidRPr="00B84B0C">
        <w:rPr>
          <w:rStyle w:val="hps"/>
          <w:rFonts w:cs="Arial"/>
          <w:lang w:val="en-US"/>
        </w:rPr>
        <w:t>Adjusted</w:t>
      </w:r>
      <w:r w:rsidRPr="00B84B0C">
        <w:rPr>
          <w:rFonts w:cs="Arial"/>
          <w:lang w:val="en-US"/>
        </w:rPr>
        <w:t xml:space="preserve"> </w:t>
      </w:r>
      <w:r w:rsidRPr="00B84B0C">
        <w:rPr>
          <w:rStyle w:val="hps"/>
          <w:rFonts w:cs="Arial"/>
          <w:lang w:val="en-US"/>
        </w:rPr>
        <w:t>Equity (</w:t>
      </w:r>
      <w:r w:rsidRPr="00B84B0C">
        <w:rPr>
          <w:rFonts w:cs="Arial"/>
          <w:lang w:val="en-US"/>
        </w:rPr>
        <w:t>PMA) criteria and S</w:t>
      </w:r>
      <w:r w:rsidRPr="00B84B0C">
        <w:rPr>
          <w:rStyle w:val="hps"/>
          <w:rFonts w:cs="Arial"/>
          <w:lang w:val="en-US"/>
        </w:rPr>
        <w:t>olvency Margin</w:t>
      </w:r>
      <w:r w:rsidRPr="00B84B0C">
        <w:rPr>
          <w:rFonts w:cs="Arial"/>
          <w:lang w:val="en-US"/>
        </w:rPr>
        <w:t xml:space="preserve"> </w:t>
      </w:r>
      <w:r w:rsidRPr="00B84B0C">
        <w:rPr>
          <w:rStyle w:val="hps"/>
          <w:rFonts w:cs="Arial"/>
          <w:lang w:val="en-US"/>
        </w:rPr>
        <w:t>criteria</w:t>
      </w:r>
      <w:r w:rsidRPr="00B84B0C">
        <w:rPr>
          <w:rFonts w:cs="Arial"/>
          <w:lang w:val="en-US"/>
        </w:rPr>
        <w:t xml:space="preserve"> </w:t>
      </w:r>
      <w:r w:rsidRPr="00B84B0C">
        <w:rPr>
          <w:rStyle w:val="hps"/>
          <w:rFonts w:cs="Arial"/>
          <w:lang w:val="en-US"/>
        </w:rPr>
        <w:t>according to</w:t>
      </w:r>
      <w:r w:rsidRPr="00B84B0C">
        <w:rPr>
          <w:rFonts w:cs="Arial"/>
          <w:lang w:val="en-US"/>
        </w:rPr>
        <w:t xml:space="preserve"> </w:t>
      </w:r>
      <w:r w:rsidRPr="00B84B0C">
        <w:rPr>
          <w:rStyle w:val="hps"/>
          <w:rFonts w:cs="Arial"/>
          <w:lang w:val="en-US"/>
        </w:rPr>
        <w:t>Regulatory Resolution</w:t>
      </w:r>
      <w:r w:rsidRPr="00B84B0C">
        <w:rPr>
          <w:rFonts w:cs="Arial"/>
          <w:lang w:val="en-US"/>
        </w:rPr>
        <w:t xml:space="preserve"> </w:t>
      </w:r>
      <w:r w:rsidRPr="00B84B0C">
        <w:rPr>
          <w:rStyle w:val="hps"/>
          <w:rFonts w:cs="Arial"/>
          <w:lang w:val="en-US"/>
        </w:rPr>
        <w:t>451/2020.</w:t>
      </w:r>
    </w:p>
    <w:p w14:paraId="10FA7248" w14:textId="77777777" w:rsidR="00720F68" w:rsidRPr="00B84B0C" w:rsidRDefault="00720F68" w:rsidP="00720F68">
      <w:pPr>
        <w:pStyle w:val="05-Textonormal"/>
        <w:rPr>
          <w:rFonts w:cs="Arial"/>
          <w:lang w:val="en-US"/>
        </w:rPr>
      </w:pPr>
      <w:r w:rsidRPr="00B84B0C">
        <w:rPr>
          <w:rStyle w:val="hps"/>
          <w:rFonts w:cs="Arial"/>
          <w:lang w:val="en-US"/>
        </w:rPr>
        <w:t>On</w:t>
      </w:r>
      <w:r w:rsidRPr="00B84B0C">
        <w:rPr>
          <w:rFonts w:cs="Arial"/>
          <w:lang w:val="en-US"/>
        </w:rPr>
        <w:t xml:space="preserve"> March 31, 2020, </w:t>
      </w:r>
      <w:r w:rsidRPr="00B84B0C">
        <w:rPr>
          <w:rStyle w:val="hps"/>
          <w:rFonts w:cs="Arial"/>
          <w:lang w:val="en-US"/>
        </w:rPr>
        <w:t>all</w:t>
      </w:r>
      <w:r w:rsidRPr="00B84B0C">
        <w:rPr>
          <w:rFonts w:cs="Arial"/>
          <w:lang w:val="en-US"/>
        </w:rPr>
        <w:t xml:space="preserve"> associates/joint ventures</w:t>
      </w:r>
      <w:r w:rsidRPr="00B84B0C">
        <w:rPr>
          <w:rStyle w:val="hps"/>
          <w:rFonts w:cs="Arial"/>
          <w:lang w:val="en-US"/>
        </w:rPr>
        <w:t xml:space="preserve"> in which BB </w:t>
      </w:r>
      <w:proofErr w:type="spellStart"/>
      <w:r w:rsidRPr="00B84B0C">
        <w:rPr>
          <w:rStyle w:val="hps"/>
          <w:rFonts w:cs="Arial"/>
          <w:lang w:val="en-US"/>
        </w:rPr>
        <w:t>Seguridade</w:t>
      </w:r>
      <w:proofErr w:type="spellEnd"/>
      <w:r w:rsidRPr="00B84B0C">
        <w:rPr>
          <w:rFonts w:cs="Arial"/>
          <w:lang w:val="en-US"/>
        </w:rPr>
        <w:t xml:space="preserve"> </w:t>
      </w:r>
      <w:r w:rsidRPr="00B84B0C">
        <w:rPr>
          <w:rStyle w:val="hps"/>
          <w:rFonts w:cs="Arial"/>
          <w:lang w:val="en-US"/>
        </w:rPr>
        <w:t>holds interest and that must maintain minimum regulatory capital</w:t>
      </w:r>
      <w:r w:rsidRPr="00B84B0C">
        <w:rPr>
          <w:rFonts w:cs="Arial"/>
          <w:lang w:val="en-US"/>
        </w:rPr>
        <w:t xml:space="preserve"> </w:t>
      </w:r>
      <w:r w:rsidRPr="00B84B0C">
        <w:rPr>
          <w:rStyle w:val="hps"/>
          <w:rFonts w:cs="Arial"/>
          <w:lang w:val="en-US"/>
        </w:rPr>
        <w:t>presented</w:t>
      </w:r>
      <w:r w:rsidRPr="00B84B0C">
        <w:rPr>
          <w:rFonts w:cs="Arial"/>
          <w:lang w:val="en-US"/>
        </w:rPr>
        <w:t xml:space="preserve"> liquidity, </w:t>
      </w:r>
      <w:proofErr w:type="gramStart"/>
      <w:r w:rsidRPr="00B84B0C">
        <w:rPr>
          <w:rStyle w:val="hps"/>
          <w:rFonts w:cs="Arial"/>
          <w:lang w:val="en-US"/>
        </w:rPr>
        <w:t>capital</w:t>
      </w:r>
      <w:proofErr w:type="gramEnd"/>
      <w:r w:rsidRPr="00B84B0C">
        <w:rPr>
          <w:rStyle w:val="hps"/>
          <w:rFonts w:cs="Arial"/>
          <w:lang w:val="en-US"/>
        </w:rPr>
        <w:t xml:space="preserve"> and solvency adequacy</w:t>
      </w:r>
      <w:r w:rsidRPr="00B84B0C">
        <w:rPr>
          <w:rFonts w:cs="Arial"/>
          <w:lang w:val="en-US"/>
        </w:rPr>
        <w:t xml:space="preserve">, </w:t>
      </w:r>
      <w:r w:rsidRPr="00B84B0C">
        <w:rPr>
          <w:rStyle w:val="hps"/>
          <w:rFonts w:cs="Arial"/>
          <w:lang w:val="en-US"/>
        </w:rPr>
        <w:t>in accordance</w:t>
      </w:r>
      <w:r w:rsidRPr="00B84B0C">
        <w:rPr>
          <w:rFonts w:cs="Arial"/>
          <w:lang w:val="en-US"/>
        </w:rPr>
        <w:t xml:space="preserve"> </w:t>
      </w:r>
      <w:r w:rsidRPr="00B84B0C">
        <w:rPr>
          <w:rStyle w:val="hps"/>
          <w:rFonts w:cs="Arial"/>
          <w:lang w:val="en-US"/>
        </w:rPr>
        <w:t>with applicable regulation</w:t>
      </w:r>
      <w:r w:rsidRPr="00B84B0C">
        <w:rPr>
          <w:rFonts w:cs="Arial"/>
          <w:lang w:val="en-US"/>
        </w:rPr>
        <w:t>.</w:t>
      </w:r>
    </w:p>
    <w:p w14:paraId="72FEEADA" w14:textId="77777777" w:rsidR="00720F68" w:rsidRPr="00B84B0C" w:rsidRDefault="00720F68" w:rsidP="00711D9A">
      <w:pPr>
        <w:pStyle w:val="06-Rmil"/>
        <w:pageBreakBefore/>
        <w:rPr>
          <w:rFonts w:cs="Arial"/>
          <w:lang w:val="en-US"/>
        </w:rPr>
      </w:pPr>
      <w:r w:rsidRPr="00B84B0C">
        <w:rPr>
          <w:rFonts w:cs="Arial"/>
          <w:lang w:val="en-US"/>
        </w:rPr>
        <w:lastRenderedPageBreak/>
        <w:t>R$ thousand</w:t>
      </w:r>
    </w:p>
    <w:tbl>
      <w:tblPr>
        <w:tblStyle w:val="TabeladeLista6Colorida-nfase53"/>
        <w:tblW w:w="0" w:type="auto"/>
        <w:tblLook w:val="04A0" w:firstRow="1" w:lastRow="0" w:firstColumn="1" w:lastColumn="0" w:noHBand="0" w:noVBand="1"/>
      </w:tblPr>
      <w:tblGrid>
        <w:gridCol w:w="978"/>
        <w:gridCol w:w="1022"/>
        <w:gridCol w:w="1191"/>
        <w:gridCol w:w="1117"/>
        <w:gridCol w:w="1173"/>
        <w:gridCol w:w="222"/>
        <w:gridCol w:w="1022"/>
        <w:gridCol w:w="1191"/>
        <w:gridCol w:w="1117"/>
        <w:gridCol w:w="821"/>
      </w:tblGrid>
      <w:tr w:rsidR="00720F68" w:rsidRPr="00B84B0C" w14:paraId="4408EB29" w14:textId="77777777" w:rsidTr="000426AD">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38849DF7" w14:textId="77777777" w:rsidR="00720F68" w:rsidRPr="00B84B0C" w:rsidRDefault="00720F68">
            <w:pPr>
              <w:jc w:val="center"/>
              <w:rPr>
                <w:rFonts w:cs="Arial"/>
                <w:szCs w:val="18"/>
              </w:rPr>
            </w:pPr>
            <w:proofErr w:type="spellStart"/>
            <w:r w:rsidRPr="00B84B0C">
              <w:rPr>
                <w:rFonts w:cs="Arial"/>
                <w:sz w:val="14"/>
                <w:szCs w:val="18"/>
              </w:rPr>
              <w:t>Liquidity</w:t>
            </w:r>
            <w:proofErr w:type="spellEnd"/>
          </w:p>
        </w:tc>
        <w:tc>
          <w:tcPr>
            <w:tcW w:w="0" w:type="auto"/>
            <w:gridSpan w:val="4"/>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52ACCE71"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8"/>
              </w:rPr>
            </w:pPr>
            <w:r w:rsidRPr="00B84B0C">
              <w:rPr>
                <w:rFonts w:cs="Arial"/>
                <w:bCs w:val="0"/>
                <w:sz w:val="14"/>
                <w:szCs w:val="18"/>
                <w:lang w:val="en-US"/>
              </w:rPr>
              <w:t>Mar 31, 2020</w:t>
            </w:r>
          </w:p>
        </w:tc>
        <w:tc>
          <w:tcPr>
            <w:tcW w:w="0" w:type="auto"/>
            <w:tcBorders>
              <w:top w:val="single" w:sz="2" w:space="0" w:color="8EAADB" w:themeColor="accent5" w:themeTint="99"/>
              <w:left w:val="nil"/>
              <w:bottom w:val="nil"/>
              <w:right w:val="nil"/>
            </w:tcBorders>
            <w:shd w:val="clear" w:color="auto" w:fill="D9E2F3" w:themeFill="accent5" w:themeFillTint="33"/>
          </w:tcPr>
          <w:p w14:paraId="4A78AA5B"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Cs w:val="18"/>
              </w:rPr>
            </w:pPr>
          </w:p>
        </w:tc>
        <w:tc>
          <w:tcPr>
            <w:tcW w:w="4020" w:type="dxa"/>
            <w:gridSpan w:val="4"/>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122C2EB7"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8"/>
              </w:rPr>
            </w:pPr>
            <w:r w:rsidRPr="00B84B0C">
              <w:rPr>
                <w:rFonts w:cs="Arial"/>
                <w:bCs w:val="0"/>
                <w:sz w:val="14"/>
                <w:szCs w:val="18"/>
                <w:lang w:val="en-US"/>
              </w:rPr>
              <w:t>Dec 31, 2019</w:t>
            </w:r>
          </w:p>
        </w:tc>
      </w:tr>
      <w:tr w:rsidR="00720F68" w:rsidRPr="00B84B0C" w14:paraId="79C1D2F9" w14:textId="77777777" w:rsidTr="000426AD">
        <w:trPr>
          <w:cnfStyle w:val="000000100000" w:firstRow="0" w:lastRow="0" w:firstColumn="0" w:lastColumn="0" w:oddVBand="0" w:evenVBand="0" w:oddHBand="1" w:evenHBand="0" w:firstRowFirstColumn="0" w:firstRowLastColumn="0" w:lastRowFirstColumn="0" w:lastRowLastColumn="0"/>
          <w:trHeight w:hRule="exact" w:val="1182"/>
        </w:trPr>
        <w:tc>
          <w:tcPr>
            <w:cnfStyle w:val="001000000000" w:firstRow="0" w:lastRow="0" w:firstColumn="1" w:lastColumn="0" w:oddVBand="0" w:evenVBand="0" w:oddHBand="0" w:evenHBand="0" w:firstRowFirstColumn="0" w:firstRowLastColumn="0" w:lastRowFirstColumn="0" w:lastRowLastColumn="0"/>
            <w:tcW w:w="0" w:type="auto"/>
            <w:vMerge/>
            <w:tcBorders>
              <w:top w:val="single" w:sz="2" w:space="0" w:color="8EAADB" w:themeColor="accent5" w:themeTint="99"/>
              <w:left w:val="nil"/>
              <w:bottom w:val="single" w:sz="2" w:space="0" w:color="8EAADB" w:themeColor="accent5" w:themeTint="99"/>
              <w:right w:val="nil"/>
            </w:tcBorders>
            <w:vAlign w:val="center"/>
            <w:hideMark/>
          </w:tcPr>
          <w:p w14:paraId="25326514" w14:textId="77777777" w:rsidR="00720F68" w:rsidRPr="00B84B0C" w:rsidRDefault="00720F68" w:rsidP="00720F68">
            <w:pPr>
              <w:rPr>
                <w:rFonts w:cs="Arial"/>
                <w:szCs w:val="18"/>
              </w:rPr>
            </w:pPr>
          </w:p>
        </w:tc>
        <w:tc>
          <w:tcPr>
            <w:tcW w:w="0" w:type="auto"/>
            <w:tcBorders>
              <w:top w:val="single" w:sz="2" w:space="0" w:color="8EAADB" w:themeColor="accent5" w:themeTint="99"/>
              <w:left w:val="nil"/>
              <w:bottom w:val="single" w:sz="2" w:space="0" w:color="8EAADB" w:themeColor="accent5" w:themeTint="99"/>
              <w:right w:val="nil"/>
            </w:tcBorders>
            <w:vAlign w:val="center"/>
            <w:hideMark/>
          </w:tcPr>
          <w:p w14:paraId="195C7A4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val="en-US"/>
              </w:rPr>
              <w:t>Liquid Assets</w:t>
            </w:r>
          </w:p>
        </w:tc>
        <w:tc>
          <w:tcPr>
            <w:tcW w:w="0" w:type="auto"/>
            <w:tcBorders>
              <w:top w:val="single" w:sz="2" w:space="0" w:color="8EAADB" w:themeColor="accent5" w:themeTint="99"/>
              <w:left w:val="nil"/>
              <w:bottom w:val="single" w:sz="2" w:space="0" w:color="8EAADB" w:themeColor="accent5" w:themeTint="99"/>
              <w:right w:val="nil"/>
            </w:tcBorders>
            <w:vAlign w:val="center"/>
            <w:hideMark/>
          </w:tcPr>
          <w:p w14:paraId="0BCC7AC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val="en-US"/>
              </w:rPr>
              <w:t>Technical provisions</w:t>
            </w:r>
          </w:p>
        </w:tc>
        <w:tc>
          <w:tcPr>
            <w:tcW w:w="0" w:type="auto"/>
            <w:tcBorders>
              <w:top w:val="single" w:sz="2" w:space="0" w:color="8EAADB" w:themeColor="accent5" w:themeTint="99"/>
              <w:left w:val="nil"/>
              <w:bottom w:val="single" w:sz="2" w:space="0" w:color="8EAADB" w:themeColor="accent5" w:themeTint="99"/>
              <w:right w:val="nil"/>
            </w:tcBorders>
            <w:vAlign w:val="center"/>
            <w:hideMark/>
          </w:tcPr>
          <w:p w14:paraId="3E8EA42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B84B0C">
              <w:rPr>
                <w:rFonts w:cs="Arial"/>
                <w:b/>
                <w:szCs w:val="14"/>
                <w:lang w:val="en-US"/>
              </w:rPr>
              <w:t>Liquidity Require-</w:t>
            </w:r>
            <w:proofErr w:type="spellStart"/>
            <w:r w:rsidRPr="00B84B0C">
              <w:rPr>
                <w:rFonts w:cs="Arial"/>
                <w:b/>
                <w:szCs w:val="14"/>
                <w:lang w:val="en-US"/>
              </w:rPr>
              <w:t>ment</w:t>
            </w:r>
            <w:proofErr w:type="spellEnd"/>
          </w:p>
        </w:tc>
        <w:tc>
          <w:tcPr>
            <w:tcW w:w="0" w:type="auto"/>
            <w:tcBorders>
              <w:top w:val="single" w:sz="2" w:space="0" w:color="8EAADB" w:themeColor="accent5" w:themeTint="99"/>
              <w:left w:val="nil"/>
              <w:bottom w:val="single" w:sz="2" w:space="0" w:color="8EAADB" w:themeColor="accent5" w:themeTint="99"/>
              <w:right w:val="nil"/>
            </w:tcBorders>
            <w:vAlign w:val="center"/>
            <w:hideMark/>
          </w:tcPr>
          <w:p w14:paraId="013BEB5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val="en-US"/>
              </w:rPr>
              <w:t>Excess of Liquid Assets</w:t>
            </w:r>
          </w:p>
        </w:tc>
        <w:tc>
          <w:tcPr>
            <w:tcW w:w="0" w:type="auto"/>
            <w:tcBorders>
              <w:top w:val="nil"/>
              <w:left w:val="nil"/>
              <w:bottom w:val="single" w:sz="2" w:space="0" w:color="8EAADB" w:themeColor="accent5" w:themeTint="99"/>
              <w:right w:val="nil"/>
            </w:tcBorders>
            <w:vAlign w:val="center"/>
          </w:tcPr>
          <w:p w14:paraId="72C068E1"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0" w:type="auto"/>
            <w:tcBorders>
              <w:top w:val="single" w:sz="2" w:space="0" w:color="8EAADB" w:themeColor="accent5" w:themeTint="99"/>
              <w:left w:val="nil"/>
              <w:bottom w:val="single" w:sz="2" w:space="0" w:color="8EAADB" w:themeColor="accent5" w:themeTint="99"/>
              <w:right w:val="nil"/>
            </w:tcBorders>
            <w:vAlign w:val="center"/>
            <w:hideMark/>
          </w:tcPr>
          <w:p w14:paraId="5A847EB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val="en-US"/>
              </w:rPr>
              <w:t>Liquid Assets</w:t>
            </w:r>
          </w:p>
        </w:tc>
        <w:tc>
          <w:tcPr>
            <w:tcW w:w="0" w:type="auto"/>
            <w:tcBorders>
              <w:top w:val="single" w:sz="2" w:space="0" w:color="8EAADB" w:themeColor="accent5" w:themeTint="99"/>
              <w:left w:val="nil"/>
              <w:bottom w:val="single" w:sz="2" w:space="0" w:color="8EAADB" w:themeColor="accent5" w:themeTint="99"/>
              <w:right w:val="nil"/>
            </w:tcBorders>
            <w:vAlign w:val="center"/>
            <w:hideMark/>
          </w:tcPr>
          <w:p w14:paraId="27FF1FE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val="en-US"/>
              </w:rPr>
              <w:t>Technical provisions</w:t>
            </w:r>
          </w:p>
        </w:tc>
        <w:tc>
          <w:tcPr>
            <w:tcW w:w="0" w:type="auto"/>
            <w:tcBorders>
              <w:top w:val="single" w:sz="2" w:space="0" w:color="8EAADB" w:themeColor="accent5" w:themeTint="99"/>
              <w:left w:val="nil"/>
              <w:bottom w:val="single" w:sz="2" w:space="0" w:color="8EAADB" w:themeColor="accent5" w:themeTint="99"/>
              <w:right w:val="nil"/>
            </w:tcBorders>
            <w:vAlign w:val="center"/>
            <w:hideMark/>
          </w:tcPr>
          <w:p w14:paraId="0177DBCE"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B84B0C">
              <w:rPr>
                <w:rFonts w:cs="Arial"/>
                <w:b/>
                <w:lang w:val="en-US"/>
              </w:rPr>
              <w:t>Liquidity Require-</w:t>
            </w:r>
            <w:proofErr w:type="spellStart"/>
            <w:r w:rsidRPr="00B84B0C">
              <w:rPr>
                <w:rFonts w:cs="Arial"/>
                <w:b/>
                <w:lang w:val="en-US"/>
              </w:rPr>
              <w:t>ment</w:t>
            </w:r>
            <w:proofErr w:type="spellEnd"/>
          </w:p>
        </w:tc>
        <w:tc>
          <w:tcPr>
            <w:tcW w:w="756" w:type="dxa"/>
            <w:tcBorders>
              <w:top w:val="single" w:sz="2" w:space="0" w:color="8EAADB" w:themeColor="accent5" w:themeTint="99"/>
              <w:left w:val="nil"/>
              <w:bottom w:val="single" w:sz="2" w:space="0" w:color="8EAADB" w:themeColor="accent5" w:themeTint="99"/>
              <w:right w:val="nil"/>
            </w:tcBorders>
            <w:vAlign w:val="center"/>
            <w:hideMark/>
          </w:tcPr>
          <w:p w14:paraId="6E381D1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val="en-US"/>
              </w:rPr>
              <w:t>Excess of Liquid Assets</w:t>
            </w:r>
          </w:p>
        </w:tc>
      </w:tr>
      <w:tr w:rsidR="00720F68" w:rsidRPr="00B84B0C" w14:paraId="63CE2E96" w14:textId="77777777" w:rsidTr="000426AD">
        <w:trPr>
          <w:trHeight w:val="428"/>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shd w:val="clear" w:color="auto" w:fill="FFFFFF" w:themeFill="background1"/>
            <w:hideMark/>
          </w:tcPr>
          <w:p w14:paraId="1BC7A65A" w14:textId="77777777" w:rsidR="00720F68" w:rsidRPr="00B84B0C" w:rsidRDefault="00720F68">
            <w:pPr>
              <w:pStyle w:val="07-Legenda"/>
              <w:ind w:left="0" w:firstLine="0"/>
              <w:jc w:val="left"/>
              <w:rPr>
                <w:rFonts w:cs="Arial"/>
                <w:bCs w:val="0"/>
                <w:lang w:val="en-US" w:eastAsia="en-US"/>
              </w:rPr>
            </w:pPr>
            <w:r w:rsidRPr="00B84B0C">
              <w:rPr>
                <w:rFonts w:cs="Arial"/>
                <w:bCs w:val="0"/>
                <w:lang w:eastAsia="en-US"/>
              </w:rPr>
              <w:t>BB e MAPFRE</w:t>
            </w:r>
          </w:p>
        </w:tc>
        <w:tc>
          <w:tcPr>
            <w:tcW w:w="0" w:type="auto"/>
            <w:tcBorders>
              <w:top w:val="single" w:sz="2" w:space="0" w:color="8EAADB" w:themeColor="accent5" w:themeTint="99"/>
              <w:left w:val="nil"/>
              <w:bottom w:val="nil"/>
              <w:right w:val="nil"/>
            </w:tcBorders>
            <w:shd w:val="clear" w:color="auto" w:fill="FFFFFF" w:themeFill="background1"/>
            <w:vAlign w:val="center"/>
          </w:tcPr>
          <w:p w14:paraId="554582F7"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p>
        </w:tc>
        <w:tc>
          <w:tcPr>
            <w:tcW w:w="0" w:type="auto"/>
            <w:tcBorders>
              <w:top w:val="single" w:sz="2" w:space="0" w:color="8EAADB" w:themeColor="accent5" w:themeTint="99"/>
              <w:left w:val="nil"/>
              <w:bottom w:val="nil"/>
              <w:right w:val="nil"/>
            </w:tcBorders>
            <w:shd w:val="clear" w:color="auto" w:fill="FFFFFF" w:themeFill="background1"/>
            <w:vAlign w:val="center"/>
          </w:tcPr>
          <w:p w14:paraId="66BE2761"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p>
        </w:tc>
        <w:tc>
          <w:tcPr>
            <w:tcW w:w="0" w:type="auto"/>
            <w:tcBorders>
              <w:top w:val="single" w:sz="2" w:space="0" w:color="8EAADB" w:themeColor="accent5" w:themeTint="99"/>
              <w:left w:val="nil"/>
              <w:bottom w:val="nil"/>
              <w:right w:val="nil"/>
            </w:tcBorders>
            <w:shd w:val="clear" w:color="auto" w:fill="FFFFFF" w:themeFill="background1"/>
            <w:vAlign w:val="center"/>
          </w:tcPr>
          <w:p w14:paraId="27F9926D"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eastAsia="en-US"/>
              </w:rPr>
            </w:pPr>
          </w:p>
        </w:tc>
        <w:tc>
          <w:tcPr>
            <w:tcW w:w="0" w:type="auto"/>
            <w:tcBorders>
              <w:top w:val="single" w:sz="2" w:space="0" w:color="8EAADB" w:themeColor="accent5" w:themeTint="99"/>
              <w:left w:val="nil"/>
              <w:bottom w:val="nil"/>
              <w:right w:val="nil"/>
            </w:tcBorders>
            <w:shd w:val="clear" w:color="auto" w:fill="FFFFFF" w:themeFill="background1"/>
            <w:vAlign w:val="center"/>
          </w:tcPr>
          <w:p w14:paraId="2C731F70"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eastAsia="en-US"/>
              </w:rPr>
            </w:pPr>
          </w:p>
        </w:tc>
        <w:tc>
          <w:tcPr>
            <w:tcW w:w="0" w:type="auto"/>
            <w:tcBorders>
              <w:top w:val="single" w:sz="2" w:space="0" w:color="8EAADB" w:themeColor="accent5" w:themeTint="99"/>
              <w:left w:val="nil"/>
              <w:bottom w:val="nil"/>
              <w:right w:val="nil"/>
            </w:tcBorders>
            <w:shd w:val="clear" w:color="auto" w:fill="FFFFFF" w:themeFill="background1"/>
            <w:vAlign w:val="center"/>
          </w:tcPr>
          <w:p w14:paraId="5789DC3C"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eastAsia="en-US"/>
              </w:rPr>
            </w:pPr>
          </w:p>
        </w:tc>
        <w:tc>
          <w:tcPr>
            <w:tcW w:w="0" w:type="auto"/>
            <w:tcBorders>
              <w:top w:val="single" w:sz="2" w:space="0" w:color="8EAADB" w:themeColor="accent5" w:themeTint="99"/>
              <w:left w:val="nil"/>
              <w:bottom w:val="nil"/>
              <w:right w:val="nil"/>
            </w:tcBorders>
            <w:shd w:val="clear" w:color="auto" w:fill="FFFFFF" w:themeFill="background1"/>
            <w:vAlign w:val="center"/>
          </w:tcPr>
          <w:p w14:paraId="5ED2CDC0"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eastAsia="en-US"/>
              </w:rPr>
            </w:pPr>
          </w:p>
        </w:tc>
        <w:tc>
          <w:tcPr>
            <w:tcW w:w="0" w:type="auto"/>
            <w:tcBorders>
              <w:top w:val="single" w:sz="2" w:space="0" w:color="8EAADB" w:themeColor="accent5" w:themeTint="99"/>
              <w:left w:val="nil"/>
              <w:bottom w:val="nil"/>
              <w:right w:val="nil"/>
            </w:tcBorders>
            <w:shd w:val="clear" w:color="auto" w:fill="FFFFFF" w:themeFill="background1"/>
            <w:vAlign w:val="center"/>
          </w:tcPr>
          <w:p w14:paraId="582C246D"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eastAsia="en-US"/>
              </w:rPr>
            </w:pPr>
          </w:p>
        </w:tc>
        <w:tc>
          <w:tcPr>
            <w:tcW w:w="0" w:type="auto"/>
            <w:tcBorders>
              <w:top w:val="single" w:sz="2" w:space="0" w:color="8EAADB" w:themeColor="accent5" w:themeTint="99"/>
              <w:left w:val="nil"/>
              <w:bottom w:val="nil"/>
              <w:right w:val="nil"/>
            </w:tcBorders>
            <w:shd w:val="clear" w:color="auto" w:fill="FFFFFF" w:themeFill="background1"/>
            <w:vAlign w:val="center"/>
          </w:tcPr>
          <w:p w14:paraId="307E5618"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eastAsia="en-US"/>
              </w:rPr>
            </w:pPr>
          </w:p>
        </w:tc>
        <w:tc>
          <w:tcPr>
            <w:tcW w:w="756" w:type="dxa"/>
            <w:tcBorders>
              <w:top w:val="single" w:sz="2" w:space="0" w:color="8EAADB" w:themeColor="accent5" w:themeTint="99"/>
              <w:left w:val="nil"/>
              <w:bottom w:val="nil"/>
              <w:right w:val="nil"/>
            </w:tcBorders>
            <w:shd w:val="clear" w:color="auto" w:fill="FFFFFF" w:themeFill="background1"/>
            <w:vAlign w:val="center"/>
          </w:tcPr>
          <w:p w14:paraId="79B9B127"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lang w:val="en-US" w:eastAsia="en-US"/>
              </w:rPr>
            </w:pPr>
          </w:p>
        </w:tc>
      </w:tr>
      <w:tr w:rsidR="00720F68" w:rsidRPr="00B84B0C" w14:paraId="4A5C86A9" w14:textId="77777777" w:rsidTr="000426AD">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7DE0F6C" w14:textId="77777777" w:rsidR="00720F68" w:rsidRPr="00B84B0C" w:rsidRDefault="00720F68">
            <w:pPr>
              <w:pStyle w:val="07-Legenda"/>
              <w:jc w:val="left"/>
              <w:rPr>
                <w:rFonts w:cs="Arial"/>
                <w:b w:val="0"/>
                <w:iCs/>
                <w:lang w:val="en-US" w:eastAsia="en-US"/>
              </w:rPr>
            </w:pPr>
            <w:r w:rsidRPr="00B84B0C">
              <w:rPr>
                <w:rFonts w:cs="Arial"/>
                <w:b w:val="0"/>
                <w:iCs/>
                <w:lang w:val="en-US" w:eastAsia="en-US"/>
              </w:rPr>
              <w:t xml:space="preserve">     </w:t>
            </w:r>
            <w:proofErr w:type="spellStart"/>
            <w:r w:rsidRPr="00B84B0C">
              <w:rPr>
                <w:rFonts w:cs="Arial"/>
                <w:b w:val="0"/>
                <w:iCs/>
                <w:lang w:val="en-US" w:eastAsia="en-US"/>
              </w:rPr>
              <w:t>Brasilseg</w:t>
            </w:r>
            <w:proofErr w:type="spellEnd"/>
            <w:r w:rsidRPr="00B84B0C">
              <w:rPr>
                <w:rFonts w:cs="Arial"/>
                <w:b w:val="0"/>
                <w:iCs/>
                <w:lang w:val="en-US" w:eastAsia="en-US"/>
              </w:rPr>
              <w:t xml:space="preserve"> </w:t>
            </w:r>
          </w:p>
        </w:tc>
        <w:tc>
          <w:tcPr>
            <w:tcW w:w="0" w:type="auto"/>
            <w:tcBorders>
              <w:top w:val="nil"/>
              <w:left w:val="nil"/>
              <w:bottom w:val="nil"/>
              <w:right w:val="nil"/>
            </w:tcBorders>
            <w:hideMark/>
          </w:tcPr>
          <w:p w14:paraId="1D02A7C2"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sidRPr="00B84B0C">
              <w:rPr>
                <w:rFonts w:cs="Arial"/>
                <w:lang w:eastAsia="en-US"/>
              </w:rPr>
              <w:t xml:space="preserve"> 5,545,298 </w:t>
            </w:r>
          </w:p>
        </w:tc>
        <w:tc>
          <w:tcPr>
            <w:tcW w:w="0" w:type="auto"/>
            <w:tcBorders>
              <w:top w:val="nil"/>
              <w:left w:val="nil"/>
              <w:bottom w:val="nil"/>
              <w:right w:val="nil"/>
            </w:tcBorders>
            <w:hideMark/>
          </w:tcPr>
          <w:p w14:paraId="09EA8B55"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sidRPr="00B84B0C">
              <w:rPr>
                <w:rFonts w:cs="Arial"/>
                <w:lang w:eastAsia="en-US"/>
              </w:rPr>
              <w:t xml:space="preserve"> 4,756,523 </w:t>
            </w:r>
          </w:p>
        </w:tc>
        <w:tc>
          <w:tcPr>
            <w:tcW w:w="0" w:type="auto"/>
            <w:tcBorders>
              <w:top w:val="nil"/>
              <w:left w:val="nil"/>
              <w:bottom w:val="nil"/>
              <w:right w:val="nil"/>
            </w:tcBorders>
            <w:hideMark/>
          </w:tcPr>
          <w:p w14:paraId="05EFE4CB"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r w:rsidRPr="00B84B0C">
              <w:rPr>
                <w:rFonts w:cs="Arial"/>
                <w:lang w:eastAsia="en-US"/>
              </w:rPr>
              <w:t xml:space="preserve"> 226,081 </w:t>
            </w:r>
          </w:p>
        </w:tc>
        <w:tc>
          <w:tcPr>
            <w:tcW w:w="0" w:type="auto"/>
            <w:tcBorders>
              <w:top w:val="nil"/>
              <w:left w:val="nil"/>
              <w:bottom w:val="nil"/>
              <w:right w:val="nil"/>
            </w:tcBorders>
            <w:hideMark/>
          </w:tcPr>
          <w:p w14:paraId="5F28F9F7"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r w:rsidRPr="00B84B0C">
              <w:rPr>
                <w:rFonts w:cs="Arial"/>
                <w:lang w:eastAsia="en-US"/>
              </w:rPr>
              <w:t xml:space="preserve"> 562,695 </w:t>
            </w:r>
          </w:p>
        </w:tc>
        <w:tc>
          <w:tcPr>
            <w:tcW w:w="0" w:type="auto"/>
            <w:tcBorders>
              <w:top w:val="nil"/>
              <w:left w:val="nil"/>
              <w:bottom w:val="nil"/>
              <w:right w:val="nil"/>
            </w:tcBorders>
            <w:vAlign w:val="center"/>
          </w:tcPr>
          <w:p w14:paraId="420A57B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p>
        </w:tc>
        <w:tc>
          <w:tcPr>
            <w:tcW w:w="0" w:type="auto"/>
            <w:tcBorders>
              <w:top w:val="nil"/>
              <w:left w:val="nil"/>
              <w:bottom w:val="nil"/>
              <w:right w:val="nil"/>
            </w:tcBorders>
            <w:hideMark/>
          </w:tcPr>
          <w:p w14:paraId="21D4D3CA"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r w:rsidRPr="00B84B0C">
              <w:rPr>
                <w:rFonts w:cs="Arial"/>
                <w:lang w:eastAsia="en-US"/>
              </w:rPr>
              <w:t xml:space="preserve"> 6,280,893 </w:t>
            </w:r>
          </w:p>
        </w:tc>
        <w:tc>
          <w:tcPr>
            <w:tcW w:w="0" w:type="auto"/>
            <w:tcBorders>
              <w:top w:val="nil"/>
              <w:left w:val="nil"/>
              <w:bottom w:val="nil"/>
              <w:right w:val="nil"/>
            </w:tcBorders>
            <w:hideMark/>
          </w:tcPr>
          <w:p w14:paraId="7CCDB5F6"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r w:rsidRPr="00B84B0C">
              <w:rPr>
                <w:rFonts w:cs="Arial"/>
                <w:lang w:eastAsia="en-US"/>
              </w:rPr>
              <w:t xml:space="preserve"> 4,937,384 </w:t>
            </w:r>
          </w:p>
        </w:tc>
        <w:tc>
          <w:tcPr>
            <w:tcW w:w="0" w:type="auto"/>
            <w:tcBorders>
              <w:top w:val="nil"/>
              <w:left w:val="nil"/>
              <w:bottom w:val="nil"/>
              <w:right w:val="nil"/>
            </w:tcBorders>
            <w:hideMark/>
          </w:tcPr>
          <w:p w14:paraId="7ACA8670"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r w:rsidRPr="00B84B0C">
              <w:rPr>
                <w:rFonts w:cs="Arial"/>
                <w:lang w:eastAsia="en-US"/>
              </w:rPr>
              <w:t xml:space="preserve"> 223,581 </w:t>
            </w:r>
          </w:p>
        </w:tc>
        <w:tc>
          <w:tcPr>
            <w:tcW w:w="756" w:type="dxa"/>
            <w:tcBorders>
              <w:top w:val="nil"/>
              <w:left w:val="nil"/>
              <w:bottom w:val="nil"/>
              <w:right w:val="nil"/>
            </w:tcBorders>
            <w:hideMark/>
          </w:tcPr>
          <w:p w14:paraId="4694826E"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r w:rsidRPr="00B84B0C">
              <w:rPr>
                <w:rFonts w:cs="Arial"/>
                <w:lang w:eastAsia="en-US"/>
              </w:rPr>
              <w:t xml:space="preserve"> 1,119,928 </w:t>
            </w:r>
          </w:p>
        </w:tc>
      </w:tr>
      <w:tr w:rsidR="00720F68" w:rsidRPr="00B84B0C" w14:paraId="3060088E" w14:textId="77777777" w:rsidTr="000426AD">
        <w:trPr>
          <w:trHeight w:hRule="exact" w:val="238"/>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AA6CCEC" w14:textId="77777777" w:rsidR="00720F68" w:rsidRPr="00B84B0C" w:rsidRDefault="00720F68">
            <w:pPr>
              <w:pStyle w:val="07-Legenda"/>
              <w:jc w:val="left"/>
              <w:rPr>
                <w:rFonts w:cs="Arial"/>
                <w:b w:val="0"/>
                <w:iCs/>
                <w:lang w:val="en-US" w:eastAsia="en-US"/>
              </w:rPr>
            </w:pPr>
            <w:r w:rsidRPr="00B84B0C">
              <w:rPr>
                <w:rFonts w:cs="Arial"/>
                <w:b w:val="0"/>
                <w:iCs/>
                <w:lang w:val="en-US" w:eastAsia="en-US"/>
              </w:rPr>
              <w:t xml:space="preserve">     ABS</w:t>
            </w:r>
          </w:p>
        </w:tc>
        <w:tc>
          <w:tcPr>
            <w:tcW w:w="0" w:type="auto"/>
            <w:tcBorders>
              <w:top w:val="nil"/>
              <w:left w:val="nil"/>
              <w:bottom w:val="nil"/>
              <w:right w:val="nil"/>
            </w:tcBorders>
            <w:hideMark/>
          </w:tcPr>
          <w:p w14:paraId="4C10572B"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347,199 </w:t>
            </w:r>
          </w:p>
        </w:tc>
        <w:tc>
          <w:tcPr>
            <w:tcW w:w="0" w:type="auto"/>
            <w:tcBorders>
              <w:top w:val="nil"/>
              <w:left w:val="nil"/>
              <w:bottom w:val="nil"/>
              <w:right w:val="nil"/>
            </w:tcBorders>
            <w:hideMark/>
          </w:tcPr>
          <w:p w14:paraId="29ECF9DE"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258,376 </w:t>
            </w:r>
          </w:p>
        </w:tc>
        <w:tc>
          <w:tcPr>
            <w:tcW w:w="0" w:type="auto"/>
            <w:tcBorders>
              <w:top w:val="nil"/>
              <w:left w:val="nil"/>
              <w:bottom w:val="nil"/>
              <w:right w:val="nil"/>
            </w:tcBorders>
            <w:hideMark/>
          </w:tcPr>
          <w:p w14:paraId="033A8D0C"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18,128 </w:t>
            </w:r>
          </w:p>
        </w:tc>
        <w:tc>
          <w:tcPr>
            <w:tcW w:w="0" w:type="auto"/>
            <w:tcBorders>
              <w:top w:val="nil"/>
              <w:left w:val="nil"/>
              <w:bottom w:val="nil"/>
              <w:right w:val="nil"/>
            </w:tcBorders>
            <w:hideMark/>
          </w:tcPr>
          <w:p w14:paraId="7841BF33"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70,696 </w:t>
            </w:r>
          </w:p>
        </w:tc>
        <w:tc>
          <w:tcPr>
            <w:tcW w:w="0" w:type="auto"/>
            <w:tcBorders>
              <w:top w:val="nil"/>
              <w:left w:val="nil"/>
              <w:bottom w:val="nil"/>
              <w:right w:val="nil"/>
            </w:tcBorders>
            <w:vAlign w:val="center"/>
          </w:tcPr>
          <w:p w14:paraId="0D51106D"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eastAsia="en-US"/>
              </w:rPr>
            </w:pPr>
          </w:p>
        </w:tc>
        <w:tc>
          <w:tcPr>
            <w:tcW w:w="0" w:type="auto"/>
            <w:tcBorders>
              <w:top w:val="nil"/>
              <w:left w:val="nil"/>
              <w:bottom w:val="nil"/>
              <w:right w:val="nil"/>
            </w:tcBorders>
            <w:hideMark/>
          </w:tcPr>
          <w:p w14:paraId="79EFEA9A"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365,115 </w:t>
            </w:r>
          </w:p>
        </w:tc>
        <w:tc>
          <w:tcPr>
            <w:tcW w:w="0" w:type="auto"/>
            <w:tcBorders>
              <w:top w:val="nil"/>
              <w:left w:val="nil"/>
              <w:bottom w:val="nil"/>
              <w:right w:val="nil"/>
            </w:tcBorders>
            <w:hideMark/>
          </w:tcPr>
          <w:p w14:paraId="04082151"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263,008 </w:t>
            </w:r>
          </w:p>
        </w:tc>
        <w:tc>
          <w:tcPr>
            <w:tcW w:w="0" w:type="auto"/>
            <w:tcBorders>
              <w:top w:val="nil"/>
              <w:left w:val="nil"/>
              <w:bottom w:val="nil"/>
              <w:right w:val="nil"/>
            </w:tcBorders>
            <w:hideMark/>
          </w:tcPr>
          <w:p w14:paraId="46F2CE35"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18,601 </w:t>
            </w:r>
          </w:p>
        </w:tc>
        <w:tc>
          <w:tcPr>
            <w:tcW w:w="756" w:type="dxa"/>
            <w:tcBorders>
              <w:top w:val="nil"/>
              <w:left w:val="nil"/>
              <w:bottom w:val="nil"/>
              <w:right w:val="nil"/>
            </w:tcBorders>
            <w:hideMark/>
          </w:tcPr>
          <w:p w14:paraId="6BDDA06B"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83,506 </w:t>
            </w:r>
          </w:p>
        </w:tc>
      </w:tr>
      <w:tr w:rsidR="00720F68" w:rsidRPr="00B84B0C" w14:paraId="6CCE79B7" w14:textId="77777777" w:rsidTr="000426AD">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tcPr>
          <w:p w14:paraId="6F3507C6" w14:textId="77777777" w:rsidR="00720F68" w:rsidRPr="00B84B0C" w:rsidRDefault="00720F68">
            <w:pPr>
              <w:pStyle w:val="07-Legenda"/>
              <w:jc w:val="left"/>
              <w:rPr>
                <w:rFonts w:cs="Arial"/>
                <w:b w:val="0"/>
                <w:i/>
                <w:lang w:val="en-US" w:eastAsia="en-US"/>
              </w:rPr>
            </w:pPr>
          </w:p>
        </w:tc>
        <w:tc>
          <w:tcPr>
            <w:tcW w:w="0" w:type="auto"/>
            <w:tcBorders>
              <w:top w:val="nil"/>
              <w:left w:val="nil"/>
              <w:bottom w:val="nil"/>
              <w:right w:val="nil"/>
            </w:tcBorders>
            <w:vAlign w:val="center"/>
          </w:tcPr>
          <w:p w14:paraId="60782F1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0" w:type="auto"/>
            <w:tcBorders>
              <w:top w:val="nil"/>
              <w:left w:val="nil"/>
              <w:bottom w:val="nil"/>
              <w:right w:val="nil"/>
            </w:tcBorders>
            <w:vAlign w:val="center"/>
          </w:tcPr>
          <w:p w14:paraId="7DB452DC"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0" w:type="auto"/>
            <w:tcBorders>
              <w:top w:val="nil"/>
              <w:left w:val="nil"/>
              <w:bottom w:val="nil"/>
              <w:right w:val="nil"/>
            </w:tcBorders>
            <w:vAlign w:val="center"/>
          </w:tcPr>
          <w:p w14:paraId="09DBAE46"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0" w:type="auto"/>
            <w:tcBorders>
              <w:top w:val="nil"/>
              <w:left w:val="nil"/>
              <w:bottom w:val="nil"/>
              <w:right w:val="nil"/>
            </w:tcBorders>
            <w:vAlign w:val="center"/>
          </w:tcPr>
          <w:p w14:paraId="4BB959B8"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0" w:type="auto"/>
            <w:tcBorders>
              <w:top w:val="nil"/>
              <w:left w:val="nil"/>
              <w:bottom w:val="nil"/>
              <w:right w:val="nil"/>
            </w:tcBorders>
            <w:vAlign w:val="center"/>
          </w:tcPr>
          <w:p w14:paraId="20B3BAB7"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p>
        </w:tc>
        <w:tc>
          <w:tcPr>
            <w:tcW w:w="0" w:type="auto"/>
            <w:tcBorders>
              <w:top w:val="nil"/>
              <w:left w:val="nil"/>
              <w:bottom w:val="nil"/>
              <w:right w:val="nil"/>
            </w:tcBorders>
            <w:vAlign w:val="center"/>
          </w:tcPr>
          <w:p w14:paraId="2A0ED446"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0" w:type="auto"/>
            <w:tcBorders>
              <w:top w:val="nil"/>
              <w:left w:val="nil"/>
              <w:bottom w:val="nil"/>
              <w:right w:val="nil"/>
            </w:tcBorders>
            <w:vAlign w:val="center"/>
          </w:tcPr>
          <w:p w14:paraId="15F25A73"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0" w:type="auto"/>
            <w:tcBorders>
              <w:top w:val="nil"/>
              <w:left w:val="nil"/>
              <w:bottom w:val="nil"/>
              <w:right w:val="nil"/>
            </w:tcBorders>
            <w:vAlign w:val="center"/>
          </w:tcPr>
          <w:p w14:paraId="0D84992A"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756" w:type="dxa"/>
            <w:tcBorders>
              <w:top w:val="nil"/>
              <w:left w:val="nil"/>
              <w:bottom w:val="nil"/>
              <w:right w:val="nil"/>
            </w:tcBorders>
            <w:vAlign w:val="center"/>
          </w:tcPr>
          <w:p w14:paraId="32F49A41"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r>
      <w:tr w:rsidR="00720F68" w:rsidRPr="00B84B0C" w14:paraId="487638A3" w14:textId="77777777" w:rsidTr="000426AD">
        <w:trPr>
          <w:trHeight w:hRule="exact" w:val="238"/>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482053F9" w14:textId="77777777" w:rsidR="00720F68" w:rsidRPr="00B84B0C" w:rsidRDefault="00720F68">
            <w:pPr>
              <w:pStyle w:val="07-Legenda"/>
              <w:jc w:val="left"/>
              <w:rPr>
                <w:rFonts w:cs="Arial"/>
                <w:bCs w:val="0"/>
                <w:lang w:val="en-US" w:eastAsia="en-US"/>
              </w:rPr>
            </w:pPr>
            <w:proofErr w:type="spellStart"/>
            <w:r w:rsidRPr="00B84B0C">
              <w:rPr>
                <w:rFonts w:cs="Arial"/>
                <w:bCs w:val="0"/>
                <w:szCs w:val="14"/>
                <w:lang w:eastAsia="en-US"/>
              </w:rPr>
              <w:t>Brasilcap</w:t>
            </w:r>
            <w:proofErr w:type="spellEnd"/>
          </w:p>
        </w:tc>
        <w:tc>
          <w:tcPr>
            <w:tcW w:w="0" w:type="auto"/>
            <w:tcBorders>
              <w:top w:val="nil"/>
              <w:left w:val="nil"/>
              <w:bottom w:val="nil"/>
              <w:right w:val="nil"/>
            </w:tcBorders>
            <w:hideMark/>
          </w:tcPr>
          <w:p w14:paraId="1B423FEA"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8,493,282 </w:t>
            </w:r>
          </w:p>
        </w:tc>
        <w:tc>
          <w:tcPr>
            <w:tcW w:w="0" w:type="auto"/>
            <w:tcBorders>
              <w:top w:val="nil"/>
              <w:left w:val="nil"/>
              <w:bottom w:val="nil"/>
              <w:right w:val="nil"/>
            </w:tcBorders>
            <w:hideMark/>
          </w:tcPr>
          <w:p w14:paraId="579AC049"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7,863,074 </w:t>
            </w:r>
          </w:p>
        </w:tc>
        <w:tc>
          <w:tcPr>
            <w:tcW w:w="0" w:type="auto"/>
            <w:tcBorders>
              <w:top w:val="nil"/>
              <w:left w:val="nil"/>
              <w:bottom w:val="nil"/>
              <w:right w:val="nil"/>
            </w:tcBorders>
            <w:hideMark/>
          </w:tcPr>
          <w:p w14:paraId="66CF86E9"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61,043 </w:t>
            </w:r>
          </w:p>
        </w:tc>
        <w:tc>
          <w:tcPr>
            <w:tcW w:w="0" w:type="auto"/>
            <w:tcBorders>
              <w:top w:val="nil"/>
              <w:left w:val="nil"/>
              <w:bottom w:val="nil"/>
              <w:right w:val="nil"/>
            </w:tcBorders>
            <w:hideMark/>
          </w:tcPr>
          <w:p w14:paraId="4277830B"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569,165 </w:t>
            </w:r>
          </w:p>
        </w:tc>
        <w:tc>
          <w:tcPr>
            <w:tcW w:w="0" w:type="auto"/>
            <w:tcBorders>
              <w:top w:val="nil"/>
              <w:left w:val="nil"/>
              <w:bottom w:val="nil"/>
              <w:right w:val="nil"/>
            </w:tcBorders>
            <w:vAlign w:val="center"/>
          </w:tcPr>
          <w:p w14:paraId="7DEB1422"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eastAsia="en-US"/>
              </w:rPr>
            </w:pPr>
          </w:p>
        </w:tc>
        <w:tc>
          <w:tcPr>
            <w:tcW w:w="0" w:type="auto"/>
            <w:tcBorders>
              <w:top w:val="nil"/>
              <w:left w:val="nil"/>
              <w:bottom w:val="nil"/>
              <w:right w:val="nil"/>
            </w:tcBorders>
            <w:hideMark/>
          </w:tcPr>
          <w:p w14:paraId="3E706612"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9,029,134 </w:t>
            </w:r>
          </w:p>
        </w:tc>
        <w:tc>
          <w:tcPr>
            <w:tcW w:w="0" w:type="auto"/>
            <w:tcBorders>
              <w:top w:val="nil"/>
              <w:left w:val="nil"/>
              <w:bottom w:val="nil"/>
              <w:right w:val="nil"/>
            </w:tcBorders>
            <w:hideMark/>
          </w:tcPr>
          <w:p w14:paraId="790894FB"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8,342,007 </w:t>
            </w:r>
          </w:p>
        </w:tc>
        <w:tc>
          <w:tcPr>
            <w:tcW w:w="0" w:type="auto"/>
            <w:tcBorders>
              <w:top w:val="nil"/>
              <w:left w:val="nil"/>
              <w:bottom w:val="nil"/>
              <w:right w:val="nil"/>
            </w:tcBorders>
            <w:hideMark/>
          </w:tcPr>
          <w:p w14:paraId="59485638"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62,459 </w:t>
            </w:r>
          </w:p>
        </w:tc>
        <w:tc>
          <w:tcPr>
            <w:tcW w:w="756" w:type="dxa"/>
            <w:tcBorders>
              <w:top w:val="nil"/>
              <w:left w:val="nil"/>
              <w:bottom w:val="nil"/>
              <w:right w:val="nil"/>
            </w:tcBorders>
            <w:hideMark/>
          </w:tcPr>
          <w:p w14:paraId="4720980E"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lang w:eastAsia="en-US"/>
              </w:rPr>
              <w:t xml:space="preserve"> 624,668 </w:t>
            </w:r>
          </w:p>
        </w:tc>
      </w:tr>
      <w:tr w:rsidR="00720F68" w:rsidRPr="00B84B0C" w14:paraId="4A611CE4" w14:textId="77777777" w:rsidTr="000426AD">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2" w:space="0" w:color="8EAADB" w:themeColor="accent5" w:themeTint="99"/>
              <w:right w:val="nil"/>
            </w:tcBorders>
            <w:hideMark/>
          </w:tcPr>
          <w:p w14:paraId="7A67A01A" w14:textId="77777777" w:rsidR="00720F68" w:rsidRPr="00B84B0C" w:rsidRDefault="00720F68">
            <w:pPr>
              <w:pStyle w:val="07-Legenda"/>
              <w:jc w:val="left"/>
              <w:rPr>
                <w:rFonts w:cs="Arial"/>
                <w:bCs w:val="0"/>
                <w:lang w:val="en-US" w:eastAsia="en-US"/>
              </w:rPr>
            </w:pPr>
            <w:proofErr w:type="spellStart"/>
            <w:r w:rsidRPr="00B84B0C">
              <w:rPr>
                <w:rFonts w:cs="Arial"/>
                <w:bCs w:val="0"/>
                <w:lang w:val="en-US" w:eastAsia="en-US"/>
              </w:rPr>
              <w:t>Brasilprev</w:t>
            </w:r>
            <w:proofErr w:type="spellEnd"/>
          </w:p>
        </w:tc>
        <w:tc>
          <w:tcPr>
            <w:tcW w:w="0" w:type="auto"/>
            <w:tcBorders>
              <w:top w:val="nil"/>
              <w:left w:val="nil"/>
              <w:bottom w:val="single" w:sz="2" w:space="0" w:color="8EAADB" w:themeColor="accent5" w:themeTint="99"/>
              <w:right w:val="nil"/>
            </w:tcBorders>
            <w:hideMark/>
          </w:tcPr>
          <w:p w14:paraId="7475EBF2"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B84B0C">
              <w:rPr>
                <w:rFonts w:cs="Arial"/>
                <w:lang w:eastAsia="en-US"/>
              </w:rPr>
              <w:t xml:space="preserve"> 288,405,247 </w:t>
            </w:r>
          </w:p>
        </w:tc>
        <w:tc>
          <w:tcPr>
            <w:tcW w:w="0" w:type="auto"/>
            <w:tcBorders>
              <w:top w:val="nil"/>
              <w:left w:val="nil"/>
              <w:bottom w:val="single" w:sz="2" w:space="0" w:color="8EAADB" w:themeColor="accent5" w:themeTint="99"/>
              <w:right w:val="nil"/>
            </w:tcBorders>
            <w:hideMark/>
          </w:tcPr>
          <w:p w14:paraId="6AE98F55"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B84B0C">
              <w:rPr>
                <w:rFonts w:cs="Arial"/>
                <w:lang w:eastAsia="en-US"/>
              </w:rPr>
              <w:t xml:space="preserve"> 286,494,397 </w:t>
            </w:r>
          </w:p>
        </w:tc>
        <w:tc>
          <w:tcPr>
            <w:tcW w:w="0" w:type="auto"/>
            <w:tcBorders>
              <w:top w:val="nil"/>
              <w:left w:val="nil"/>
              <w:bottom w:val="single" w:sz="2" w:space="0" w:color="8EAADB" w:themeColor="accent5" w:themeTint="99"/>
              <w:right w:val="nil"/>
            </w:tcBorders>
            <w:hideMark/>
          </w:tcPr>
          <w:p w14:paraId="1D2CA9CA"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429,172 </w:t>
            </w:r>
          </w:p>
        </w:tc>
        <w:tc>
          <w:tcPr>
            <w:tcW w:w="0" w:type="auto"/>
            <w:tcBorders>
              <w:top w:val="nil"/>
              <w:left w:val="nil"/>
              <w:bottom w:val="single" w:sz="2" w:space="0" w:color="8EAADB" w:themeColor="accent5" w:themeTint="99"/>
              <w:right w:val="nil"/>
            </w:tcBorders>
            <w:hideMark/>
          </w:tcPr>
          <w:p w14:paraId="557A723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1,481,678 </w:t>
            </w:r>
          </w:p>
        </w:tc>
        <w:tc>
          <w:tcPr>
            <w:tcW w:w="0" w:type="auto"/>
            <w:tcBorders>
              <w:top w:val="nil"/>
              <w:left w:val="nil"/>
              <w:bottom w:val="single" w:sz="2" w:space="0" w:color="8EAADB" w:themeColor="accent5" w:themeTint="99"/>
              <w:right w:val="nil"/>
            </w:tcBorders>
            <w:vAlign w:val="center"/>
          </w:tcPr>
          <w:p w14:paraId="557D6F6B"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0" w:type="auto"/>
            <w:tcBorders>
              <w:top w:val="nil"/>
              <w:left w:val="nil"/>
              <w:bottom w:val="single" w:sz="2" w:space="0" w:color="8EAADB" w:themeColor="accent5" w:themeTint="99"/>
              <w:right w:val="nil"/>
            </w:tcBorders>
            <w:hideMark/>
          </w:tcPr>
          <w:p w14:paraId="48282CDE"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292,454,051 </w:t>
            </w:r>
          </w:p>
        </w:tc>
        <w:tc>
          <w:tcPr>
            <w:tcW w:w="0" w:type="auto"/>
            <w:tcBorders>
              <w:top w:val="nil"/>
              <w:left w:val="nil"/>
              <w:bottom w:val="single" w:sz="2" w:space="0" w:color="8EAADB" w:themeColor="accent5" w:themeTint="99"/>
              <w:right w:val="nil"/>
            </w:tcBorders>
            <w:hideMark/>
          </w:tcPr>
          <w:p w14:paraId="484E280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289,811,314 </w:t>
            </w:r>
          </w:p>
        </w:tc>
        <w:tc>
          <w:tcPr>
            <w:tcW w:w="0" w:type="auto"/>
            <w:tcBorders>
              <w:top w:val="nil"/>
              <w:left w:val="nil"/>
              <w:bottom w:val="single" w:sz="2" w:space="0" w:color="8EAADB" w:themeColor="accent5" w:themeTint="99"/>
              <w:right w:val="nil"/>
            </w:tcBorders>
            <w:hideMark/>
          </w:tcPr>
          <w:p w14:paraId="796347AC"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468,390 </w:t>
            </w:r>
          </w:p>
        </w:tc>
        <w:tc>
          <w:tcPr>
            <w:tcW w:w="756" w:type="dxa"/>
            <w:tcBorders>
              <w:top w:val="nil"/>
              <w:left w:val="nil"/>
              <w:bottom w:val="single" w:sz="2" w:space="0" w:color="8EAADB" w:themeColor="accent5" w:themeTint="99"/>
              <w:right w:val="nil"/>
            </w:tcBorders>
            <w:hideMark/>
          </w:tcPr>
          <w:p w14:paraId="70C1803A"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2,174,347 </w:t>
            </w:r>
          </w:p>
        </w:tc>
      </w:tr>
    </w:tbl>
    <w:p w14:paraId="0A9E3F5B" w14:textId="77777777" w:rsidR="00720F68" w:rsidRPr="00B84B0C" w:rsidRDefault="00720F68" w:rsidP="00720F68">
      <w:pPr>
        <w:pStyle w:val="06-Rmil"/>
        <w:rPr>
          <w:rFonts w:cs="Arial"/>
        </w:rPr>
      </w:pPr>
    </w:p>
    <w:p w14:paraId="39583ADE" w14:textId="77777777" w:rsidR="00720F68" w:rsidRPr="00B84B0C" w:rsidRDefault="00720F68" w:rsidP="00720F68">
      <w:pPr>
        <w:pStyle w:val="06-Rmil"/>
        <w:rPr>
          <w:rFonts w:cs="Arial"/>
        </w:rPr>
      </w:pPr>
      <w:r w:rsidRPr="00B84B0C">
        <w:rPr>
          <w:rFonts w:cs="Arial"/>
        </w:rPr>
        <w:t>R$ </w:t>
      </w:r>
      <w:proofErr w:type="spellStart"/>
      <w:r w:rsidRPr="00B84B0C">
        <w:rPr>
          <w:rFonts w:cs="Arial"/>
        </w:rPr>
        <w:t>thousand</w:t>
      </w:r>
      <w:proofErr w:type="spellEnd"/>
    </w:p>
    <w:tbl>
      <w:tblPr>
        <w:tblStyle w:val="TabeladeLista6Colorida-nfase53"/>
        <w:tblW w:w="0" w:type="auto"/>
        <w:tblLayout w:type="fixed"/>
        <w:tblLook w:val="04A0" w:firstRow="1" w:lastRow="0" w:firstColumn="1" w:lastColumn="0" w:noHBand="0" w:noVBand="1"/>
      </w:tblPr>
      <w:tblGrid>
        <w:gridCol w:w="2127"/>
        <w:gridCol w:w="1134"/>
        <w:gridCol w:w="1275"/>
        <w:gridCol w:w="1134"/>
        <w:gridCol w:w="284"/>
        <w:gridCol w:w="1134"/>
        <w:gridCol w:w="1276"/>
        <w:gridCol w:w="1383"/>
      </w:tblGrid>
      <w:tr w:rsidR="00720F68" w:rsidRPr="00B84B0C" w14:paraId="57403B78" w14:textId="77777777" w:rsidTr="000426AD">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08D72780" w14:textId="77777777" w:rsidR="00720F68" w:rsidRPr="00B84B0C" w:rsidRDefault="00720F68">
            <w:pPr>
              <w:jc w:val="center"/>
              <w:rPr>
                <w:rFonts w:cs="Arial"/>
                <w:szCs w:val="18"/>
              </w:rPr>
            </w:pPr>
            <w:r w:rsidRPr="00B84B0C">
              <w:rPr>
                <w:rFonts w:cs="Arial"/>
                <w:sz w:val="14"/>
                <w:szCs w:val="18"/>
              </w:rPr>
              <w:t xml:space="preserve">Capital </w:t>
            </w:r>
            <w:proofErr w:type="spellStart"/>
            <w:r w:rsidRPr="00B84B0C">
              <w:rPr>
                <w:rFonts w:cs="Arial"/>
                <w:sz w:val="14"/>
                <w:szCs w:val="18"/>
              </w:rPr>
              <w:t>adequacy</w:t>
            </w:r>
            <w:proofErr w:type="spellEnd"/>
          </w:p>
        </w:tc>
        <w:tc>
          <w:tcPr>
            <w:tcW w:w="3543" w:type="dxa"/>
            <w:gridSpan w:val="3"/>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41130C9A"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8"/>
              </w:rPr>
            </w:pPr>
            <w:r w:rsidRPr="00B84B0C">
              <w:rPr>
                <w:rFonts w:cs="Arial"/>
                <w:bCs w:val="0"/>
                <w:sz w:val="14"/>
                <w:szCs w:val="18"/>
                <w:lang w:val="en-US"/>
              </w:rPr>
              <w:t>Mar 31, 2020</w:t>
            </w:r>
          </w:p>
        </w:tc>
        <w:tc>
          <w:tcPr>
            <w:tcW w:w="284" w:type="dxa"/>
            <w:tcBorders>
              <w:top w:val="single" w:sz="2" w:space="0" w:color="8EAADB" w:themeColor="accent5" w:themeTint="99"/>
              <w:left w:val="nil"/>
              <w:bottom w:val="nil"/>
              <w:right w:val="nil"/>
            </w:tcBorders>
            <w:shd w:val="clear" w:color="auto" w:fill="D9E2F3" w:themeFill="accent5" w:themeFillTint="33"/>
          </w:tcPr>
          <w:p w14:paraId="12D74524"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Cs w:val="18"/>
              </w:rPr>
            </w:pPr>
          </w:p>
        </w:tc>
        <w:tc>
          <w:tcPr>
            <w:tcW w:w="3793" w:type="dxa"/>
            <w:gridSpan w:val="3"/>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67843DB5"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8"/>
              </w:rPr>
            </w:pPr>
            <w:r w:rsidRPr="00B84B0C">
              <w:rPr>
                <w:rFonts w:cs="Arial"/>
                <w:bCs w:val="0"/>
                <w:sz w:val="14"/>
                <w:szCs w:val="18"/>
                <w:lang w:val="en-US"/>
              </w:rPr>
              <w:t>Dec 31, 2019</w:t>
            </w:r>
          </w:p>
        </w:tc>
      </w:tr>
      <w:tr w:rsidR="00720F68" w:rsidRPr="00B84B0C" w14:paraId="248EA6BC" w14:textId="77777777" w:rsidTr="000426AD">
        <w:trPr>
          <w:cnfStyle w:val="000000100000" w:firstRow="0" w:lastRow="0" w:firstColumn="0" w:lastColumn="0" w:oddVBand="0" w:evenVBand="0" w:oddHBand="1" w:evenHBand="0" w:firstRowFirstColumn="0" w:firstRowLastColumn="0" w:lastRowFirstColumn="0" w:lastRowLastColumn="0"/>
          <w:trHeight w:hRule="exact" w:val="438"/>
        </w:trPr>
        <w:tc>
          <w:tcPr>
            <w:cnfStyle w:val="001000000000" w:firstRow="0" w:lastRow="0" w:firstColumn="1" w:lastColumn="0" w:oddVBand="0" w:evenVBand="0" w:oddHBand="0" w:evenHBand="0" w:firstRowFirstColumn="0" w:firstRowLastColumn="0" w:lastRowFirstColumn="0" w:lastRowLastColumn="0"/>
            <w:tcW w:w="2127" w:type="dxa"/>
            <w:vMerge/>
            <w:tcBorders>
              <w:top w:val="single" w:sz="2" w:space="0" w:color="8EAADB" w:themeColor="accent5" w:themeTint="99"/>
              <w:left w:val="nil"/>
              <w:bottom w:val="single" w:sz="2" w:space="0" w:color="8EAADB" w:themeColor="accent5" w:themeTint="99"/>
              <w:right w:val="nil"/>
            </w:tcBorders>
            <w:vAlign w:val="center"/>
            <w:hideMark/>
          </w:tcPr>
          <w:p w14:paraId="563647F4" w14:textId="77777777" w:rsidR="00720F68" w:rsidRPr="00B84B0C" w:rsidRDefault="00720F68" w:rsidP="00720F68">
            <w:pPr>
              <w:rPr>
                <w:rFonts w:cs="Arial"/>
                <w:szCs w:val="18"/>
              </w:rPr>
            </w:pPr>
          </w:p>
        </w:tc>
        <w:tc>
          <w:tcPr>
            <w:tcW w:w="1134" w:type="dxa"/>
            <w:tcBorders>
              <w:top w:val="single" w:sz="2" w:space="0" w:color="8EAADB" w:themeColor="accent5" w:themeTint="99"/>
              <w:left w:val="nil"/>
              <w:bottom w:val="single" w:sz="2" w:space="0" w:color="8EAADB" w:themeColor="accent5" w:themeTint="99"/>
              <w:right w:val="nil"/>
            </w:tcBorders>
            <w:vAlign w:val="center"/>
            <w:hideMark/>
          </w:tcPr>
          <w:p w14:paraId="7B7341E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spellStart"/>
            <w:r w:rsidRPr="00B84B0C">
              <w:rPr>
                <w:rFonts w:cs="Arial"/>
                <w:b/>
                <w:bCs/>
                <w:szCs w:val="14"/>
              </w:rPr>
              <w:t>Adjusted</w:t>
            </w:r>
            <w:proofErr w:type="spellEnd"/>
            <w:r w:rsidRPr="00B84B0C">
              <w:rPr>
                <w:rFonts w:cs="Arial"/>
                <w:b/>
                <w:bCs/>
                <w:szCs w:val="14"/>
              </w:rPr>
              <w:t xml:space="preserve"> Net </w:t>
            </w:r>
            <w:proofErr w:type="spellStart"/>
            <w:r w:rsidRPr="00B84B0C">
              <w:rPr>
                <w:rFonts w:cs="Arial"/>
                <w:b/>
                <w:bCs/>
                <w:szCs w:val="14"/>
              </w:rPr>
              <w:t>Equity</w:t>
            </w:r>
            <w:proofErr w:type="spellEnd"/>
          </w:p>
        </w:tc>
        <w:tc>
          <w:tcPr>
            <w:tcW w:w="1275" w:type="dxa"/>
            <w:tcBorders>
              <w:top w:val="single" w:sz="2" w:space="0" w:color="8EAADB" w:themeColor="accent5" w:themeTint="99"/>
              <w:left w:val="nil"/>
              <w:bottom w:val="single" w:sz="2" w:space="0" w:color="8EAADB" w:themeColor="accent5" w:themeTint="99"/>
              <w:right w:val="nil"/>
            </w:tcBorders>
            <w:vAlign w:val="center"/>
            <w:hideMark/>
          </w:tcPr>
          <w:p w14:paraId="0FB4ABE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eastAsia="en-US"/>
              </w:rPr>
              <w:t>CMR</w:t>
            </w:r>
          </w:p>
        </w:tc>
        <w:tc>
          <w:tcPr>
            <w:tcW w:w="1134" w:type="dxa"/>
            <w:tcBorders>
              <w:top w:val="single" w:sz="2" w:space="0" w:color="8EAADB" w:themeColor="accent5" w:themeTint="99"/>
              <w:left w:val="nil"/>
              <w:bottom w:val="single" w:sz="2" w:space="0" w:color="8EAADB" w:themeColor="accent5" w:themeTint="99"/>
              <w:right w:val="nil"/>
            </w:tcBorders>
            <w:vAlign w:val="center"/>
            <w:hideMark/>
          </w:tcPr>
          <w:p w14:paraId="2133034D"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spellStart"/>
            <w:r w:rsidRPr="00B84B0C">
              <w:rPr>
                <w:rFonts w:cs="Arial"/>
                <w:b/>
                <w:bCs/>
                <w:szCs w:val="14"/>
              </w:rPr>
              <w:t>Adequacy</w:t>
            </w:r>
            <w:proofErr w:type="spellEnd"/>
          </w:p>
        </w:tc>
        <w:tc>
          <w:tcPr>
            <w:tcW w:w="284" w:type="dxa"/>
            <w:tcBorders>
              <w:top w:val="nil"/>
              <w:left w:val="nil"/>
              <w:bottom w:val="single" w:sz="2" w:space="0" w:color="8EAADB" w:themeColor="accent5" w:themeTint="99"/>
              <w:right w:val="nil"/>
            </w:tcBorders>
            <w:vAlign w:val="center"/>
          </w:tcPr>
          <w:p w14:paraId="3D1260AA"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1134" w:type="dxa"/>
            <w:tcBorders>
              <w:top w:val="single" w:sz="2" w:space="0" w:color="8EAADB" w:themeColor="accent5" w:themeTint="99"/>
              <w:left w:val="nil"/>
              <w:bottom w:val="single" w:sz="2" w:space="0" w:color="8EAADB" w:themeColor="accent5" w:themeTint="99"/>
              <w:right w:val="nil"/>
            </w:tcBorders>
            <w:vAlign w:val="center"/>
            <w:hideMark/>
          </w:tcPr>
          <w:p w14:paraId="05131C5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spellStart"/>
            <w:r w:rsidRPr="00B84B0C">
              <w:rPr>
                <w:rFonts w:cs="Arial"/>
                <w:b/>
                <w:bCs/>
                <w:szCs w:val="14"/>
              </w:rPr>
              <w:t>Adjusted</w:t>
            </w:r>
            <w:proofErr w:type="spellEnd"/>
            <w:r w:rsidRPr="00B84B0C">
              <w:rPr>
                <w:rFonts w:cs="Arial"/>
                <w:b/>
                <w:bCs/>
                <w:szCs w:val="14"/>
              </w:rPr>
              <w:t xml:space="preserve"> Net </w:t>
            </w:r>
            <w:proofErr w:type="spellStart"/>
            <w:r w:rsidRPr="00B84B0C">
              <w:rPr>
                <w:rFonts w:cs="Arial"/>
                <w:b/>
                <w:bCs/>
                <w:szCs w:val="14"/>
              </w:rPr>
              <w:t>Equity</w:t>
            </w:r>
            <w:proofErr w:type="spellEnd"/>
          </w:p>
        </w:tc>
        <w:tc>
          <w:tcPr>
            <w:tcW w:w="1276" w:type="dxa"/>
            <w:tcBorders>
              <w:top w:val="single" w:sz="2" w:space="0" w:color="8EAADB" w:themeColor="accent5" w:themeTint="99"/>
              <w:left w:val="nil"/>
              <w:bottom w:val="single" w:sz="2" w:space="0" w:color="8EAADB" w:themeColor="accent5" w:themeTint="99"/>
              <w:right w:val="nil"/>
            </w:tcBorders>
            <w:vAlign w:val="center"/>
            <w:hideMark/>
          </w:tcPr>
          <w:p w14:paraId="49342E5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eastAsia="en-US"/>
              </w:rPr>
              <w:t>CMR</w:t>
            </w:r>
          </w:p>
        </w:tc>
        <w:tc>
          <w:tcPr>
            <w:tcW w:w="1383" w:type="dxa"/>
            <w:tcBorders>
              <w:top w:val="single" w:sz="2" w:space="0" w:color="8EAADB" w:themeColor="accent5" w:themeTint="99"/>
              <w:left w:val="nil"/>
              <w:bottom w:val="single" w:sz="2" w:space="0" w:color="8EAADB" w:themeColor="accent5" w:themeTint="99"/>
              <w:right w:val="nil"/>
            </w:tcBorders>
            <w:vAlign w:val="center"/>
            <w:hideMark/>
          </w:tcPr>
          <w:p w14:paraId="71E2CAE5"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spellStart"/>
            <w:r w:rsidRPr="00B84B0C">
              <w:rPr>
                <w:rFonts w:cs="Arial"/>
                <w:b/>
                <w:bCs/>
                <w:szCs w:val="14"/>
              </w:rPr>
              <w:t>Adequacy</w:t>
            </w:r>
            <w:proofErr w:type="spellEnd"/>
          </w:p>
        </w:tc>
      </w:tr>
      <w:tr w:rsidR="00720F68" w:rsidRPr="00B84B0C" w14:paraId="0506B43F" w14:textId="77777777" w:rsidTr="000426AD">
        <w:trPr>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nil"/>
              <w:right w:val="nil"/>
            </w:tcBorders>
            <w:hideMark/>
          </w:tcPr>
          <w:p w14:paraId="0F9F315F" w14:textId="77777777" w:rsidR="00720F68" w:rsidRPr="00B84B0C" w:rsidRDefault="00720F68">
            <w:pPr>
              <w:pStyle w:val="07-Legenda"/>
              <w:jc w:val="left"/>
              <w:rPr>
                <w:rFonts w:cs="Arial"/>
                <w:bCs w:val="0"/>
                <w:lang w:val="en-US" w:eastAsia="en-US"/>
              </w:rPr>
            </w:pPr>
            <w:r w:rsidRPr="00B84B0C">
              <w:rPr>
                <w:rFonts w:cs="Arial"/>
                <w:bCs w:val="0"/>
                <w:lang w:eastAsia="en-US"/>
              </w:rPr>
              <w:t>BB e MAPFRE</w:t>
            </w:r>
          </w:p>
        </w:tc>
        <w:tc>
          <w:tcPr>
            <w:tcW w:w="1134" w:type="dxa"/>
            <w:tcBorders>
              <w:top w:val="nil"/>
              <w:left w:val="nil"/>
              <w:bottom w:val="nil"/>
              <w:right w:val="nil"/>
            </w:tcBorders>
            <w:vAlign w:val="center"/>
          </w:tcPr>
          <w:p w14:paraId="6935D064"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p>
        </w:tc>
        <w:tc>
          <w:tcPr>
            <w:tcW w:w="1275" w:type="dxa"/>
            <w:tcBorders>
              <w:top w:val="nil"/>
              <w:left w:val="nil"/>
              <w:bottom w:val="nil"/>
              <w:right w:val="nil"/>
            </w:tcBorders>
            <w:vAlign w:val="center"/>
          </w:tcPr>
          <w:p w14:paraId="50888616"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p>
        </w:tc>
        <w:tc>
          <w:tcPr>
            <w:tcW w:w="1134" w:type="dxa"/>
            <w:tcBorders>
              <w:top w:val="nil"/>
              <w:left w:val="nil"/>
              <w:bottom w:val="nil"/>
              <w:right w:val="nil"/>
            </w:tcBorders>
            <w:vAlign w:val="center"/>
          </w:tcPr>
          <w:p w14:paraId="208CDA34"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284" w:type="dxa"/>
            <w:tcBorders>
              <w:top w:val="nil"/>
              <w:left w:val="nil"/>
              <w:bottom w:val="nil"/>
              <w:right w:val="nil"/>
            </w:tcBorders>
            <w:vAlign w:val="center"/>
          </w:tcPr>
          <w:p w14:paraId="569BB90F"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1134" w:type="dxa"/>
            <w:tcBorders>
              <w:top w:val="nil"/>
              <w:left w:val="nil"/>
              <w:bottom w:val="nil"/>
              <w:right w:val="nil"/>
            </w:tcBorders>
            <w:vAlign w:val="center"/>
          </w:tcPr>
          <w:p w14:paraId="2F1748D2"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1276" w:type="dxa"/>
            <w:tcBorders>
              <w:top w:val="nil"/>
              <w:left w:val="nil"/>
              <w:bottom w:val="nil"/>
              <w:right w:val="nil"/>
            </w:tcBorders>
            <w:vAlign w:val="center"/>
          </w:tcPr>
          <w:p w14:paraId="2B5167FF"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1383" w:type="dxa"/>
            <w:tcBorders>
              <w:top w:val="nil"/>
              <w:left w:val="nil"/>
              <w:bottom w:val="nil"/>
              <w:right w:val="nil"/>
            </w:tcBorders>
            <w:vAlign w:val="center"/>
          </w:tcPr>
          <w:p w14:paraId="6D0F74F4"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r>
      <w:tr w:rsidR="00720F68" w:rsidRPr="00B84B0C" w14:paraId="138C23CB" w14:textId="77777777" w:rsidTr="000426AD">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nil"/>
              <w:right w:val="nil"/>
            </w:tcBorders>
            <w:hideMark/>
          </w:tcPr>
          <w:p w14:paraId="6D3D953F" w14:textId="77777777" w:rsidR="00720F68" w:rsidRPr="00B84B0C" w:rsidRDefault="00720F68">
            <w:pPr>
              <w:pStyle w:val="07-Legenda"/>
              <w:jc w:val="left"/>
              <w:rPr>
                <w:rFonts w:cs="Arial"/>
                <w:bCs w:val="0"/>
                <w:lang w:val="en-US" w:eastAsia="en-US"/>
              </w:rPr>
            </w:pPr>
            <w:r w:rsidRPr="00B84B0C">
              <w:rPr>
                <w:rFonts w:cs="Arial"/>
                <w:b w:val="0"/>
                <w:iCs/>
                <w:lang w:val="en-US" w:eastAsia="en-US"/>
              </w:rPr>
              <w:t xml:space="preserve">     </w:t>
            </w:r>
            <w:proofErr w:type="spellStart"/>
            <w:r w:rsidRPr="00B84B0C">
              <w:rPr>
                <w:rFonts w:cs="Arial"/>
                <w:b w:val="0"/>
                <w:iCs/>
                <w:lang w:val="en-US" w:eastAsia="en-US"/>
              </w:rPr>
              <w:t>Brasilseg</w:t>
            </w:r>
            <w:proofErr w:type="spellEnd"/>
          </w:p>
        </w:tc>
        <w:tc>
          <w:tcPr>
            <w:tcW w:w="1134" w:type="dxa"/>
            <w:tcBorders>
              <w:top w:val="nil"/>
              <w:left w:val="nil"/>
              <w:bottom w:val="nil"/>
              <w:right w:val="nil"/>
            </w:tcBorders>
            <w:hideMark/>
          </w:tcPr>
          <w:p w14:paraId="6E939336"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B84B0C">
              <w:rPr>
                <w:rFonts w:cs="Arial"/>
                <w:lang w:eastAsia="en-US"/>
              </w:rPr>
              <w:t xml:space="preserve"> 1,262,028 </w:t>
            </w:r>
          </w:p>
        </w:tc>
        <w:tc>
          <w:tcPr>
            <w:tcW w:w="1275" w:type="dxa"/>
            <w:tcBorders>
              <w:top w:val="nil"/>
              <w:left w:val="nil"/>
              <w:bottom w:val="nil"/>
              <w:right w:val="nil"/>
            </w:tcBorders>
            <w:hideMark/>
          </w:tcPr>
          <w:p w14:paraId="2E836C3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B84B0C">
              <w:rPr>
                <w:rFonts w:cs="Arial"/>
                <w:lang w:eastAsia="en-US"/>
              </w:rPr>
              <w:t xml:space="preserve"> 1,130,405 </w:t>
            </w:r>
          </w:p>
        </w:tc>
        <w:tc>
          <w:tcPr>
            <w:tcW w:w="1134" w:type="dxa"/>
            <w:tcBorders>
              <w:top w:val="nil"/>
              <w:left w:val="nil"/>
              <w:bottom w:val="nil"/>
              <w:right w:val="nil"/>
            </w:tcBorders>
            <w:hideMark/>
          </w:tcPr>
          <w:p w14:paraId="02DC301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131,623 </w:t>
            </w:r>
          </w:p>
        </w:tc>
        <w:tc>
          <w:tcPr>
            <w:tcW w:w="284" w:type="dxa"/>
            <w:tcBorders>
              <w:top w:val="nil"/>
              <w:left w:val="nil"/>
              <w:bottom w:val="nil"/>
              <w:right w:val="nil"/>
            </w:tcBorders>
            <w:vAlign w:val="center"/>
          </w:tcPr>
          <w:p w14:paraId="542E74BE"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134" w:type="dxa"/>
            <w:tcBorders>
              <w:top w:val="nil"/>
              <w:left w:val="nil"/>
              <w:bottom w:val="nil"/>
              <w:right w:val="nil"/>
            </w:tcBorders>
            <w:hideMark/>
          </w:tcPr>
          <w:p w14:paraId="15417D50"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1,349,585 </w:t>
            </w:r>
          </w:p>
        </w:tc>
        <w:tc>
          <w:tcPr>
            <w:tcW w:w="1276" w:type="dxa"/>
            <w:tcBorders>
              <w:top w:val="nil"/>
              <w:left w:val="nil"/>
              <w:bottom w:val="nil"/>
              <w:right w:val="nil"/>
            </w:tcBorders>
            <w:hideMark/>
          </w:tcPr>
          <w:p w14:paraId="0C7119D7"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1,117,907 </w:t>
            </w:r>
          </w:p>
        </w:tc>
        <w:tc>
          <w:tcPr>
            <w:tcW w:w="1383" w:type="dxa"/>
            <w:tcBorders>
              <w:top w:val="nil"/>
              <w:left w:val="nil"/>
              <w:bottom w:val="nil"/>
              <w:right w:val="nil"/>
            </w:tcBorders>
            <w:hideMark/>
          </w:tcPr>
          <w:p w14:paraId="69F91449"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231,678 </w:t>
            </w:r>
          </w:p>
        </w:tc>
      </w:tr>
      <w:tr w:rsidR="00720F68" w:rsidRPr="00B84B0C" w14:paraId="2678F40C" w14:textId="77777777" w:rsidTr="000426AD">
        <w:trPr>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nil"/>
              <w:right w:val="nil"/>
            </w:tcBorders>
            <w:hideMark/>
          </w:tcPr>
          <w:p w14:paraId="0245CC1C" w14:textId="77777777" w:rsidR="00720F68" w:rsidRPr="00B84B0C" w:rsidRDefault="00720F68">
            <w:pPr>
              <w:pStyle w:val="07-Legenda"/>
              <w:jc w:val="left"/>
              <w:rPr>
                <w:rFonts w:cs="Arial"/>
                <w:bCs w:val="0"/>
                <w:lang w:val="en-US" w:eastAsia="en-US"/>
              </w:rPr>
            </w:pPr>
            <w:r w:rsidRPr="00B84B0C">
              <w:rPr>
                <w:rFonts w:cs="Arial"/>
                <w:b w:val="0"/>
                <w:iCs/>
                <w:lang w:val="en-US" w:eastAsia="en-US"/>
              </w:rPr>
              <w:t xml:space="preserve">     </w:t>
            </w:r>
            <w:r w:rsidRPr="00B84B0C">
              <w:rPr>
                <w:rFonts w:cs="Arial"/>
                <w:b w:val="0"/>
                <w:iCs/>
                <w:szCs w:val="14"/>
                <w:lang w:eastAsia="en-US"/>
              </w:rPr>
              <w:t>ABS</w:t>
            </w:r>
          </w:p>
        </w:tc>
        <w:tc>
          <w:tcPr>
            <w:tcW w:w="1134" w:type="dxa"/>
            <w:tcBorders>
              <w:top w:val="nil"/>
              <w:left w:val="nil"/>
              <w:bottom w:val="nil"/>
              <w:right w:val="nil"/>
            </w:tcBorders>
            <w:hideMark/>
          </w:tcPr>
          <w:p w14:paraId="4AB40BD6"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B84B0C">
              <w:rPr>
                <w:rFonts w:cs="Arial"/>
                <w:lang w:eastAsia="en-US"/>
              </w:rPr>
              <w:t xml:space="preserve"> 171,667 </w:t>
            </w:r>
          </w:p>
        </w:tc>
        <w:tc>
          <w:tcPr>
            <w:tcW w:w="1275" w:type="dxa"/>
            <w:tcBorders>
              <w:top w:val="nil"/>
              <w:left w:val="nil"/>
              <w:bottom w:val="nil"/>
              <w:right w:val="nil"/>
            </w:tcBorders>
            <w:hideMark/>
          </w:tcPr>
          <w:p w14:paraId="7836FD63"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B84B0C">
              <w:rPr>
                <w:rFonts w:cs="Arial"/>
                <w:lang w:eastAsia="en-US"/>
              </w:rPr>
              <w:t xml:space="preserve"> 90,642 </w:t>
            </w:r>
          </w:p>
        </w:tc>
        <w:tc>
          <w:tcPr>
            <w:tcW w:w="1134" w:type="dxa"/>
            <w:tcBorders>
              <w:top w:val="nil"/>
              <w:left w:val="nil"/>
              <w:bottom w:val="nil"/>
              <w:right w:val="nil"/>
            </w:tcBorders>
            <w:hideMark/>
          </w:tcPr>
          <w:p w14:paraId="70A3BE57"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81,025 </w:t>
            </w:r>
          </w:p>
        </w:tc>
        <w:tc>
          <w:tcPr>
            <w:tcW w:w="284" w:type="dxa"/>
            <w:tcBorders>
              <w:top w:val="nil"/>
              <w:left w:val="nil"/>
              <w:bottom w:val="nil"/>
              <w:right w:val="nil"/>
            </w:tcBorders>
            <w:vAlign w:val="center"/>
          </w:tcPr>
          <w:p w14:paraId="54CA07B7"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1134" w:type="dxa"/>
            <w:tcBorders>
              <w:top w:val="nil"/>
              <w:left w:val="nil"/>
              <w:bottom w:val="nil"/>
              <w:right w:val="nil"/>
            </w:tcBorders>
            <w:hideMark/>
          </w:tcPr>
          <w:p w14:paraId="6596D7E9"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180,155 </w:t>
            </w:r>
          </w:p>
        </w:tc>
        <w:tc>
          <w:tcPr>
            <w:tcW w:w="1276" w:type="dxa"/>
            <w:tcBorders>
              <w:top w:val="nil"/>
              <w:left w:val="nil"/>
              <w:bottom w:val="nil"/>
              <w:right w:val="nil"/>
            </w:tcBorders>
            <w:hideMark/>
          </w:tcPr>
          <w:p w14:paraId="66E5FD14"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93,004 </w:t>
            </w:r>
          </w:p>
        </w:tc>
        <w:tc>
          <w:tcPr>
            <w:tcW w:w="1383" w:type="dxa"/>
            <w:tcBorders>
              <w:top w:val="nil"/>
              <w:left w:val="nil"/>
              <w:bottom w:val="nil"/>
              <w:right w:val="nil"/>
            </w:tcBorders>
            <w:hideMark/>
          </w:tcPr>
          <w:p w14:paraId="202AD6A3"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87,151 </w:t>
            </w:r>
          </w:p>
        </w:tc>
      </w:tr>
      <w:tr w:rsidR="00720F68" w:rsidRPr="00B84B0C" w14:paraId="2669CC98" w14:textId="77777777" w:rsidTr="000426AD">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nil"/>
              <w:right w:val="nil"/>
            </w:tcBorders>
          </w:tcPr>
          <w:p w14:paraId="0937391E" w14:textId="77777777" w:rsidR="00720F68" w:rsidRPr="00B84B0C" w:rsidRDefault="00720F68">
            <w:pPr>
              <w:pStyle w:val="07-Legenda"/>
              <w:jc w:val="left"/>
              <w:rPr>
                <w:rFonts w:cs="Arial"/>
                <w:bCs w:val="0"/>
                <w:lang w:val="en-US" w:eastAsia="en-US"/>
              </w:rPr>
            </w:pPr>
          </w:p>
        </w:tc>
        <w:tc>
          <w:tcPr>
            <w:tcW w:w="1134" w:type="dxa"/>
            <w:tcBorders>
              <w:top w:val="nil"/>
              <w:left w:val="nil"/>
              <w:bottom w:val="nil"/>
              <w:right w:val="nil"/>
            </w:tcBorders>
            <w:vAlign w:val="center"/>
          </w:tcPr>
          <w:p w14:paraId="2696F5B0"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p>
        </w:tc>
        <w:tc>
          <w:tcPr>
            <w:tcW w:w="1275" w:type="dxa"/>
            <w:tcBorders>
              <w:top w:val="nil"/>
              <w:left w:val="nil"/>
              <w:bottom w:val="nil"/>
              <w:right w:val="nil"/>
            </w:tcBorders>
            <w:vAlign w:val="center"/>
          </w:tcPr>
          <w:p w14:paraId="085C26D9"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p>
        </w:tc>
        <w:tc>
          <w:tcPr>
            <w:tcW w:w="1134" w:type="dxa"/>
            <w:tcBorders>
              <w:top w:val="nil"/>
              <w:left w:val="nil"/>
              <w:bottom w:val="nil"/>
              <w:right w:val="nil"/>
            </w:tcBorders>
            <w:vAlign w:val="center"/>
          </w:tcPr>
          <w:p w14:paraId="524B185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284" w:type="dxa"/>
            <w:tcBorders>
              <w:top w:val="nil"/>
              <w:left w:val="nil"/>
              <w:bottom w:val="nil"/>
              <w:right w:val="nil"/>
            </w:tcBorders>
            <w:vAlign w:val="center"/>
          </w:tcPr>
          <w:p w14:paraId="25F29735"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134" w:type="dxa"/>
            <w:tcBorders>
              <w:top w:val="nil"/>
              <w:left w:val="nil"/>
              <w:bottom w:val="nil"/>
              <w:right w:val="nil"/>
            </w:tcBorders>
            <w:vAlign w:val="center"/>
          </w:tcPr>
          <w:p w14:paraId="669F838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276" w:type="dxa"/>
            <w:tcBorders>
              <w:top w:val="nil"/>
              <w:left w:val="nil"/>
              <w:bottom w:val="nil"/>
              <w:right w:val="nil"/>
            </w:tcBorders>
            <w:vAlign w:val="center"/>
          </w:tcPr>
          <w:p w14:paraId="10869403"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383" w:type="dxa"/>
            <w:tcBorders>
              <w:top w:val="nil"/>
              <w:left w:val="nil"/>
              <w:bottom w:val="nil"/>
              <w:right w:val="nil"/>
            </w:tcBorders>
            <w:vAlign w:val="center"/>
          </w:tcPr>
          <w:p w14:paraId="15E8FE20"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r>
      <w:tr w:rsidR="00720F68" w:rsidRPr="00B84B0C" w14:paraId="428B4BCE" w14:textId="77777777" w:rsidTr="000426AD">
        <w:trPr>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nil"/>
              <w:right w:val="nil"/>
            </w:tcBorders>
            <w:vAlign w:val="center"/>
            <w:hideMark/>
          </w:tcPr>
          <w:p w14:paraId="43DABB2F" w14:textId="77777777" w:rsidR="00720F68" w:rsidRPr="00B84B0C" w:rsidRDefault="00720F68">
            <w:pPr>
              <w:pStyle w:val="07-Legenda"/>
              <w:jc w:val="left"/>
              <w:rPr>
                <w:rFonts w:cs="Arial"/>
                <w:bCs w:val="0"/>
                <w:lang w:val="en-US" w:eastAsia="en-US"/>
              </w:rPr>
            </w:pPr>
            <w:proofErr w:type="spellStart"/>
            <w:r w:rsidRPr="00B84B0C">
              <w:rPr>
                <w:rFonts w:cs="Arial"/>
                <w:bCs w:val="0"/>
                <w:szCs w:val="14"/>
                <w:lang w:eastAsia="en-US"/>
              </w:rPr>
              <w:t>Brasilcap</w:t>
            </w:r>
            <w:proofErr w:type="spellEnd"/>
          </w:p>
        </w:tc>
        <w:tc>
          <w:tcPr>
            <w:tcW w:w="1134" w:type="dxa"/>
            <w:tcBorders>
              <w:top w:val="nil"/>
              <w:left w:val="nil"/>
              <w:bottom w:val="nil"/>
              <w:right w:val="nil"/>
            </w:tcBorders>
            <w:hideMark/>
          </w:tcPr>
          <w:p w14:paraId="394BDD5B"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B84B0C">
              <w:rPr>
                <w:rFonts w:cs="Arial"/>
                <w:lang w:eastAsia="en-US"/>
              </w:rPr>
              <w:t xml:space="preserve"> 545,733 </w:t>
            </w:r>
          </w:p>
        </w:tc>
        <w:tc>
          <w:tcPr>
            <w:tcW w:w="1275" w:type="dxa"/>
            <w:tcBorders>
              <w:top w:val="nil"/>
              <w:left w:val="nil"/>
              <w:bottom w:val="nil"/>
              <w:right w:val="nil"/>
            </w:tcBorders>
            <w:hideMark/>
          </w:tcPr>
          <w:p w14:paraId="2E77B963"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B84B0C">
              <w:rPr>
                <w:rFonts w:cs="Arial"/>
                <w:lang w:eastAsia="en-US"/>
              </w:rPr>
              <w:t xml:space="preserve"> 298,239 </w:t>
            </w:r>
          </w:p>
        </w:tc>
        <w:tc>
          <w:tcPr>
            <w:tcW w:w="1134" w:type="dxa"/>
            <w:tcBorders>
              <w:top w:val="nil"/>
              <w:left w:val="nil"/>
              <w:bottom w:val="nil"/>
              <w:right w:val="nil"/>
            </w:tcBorders>
            <w:hideMark/>
          </w:tcPr>
          <w:p w14:paraId="420FCFD3"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247,494 </w:t>
            </w:r>
          </w:p>
        </w:tc>
        <w:tc>
          <w:tcPr>
            <w:tcW w:w="284" w:type="dxa"/>
            <w:tcBorders>
              <w:top w:val="nil"/>
              <w:left w:val="nil"/>
              <w:bottom w:val="nil"/>
              <w:right w:val="nil"/>
            </w:tcBorders>
            <w:vAlign w:val="center"/>
          </w:tcPr>
          <w:p w14:paraId="73A4A8B7"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1134" w:type="dxa"/>
            <w:tcBorders>
              <w:top w:val="nil"/>
              <w:left w:val="nil"/>
              <w:bottom w:val="nil"/>
              <w:right w:val="nil"/>
            </w:tcBorders>
            <w:hideMark/>
          </w:tcPr>
          <w:p w14:paraId="0EE9773C"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598,880 </w:t>
            </w:r>
          </w:p>
        </w:tc>
        <w:tc>
          <w:tcPr>
            <w:tcW w:w="1276" w:type="dxa"/>
            <w:tcBorders>
              <w:top w:val="nil"/>
              <w:left w:val="nil"/>
              <w:bottom w:val="nil"/>
              <w:right w:val="nil"/>
            </w:tcBorders>
            <w:hideMark/>
          </w:tcPr>
          <w:p w14:paraId="2D8FEAED"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305,364 </w:t>
            </w:r>
          </w:p>
        </w:tc>
        <w:tc>
          <w:tcPr>
            <w:tcW w:w="1383" w:type="dxa"/>
            <w:tcBorders>
              <w:top w:val="nil"/>
              <w:left w:val="nil"/>
              <w:bottom w:val="nil"/>
              <w:right w:val="nil"/>
            </w:tcBorders>
            <w:hideMark/>
          </w:tcPr>
          <w:p w14:paraId="05344D6F"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293,516 </w:t>
            </w:r>
          </w:p>
        </w:tc>
      </w:tr>
      <w:tr w:rsidR="00720F68" w:rsidRPr="00B84B0C" w14:paraId="2F576308" w14:textId="77777777" w:rsidTr="000426AD">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single" w:sz="2" w:space="0" w:color="8EAADB" w:themeColor="accent5" w:themeTint="99"/>
              <w:right w:val="nil"/>
            </w:tcBorders>
            <w:hideMark/>
          </w:tcPr>
          <w:p w14:paraId="74E7E551" w14:textId="77777777" w:rsidR="00720F68" w:rsidRPr="00B84B0C" w:rsidRDefault="00720F68">
            <w:pPr>
              <w:pStyle w:val="07-Legenda"/>
              <w:jc w:val="left"/>
              <w:rPr>
                <w:rFonts w:cs="Arial"/>
                <w:bCs w:val="0"/>
                <w:lang w:val="en-US" w:eastAsia="en-US"/>
              </w:rPr>
            </w:pPr>
            <w:proofErr w:type="spellStart"/>
            <w:r w:rsidRPr="00B84B0C">
              <w:rPr>
                <w:rFonts w:cs="Arial"/>
                <w:bCs w:val="0"/>
                <w:lang w:val="en-US" w:eastAsia="en-US"/>
              </w:rPr>
              <w:t>Brasilprev</w:t>
            </w:r>
            <w:proofErr w:type="spellEnd"/>
          </w:p>
        </w:tc>
        <w:tc>
          <w:tcPr>
            <w:tcW w:w="1134" w:type="dxa"/>
            <w:tcBorders>
              <w:top w:val="nil"/>
              <w:left w:val="nil"/>
              <w:bottom w:val="single" w:sz="2" w:space="0" w:color="8EAADB" w:themeColor="accent5" w:themeTint="99"/>
              <w:right w:val="nil"/>
            </w:tcBorders>
            <w:hideMark/>
          </w:tcPr>
          <w:p w14:paraId="7F553933"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B84B0C">
              <w:rPr>
                <w:rFonts w:cs="Arial"/>
                <w:lang w:eastAsia="en-US"/>
              </w:rPr>
              <w:t xml:space="preserve"> 3,907,660 </w:t>
            </w:r>
          </w:p>
        </w:tc>
        <w:tc>
          <w:tcPr>
            <w:tcW w:w="1275" w:type="dxa"/>
            <w:tcBorders>
              <w:top w:val="nil"/>
              <w:left w:val="nil"/>
              <w:bottom w:val="single" w:sz="2" w:space="0" w:color="8EAADB" w:themeColor="accent5" w:themeTint="99"/>
              <w:right w:val="nil"/>
            </w:tcBorders>
            <w:hideMark/>
          </w:tcPr>
          <w:p w14:paraId="03806593"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bCs/>
                <w:color w:val="000000"/>
                <w:szCs w:val="14"/>
                <w:lang w:eastAsia="en-US"/>
              </w:rPr>
            </w:pPr>
            <w:r w:rsidRPr="00B84B0C">
              <w:rPr>
                <w:rFonts w:cs="Arial"/>
                <w:lang w:eastAsia="en-US"/>
              </w:rPr>
              <w:t xml:space="preserve"> 2,357,496 </w:t>
            </w:r>
          </w:p>
        </w:tc>
        <w:tc>
          <w:tcPr>
            <w:tcW w:w="1134" w:type="dxa"/>
            <w:tcBorders>
              <w:top w:val="nil"/>
              <w:left w:val="nil"/>
              <w:bottom w:val="single" w:sz="2" w:space="0" w:color="8EAADB" w:themeColor="accent5" w:themeTint="99"/>
              <w:right w:val="nil"/>
            </w:tcBorders>
            <w:hideMark/>
          </w:tcPr>
          <w:p w14:paraId="6FC5583F"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1,550,164 </w:t>
            </w:r>
          </w:p>
        </w:tc>
        <w:tc>
          <w:tcPr>
            <w:tcW w:w="284" w:type="dxa"/>
            <w:tcBorders>
              <w:top w:val="nil"/>
              <w:left w:val="nil"/>
              <w:bottom w:val="single" w:sz="2" w:space="0" w:color="8EAADB" w:themeColor="accent5" w:themeTint="99"/>
              <w:right w:val="nil"/>
            </w:tcBorders>
            <w:vAlign w:val="center"/>
          </w:tcPr>
          <w:p w14:paraId="00D74A4C"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134" w:type="dxa"/>
            <w:tcBorders>
              <w:top w:val="nil"/>
              <w:left w:val="nil"/>
              <w:bottom w:val="single" w:sz="2" w:space="0" w:color="8EAADB" w:themeColor="accent5" w:themeTint="99"/>
              <w:right w:val="nil"/>
            </w:tcBorders>
            <w:hideMark/>
          </w:tcPr>
          <w:p w14:paraId="5E49FE2E"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4,003,807 </w:t>
            </w:r>
          </w:p>
        </w:tc>
        <w:tc>
          <w:tcPr>
            <w:tcW w:w="1276" w:type="dxa"/>
            <w:tcBorders>
              <w:top w:val="nil"/>
              <w:left w:val="nil"/>
              <w:bottom w:val="single" w:sz="2" w:space="0" w:color="8EAADB" w:themeColor="accent5" w:themeTint="99"/>
              <w:right w:val="nil"/>
            </w:tcBorders>
            <w:hideMark/>
          </w:tcPr>
          <w:p w14:paraId="57A909DF"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2,542,866 </w:t>
            </w:r>
          </w:p>
        </w:tc>
        <w:tc>
          <w:tcPr>
            <w:tcW w:w="1383" w:type="dxa"/>
            <w:tcBorders>
              <w:top w:val="nil"/>
              <w:left w:val="nil"/>
              <w:bottom w:val="single" w:sz="2" w:space="0" w:color="8EAADB" w:themeColor="accent5" w:themeTint="99"/>
              <w:right w:val="nil"/>
            </w:tcBorders>
            <w:hideMark/>
          </w:tcPr>
          <w:p w14:paraId="0AEC892E"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1,460,941 </w:t>
            </w:r>
          </w:p>
        </w:tc>
      </w:tr>
    </w:tbl>
    <w:p w14:paraId="467F0206" w14:textId="77777777" w:rsidR="00720F68" w:rsidRPr="00B84B0C" w:rsidRDefault="00720F68" w:rsidP="00720F68">
      <w:pPr>
        <w:pStyle w:val="06-Rmil"/>
        <w:rPr>
          <w:rFonts w:cs="Arial"/>
        </w:rPr>
      </w:pPr>
    </w:p>
    <w:p w14:paraId="117D6B09" w14:textId="77777777" w:rsidR="00720F68" w:rsidRPr="00B84B0C" w:rsidRDefault="00720F68" w:rsidP="00720F68">
      <w:pPr>
        <w:pStyle w:val="06-Rmil"/>
        <w:rPr>
          <w:rFonts w:cs="Arial"/>
        </w:rPr>
      </w:pPr>
      <w:r w:rsidRPr="00B84B0C">
        <w:rPr>
          <w:rFonts w:cs="Arial"/>
        </w:rPr>
        <w:t>R$ </w:t>
      </w:r>
      <w:proofErr w:type="spellStart"/>
      <w:r w:rsidRPr="00B84B0C">
        <w:rPr>
          <w:rFonts w:cs="Arial"/>
        </w:rPr>
        <w:t>thousand</w:t>
      </w:r>
      <w:proofErr w:type="spellEnd"/>
    </w:p>
    <w:tbl>
      <w:tblPr>
        <w:tblStyle w:val="TabeladeLista6Colorida-nfase53"/>
        <w:tblW w:w="0" w:type="auto"/>
        <w:tblLayout w:type="fixed"/>
        <w:tblLook w:val="04A0" w:firstRow="1" w:lastRow="0" w:firstColumn="1" w:lastColumn="0" w:noHBand="0" w:noVBand="1"/>
      </w:tblPr>
      <w:tblGrid>
        <w:gridCol w:w="2127"/>
        <w:gridCol w:w="1134"/>
        <w:gridCol w:w="1134"/>
        <w:gridCol w:w="1417"/>
        <w:gridCol w:w="313"/>
        <w:gridCol w:w="821"/>
        <w:gridCol w:w="1276"/>
        <w:gridCol w:w="1525"/>
      </w:tblGrid>
      <w:tr w:rsidR="00720F68" w:rsidRPr="00B84B0C" w14:paraId="58A3526B" w14:textId="77777777" w:rsidTr="000426AD">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137FFD5B" w14:textId="77777777" w:rsidR="00720F68" w:rsidRPr="00B84B0C" w:rsidRDefault="00720F68">
            <w:pPr>
              <w:jc w:val="center"/>
              <w:rPr>
                <w:rFonts w:cs="Arial"/>
                <w:szCs w:val="18"/>
              </w:rPr>
            </w:pPr>
            <w:proofErr w:type="spellStart"/>
            <w:r w:rsidRPr="00B84B0C">
              <w:rPr>
                <w:rFonts w:cs="Arial"/>
                <w:sz w:val="14"/>
                <w:szCs w:val="18"/>
              </w:rPr>
              <w:t>Solvency</w:t>
            </w:r>
            <w:proofErr w:type="spellEnd"/>
            <w:r w:rsidRPr="00B84B0C">
              <w:rPr>
                <w:rFonts w:cs="Arial"/>
                <w:sz w:val="14"/>
                <w:szCs w:val="18"/>
              </w:rPr>
              <w:t xml:space="preserve"> </w:t>
            </w:r>
            <w:proofErr w:type="spellStart"/>
            <w:r w:rsidRPr="00B84B0C">
              <w:rPr>
                <w:rFonts w:cs="Arial"/>
                <w:sz w:val="14"/>
                <w:szCs w:val="18"/>
              </w:rPr>
              <w:t>Margin</w:t>
            </w:r>
            <w:proofErr w:type="spellEnd"/>
          </w:p>
        </w:tc>
        <w:tc>
          <w:tcPr>
            <w:tcW w:w="3685" w:type="dxa"/>
            <w:gridSpan w:val="3"/>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302751AB"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8"/>
              </w:rPr>
            </w:pPr>
            <w:r w:rsidRPr="00B84B0C">
              <w:rPr>
                <w:rFonts w:cs="Arial"/>
                <w:bCs w:val="0"/>
                <w:sz w:val="14"/>
                <w:szCs w:val="18"/>
                <w:lang w:val="en-US"/>
              </w:rPr>
              <w:t>Mar 31, 2020</w:t>
            </w:r>
          </w:p>
        </w:tc>
        <w:tc>
          <w:tcPr>
            <w:tcW w:w="313" w:type="dxa"/>
            <w:tcBorders>
              <w:top w:val="single" w:sz="2" w:space="0" w:color="8EAADB" w:themeColor="accent5" w:themeTint="99"/>
              <w:left w:val="nil"/>
              <w:bottom w:val="nil"/>
              <w:right w:val="nil"/>
            </w:tcBorders>
            <w:shd w:val="clear" w:color="auto" w:fill="D9E2F3" w:themeFill="accent5" w:themeFillTint="33"/>
          </w:tcPr>
          <w:p w14:paraId="6F74DD24"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Cs w:val="18"/>
              </w:rPr>
            </w:pPr>
          </w:p>
        </w:tc>
        <w:tc>
          <w:tcPr>
            <w:tcW w:w="3622" w:type="dxa"/>
            <w:gridSpan w:val="3"/>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7154ADFA"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8"/>
              </w:rPr>
            </w:pPr>
            <w:r w:rsidRPr="00B84B0C">
              <w:rPr>
                <w:rFonts w:cs="Arial"/>
                <w:bCs w:val="0"/>
                <w:sz w:val="14"/>
                <w:szCs w:val="18"/>
                <w:lang w:val="en-US"/>
              </w:rPr>
              <w:t>Dec 31, 2019</w:t>
            </w:r>
          </w:p>
        </w:tc>
      </w:tr>
      <w:tr w:rsidR="00720F68" w:rsidRPr="00B84B0C" w14:paraId="4BF86C9E" w14:textId="77777777" w:rsidTr="000426AD">
        <w:trPr>
          <w:cnfStyle w:val="000000100000" w:firstRow="0" w:lastRow="0" w:firstColumn="0" w:lastColumn="0" w:oddVBand="0" w:evenVBand="0" w:oddHBand="1" w:evenHBand="0" w:firstRowFirstColumn="0" w:firstRowLastColumn="0" w:lastRowFirstColumn="0" w:lastRowLastColumn="0"/>
          <w:trHeight w:hRule="exact" w:val="565"/>
        </w:trPr>
        <w:tc>
          <w:tcPr>
            <w:cnfStyle w:val="001000000000" w:firstRow="0" w:lastRow="0" w:firstColumn="1" w:lastColumn="0" w:oddVBand="0" w:evenVBand="0" w:oddHBand="0" w:evenHBand="0" w:firstRowFirstColumn="0" w:firstRowLastColumn="0" w:lastRowFirstColumn="0" w:lastRowLastColumn="0"/>
            <w:tcW w:w="2127" w:type="dxa"/>
            <w:vMerge/>
            <w:tcBorders>
              <w:top w:val="single" w:sz="2" w:space="0" w:color="8EAADB" w:themeColor="accent5" w:themeTint="99"/>
              <w:left w:val="nil"/>
              <w:bottom w:val="single" w:sz="2" w:space="0" w:color="8EAADB" w:themeColor="accent5" w:themeTint="99"/>
              <w:right w:val="nil"/>
            </w:tcBorders>
            <w:vAlign w:val="center"/>
            <w:hideMark/>
          </w:tcPr>
          <w:p w14:paraId="0C9DC3CB" w14:textId="77777777" w:rsidR="00720F68" w:rsidRPr="00B84B0C" w:rsidRDefault="00720F68" w:rsidP="00720F68">
            <w:pPr>
              <w:rPr>
                <w:rFonts w:cs="Arial"/>
                <w:szCs w:val="18"/>
              </w:rPr>
            </w:pPr>
          </w:p>
        </w:tc>
        <w:tc>
          <w:tcPr>
            <w:tcW w:w="1134" w:type="dxa"/>
            <w:tcBorders>
              <w:top w:val="single" w:sz="2" w:space="0" w:color="8EAADB" w:themeColor="accent5" w:themeTint="99"/>
              <w:left w:val="nil"/>
              <w:bottom w:val="single" w:sz="2" w:space="0" w:color="8EAADB" w:themeColor="accent5" w:themeTint="99"/>
              <w:right w:val="nil"/>
            </w:tcBorders>
            <w:vAlign w:val="center"/>
            <w:hideMark/>
          </w:tcPr>
          <w:p w14:paraId="1B6CEBF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bCs/>
                <w:szCs w:val="14"/>
                <w:lang w:val="en-US"/>
              </w:rPr>
              <w:t>Adjusted Net Equity</w:t>
            </w:r>
          </w:p>
        </w:tc>
        <w:tc>
          <w:tcPr>
            <w:tcW w:w="1134" w:type="dxa"/>
            <w:tcBorders>
              <w:top w:val="single" w:sz="2" w:space="0" w:color="8EAADB" w:themeColor="accent5" w:themeTint="99"/>
              <w:left w:val="nil"/>
              <w:bottom w:val="single" w:sz="2" w:space="0" w:color="8EAADB" w:themeColor="accent5" w:themeTint="99"/>
              <w:right w:val="nil"/>
            </w:tcBorders>
            <w:vAlign w:val="center"/>
            <w:hideMark/>
          </w:tcPr>
          <w:p w14:paraId="3CA4EC19"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val="en-US"/>
              </w:rPr>
              <w:t>Solvency Requirement</w:t>
            </w:r>
          </w:p>
        </w:tc>
        <w:tc>
          <w:tcPr>
            <w:tcW w:w="1417" w:type="dxa"/>
            <w:tcBorders>
              <w:top w:val="single" w:sz="2" w:space="0" w:color="8EAADB" w:themeColor="accent5" w:themeTint="99"/>
              <w:left w:val="nil"/>
              <w:bottom w:val="single" w:sz="2" w:space="0" w:color="8EAADB" w:themeColor="accent5" w:themeTint="99"/>
              <w:right w:val="nil"/>
            </w:tcBorders>
            <w:vAlign w:val="center"/>
            <w:hideMark/>
          </w:tcPr>
          <w:p w14:paraId="1E02499C"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gramStart"/>
            <w:r w:rsidRPr="00B84B0C">
              <w:rPr>
                <w:rFonts w:cs="Arial"/>
                <w:b/>
                <w:lang w:val="en-US"/>
              </w:rPr>
              <w:t>Solvency  Margin</w:t>
            </w:r>
            <w:proofErr w:type="gramEnd"/>
          </w:p>
        </w:tc>
        <w:tc>
          <w:tcPr>
            <w:tcW w:w="313" w:type="dxa"/>
            <w:tcBorders>
              <w:top w:val="nil"/>
              <w:left w:val="nil"/>
              <w:bottom w:val="single" w:sz="2" w:space="0" w:color="8EAADB" w:themeColor="accent5" w:themeTint="99"/>
              <w:right w:val="nil"/>
            </w:tcBorders>
            <w:vAlign w:val="center"/>
          </w:tcPr>
          <w:p w14:paraId="58CEA6E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821" w:type="dxa"/>
            <w:tcBorders>
              <w:top w:val="single" w:sz="2" w:space="0" w:color="8EAADB" w:themeColor="accent5" w:themeTint="99"/>
              <w:left w:val="nil"/>
              <w:bottom w:val="single" w:sz="2" w:space="0" w:color="8EAADB" w:themeColor="accent5" w:themeTint="99"/>
              <w:right w:val="nil"/>
            </w:tcBorders>
            <w:vAlign w:val="center"/>
            <w:hideMark/>
          </w:tcPr>
          <w:p w14:paraId="0AE700A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bCs/>
                <w:szCs w:val="14"/>
                <w:lang w:val="en-US"/>
              </w:rPr>
              <w:t>Adjusted Net Equity</w:t>
            </w:r>
          </w:p>
        </w:tc>
        <w:tc>
          <w:tcPr>
            <w:tcW w:w="1276" w:type="dxa"/>
            <w:tcBorders>
              <w:top w:val="single" w:sz="2" w:space="0" w:color="8EAADB" w:themeColor="accent5" w:themeTint="99"/>
              <w:left w:val="nil"/>
              <w:bottom w:val="single" w:sz="2" w:space="0" w:color="8EAADB" w:themeColor="accent5" w:themeTint="99"/>
              <w:right w:val="nil"/>
            </w:tcBorders>
            <w:vAlign w:val="center"/>
            <w:hideMark/>
          </w:tcPr>
          <w:p w14:paraId="5B11F597"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val="en-US"/>
              </w:rPr>
              <w:t>Solvency Requirement</w:t>
            </w:r>
          </w:p>
        </w:tc>
        <w:tc>
          <w:tcPr>
            <w:tcW w:w="1525" w:type="dxa"/>
            <w:tcBorders>
              <w:top w:val="single" w:sz="2" w:space="0" w:color="8EAADB" w:themeColor="accent5" w:themeTint="99"/>
              <w:left w:val="nil"/>
              <w:bottom w:val="single" w:sz="2" w:space="0" w:color="8EAADB" w:themeColor="accent5" w:themeTint="99"/>
              <w:right w:val="nil"/>
            </w:tcBorders>
            <w:vAlign w:val="center"/>
            <w:hideMark/>
          </w:tcPr>
          <w:p w14:paraId="5B078EA6"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gramStart"/>
            <w:r w:rsidRPr="00B84B0C">
              <w:rPr>
                <w:rFonts w:cs="Arial"/>
                <w:b/>
                <w:lang w:val="en-US"/>
              </w:rPr>
              <w:t>Solvency  Margin</w:t>
            </w:r>
            <w:proofErr w:type="gramEnd"/>
          </w:p>
        </w:tc>
      </w:tr>
      <w:tr w:rsidR="00720F68" w:rsidRPr="00B84B0C" w14:paraId="33CA1A55" w14:textId="77777777" w:rsidTr="000426AD">
        <w:trPr>
          <w:trHeight w:hRule="exact" w:val="238"/>
        </w:trPr>
        <w:tc>
          <w:tcPr>
            <w:cnfStyle w:val="001000000000" w:firstRow="0" w:lastRow="0" w:firstColumn="1" w:lastColumn="0" w:oddVBand="0" w:evenVBand="0" w:oddHBand="0" w:evenHBand="0" w:firstRowFirstColumn="0" w:firstRowLastColumn="0" w:lastRowFirstColumn="0" w:lastRowLastColumn="0"/>
            <w:tcW w:w="2127" w:type="dxa"/>
            <w:tcBorders>
              <w:top w:val="nil"/>
              <w:left w:val="nil"/>
              <w:bottom w:val="single" w:sz="2" w:space="0" w:color="8EAADB" w:themeColor="accent5" w:themeTint="99"/>
              <w:right w:val="nil"/>
            </w:tcBorders>
            <w:hideMark/>
          </w:tcPr>
          <w:p w14:paraId="146BBBF9" w14:textId="77777777" w:rsidR="00720F68" w:rsidRPr="00B84B0C" w:rsidRDefault="00720F68">
            <w:pPr>
              <w:pStyle w:val="07-Legenda"/>
              <w:jc w:val="left"/>
              <w:rPr>
                <w:rFonts w:cs="Arial"/>
                <w:bCs w:val="0"/>
                <w:lang w:val="en-US" w:eastAsia="en-US"/>
              </w:rPr>
            </w:pPr>
            <w:proofErr w:type="spellStart"/>
            <w:r w:rsidRPr="00B84B0C">
              <w:rPr>
                <w:rFonts w:cs="Arial"/>
                <w:bCs w:val="0"/>
                <w:lang w:val="en-US" w:eastAsia="en-US"/>
              </w:rPr>
              <w:t>Brasildental</w:t>
            </w:r>
            <w:proofErr w:type="spellEnd"/>
          </w:p>
        </w:tc>
        <w:tc>
          <w:tcPr>
            <w:tcW w:w="1134" w:type="dxa"/>
            <w:tcBorders>
              <w:top w:val="nil"/>
              <w:left w:val="nil"/>
              <w:bottom w:val="single" w:sz="2" w:space="0" w:color="8EAADB" w:themeColor="accent5" w:themeTint="99"/>
              <w:right w:val="nil"/>
            </w:tcBorders>
            <w:vAlign w:val="center"/>
            <w:hideMark/>
          </w:tcPr>
          <w:p w14:paraId="0416F961"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B84B0C">
              <w:rPr>
                <w:rFonts w:cs="Arial"/>
                <w:b/>
                <w:bCs/>
                <w:color w:val="000000"/>
                <w:szCs w:val="14"/>
                <w:lang w:eastAsia="en-US"/>
              </w:rPr>
              <w:t>22,688</w:t>
            </w:r>
          </w:p>
        </w:tc>
        <w:tc>
          <w:tcPr>
            <w:tcW w:w="1134" w:type="dxa"/>
            <w:tcBorders>
              <w:top w:val="nil"/>
              <w:left w:val="nil"/>
              <w:bottom w:val="single" w:sz="2" w:space="0" w:color="8EAADB" w:themeColor="accent5" w:themeTint="99"/>
              <w:right w:val="nil"/>
            </w:tcBorders>
            <w:hideMark/>
          </w:tcPr>
          <w:p w14:paraId="0069C161"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sidRPr="00B84B0C">
              <w:rPr>
                <w:rFonts w:cs="Arial"/>
                <w:lang w:eastAsia="en-US"/>
              </w:rPr>
              <w:t xml:space="preserve"> 10,414 </w:t>
            </w:r>
          </w:p>
        </w:tc>
        <w:tc>
          <w:tcPr>
            <w:tcW w:w="1417" w:type="dxa"/>
            <w:tcBorders>
              <w:top w:val="nil"/>
              <w:left w:val="nil"/>
              <w:bottom w:val="single" w:sz="2" w:space="0" w:color="8EAADB" w:themeColor="accent5" w:themeTint="99"/>
              <w:right w:val="nil"/>
            </w:tcBorders>
            <w:hideMark/>
          </w:tcPr>
          <w:p w14:paraId="742C501F"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13,059 </w:t>
            </w:r>
          </w:p>
        </w:tc>
        <w:tc>
          <w:tcPr>
            <w:tcW w:w="313" w:type="dxa"/>
            <w:tcBorders>
              <w:top w:val="nil"/>
              <w:left w:val="nil"/>
              <w:bottom w:val="single" w:sz="2" w:space="0" w:color="8EAADB" w:themeColor="accent5" w:themeTint="99"/>
              <w:right w:val="nil"/>
            </w:tcBorders>
            <w:vAlign w:val="center"/>
          </w:tcPr>
          <w:p w14:paraId="630AA3B5"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821" w:type="dxa"/>
            <w:tcBorders>
              <w:top w:val="nil"/>
              <w:left w:val="nil"/>
              <w:bottom w:val="single" w:sz="2" w:space="0" w:color="8EAADB" w:themeColor="accent5" w:themeTint="99"/>
              <w:right w:val="nil"/>
            </w:tcBorders>
            <w:hideMark/>
          </w:tcPr>
          <w:p w14:paraId="2A3734F1"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16,294 </w:t>
            </w:r>
          </w:p>
        </w:tc>
        <w:tc>
          <w:tcPr>
            <w:tcW w:w="1276" w:type="dxa"/>
            <w:tcBorders>
              <w:top w:val="nil"/>
              <w:left w:val="nil"/>
              <w:bottom w:val="single" w:sz="2" w:space="0" w:color="8EAADB" w:themeColor="accent5" w:themeTint="99"/>
              <w:right w:val="nil"/>
            </w:tcBorders>
            <w:hideMark/>
          </w:tcPr>
          <w:p w14:paraId="22F6C164"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10,120 </w:t>
            </w:r>
          </w:p>
        </w:tc>
        <w:tc>
          <w:tcPr>
            <w:tcW w:w="1525" w:type="dxa"/>
            <w:tcBorders>
              <w:top w:val="nil"/>
              <w:left w:val="nil"/>
              <w:bottom w:val="single" w:sz="2" w:space="0" w:color="8EAADB" w:themeColor="accent5" w:themeTint="99"/>
              <w:right w:val="nil"/>
            </w:tcBorders>
            <w:hideMark/>
          </w:tcPr>
          <w:p w14:paraId="6F65E9E0"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12,991 </w:t>
            </w:r>
          </w:p>
        </w:tc>
      </w:tr>
    </w:tbl>
    <w:p w14:paraId="00A47A0B" w14:textId="77777777" w:rsidR="00720F68" w:rsidRPr="00B84B0C" w:rsidRDefault="00720F68">
      <w:pPr>
        <w:rPr>
          <w:rFonts w:cs="Arial"/>
          <w:b/>
          <w:color w:val="1F4E79" w:themeColor="accent1" w:themeShade="80"/>
          <w:szCs w:val="18"/>
          <w:lang w:val="en-US"/>
        </w:rPr>
      </w:pPr>
    </w:p>
    <w:p w14:paraId="40EAA3FB" w14:textId="77777777" w:rsidR="00720F68" w:rsidRPr="00B84B0C" w:rsidRDefault="00720F68" w:rsidP="00720F68">
      <w:pPr>
        <w:pStyle w:val="01-TtulodeNota"/>
        <w:rPr>
          <w:rFonts w:cs="Arial"/>
          <w:color w:val="1F4E79" w:themeColor="accent1" w:themeShade="80"/>
          <w:lang w:val="en-US"/>
        </w:rPr>
      </w:pPr>
      <w:r w:rsidRPr="00B84B0C">
        <w:rPr>
          <w:rFonts w:cs="Arial"/>
          <w:color w:val="1F4E79" w:themeColor="accent1" w:themeShade="80"/>
          <w:lang w:val="en-US"/>
        </w:rPr>
        <w:t xml:space="preserve">c) Impact of Covid-19 pandemic at BB </w:t>
      </w:r>
      <w:proofErr w:type="spellStart"/>
      <w:r w:rsidRPr="00B84B0C">
        <w:rPr>
          <w:rFonts w:cs="Arial"/>
          <w:color w:val="1F4E79" w:themeColor="accent1" w:themeShade="80"/>
          <w:lang w:val="en-US"/>
        </w:rPr>
        <w:t>Seguridade</w:t>
      </w:r>
      <w:proofErr w:type="spellEnd"/>
      <w:r w:rsidRPr="00B84B0C">
        <w:rPr>
          <w:rFonts w:cs="Arial"/>
          <w:color w:val="1F4E79" w:themeColor="accent1" w:themeShade="80"/>
          <w:lang w:val="en-US"/>
        </w:rPr>
        <w:t xml:space="preserve"> and its subsidiaries</w:t>
      </w:r>
    </w:p>
    <w:p w14:paraId="664A85B8" w14:textId="77777777" w:rsidR="000D74AD" w:rsidRPr="00B84B0C" w:rsidRDefault="000D74AD" w:rsidP="00720F68">
      <w:pPr>
        <w:pStyle w:val="01-TtulodeNota"/>
        <w:rPr>
          <w:rFonts w:cs="Arial"/>
          <w:color w:val="1F4E79" w:themeColor="accent1" w:themeShade="80"/>
          <w:lang w:val="en-US"/>
        </w:rPr>
      </w:pPr>
    </w:p>
    <w:p w14:paraId="47733246" w14:textId="550CC766" w:rsidR="00720F68" w:rsidRPr="00B84B0C" w:rsidRDefault="00720F68" w:rsidP="00720F68">
      <w:pPr>
        <w:pStyle w:val="01-TtulodeNota"/>
        <w:rPr>
          <w:rFonts w:cs="Arial"/>
          <w:color w:val="1F4E79" w:themeColor="accent1" w:themeShade="80"/>
          <w:lang w:val="en-US"/>
        </w:rPr>
      </w:pPr>
      <w:r w:rsidRPr="00B84B0C">
        <w:rPr>
          <w:rFonts w:cs="Arial"/>
          <w:color w:val="1F4E79" w:themeColor="accent1" w:themeShade="80"/>
          <w:lang w:val="en-US"/>
        </w:rPr>
        <w:t>c.1) Impacts on business continuity</w:t>
      </w:r>
    </w:p>
    <w:p w14:paraId="295C94E7" w14:textId="77777777" w:rsidR="00720F68" w:rsidRPr="00B84B0C" w:rsidRDefault="00720F68" w:rsidP="00720F68">
      <w:pPr>
        <w:jc w:val="both"/>
        <w:rPr>
          <w:rStyle w:val="hps"/>
          <w:rFonts w:eastAsia="Times New Roman" w:cs="Arial"/>
          <w:spacing w:val="-2"/>
          <w:szCs w:val="18"/>
        </w:rPr>
      </w:pPr>
      <w:r w:rsidRPr="00B84B0C">
        <w:rPr>
          <w:rStyle w:val="hps"/>
          <w:rFonts w:eastAsia="Times New Roman" w:cs="Arial"/>
          <w:spacing w:val="-2"/>
          <w:szCs w:val="18"/>
          <w:lang w:val="en-US" w:eastAsia="pt-BR"/>
        </w:rPr>
        <w:t xml:space="preserve">BB </w:t>
      </w:r>
      <w:proofErr w:type="spellStart"/>
      <w:r w:rsidRPr="00B84B0C">
        <w:rPr>
          <w:rStyle w:val="hps"/>
          <w:rFonts w:eastAsia="Times New Roman" w:cs="Arial"/>
          <w:spacing w:val="-2"/>
          <w:szCs w:val="18"/>
          <w:lang w:val="en-US" w:eastAsia="pt-BR"/>
        </w:rPr>
        <w:t>Seguridade</w:t>
      </w:r>
      <w:proofErr w:type="spellEnd"/>
      <w:r w:rsidRPr="00B84B0C">
        <w:rPr>
          <w:rStyle w:val="hps"/>
          <w:rFonts w:eastAsia="Times New Roman" w:cs="Arial"/>
          <w:spacing w:val="-2"/>
          <w:szCs w:val="18"/>
          <w:lang w:val="en-US" w:eastAsia="pt-BR"/>
        </w:rPr>
        <w:t xml:space="preserve"> has a </w:t>
      </w:r>
      <w:r w:rsidRPr="00B84B0C">
        <w:rPr>
          <w:rStyle w:val="hps"/>
          <w:rFonts w:eastAsia="Times New Roman" w:cs="Arial"/>
          <w:spacing w:val="-2"/>
          <w:szCs w:val="18"/>
        </w:rPr>
        <w:t xml:space="preserve">processes </w:t>
      </w:r>
      <w:r w:rsidRPr="00B84B0C">
        <w:rPr>
          <w:rStyle w:val="hps"/>
          <w:rFonts w:eastAsia="Times New Roman" w:cs="Arial"/>
          <w:spacing w:val="-2"/>
          <w:szCs w:val="18"/>
          <w:lang w:val="en-US" w:eastAsia="pt-BR"/>
        </w:rPr>
        <w:t xml:space="preserve">continuity group, which holds periodic meetings to seek alternatives to the most diverse operational problems that may occur, </w:t>
      </w:r>
      <w:proofErr w:type="spellStart"/>
      <w:r w:rsidRPr="00B84B0C">
        <w:rPr>
          <w:rStyle w:val="hps"/>
          <w:rFonts w:eastAsia="Times New Roman" w:cs="Arial"/>
          <w:spacing w:val="-2"/>
          <w:szCs w:val="18"/>
        </w:rPr>
        <w:t>aiming</w:t>
      </w:r>
      <w:proofErr w:type="spellEnd"/>
      <w:r w:rsidRPr="00B84B0C">
        <w:rPr>
          <w:rStyle w:val="hps"/>
          <w:rFonts w:eastAsia="Times New Roman" w:cs="Arial"/>
          <w:spacing w:val="-2"/>
          <w:szCs w:val="18"/>
        </w:rPr>
        <w:t xml:space="preserve"> </w:t>
      </w:r>
      <w:proofErr w:type="spellStart"/>
      <w:r w:rsidRPr="00B84B0C">
        <w:rPr>
          <w:rStyle w:val="hps"/>
          <w:rFonts w:eastAsia="Times New Roman" w:cs="Arial"/>
          <w:spacing w:val="-2"/>
          <w:szCs w:val="18"/>
        </w:rPr>
        <w:t>at</w:t>
      </w:r>
      <w:proofErr w:type="spellEnd"/>
      <w:r w:rsidRPr="00B84B0C">
        <w:rPr>
          <w:rStyle w:val="hps"/>
          <w:rFonts w:eastAsia="Times New Roman" w:cs="Arial"/>
          <w:spacing w:val="-2"/>
          <w:szCs w:val="18"/>
        </w:rPr>
        <w:t xml:space="preserve"> </w:t>
      </w:r>
      <w:r w:rsidRPr="00B84B0C">
        <w:rPr>
          <w:rStyle w:val="hps"/>
          <w:rFonts w:eastAsia="Times New Roman" w:cs="Arial"/>
          <w:spacing w:val="-2"/>
          <w:szCs w:val="18"/>
          <w:lang w:val="en-US" w:eastAsia="pt-BR"/>
        </w:rPr>
        <w:t>keep</w:t>
      </w:r>
      <w:proofErr w:type="spellStart"/>
      <w:r w:rsidRPr="00B84B0C">
        <w:rPr>
          <w:rStyle w:val="hps"/>
          <w:rFonts w:eastAsia="Times New Roman" w:cs="Arial"/>
          <w:spacing w:val="-2"/>
          <w:szCs w:val="18"/>
        </w:rPr>
        <w:t>ing</w:t>
      </w:r>
      <w:proofErr w:type="spellEnd"/>
      <w:r w:rsidRPr="00B84B0C">
        <w:rPr>
          <w:rStyle w:val="hps"/>
          <w:rFonts w:eastAsia="Times New Roman" w:cs="Arial"/>
          <w:spacing w:val="-2"/>
          <w:szCs w:val="18"/>
          <w:lang w:val="en-US" w:eastAsia="pt-BR"/>
        </w:rPr>
        <w:t xml:space="preserve"> the Company functioning in crisis situations. As soon as the possibility of severe social isolation was identified, all BB </w:t>
      </w:r>
      <w:proofErr w:type="spellStart"/>
      <w:r w:rsidRPr="00B84B0C">
        <w:rPr>
          <w:rStyle w:val="hps"/>
          <w:rFonts w:eastAsia="Times New Roman" w:cs="Arial"/>
          <w:spacing w:val="-2"/>
          <w:szCs w:val="18"/>
          <w:lang w:val="en-US" w:eastAsia="pt-BR"/>
        </w:rPr>
        <w:t>Seguridade</w:t>
      </w:r>
      <w:proofErr w:type="spellEnd"/>
      <w:r w:rsidRPr="00B84B0C">
        <w:rPr>
          <w:rStyle w:val="hps"/>
          <w:rFonts w:eastAsia="Times New Roman" w:cs="Arial"/>
          <w:spacing w:val="-2"/>
          <w:szCs w:val="18"/>
          <w:lang w:val="en-US" w:eastAsia="pt-BR"/>
        </w:rPr>
        <w:t xml:space="preserve"> employees were quickly instructed in relation to adopt </w:t>
      </w:r>
      <w:r w:rsidRPr="00B84B0C">
        <w:rPr>
          <w:rStyle w:val="hps"/>
          <w:rFonts w:eastAsia="Times New Roman" w:cs="Arial"/>
          <w:spacing w:val="-2"/>
          <w:szCs w:val="18"/>
        </w:rPr>
        <w:t xml:space="preserve">a </w:t>
      </w:r>
      <w:r w:rsidRPr="00B84B0C">
        <w:rPr>
          <w:rStyle w:val="hps"/>
          <w:rFonts w:eastAsia="Times New Roman" w:cs="Arial"/>
          <w:spacing w:val="-2"/>
          <w:szCs w:val="18"/>
          <w:lang w:val="en-US" w:eastAsia="pt-BR"/>
        </w:rPr>
        <w:t>home office work. To date, no changes to any policy or process have been required, maintaining the Company's continuity, including activities related to the accounting area.</w:t>
      </w:r>
    </w:p>
    <w:p w14:paraId="5FC923DA" w14:textId="77777777" w:rsidR="00720F68" w:rsidRPr="00B84B0C" w:rsidRDefault="00720F68" w:rsidP="00720F68">
      <w:pPr>
        <w:jc w:val="both"/>
        <w:rPr>
          <w:rStyle w:val="hps"/>
          <w:rFonts w:eastAsia="Times New Roman" w:cs="Arial"/>
          <w:spacing w:val="-2"/>
          <w:szCs w:val="18"/>
        </w:rPr>
      </w:pPr>
      <w:r w:rsidRPr="00B84B0C">
        <w:rPr>
          <w:rStyle w:val="hps"/>
          <w:rFonts w:eastAsia="Times New Roman" w:cs="Arial"/>
          <w:spacing w:val="-2"/>
          <w:szCs w:val="18"/>
          <w:lang w:val="en-US" w:eastAsia="pt-BR"/>
        </w:rPr>
        <w:t xml:space="preserve">Due to the </w:t>
      </w:r>
      <w:r w:rsidRPr="00B84B0C">
        <w:rPr>
          <w:rStyle w:val="hps"/>
          <w:rFonts w:eastAsia="Times New Roman" w:cs="Arial"/>
          <w:spacing w:val="-2"/>
          <w:szCs w:val="18"/>
        </w:rPr>
        <w:t>fast</w:t>
      </w:r>
      <w:r w:rsidRPr="00B84B0C">
        <w:rPr>
          <w:rStyle w:val="hps"/>
          <w:rFonts w:eastAsia="Times New Roman" w:cs="Arial"/>
          <w:spacing w:val="-2"/>
          <w:szCs w:val="18"/>
          <w:lang w:val="en-US" w:eastAsia="pt-BR"/>
        </w:rPr>
        <w:t xml:space="preserve"> action, no unusual failures or deficiencies in the Group's processes or controls were recorded. </w:t>
      </w:r>
      <w:r w:rsidRPr="00B84B0C">
        <w:rPr>
          <w:rStyle w:val="hps"/>
          <w:rFonts w:eastAsia="Times New Roman" w:cs="Arial"/>
          <w:spacing w:val="-2"/>
          <w:szCs w:val="18"/>
        </w:rPr>
        <w:t>For</w:t>
      </w:r>
      <w:r w:rsidRPr="00B84B0C">
        <w:rPr>
          <w:rStyle w:val="hps"/>
          <w:rFonts w:eastAsia="Times New Roman" w:cs="Arial"/>
          <w:spacing w:val="-2"/>
          <w:szCs w:val="18"/>
          <w:lang w:val="en-US" w:eastAsia="pt-BR"/>
        </w:rPr>
        <w:t xml:space="preserve"> corporate systems, there was no impact on ERP, SISBB, </w:t>
      </w:r>
      <w:r w:rsidRPr="00B84B0C">
        <w:rPr>
          <w:rStyle w:val="hps"/>
          <w:rFonts w:eastAsia="Times New Roman" w:cs="Arial"/>
          <w:spacing w:val="-2"/>
          <w:szCs w:val="18"/>
        </w:rPr>
        <w:t>Gerenciador Financeiro</w:t>
      </w:r>
      <w:r w:rsidRPr="00B84B0C">
        <w:rPr>
          <w:rStyle w:val="hps"/>
          <w:rFonts w:eastAsia="Times New Roman" w:cs="Arial"/>
          <w:spacing w:val="-2"/>
          <w:szCs w:val="18"/>
          <w:lang w:val="en-US" w:eastAsia="pt-BR"/>
        </w:rPr>
        <w:t xml:space="preserve"> </w:t>
      </w:r>
      <w:r w:rsidRPr="00B84B0C">
        <w:rPr>
          <w:rStyle w:val="hps"/>
          <w:rFonts w:eastAsia="Times New Roman" w:cs="Arial"/>
          <w:spacing w:val="-2"/>
          <w:szCs w:val="18"/>
        </w:rPr>
        <w:t xml:space="preserve">(Financial Manager) </w:t>
      </w:r>
      <w:r w:rsidRPr="00B84B0C">
        <w:rPr>
          <w:rStyle w:val="hps"/>
          <w:rFonts w:eastAsia="Times New Roman" w:cs="Arial"/>
          <w:spacing w:val="-2"/>
          <w:szCs w:val="18"/>
          <w:lang w:val="en-US" w:eastAsia="pt-BR"/>
        </w:rPr>
        <w:t xml:space="preserve">and/or other systems used by the Group, which </w:t>
      </w:r>
      <w:proofErr w:type="spellStart"/>
      <w:r w:rsidRPr="00B84B0C">
        <w:rPr>
          <w:rStyle w:val="hps"/>
          <w:rFonts w:eastAsia="Times New Roman" w:cs="Arial"/>
          <w:spacing w:val="-2"/>
          <w:szCs w:val="18"/>
        </w:rPr>
        <w:t>assure</w:t>
      </w:r>
      <w:proofErr w:type="spellEnd"/>
      <w:r w:rsidRPr="00B84B0C">
        <w:rPr>
          <w:rStyle w:val="hps"/>
          <w:rFonts w:eastAsia="Times New Roman" w:cs="Arial"/>
          <w:spacing w:val="-2"/>
          <w:szCs w:val="18"/>
          <w:lang w:val="en-US" w:eastAsia="pt-BR"/>
        </w:rPr>
        <w:t xml:space="preserve"> access</w:t>
      </w:r>
      <w:proofErr w:type="spellStart"/>
      <w:r w:rsidRPr="00B84B0C">
        <w:rPr>
          <w:rStyle w:val="hps"/>
          <w:rFonts w:eastAsia="Times New Roman" w:cs="Arial"/>
          <w:spacing w:val="-2"/>
          <w:szCs w:val="18"/>
        </w:rPr>
        <w:t>ing</w:t>
      </w:r>
      <w:proofErr w:type="spellEnd"/>
      <w:r w:rsidRPr="00B84B0C">
        <w:rPr>
          <w:rStyle w:val="hps"/>
          <w:rFonts w:eastAsia="Times New Roman" w:cs="Arial"/>
          <w:spacing w:val="-2"/>
          <w:szCs w:val="18"/>
          <w:lang w:val="en-US" w:eastAsia="pt-BR"/>
        </w:rPr>
        <w:t xml:space="preserve"> and monitoring of future impacts.</w:t>
      </w:r>
    </w:p>
    <w:p w14:paraId="42715C67"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Regarding the services contracted by BB </w:t>
      </w:r>
      <w:proofErr w:type="spellStart"/>
      <w:r w:rsidRPr="00B84B0C">
        <w:rPr>
          <w:rStyle w:val="hps"/>
          <w:rFonts w:eastAsia="Times New Roman" w:cs="Arial"/>
          <w:spacing w:val="-2"/>
          <w:szCs w:val="18"/>
          <w:lang w:val="en-US" w:eastAsia="pt-BR"/>
        </w:rPr>
        <w:t>Seguridade</w:t>
      </w:r>
      <w:proofErr w:type="spellEnd"/>
      <w:r w:rsidRPr="00B84B0C">
        <w:rPr>
          <w:rStyle w:val="hps"/>
          <w:rFonts w:eastAsia="Times New Roman" w:cs="Arial"/>
          <w:spacing w:val="-2"/>
          <w:szCs w:val="18"/>
          <w:lang w:val="en-US" w:eastAsia="pt-BR"/>
        </w:rPr>
        <w:t>, until now, no discontinuity of contracted services has been detected that could have a material impact on the Company and there is no indication that it may occur.</w:t>
      </w:r>
    </w:p>
    <w:p w14:paraId="11F2BF13"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In the subsidiaries, the pandemic had some impact on the operation of the call centers, starting on </w:t>
      </w:r>
      <w:proofErr w:type="gramStart"/>
      <w:r w:rsidRPr="00B84B0C">
        <w:rPr>
          <w:rStyle w:val="hps"/>
          <w:rFonts w:eastAsia="Times New Roman" w:cs="Arial"/>
          <w:spacing w:val="-2"/>
          <w:szCs w:val="18"/>
          <w:lang w:val="en-US" w:eastAsia="pt-BR"/>
        </w:rPr>
        <w:t>March,</w:t>
      </w:r>
      <w:proofErr w:type="gramEnd"/>
      <w:r w:rsidRPr="00B84B0C">
        <w:rPr>
          <w:rStyle w:val="hps"/>
          <w:rFonts w:eastAsia="Times New Roman" w:cs="Arial"/>
          <w:spacing w:val="-2"/>
          <w:szCs w:val="18"/>
          <w:lang w:val="en-US" w:eastAsia="pt-BR"/>
        </w:rPr>
        <w:t xml:space="preserve"> 20. The main causes arose from the need to adjust the work dynamics with changes from adequacy in the physical space to the implementation of the home office model for the attendants.</w:t>
      </w:r>
    </w:p>
    <w:p w14:paraId="289905B5"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The main indicators such as Average Service Time), Average Waiting Time and Abandonment Rate, had an impact in the beginning, but returned to normal after the initiatives of each affiliate together with BB </w:t>
      </w:r>
      <w:proofErr w:type="spellStart"/>
      <w:r w:rsidRPr="00B84B0C">
        <w:rPr>
          <w:rStyle w:val="hps"/>
          <w:rFonts w:eastAsia="Times New Roman" w:cs="Arial"/>
          <w:spacing w:val="-2"/>
          <w:szCs w:val="18"/>
          <w:lang w:val="en-US" w:eastAsia="pt-BR"/>
        </w:rPr>
        <w:t>Seguros</w:t>
      </w:r>
      <w:proofErr w:type="spellEnd"/>
      <w:r w:rsidRPr="00B84B0C">
        <w:rPr>
          <w:rStyle w:val="hps"/>
          <w:rFonts w:eastAsia="Times New Roman" w:cs="Arial"/>
          <w:spacing w:val="-2"/>
          <w:szCs w:val="18"/>
          <w:lang w:val="en-US" w:eastAsia="pt-BR"/>
        </w:rPr>
        <w:t>, as details (for the most relevant subsidiaries) below:</w:t>
      </w:r>
    </w:p>
    <w:p w14:paraId="117CC760"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a) </w:t>
      </w:r>
      <w:proofErr w:type="spellStart"/>
      <w:r w:rsidRPr="00B84B0C">
        <w:rPr>
          <w:rStyle w:val="hps"/>
          <w:rFonts w:eastAsia="Times New Roman" w:cs="Arial"/>
          <w:spacing w:val="-2"/>
          <w:szCs w:val="18"/>
          <w:lang w:val="en-US" w:eastAsia="pt-BR"/>
        </w:rPr>
        <w:t>Brasilprev</w:t>
      </w:r>
      <w:proofErr w:type="spellEnd"/>
      <w:r w:rsidRPr="00B84B0C">
        <w:rPr>
          <w:rStyle w:val="hps"/>
          <w:rFonts w:eastAsia="Times New Roman" w:cs="Arial"/>
          <w:spacing w:val="-2"/>
          <w:szCs w:val="18"/>
          <w:lang w:val="en-US" w:eastAsia="pt-BR"/>
        </w:rPr>
        <w:t>: due to the economic scenario and the drop of the stock exchange, the volume of requests for withdraws of pension plans increase significantly during the pandemic period. Measures were taken to improve the service flow.</w:t>
      </w:r>
    </w:p>
    <w:p w14:paraId="7AF96073"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b) </w:t>
      </w:r>
      <w:proofErr w:type="spellStart"/>
      <w:r w:rsidRPr="00B84B0C">
        <w:rPr>
          <w:rStyle w:val="hps"/>
          <w:rFonts w:eastAsia="Times New Roman" w:cs="Arial"/>
          <w:spacing w:val="-2"/>
          <w:szCs w:val="18"/>
          <w:lang w:val="en-US" w:eastAsia="pt-BR"/>
        </w:rPr>
        <w:t>Brasilseg</w:t>
      </w:r>
      <w:proofErr w:type="spellEnd"/>
      <w:r w:rsidRPr="00B84B0C">
        <w:rPr>
          <w:rStyle w:val="hps"/>
          <w:rFonts w:eastAsia="Times New Roman" w:cs="Arial"/>
          <w:spacing w:val="-2"/>
          <w:szCs w:val="18"/>
          <w:lang w:val="en-US" w:eastAsia="pt-BR"/>
        </w:rPr>
        <w:t xml:space="preserve">: the call center located in Franca (SP) was closed on </w:t>
      </w:r>
      <w:proofErr w:type="gramStart"/>
      <w:r w:rsidRPr="00B84B0C">
        <w:rPr>
          <w:rStyle w:val="hps"/>
          <w:rFonts w:eastAsia="Times New Roman" w:cs="Arial"/>
          <w:spacing w:val="-2"/>
          <w:szCs w:val="18"/>
          <w:lang w:val="en-US" w:eastAsia="pt-BR"/>
        </w:rPr>
        <w:t>march</w:t>
      </w:r>
      <w:proofErr w:type="gramEnd"/>
      <w:r w:rsidRPr="00B84B0C">
        <w:rPr>
          <w:rStyle w:val="hps"/>
          <w:rFonts w:eastAsia="Times New Roman" w:cs="Arial"/>
          <w:spacing w:val="-2"/>
          <w:szCs w:val="18"/>
          <w:lang w:val="en-US" w:eastAsia="pt-BR"/>
        </w:rPr>
        <w:t xml:space="preserve">, 20. Service via the insurer's </w:t>
      </w:r>
      <w:proofErr w:type="spellStart"/>
      <w:r w:rsidRPr="00B84B0C">
        <w:rPr>
          <w:rStyle w:val="hps"/>
          <w:rFonts w:eastAsia="Times New Roman" w:cs="Arial"/>
          <w:spacing w:val="-2"/>
          <w:szCs w:val="18"/>
          <w:lang w:val="en-US" w:eastAsia="pt-BR"/>
        </w:rPr>
        <w:t>Whatsapp</w:t>
      </w:r>
      <w:proofErr w:type="spellEnd"/>
      <w:r w:rsidRPr="00B84B0C">
        <w:rPr>
          <w:rStyle w:val="hps"/>
          <w:rFonts w:eastAsia="Times New Roman" w:cs="Arial"/>
          <w:spacing w:val="-2"/>
          <w:szCs w:val="18"/>
          <w:lang w:val="en-US" w:eastAsia="pt-BR"/>
        </w:rPr>
        <w:t xml:space="preserve"> cell phone application, which was under pilot, was widely publicized, expanding the amount of services available through this channel, thus easing the demand for telephone service. The operation is gradually being normalized and today reflects 85% of the usual capacity.</w:t>
      </w:r>
    </w:p>
    <w:p w14:paraId="4BF60CEB"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lastRenderedPageBreak/>
        <w:t xml:space="preserve">c) </w:t>
      </w:r>
      <w:proofErr w:type="spellStart"/>
      <w:r w:rsidRPr="00B84B0C">
        <w:rPr>
          <w:rStyle w:val="hps"/>
          <w:rFonts w:eastAsia="Times New Roman" w:cs="Arial"/>
          <w:spacing w:val="-2"/>
          <w:szCs w:val="18"/>
          <w:lang w:val="en-US" w:eastAsia="pt-BR"/>
        </w:rPr>
        <w:t>Brasilcap</w:t>
      </w:r>
      <w:proofErr w:type="spellEnd"/>
      <w:r w:rsidRPr="00B84B0C">
        <w:rPr>
          <w:rStyle w:val="hps"/>
          <w:rFonts w:eastAsia="Times New Roman" w:cs="Arial"/>
          <w:spacing w:val="-2"/>
          <w:szCs w:val="18"/>
          <w:lang w:val="en-US" w:eastAsia="pt-BR"/>
        </w:rPr>
        <w:t>: with the contingency of Covid-19 pandemic and the need to adjust the number of attendants working in person, the operation was reduced by 65%, especially affecting the Average Waiting Time and the Abandonment Rate. The indicators returned to normal after the full implementation of the home office model.</w:t>
      </w:r>
    </w:p>
    <w:p w14:paraId="395A7800" w14:textId="77777777" w:rsidR="00720F68" w:rsidRPr="00B84B0C" w:rsidRDefault="00720F68" w:rsidP="00720F68">
      <w:pPr>
        <w:pStyle w:val="01-TtulodeNota"/>
        <w:rPr>
          <w:rFonts w:cs="Arial"/>
          <w:color w:val="1F4E79" w:themeColor="accent1" w:themeShade="80"/>
          <w:lang w:val="en-US"/>
        </w:rPr>
      </w:pPr>
      <w:r w:rsidRPr="00B84B0C">
        <w:rPr>
          <w:rFonts w:cs="Arial"/>
          <w:color w:val="1F4E79" w:themeColor="accent1" w:themeShade="80"/>
          <w:lang w:val="en-US"/>
        </w:rPr>
        <w:t>c.2) Impacts on financial statements</w:t>
      </w:r>
    </w:p>
    <w:p w14:paraId="5EBA6FAA"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Management's ability to carry out the process of preparing the Financial Statements of BB </w:t>
      </w:r>
      <w:proofErr w:type="spellStart"/>
      <w:r w:rsidRPr="00B84B0C">
        <w:rPr>
          <w:rStyle w:val="hps"/>
          <w:rFonts w:eastAsia="Times New Roman" w:cs="Arial"/>
          <w:spacing w:val="-2"/>
          <w:szCs w:val="18"/>
          <w:lang w:val="en-US" w:eastAsia="pt-BR"/>
        </w:rPr>
        <w:t>Seguridade</w:t>
      </w:r>
      <w:proofErr w:type="spellEnd"/>
      <w:r w:rsidRPr="00B84B0C">
        <w:rPr>
          <w:rStyle w:val="hps"/>
          <w:rFonts w:eastAsia="Times New Roman" w:cs="Arial"/>
          <w:spacing w:val="-2"/>
          <w:szCs w:val="18"/>
          <w:lang w:val="en-US" w:eastAsia="pt-BR"/>
        </w:rPr>
        <w:t xml:space="preserve"> Group (BB </w:t>
      </w:r>
      <w:proofErr w:type="spellStart"/>
      <w:r w:rsidRPr="00B84B0C">
        <w:rPr>
          <w:rStyle w:val="hps"/>
          <w:rFonts w:eastAsia="Times New Roman" w:cs="Arial"/>
          <w:spacing w:val="-2"/>
          <w:szCs w:val="18"/>
          <w:lang w:val="en-US" w:eastAsia="pt-BR"/>
        </w:rPr>
        <w:t>Seguridade</w:t>
      </w:r>
      <w:proofErr w:type="spellEnd"/>
      <w:r w:rsidRPr="00B84B0C">
        <w:rPr>
          <w:rStyle w:val="hps"/>
          <w:rFonts w:eastAsia="Times New Roman" w:cs="Arial"/>
          <w:spacing w:val="-2"/>
          <w:szCs w:val="18"/>
          <w:lang w:val="en-US" w:eastAsia="pt-BR"/>
        </w:rPr>
        <w:t xml:space="preserve">, BB </w:t>
      </w:r>
      <w:proofErr w:type="spellStart"/>
      <w:r w:rsidRPr="00B84B0C">
        <w:rPr>
          <w:rStyle w:val="hps"/>
          <w:rFonts w:eastAsia="Times New Roman" w:cs="Arial"/>
          <w:spacing w:val="-2"/>
          <w:szCs w:val="18"/>
          <w:lang w:val="en-US" w:eastAsia="pt-BR"/>
        </w:rPr>
        <w:t>Seguros</w:t>
      </w:r>
      <w:proofErr w:type="spellEnd"/>
      <w:r w:rsidRPr="00B84B0C">
        <w:rPr>
          <w:rStyle w:val="hps"/>
          <w:rFonts w:eastAsia="Times New Roman" w:cs="Arial"/>
          <w:spacing w:val="-2"/>
          <w:szCs w:val="18"/>
          <w:lang w:val="en-US" w:eastAsia="pt-BR"/>
        </w:rPr>
        <w:t xml:space="preserve"> and BB </w:t>
      </w:r>
      <w:proofErr w:type="spellStart"/>
      <w:r w:rsidRPr="00B84B0C">
        <w:rPr>
          <w:rStyle w:val="hps"/>
          <w:rFonts w:eastAsia="Times New Roman" w:cs="Arial"/>
          <w:spacing w:val="-2"/>
          <w:szCs w:val="18"/>
          <w:lang w:val="en-US" w:eastAsia="pt-BR"/>
        </w:rPr>
        <w:t>Corretora</w:t>
      </w:r>
      <w:proofErr w:type="spellEnd"/>
      <w:r w:rsidRPr="00B84B0C">
        <w:rPr>
          <w:rStyle w:val="hps"/>
          <w:rFonts w:eastAsia="Times New Roman" w:cs="Arial"/>
          <w:spacing w:val="-2"/>
          <w:szCs w:val="18"/>
          <w:lang w:val="en-US" w:eastAsia="pt-BR"/>
        </w:rPr>
        <w:t>) was not affected. The progress of the activities is taking place according to the schedule initially foreseen for the publications and with the normality of the execution of all processes.</w:t>
      </w:r>
    </w:p>
    <w:p w14:paraId="315ABA87"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The receipt of January, </w:t>
      </w:r>
      <w:proofErr w:type="gramStart"/>
      <w:r w:rsidRPr="00B84B0C">
        <w:rPr>
          <w:rStyle w:val="hps"/>
          <w:rFonts w:eastAsia="Times New Roman" w:cs="Arial"/>
          <w:spacing w:val="-2"/>
          <w:szCs w:val="18"/>
          <w:lang w:val="en-US" w:eastAsia="pt-BR"/>
        </w:rPr>
        <w:t>February</w:t>
      </w:r>
      <w:proofErr w:type="gramEnd"/>
      <w:r w:rsidRPr="00B84B0C">
        <w:rPr>
          <w:rStyle w:val="hps"/>
          <w:rFonts w:eastAsia="Times New Roman" w:cs="Arial"/>
          <w:spacing w:val="-2"/>
          <w:szCs w:val="18"/>
          <w:lang w:val="en-US" w:eastAsia="pt-BR"/>
        </w:rPr>
        <w:t xml:space="preserve"> and March balance sheets of the subsidiaries of BB </w:t>
      </w:r>
      <w:proofErr w:type="spellStart"/>
      <w:r w:rsidRPr="00B84B0C">
        <w:rPr>
          <w:rStyle w:val="hps"/>
          <w:rFonts w:eastAsia="Times New Roman" w:cs="Arial"/>
          <w:spacing w:val="-2"/>
          <w:szCs w:val="18"/>
          <w:lang w:val="en-US" w:eastAsia="pt-BR"/>
        </w:rPr>
        <w:t>Seguros</w:t>
      </w:r>
      <w:proofErr w:type="spellEnd"/>
      <w:r w:rsidRPr="00B84B0C">
        <w:rPr>
          <w:rStyle w:val="hps"/>
          <w:rFonts w:eastAsia="Times New Roman" w:cs="Arial"/>
          <w:spacing w:val="-2"/>
          <w:szCs w:val="18"/>
          <w:lang w:val="en-US" w:eastAsia="pt-BR"/>
        </w:rPr>
        <w:t xml:space="preserve"> and BB </w:t>
      </w:r>
      <w:proofErr w:type="spellStart"/>
      <w:r w:rsidRPr="00B84B0C">
        <w:rPr>
          <w:rStyle w:val="hps"/>
          <w:rFonts w:eastAsia="Times New Roman" w:cs="Arial"/>
          <w:spacing w:val="-2"/>
          <w:szCs w:val="18"/>
          <w:lang w:val="en-US" w:eastAsia="pt-BR"/>
        </w:rPr>
        <w:t>Corretora</w:t>
      </w:r>
      <w:proofErr w:type="spellEnd"/>
      <w:r w:rsidRPr="00B84B0C">
        <w:rPr>
          <w:rStyle w:val="hps"/>
          <w:rFonts w:eastAsia="Times New Roman" w:cs="Arial"/>
          <w:spacing w:val="-2"/>
          <w:szCs w:val="18"/>
          <w:lang w:val="en-US" w:eastAsia="pt-BR"/>
        </w:rPr>
        <w:t xml:space="preserve">, which are inputs for the closing of the balance sheets and preparation of the Financial Statements of BB </w:t>
      </w:r>
      <w:proofErr w:type="spellStart"/>
      <w:r w:rsidRPr="00B84B0C">
        <w:rPr>
          <w:rStyle w:val="hps"/>
          <w:rFonts w:eastAsia="Times New Roman" w:cs="Arial"/>
          <w:spacing w:val="-2"/>
          <w:szCs w:val="18"/>
          <w:lang w:val="en-US" w:eastAsia="pt-BR"/>
        </w:rPr>
        <w:t>Seguridade</w:t>
      </w:r>
      <w:proofErr w:type="spellEnd"/>
      <w:r w:rsidRPr="00B84B0C">
        <w:rPr>
          <w:rStyle w:val="hps"/>
          <w:rFonts w:eastAsia="Times New Roman" w:cs="Arial"/>
          <w:spacing w:val="-2"/>
          <w:szCs w:val="18"/>
          <w:lang w:val="en-US" w:eastAsia="pt-BR"/>
        </w:rPr>
        <w:t xml:space="preserve"> Group companies, took place within the regular monthly terms, with no delays.</w:t>
      </w:r>
    </w:p>
    <w:p w14:paraId="00B2AADB"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Likewise, BB </w:t>
      </w:r>
      <w:proofErr w:type="spellStart"/>
      <w:r w:rsidRPr="00B84B0C">
        <w:rPr>
          <w:rStyle w:val="hps"/>
          <w:rFonts w:eastAsia="Times New Roman" w:cs="Arial"/>
          <w:spacing w:val="-2"/>
          <w:szCs w:val="18"/>
          <w:lang w:val="en-US" w:eastAsia="pt-BR"/>
        </w:rPr>
        <w:t>Seguridade</w:t>
      </w:r>
      <w:proofErr w:type="spellEnd"/>
      <w:r w:rsidRPr="00B84B0C">
        <w:rPr>
          <w:rStyle w:val="hps"/>
          <w:rFonts w:eastAsia="Times New Roman" w:cs="Arial"/>
          <w:spacing w:val="-2"/>
          <w:szCs w:val="18"/>
          <w:lang w:val="en-US" w:eastAsia="pt-BR"/>
        </w:rPr>
        <w:t xml:space="preserve"> Group companies balance sheets closing took place within the regular monthly terms.</w:t>
      </w:r>
    </w:p>
    <w:p w14:paraId="615156EB"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It should be noted that the processes, specifically the Accounting Superintendence, are included in Business Continuity and Crisis Management plans (model followed by the parent Banco do </w:t>
      </w:r>
      <w:proofErr w:type="spellStart"/>
      <w:r w:rsidRPr="00B84B0C">
        <w:rPr>
          <w:rStyle w:val="hps"/>
          <w:rFonts w:eastAsia="Times New Roman" w:cs="Arial"/>
          <w:spacing w:val="-2"/>
          <w:szCs w:val="18"/>
          <w:lang w:val="en-US" w:eastAsia="pt-BR"/>
        </w:rPr>
        <w:t>Brasil</w:t>
      </w:r>
      <w:proofErr w:type="spellEnd"/>
      <w:r w:rsidRPr="00B84B0C">
        <w:rPr>
          <w:rStyle w:val="hps"/>
          <w:rFonts w:eastAsia="Times New Roman" w:cs="Arial"/>
          <w:spacing w:val="-2"/>
          <w:szCs w:val="18"/>
          <w:lang w:val="en-US" w:eastAsia="pt-BR"/>
        </w:rPr>
        <w:t>), most of which are considered critical, and therefore are tested every six months for facing crises.</w:t>
      </w:r>
    </w:p>
    <w:p w14:paraId="08805A87"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To date, no changes in accounting treatments or approaches have been required and there have been no impacts related to the production of the various inputs generated by the internal areas of the company or subsidiaries companies, due to the adoption of the remote work for the employees.</w:t>
      </w:r>
    </w:p>
    <w:p w14:paraId="3F1DB43A"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There has been also no impact on ERP or other systems used. For remote work there is a specific tool used to access the systems and even the feasibility of remotely accessing the computers at the company's headquarters.</w:t>
      </w:r>
    </w:p>
    <w:p w14:paraId="7197DDF9"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To date, no risk of non-compliance of terms initially set by the Company for filing the Financial Statements and other documents for the 1st quarter of 2020 has been spotted.</w:t>
      </w:r>
    </w:p>
    <w:p w14:paraId="6A2B8F8B"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Therefore, considering the current scenario and the measures aimed at the continuity of all company's processes, there is no evidence, so far, that the impacts brought by the pandemic will compromise the preparation, approval and publication of the Financial Statements and the Group's Management believes that there will be no problems with the Financial Statements, or any other accounting practice, until the end of the crisis caused by the pandemic.</w:t>
      </w:r>
    </w:p>
    <w:p w14:paraId="242EAB87" w14:textId="77777777" w:rsidR="00720F68" w:rsidRPr="00B84B0C" w:rsidRDefault="00720F68" w:rsidP="00720F68">
      <w:pPr>
        <w:pStyle w:val="01-TtulodeNota"/>
        <w:rPr>
          <w:rFonts w:cs="Arial"/>
          <w:color w:val="1F4E79" w:themeColor="accent1" w:themeShade="80"/>
          <w:lang w:val="en-US"/>
        </w:rPr>
      </w:pPr>
      <w:r w:rsidRPr="00B84B0C">
        <w:rPr>
          <w:rFonts w:cs="Arial"/>
          <w:color w:val="1F4E79" w:themeColor="accent1" w:themeShade="80"/>
          <w:lang w:val="en-US"/>
        </w:rPr>
        <w:t xml:space="preserve">c.3) Ability to face the </w:t>
      </w:r>
      <w:proofErr w:type="gramStart"/>
      <w:r w:rsidRPr="00B84B0C">
        <w:rPr>
          <w:rFonts w:cs="Arial"/>
          <w:color w:val="1F4E79" w:themeColor="accent1" w:themeShade="80"/>
          <w:lang w:val="en-US"/>
        </w:rPr>
        <w:t>crisis</w:t>
      </w:r>
      <w:proofErr w:type="gramEnd"/>
    </w:p>
    <w:p w14:paraId="2D772054"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The Group's long-term strategy is </w:t>
      </w:r>
      <w:proofErr w:type="spellStart"/>
      <w:r w:rsidRPr="00B84B0C">
        <w:rPr>
          <w:rStyle w:val="hps"/>
          <w:rFonts w:eastAsia="Times New Roman" w:cs="Arial"/>
          <w:spacing w:val="-2"/>
          <w:szCs w:val="18"/>
          <w:lang w:val="en-US" w:eastAsia="pt-BR"/>
        </w:rPr>
        <w:t>holded</w:t>
      </w:r>
      <w:proofErr w:type="spellEnd"/>
      <w:r w:rsidRPr="00B84B0C">
        <w:rPr>
          <w:rStyle w:val="hps"/>
          <w:rFonts w:eastAsia="Times New Roman" w:cs="Arial"/>
          <w:spacing w:val="-2"/>
          <w:szCs w:val="18"/>
          <w:lang w:val="en-US" w:eastAsia="pt-BR"/>
        </w:rPr>
        <w:t>, however the management model has been adapted to include an even more focused performance. A specific plan to combat Covid-19 was declared, that presents the initiatives prioritized by the Company, which are conducted by multidisciplinary teams, with follow-up and execution flows communicated and feedback from all internal stakeholders.</w:t>
      </w:r>
    </w:p>
    <w:p w14:paraId="4E1FF887"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A key element to keep every Group’s employee at a high level of service provision is to provide tranquility to everyone, both personally and professionally. After the physical and logical resources necessary for remote working were operationalized, the priorities began to be remotely managed, using the collaboration tools available in the Company's technological suits. Internal communication was enhanced with themes inherent to the contingency regime, such as mental health, home office practices and development opportunities.</w:t>
      </w:r>
    </w:p>
    <w:p w14:paraId="3B8E2DDB"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To date, there is no need to review the dividend policy, and there is no expectation of changes in the earnings distribution practices currently adopted. No need to establish provisions in addition to those already recognized has been identified yet.</w:t>
      </w:r>
    </w:p>
    <w:p w14:paraId="58820A17" w14:textId="77777777" w:rsidR="00720F68" w:rsidRPr="00B84B0C" w:rsidRDefault="00720F68" w:rsidP="00720F68">
      <w:pPr>
        <w:pStyle w:val="01-TtulodeNota"/>
        <w:rPr>
          <w:rFonts w:cs="Arial"/>
          <w:color w:val="1F4E79" w:themeColor="accent1" w:themeShade="80"/>
          <w:lang w:val="en-US"/>
        </w:rPr>
      </w:pPr>
      <w:r w:rsidRPr="00B84B0C">
        <w:rPr>
          <w:rFonts w:cs="Arial"/>
          <w:color w:val="1F4E79" w:themeColor="accent1" w:themeShade="80"/>
          <w:lang w:val="en-US"/>
        </w:rPr>
        <w:t>c.4) Projections of future impacts</w:t>
      </w:r>
    </w:p>
    <w:p w14:paraId="0FCA04E7"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As soon as the pandemic became probable, with an increase in infection cases in China and the appearance of confirmed cases in other parts of the world and at Brazil, Superintendence of Risk and Controls began to discuss the </w:t>
      </w:r>
      <w:proofErr w:type="gramStart"/>
      <w:r w:rsidRPr="00B84B0C">
        <w:rPr>
          <w:rStyle w:val="hps"/>
          <w:rFonts w:eastAsia="Times New Roman" w:cs="Arial"/>
          <w:spacing w:val="-2"/>
          <w:szCs w:val="18"/>
          <w:lang w:val="en-US" w:eastAsia="pt-BR"/>
        </w:rPr>
        <w:t>issue  with</w:t>
      </w:r>
      <w:proofErr w:type="gramEnd"/>
      <w:r w:rsidRPr="00B84B0C">
        <w:rPr>
          <w:rStyle w:val="hps"/>
          <w:rFonts w:eastAsia="Times New Roman" w:cs="Arial"/>
          <w:spacing w:val="-2"/>
          <w:szCs w:val="18"/>
          <w:lang w:val="en-US" w:eastAsia="pt-BR"/>
        </w:rPr>
        <w:t xml:space="preserve"> Executive Board and Audit Committee, in order to observe risks and possible impacts associated to the problem.</w:t>
      </w:r>
    </w:p>
    <w:p w14:paraId="542ABEA6"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In terms of capital, there is no expectation of impact for the Group's companies (BB </w:t>
      </w:r>
      <w:proofErr w:type="spellStart"/>
      <w:r w:rsidRPr="00B84B0C">
        <w:rPr>
          <w:rStyle w:val="hps"/>
          <w:rFonts w:eastAsia="Times New Roman" w:cs="Arial"/>
          <w:spacing w:val="-2"/>
          <w:szCs w:val="18"/>
          <w:lang w:val="en-US" w:eastAsia="pt-BR"/>
        </w:rPr>
        <w:t>Seguridade</w:t>
      </w:r>
      <w:proofErr w:type="spellEnd"/>
      <w:r w:rsidRPr="00B84B0C">
        <w:rPr>
          <w:rStyle w:val="hps"/>
          <w:rFonts w:eastAsia="Times New Roman" w:cs="Arial"/>
          <w:spacing w:val="-2"/>
          <w:szCs w:val="18"/>
          <w:lang w:val="en-US" w:eastAsia="pt-BR"/>
        </w:rPr>
        <w:t xml:space="preserve">, BB </w:t>
      </w:r>
      <w:proofErr w:type="spellStart"/>
      <w:r w:rsidRPr="00B84B0C">
        <w:rPr>
          <w:rStyle w:val="hps"/>
          <w:rFonts w:eastAsia="Times New Roman" w:cs="Arial"/>
          <w:spacing w:val="-2"/>
          <w:szCs w:val="18"/>
          <w:lang w:val="en-US" w:eastAsia="pt-BR"/>
        </w:rPr>
        <w:t>Seguros</w:t>
      </w:r>
      <w:proofErr w:type="spellEnd"/>
      <w:r w:rsidRPr="00B84B0C">
        <w:rPr>
          <w:rStyle w:val="hps"/>
          <w:rFonts w:eastAsia="Times New Roman" w:cs="Arial"/>
          <w:spacing w:val="-2"/>
          <w:szCs w:val="18"/>
          <w:lang w:val="en-US" w:eastAsia="pt-BR"/>
        </w:rPr>
        <w:t xml:space="preserve"> and BB </w:t>
      </w:r>
      <w:proofErr w:type="spellStart"/>
      <w:r w:rsidRPr="00B84B0C">
        <w:rPr>
          <w:rStyle w:val="hps"/>
          <w:rFonts w:eastAsia="Times New Roman" w:cs="Arial"/>
          <w:spacing w:val="-2"/>
          <w:szCs w:val="18"/>
          <w:lang w:val="en-US" w:eastAsia="pt-BR"/>
        </w:rPr>
        <w:t>Corretora</w:t>
      </w:r>
      <w:proofErr w:type="spellEnd"/>
      <w:r w:rsidRPr="00B84B0C">
        <w:rPr>
          <w:rStyle w:val="hps"/>
          <w:rFonts w:eastAsia="Times New Roman" w:cs="Arial"/>
          <w:spacing w:val="-2"/>
          <w:szCs w:val="18"/>
          <w:lang w:val="en-US" w:eastAsia="pt-BR"/>
        </w:rPr>
        <w:t>), it should be noted that there is no minimum capital requirement defined by specific regulatory agencies for these companies.</w:t>
      </w:r>
    </w:p>
    <w:p w14:paraId="06E0D102"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The operating companies regulated by </w:t>
      </w:r>
      <w:proofErr w:type="spellStart"/>
      <w:r w:rsidRPr="00B84B0C">
        <w:rPr>
          <w:rStyle w:val="hps"/>
          <w:rFonts w:eastAsia="Times New Roman" w:cs="Arial"/>
          <w:spacing w:val="-2"/>
          <w:szCs w:val="18"/>
          <w:lang w:val="en-US" w:eastAsia="pt-BR"/>
        </w:rPr>
        <w:t>Susep</w:t>
      </w:r>
      <w:proofErr w:type="spellEnd"/>
      <w:r w:rsidRPr="00B84B0C">
        <w:rPr>
          <w:rStyle w:val="hps"/>
          <w:rFonts w:eastAsia="Times New Roman" w:cs="Arial"/>
          <w:spacing w:val="-2"/>
          <w:szCs w:val="18"/>
          <w:lang w:val="en-US" w:eastAsia="pt-BR"/>
        </w:rPr>
        <w:t xml:space="preserve">, on the other hand, maintain additional capital to what is required by regulation, in line with the risk appetite approved by its respective Boards of Directors, </w:t>
      </w:r>
      <w:proofErr w:type="gramStart"/>
      <w:r w:rsidRPr="00B84B0C">
        <w:rPr>
          <w:rStyle w:val="hps"/>
          <w:rFonts w:eastAsia="Times New Roman" w:cs="Arial"/>
          <w:spacing w:val="-2"/>
          <w:szCs w:val="18"/>
          <w:lang w:val="en-US" w:eastAsia="pt-BR"/>
        </w:rPr>
        <w:t>in order to</w:t>
      </w:r>
      <w:proofErr w:type="gramEnd"/>
      <w:r w:rsidRPr="00B84B0C">
        <w:rPr>
          <w:rStyle w:val="hps"/>
          <w:rFonts w:eastAsia="Times New Roman" w:cs="Arial"/>
          <w:spacing w:val="-2"/>
          <w:szCs w:val="18"/>
          <w:lang w:val="en-US" w:eastAsia="pt-BR"/>
        </w:rPr>
        <w:t xml:space="preserve"> withstand adverse situations, such as the current pandemic. It is important to note that since the establishment of these additional appetite limits, there has never been a non-compliance with solvency. </w:t>
      </w:r>
      <w:proofErr w:type="spellStart"/>
      <w:r w:rsidRPr="00B84B0C">
        <w:rPr>
          <w:rStyle w:val="hps"/>
          <w:rFonts w:eastAsia="Times New Roman" w:cs="Arial"/>
          <w:spacing w:val="-2"/>
          <w:szCs w:val="18"/>
          <w:lang w:val="en-US" w:eastAsia="pt-BR"/>
        </w:rPr>
        <w:t>Brasildental</w:t>
      </w:r>
      <w:proofErr w:type="spellEnd"/>
      <w:r w:rsidRPr="00B84B0C">
        <w:rPr>
          <w:rStyle w:val="hps"/>
          <w:rFonts w:eastAsia="Times New Roman" w:cs="Arial"/>
          <w:spacing w:val="-2"/>
          <w:szCs w:val="18"/>
          <w:lang w:val="en-US" w:eastAsia="pt-BR"/>
        </w:rPr>
        <w:t>, regulated by ANS, does not maintain any extra capital, beyond regulatory needs.</w:t>
      </w:r>
    </w:p>
    <w:p w14:paraId="79BEE003" w14:textId="77777777" w:rsidR="00720F68" w:rsidRPr="00B84B0C" w:rsidRDefault="00720F68" w:rsidP="00720F68">
      <w:pPr>
        <w:jc w:val="both"/>
        <w:rPr>
          <w:rStyle w:val="hps"/>
          <w:rFonts w:eastAsia="Times New Roman" w:cs="Arial"/>
          <w:spacing w:val="-2"/>
          <w:szCs w:val="18"/>
          <w:lang w:val="en-US" w:eastAsia="pt-BR"/>
        </w:rPr>
      </w:pPr>
      <w:r w:rsidRPr="00B84B0C">
        <w:rPr>
          <w:rStyle w:val="hps"/>
          <w:rFonts w:eastAsia="Times New Roman" w:cs="Arial"/>
          <w:spacing w:val="-2"/>
          <w:szCs w:val="18"/>
          <w:lang w:val="en-US" w:eastAsia="pt-BR"/>
        </w:rPr>
        <w:t xml:space="preserve">The subsidiaries carried out studies with aggressive assumptions, considering that throughout the year 2020 there will be decreases in sales, an increase in cancellations and withdraws and an increase in insurance claims compared to the budget. Capital and regulatory liquidity were designed for each company. Until the end of 2020, there is no expectation of non-compliance with the </w:t>
      </w:r>
      <w:proofErr w:type="gramStart"/>
      <w:r w:rsidRPr="00B84B0C">
        <w:rPr>
          <w:rStyle w:val="hps"/>
          <w:rFonts w:eastAsia="Times New Roman" w:cs="Arial"/>
          <w:spacing w:val="-2"/>
          <w:szCs w:val="18"/>
          <w:lang w:val="en-US" w:eastAsia="pt-BR"/>
        </w:rPr>
        <w:t>legislation, since</w:t>
      </w:r>
      <w:proofErr w:type="gramEnd"/>
      <w:r w:rsidRPr="00B84B0C">
        <w:rPr>
          <w:rStyle w:val="hps"/>
          <w:rFonts w:eastAsia="Times New Roman" w:cs="Arial"/>
          <w:spacing w:val="-2"/>
          <w:szCs w:val="18"/>
          <w:lang w:val="en-US" w:eastAsia="pt-BR"/>
        </w:rPr>
        <w:t xml:space="preserve"> the capital that companies keep is enough to withstand these shocks.</w:t>
      </w:r>
    </w:p>
    <w:p w14:paraId="0F3F6219" w14:textId="77777777" w:rsidR="00720F68" w:rsidRPr="00B84B0C" w:rsidRDefault="00720F68" w:rsidP="00720F68">
      <w:pPr>
        <w:pStyle w:val="06-Rmil"/>
        <w:rPr>
          <w:rFonts w:cs="Arial"/>
        </w:rPr>
      </w:pPr>
      <w:r w:rsidRPr="00B84B0C">
        <w:rPr>
          <w:rFonts w:cs="Arial"/>
        </w:rPr>
        <w:lastRenderedPageBreak/>
        <w:t>R$ </w:t>
      </w:r>
      <w:proofErr w:type="spellStart"/>
      <w:r w:rsidRPr="00B84B0C">
        <w:rPr>
          <w:rFonts w:cs="Arial"/>
        </w:rPr>
        <w:t>thousand</w:t>
      </w:r>
      <w:proofErr w:type="spellEnd"/>
    </w:p>
    <w:tbl>
      <w:tblPr>
        <w:tblStyle w:val="TabeladeLista6Colorida-nfase53"/>
        <w:tblW w:w="0" w:type="auto"/>
        <w:tblInd w:w="108" w:type="dxa"/>
        <w:tblLayout w:type="fixed"/>
        <w:tblLook w:val="04A0" w:firstRow="1" w:lastRow="0" w:firstColumn="1" w:lastColumn="0" w:noHBand="0" w:noVBand="1"/>
      </w:tblPr>
      <w:tblGrid>
        <w:gridCol w:w="2019"/>
        <w:gridCol w:w="1134"/>
        <w:gridCol w:w="1275"/>
        <w:gridCol w:w="1134"/>
        <w:gridCol w:w="284"/>
        <w:gridCol w:w="1134"/>
        <w:gridCol w:w="1276"/>
        <w:gridCol w:w="1383"/>
      </w:tblGrid>
      <w:tr w:rsidR="00720F68" w:rsidRPr="00B84B0C" w14:paraId="25D25218" w14:textId="77777777" w:rsidTr="00711D9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019" w:type="dxa"/>
            <w:vMerge w:val="restart"/>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0DA319AC" w14:textId="77777777" w:rsidR="00720F68" w:rsidRPr="00B84B0C" w:rsidRDefault="00720F68">
            <w:pPr>
              <w:jc w:val="center"/>
              <w:rPr>
                <w:rFonts w:cs="Arial"/>
                <w:szCs w:val="18"/>
              </w:rPr>
            </w:pPr>
            <w:r w:rsidRPr="00B84B0C">
              <w:rPr>
                <w:rFonts w:cs="Arial"/>
                <w:sz w:val="14"/>
                <w:szCs w:val="18"/>
              </w:rPr>
              <w:t xml:space="preserve">Capital </w:t>
            </w:r>
            <w:proofErr w:type="spellStart"/>
            <w:r w:rsidRPr="00B84B0C">
              <w:rPr>
                <w:rFonts w:cs="Arial"/>
                <w:sz w:val="14"/>
                <w:szCs w:val="18"/>
              </w:rPr>
              <w:t>adequacy</w:t>
            </w:r>
            <w:proofErr w:type="spellEnd"/>
          </w:p>
        </w:tc>
        <w:tc>
          <w:tcPr>
            <w:tcW w:w="3543" w:type="dxa"/>
            <w:gridSpan w:val="3"/>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451CA4FD"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Projected</w:t>
            </w:r>
            <w:proofErr w:type="spellEnd"/>
            <w:r w:rsidRPr="00B84B0C">
              <w:rPr>
                <w:rFonts w:cs="Arial"/>
                <w:sz w:val="14"/>
                <w:szCs w:val="18"/>
              </w:rPr>
              <w:t xml:space="preserve"> </w:t>
            </w:r>
            <w:proofErr w:type="spellStart"/>
            <w:proofErr w:type="gramStart"/>
            <w:r w:rsidRPr="00B84B0C">
              <w:rPr>
                <w:rFonts w:cs="Arial"/>
                <w:sz w:val="14"/>
                <w:szCs w:val="18"/>
              </w:rPr>
              <w:t>to</w:t>
            </w:r>
            <w:proofErr w:type="spellEnd"/>
            <w:r w:rsidRPr="00B84B0C">
              <w:rPr>
                <w:rFonts w:cs="Arial"/>
                <w:sz w:val="14"/>
                <w:szCs w:val="18"/>
              </w:rPr>
              <w:t xml:space="preserve">  </w:t>
            </w:r>
            <w:r w:rsidRPr="00B84B0C">
              <w:rPr>
                <w:rFonts w:cs="Arial"/>
                <w:bCs w:val="0"/>
                <w:sz w:val="14"/>
                <w:szCs w:val="18"/>
                <w:lang w:val="en-US"/>
              </w:rPr>
              <w:t>Dec</w:t>
            </w:r>
            <w:proofErr w:type="gramEnd"/>
            <w:r w:rsidRPr="00B84B0C">
              <w:rPr>
                <w:rFonts w:cs="Arial"/>
                <w:bCs w:val="0"/>
                <w:sz w:val="14"/>
                <w:szCs w:val="18"/>
                <w:lang w:val="en-US"/>
              </w:rPr>
              <w:t xml:space="preserve"> 31, 2020</w:t>
            </w:r>
          </w:p>
        </w:tc>
        <w:tc>
          <w:tcPr>
            <w:tcW w:w="284" w:type="dxa"/>
            <w:tcBorders>
              <w:top w:val="single" w:sz="2" w:space="0" w:color="8EAADB" w:themeColor="accent5" w:themeTint="99"/>
              <w:left w:val="nil"/>
              <w:bottom w:val="nil"/>
              <w:right w:val="nil"/>
            </w:tcBorders>
            <w:shd w:val="clear" w:color="auto" w:fill="D9E2F3" w:themeFill="accent5" w:themeFillTint="33"/>
          </w:tcPr>
          <w:p w14:paraId="76F25F04"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3793" w:type="dxa"/>
            <w:gridSpan w:val="3"/>
            <w:tcBorders>
              <w:top w:val="single" w:sz="2" w:space="0" w:color="8EAADB" w:themeColor="accent5" w:themeTint="99"/>
              <w:left w:val="nil"/>
              <w:bottom w:val="single" w:sz="2" w:space="0" w:color="8EAADB" w:themeColor="accent5" w:themeTint="99"/>
              <w:right w:val="nil"/>
            </w:tcBorders>
            <w:shd w:val="clear" w:color="auto" w:fill="D9E2F3" w:themeFill="accent5" w:themeFillTint="33"/>
            <w:vAlign w:val="center"/>
            <w:hideMark/>
          </w:tcPr>
          <w:p w14:paraId="4B3405E0" w14:textId="77777777" w:rsidR="00720F68" w:rsidRPr="00B84B0C" w:rsidRDefault="00720F6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B84B0C">
              <w:rPr>
                <w:rFonts w:cs="Arial"/>
                <w:bCs w:val="0"/>
                <w:sz w:val="14"/>
                <w:szCs w:val="18"/>
                <w:lang w:val="en-US"/>
              </w:rPr>
              <w:t>Mar 31, 2020</w:t>
            </w:r>
          </w:p>
        </w:tc>
      </w:tr>
      <w:tr w:rsidR="00720F68" w:rsidRPr="00B84B0C" w14:paraId="65713EC1" w14:textId="77777777" w:rsidTr="00711D9A">
        <w:trPr>
          <w:cnfStyle w:val="000000100000" w:firstRow="0" w:lastRow="0" w:firstColumn="0" w:lastColumn="0" w:oddVBand="0" w:evenVBand="0" w:oddHBand="1" w:evenHBand="0" w:firstRowFirstColumn="0" w:firstRowLastColumn="0" w:lastRowFirstColumn="0" w:lastRowLastColumn="0"/>
          <w:trHeight w:hRule="exact" w:val="434"/>
        </w:trPr>
        <w:tc>
          <w:tcPr>
            <w:cnfStyle w:val="001000000000" w:firstRow="0" w:lastRow="0" w:firstColumn="1" w:lastColumn="0" w:oddVBand="0" w:evenVBand="0" w:oddHBand="0" w:evenHBand="0" w:firstRowFirstColumn="0" w:firstRowLastColumn="0" w:lastRowFirstColumn="0" w:lastRowLastColumn="0"/>
            <w:tcW w:w="2019" w:type="dxa"/>
            <w:vMerge/>
            <w:tcBorders>
              <w:top w:val="single" w:sz="2" w:space="0" w:color="8EAADB" w:themeColor="accent5" w:themeTint="99"/>
              <w:left w:val="nil"/>
              <w:bottom w:val="single" w:sz="2" w:space="0" w:color="8EAADB" w:themeColor="accent5" w:themeTint="99"/>
              <w:right w:val="nil"/>
            </w:tcBorders>
            <w:vAlign w:val="center"/>
            <w:hideMark/>
          </w:tcPr>
          <w:p w14:paraId="10A435E4" w14:textId="77777777" w:rsidR="00720F68" w:rsidRPr="00B84B0C" w:rsidRDefault="00720F68" w:rsidP="00720F68">
            <w:pPr>
              <w:rPr>
                <w:rFonts w:cs="Arial"/>
                <w:szCs w:val="18"/>
              </w:rPr>
            </w:pPr>
          </w:p>
        </w:tc>
        <w:tc>
          <w:tcPr>
            <w:tcW w:w="1134" w:type="dxa"/>
            <w:tcBorders>
              <w:top w:val="single" w:sz="2" w:space="0" w:color="8EAADB" w:themeColor="accent5" w:themeTint="99"/>
              <w:left w:val="nil"/>
              <w:bottom w:val="single" w:sz="2" w:space="0" w:color="8EAADB" w:themeColor="accent5" w:themeTint="99"/>
              <w:right w:val="nil"/>
            </w:tcBorders>
            <w:vAlign w:val="center"/>
            <w:hideMark/>
          </w:tcPr>
          <w:p w14:paraId="06B4372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spellStart"/>
            <w:r w:rsidRPr="00B84B0C">
              <w:rPr>
                <w:rFonts w:cs="Arial"/>
                <w:b/>
                <w:bCs/>
                <w:szCs w:val="14"/>
              </w:rPr>
              <w:t>Adjusted</w:t>
            </w:r>
            <w:proofErr w:type="spellEnd"/>
            <w:r w:rsidRPr="00B84B0C">
              <w:rPr>
                <w:rFonts w:cs="Arial"/>
                <w:b/>
                <w:bCs/>
                <w:szCs w:val="14"/>
              </w:rPr>
              <w:t xml:space="preserve"> Net </w:t>
            </w:r>
            <w:proofErr w:type="spellStart"/>
            <w:r w:rsidRPr="00B84B0C">
              <w:rPr>
                <w:rFonts w:cs="Arial"/>
                <w:b/>
                <w:bCs/>
                <w:szCs w:val="14"/>
              </w:rPr>
              <w:t>Equity</w:t>
            </w:r>
            <w:proofErr w:type="spellEnd"/>
          </w:p>
        </w:tc>
        <w:tc>
          <w:tcPr>
            <w:tcW w:w="1275" w:type="dxa"/>
            <w:tcBorders>
              <w:top w:val="single" w:sz="2" w:space="0" w:color="8EAADB" w:themeColor="accent5" w:themeTint="99"/>
              <w:left w:val="nil"/>
              <w:bottom w:val="single" w:sz="2" w:space="0" w:color="8EAADB" w:themeColor="accent5" w:themeTint="99"/>
              <w:right w:val="nil"/>
            </w:tcBorders>
            <w:vAlign w:val="center"/>
            <w:hideMark/>
          </w:tcPr>
          <w:p w14:paraId="4AB3DBE2"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eastAsia="en-US"/>
              </w:rPr>
              <w:t>CMR</w:t>
            </w:r>
          </w:p>
        </w:tc>
        <w:tc>
          <w:tcPr>
            <w:tcW w:w="1134" w:type="dxa"/>
            <w:tcBorders>
              <w:top w:val="single" w:sz="2" w:space="0" w:color="8EAADB" w:themeColor="accent5" w:themeTint="99"/>
              <w:left w:val="nil"/>
              <w:bottom w:val="single" w:sz="2" w:space="0" w:color="8EAADB" w:themeColor="accent5" w:themeTint="99"/>
              <w:right w:val="nil"/>
            </w:tcBorders>
            <w:vAlign w:val="center"/>
            <w:hideMark/>
          </w:tcPr>
          <w:p w14:paraId="71074058"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spellStart"/>
            <w:r w:rsidRPr="00B84B0C">
              <w:rPr>
                <w:rFonts w:cs="Arial"/>
                <w:b/>
                <w:bCs/>
                <w:szCs w:val="14"/>
              </w:rPr>
              <w:t>Adequacy</w:t>
            </w:r>
            <w:proofErr w:type="spellEnd"/>
          </w:p>
        </w:tc>
        <w:tc>
          <w:tcPr>
            <w:tcW w:w="284" w:type="dxa"/>
            <w:tcBorders>
              <w:top w:val="nil"/>
              <w:left w:val="nil"/>
              <w:bottom w:val="single" w:sz="2" w:space="0" w:color="8EAADB" w:themeColor="accent5" w:themeTint="99"/>
              <w:right w:val="nil"/>
            </w:tcBorders>
            <w:vAlign w:val="center"/>
          </w:tcPr>
          <w:p w14:paraId="3E3C689B"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
        </w:tc>
        <w:tc>
          <w:tcPr>
            <w:tcW w:w="1134" w:type="dxa"/>
            <w:tcBorders>
              <w:top w:val="single" w:sz="2" w:space="0" w:color="8EAADB" w:themeColor="accent5" w:themeTint="99"/>
              <w:left w:val="nil"/>
              <w:bottom w:val="single" w:sz="2" w:space="0" w:color="8EAADB" w:themeColor="accent5" w:themeTint="99"/>
              <w:right w:val="nil"/>
            </w:tcBorders>
            <w:vAlign w:val="center"/>
            <w:hideMark/>
          </w:tcPr>
          <w:p w14:paraId="2E85C6DF"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spellStart"/>
            <w:r w:rsidRPr="00B84B0C">
              <w:rPr>
                <w:rFonts w:cs="Arial"/>
                <w:b/>
                <w:bCs/>
                <w:szCs w:val="14"/>
              </w:rPr>
              <w:t>Adjusted</w:t>
            </w:r>
            <w:proofErr w:type="spellEnd"/>
            <w:r w:rsidRPr="00B84B0C">
              <w:rPr>
                <w:rFonts w:cs="Arial"/>
                <w:b/>
                <w:bCs/>
                <w:szCs w:val="14"/>
              </w:rPr>
              <w:t xml:space="preserve"> Net </w:t>
            </w:r>
            <w:proofErr w:type="spellStart"/>
            <w:r w:rsidRPr="00B84B0C">
              <w:rPr>
                <w:rFonts w:cs="Arial"/>
                <w:b/>
                <w:bCs/>
                <w:szCs w:val="14"/>
              </w:rPr>
              <w:t>Equity</w:t>
            </w:r>
            <w:proofErr w:type="spellEnd"/>
          </w:p>
        </w:tc>
        <w:tc>
          <w:tcPr>
            <w:tcW w:w="1276" w:type="dxa"/>
            <w:tcBorders>
              <w:top w:val="single" w:sz="2" w:space="0" w:color="8EAADB" w:themeColor="accent5" w:themeTint="99"/>
              <w:left w:val="nil"/>
              <w:bottom w:val="single" w:sz="2" w:space="0" w:color="8EAADB" w:themeColor="accent5" w:themeTint="99"/>
              <w:right w:val="nil"/>
            </w:tcBorders>
            <w:vAlign w:val="center"/>
            <w:hideMark/>
          </w:tcPr>
          <w:p w14:paraId="5D2B1434"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eastAsia="en-US"/>
              </w:rPr>
              <w:t>CMR</w:t>
            </w:r>
          </w:p>
        </w:tc>
        <w:tc>
          <w:tcPr>
            <w:tcW w:w="1383" w:type="dxa"/>
            <w:tcBorders>
              <w:top w:val="single" w:sz="2" w:space="0" w:color="8EAADB" w:themeColor="accent5" w:themeTint="99"/>
              <w:left w:val="nil"/>
              <w:bottom w:val="single" w:sz="2" w:space="0" w:color="8EAADB" w:themeColor="accent5" w:themeTint="99"/>
              <w:right w:val="nil"/>
            </w:tcBorders>
            <w:vAlign w:val="center"/>
            <w:hideMark/>
          </w:tcPr>
          <w:p w14:paraId="58B2FBC3" w14:textId="77777777" w:rsidR="00720F68" w:rsidRPr="00B84B0C" w:rsidRDefault="00720F68" w:rsidP="00720F68">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proofErr w:type="spellStart"/>
            <w:r w:rsidRPr="00B84B0C">
              <w:rPr>
                <w:rFonts w:cs="Arial"/>
                <w:b/>
                <w:bCs/>
                <w:szCs w:val="14"/>
              </w:rPr>
              <w:t>Adequacy</w:t>
            </w:r>
            <w:proofErr w:type="spellEnd"/>
          </w:p>
        </w:tc>
      </w:tr>
      <w:tr w:rsidR="00720F68" w:rsidRPr="00B84B0C" w14:paraId="51E89018"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nil"/>
              <w:left w:val="nil"/>
              <w:bottom w:val="nil"/>
              <w:right w:val="nil"/>
            </w:tcBorders>
            <w:hideMark/>
          </w:tcPr>
          <w:p w14:paraId="448166ED" w14:textId="77777777" w:rsidR="00720F68" w:rsidRPr="00B84B0C" w:rsidRDefault="00720F68">
            <w:pPr>
              <w:pStyle w:val="07-Legenda"/>
              <w:jc w:val="left"/>
              <w:rPr>
                <w:rFonts w:cs="Arial"/>
                <w:bCs w:val="0"/>
                <w:lang w:val="en-US" w:eastAsia="en-US"/>
              </w:rPr>
            </w:pPr>
            <w:r w:rsidRPr="00B84B0C">
              <w:rPr>
                <w:rFonts w:cs="Arial"/>
                <w:bCs w:val="0"/>
                <w:lang w:eastAsia="en-US"/>
              </w:rPr>
              <w:t xml:space="preserve">BB e </w:t>
            </w:r>
            <w:proofErr w:type="gramStart"/>
            <w:r w:rsidRPr="00B84B0C">
              <w:rPr>
                <w:rFonts w:cs="Arial"/>
                <w:bCs w:val="0"/>
                <w:lang w:eastAsia="en-US"/>
              </w:rPr>
              <w:t>MAPFRE</w:t>
            </w:r>
            <w:r w:rsidRPr="00B84B0C">
              <w:rPr>
                <w:rFonts w:cs="Arial"/>
                <w:bCs w:val="0"/>
                <w:vertAlign w:val="superscript"/>
                <w:lang w:eastAsia="en-US"/>
              </w:rPr>
              <w:t>(</w:t>
            </w:r>
            <w:proofErr w:type="gramEnd"/>
            <w:r w:rsidRPr="00B84B0C">
              <w:rPr>
                <w:rFonts w:cs="Arial"/>
                <w:bCs w:val="0"/>
                <w:vertAlign w:val="superscript"/>
                <w:lang w:eastAsia="en-US"/>
              </w:rPr>
              <w:t>1)</w:t>
            </w:r>
          </w:p>
        </w:tc>
        <w:tc>
          <w:tcPr>
            <w:tcW w:w="1134" w:type="dxa"/>
            <w:tcBorders>
              <w:top w:val="nil"/>
              <w:left w:val="nil"/>
              <w:bottom w:val="nil"/>
              <w:right w:val="nil"/>
            </w:tcBorders>
            <w:vAlign w:val="center"/>
          </w:tcPr>
          <w:p w14:paraId="335672C2"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p>
        </w:tc>
        <w:tc>
          <w:tcPr>
            <w:tcW w:w="1275" w:type="dxa"/>
            <w:tcBorders>
              <w:top w:val="nil"/>
              <w:left w:val="nil"/>
              <w:bottom w:val="nil"/>
              <w:right w:val="nil"/>
            </w:tcBorders>
            <w:vAlign w:val="center"/>
          </w:tcPr>
          <w:p w14:paraId="167D3C18"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p>
        </w:tc>
        <w:tc>
          <w:tcPr>
            <w:tcW w:w="1134" w:type="dxa"/>
            <w:tcBorders>
              <w:top w:val="nil"/>
              <w:left w:val="nil"/>
              <w:bottom w:val="nil"/>
              <w:right w:val="nil"/>
            </w:tcBorders>
            <w:vAlign w:val="center"/>
          </w:tcPr>
          <w:p w14:paraId="5D77205C"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284" w:type="dxa"/>
            <w:tcBorders>
              <w:top w:val="nil"/>
              <w:left w:val="nil"/>
              <w:bottom w:val="nil"/>
              <w:right w:val="nil"/>
            </w:tcBorders>
            <w:vAlign w:val="center"/>
          </w:tcPr>
          <w:p w14:paraId="3E2159BD"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1134" w:type="dxa"/>
            <w:tcBorders>
              <w:top w:val="nil"/>
              <w:left w:val="nil"/>
              <w:bottom w:val="nil"/>
              <w:right w:val="nil"/>
            </w:tcBorders>
            <w:vAlign w:val="center"/>
          </w:tcPr>
          <w:p w14:paraId="207C8C37"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1276" w:type="dxa"/>
            <w:tcBorders>
              <w:top w:val="nil"/>
              <w:left w:val="nil"/>
              <w:bottom w:val="nil"/>
              <w:right w:val="nil"/>
            </w:tcBorders>
            <w:vAlign w:val="center"/>
          </w:tcPr>
          <w:p w14:paraId="651BEAAD"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c>
          <w:tcPr>
            <w:tcW w:w="1383" w:type="dxa"/>
            <w:tcBorders>
              <w:top w:val="nil"/>
              <w:left w:val="nil"/>
              <w:bottom w:val="nil"/>
              <w:right w:val="nil"/>
            </w:tcBorders>
            <w:vAlign w:val="center"/>
          </w:tcPr>
          <w:p w14:paraId="7B06E0BC"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p>
        </w:tc>
      </w:tr>
      <w:tr w:rsidR="00720F68" w:rsidRPr="00B84B0C" w14:paraId="7B2D0BA9"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nil"/>
              <w:left w:val="nil"/>
              <w:bottom w:val="nil"/>
              <w:right w:val="nil"/>
            </w:tcBorders>
            <w:hideMark/>
          </w:tcPr>
          <w:p w14:paraId="61ECD60A" w14:textId="77777777" w:rsidR="00720F68" w:rsidRPr="00B84B0C" w:rsidRDefault="00720F68">
            <w:pPr>
              <w:pStyle w:val="07-Legenda"/>
              <w:jc w:val="left"/>
              <w:rPr>
                <w:rFonts w:cs="Arial"/>
                <w:bCs w:val="0"/>
                <w:lang w:val="en-US" w:eastAsia="en-US"/>
              </w:rPr>
            </w:pPr>
            <w:r w:rsidRPr="00B84B0C">
              <w:rPr>
                <w:rFonts w:cs="Arial"/>
                <w:b w:val="0"/>
                <w:iCs/>
                <w:lang w:val="en-US" w:eastAsia="en-US"/>
              </w:rPr>
              <w:t xml:space="preserve">     </w:t>
            </w:r>
            <w:proofErr w:type="spellStart"/>
            <w:r w:rsidRPr="00B84B0C">
              <w:rPr>
                <w:rFonts w:cs="Arial"/>
                <w:b w:val="0"/>
                <w:iCs/>
                <w:lang w:val="en-US" w:eastAsia="en-US"/>
              </w:rPr>
              <w:t>Brasilseg</w:t>
            </w:r>
            <w:proofErr w:type="spellEnd"/>
          </w:p>
        </w:tc>
        <w:tc>
          <w:tcPr>
            <w:tcW w:w="1134" w:type="dxa"/>
            <w:tcBorders>
              <w:top w:val="nil"/>
              <w:left w:val="nil"/>
              <w:bottom w:val="nil"/>
              <w:right w:val="nil"/>
            </w:tcBorders>
            <w:hideMark/>
          </w:tcPr>
          <w:p w14:paraId="55DC17FF"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sidRPr="00B84B0C">
              <w:rPr>
                <w:rFonts w:cs="Arial"/>
                <w:color w:val="000000"/>
                <w:szCs w:val="14"/>
                <w:lang w:eastAsia="en-US"/>
              </w:rPr>
              <w:t>1,673,000</w:t>
            </w:r>
          </w:p>
        </w:tc>
        <w:tc>
          <w:tcPr>
            <w:tcW w:w="1275" w:type="dxa"/>
            <w:tcBorders>
              <w:top w:val="nil"/>
              <w:left w:val="nil"/>
              <w:bottom w:val="nil"/>
              <w:right w:val="nil"/>
            </w:tcBorders>
            <w:hideMark/>
          </w:tcPr>
          <w:p w14:paraId="77916DB8"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sidRPr="00B84B0C">
              <w:rPr>
                <w:rFonts w:cs="Arial"/>
                <w:color w:val="000000"/>
                <w:szCs w:val="14"/>
                <w:lang w:eastAsia="en-US"/>
              </w:rPr>
              <w:t>785,000</w:t>
            </w:r>
          </w:p>
        </w:tc>
        <w:tc>
          <w:tcPr>
            <w:tcW w:w="1134" w:type="dxa"/>
            <w:tcBorders>
              <w:top w:val="nil"/>
              <w:left w:val="nil"/>
              <w:bottom w:val="nil"/>
              <w:right w:val="nil"/>
            </w:tcBorders>
            <w:hideMark/>
          </w:tcPr>
          <w:p w14:paraId="212B351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r w:rsidRPr="00B84B0C">
              <w:rPr>
                <w:rFonts w:cs="Arial"/>
                <w:szCs w:val="14"/>
                <w:lang w:val="en-US" w:eastAsia="en-US"/>
              </w:rPr>
              <w:t>888,000</w:t>
            </w:r>
          </w:p>
        </w:tc>
        <w:tc>
          <w:tcPr>
            <w:tcW w:w="284" w:type="dxa"/>
            <w:tcBorders>
              <w:top w:val="nil"/>
              <w:left w:val="nil"/>
              <w:bottom w:val="nil"/>
              <w:right w:val="nil"/>
            </w:tcBorders>
            <w:vAlign w:val="center"/>
          </w:tcPr>
          <w:p w14:paraId="11A16A63"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p>
        </w:tc>
        <w:tc>
          <w:tcPr>
            <w:tcW w:w="1134" w:type="dxa"/>
            <w:tcBorders>
              <w:top w:val="nil"/>
              <w:left w:val="nil"/>
              <w:bottom w:val="nil"/>
              <w:right w:val="nil"/>
            </w:tcBorders>
            <w:hideMark/>
          </w:tcPr>
          <w:p w14:paraId="787B0B10"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1,262,028 </w:t>
            </w:r>
          </w:p>
        </w:tc>
        <w:tc>
          <w:tcPr>
            <w:tcW w:w="1276" w:type="dxa"/>
            <w:tcBorders>
              <w:top w:val="nil"/>
              <w:left w:val="nil"/>
              <w:bottom w:val="nil"/>
              <w:right w:val="nil"/>
            </w:tcBorders>
            <w:hideMark/>
          </w:tcPr>
          <w:p w14:paraId="2364605F"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1,130,405 </w:t>
            </w:r>
          </w:p>
        </w:tc>
        <w:tc>
          <w:tcPr>
            <w:tcW w:w="1383" w:type="dxa"/>
            <w:tcBorders>
              <w:top w:val="nil"/>
              <w:left w:val="nil"/>
              <w:bottom w:val="nil"/>
              <w:right w:val="nil"/>
            </w:tcBorders>
            <w:hideMark/>
          </w:tcPr>
          <w:p w14:paraId="5CD1E437"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131,623 </w:t>
            </w:r>
          </w:p>
        </w:tc>
      </w:tr>
      <w:tr w:rsidR="00720F68" w:rsidRPr="00B84B0C" w14:paraId="13940CEF"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nil"/>
              <w:left w:val="nil"/>
              <w:bottom w:val="nil"/>
              <w:right w:val="nil"/>
            </w:tcBorders>
            <w:hideMark/>
          </w:tcPr>
          <w:p w14:paraId="0A255200" w14:textId="77777777" w:rsidR="00720F68" w:rsidRPr="00B84B0C" w:rsidRDefault="00720F68">
            <w:pPr>
              <w:pStyle w:val="07-Legenda"/>
              <w:jc w:val="left"/>
              <w:rPr>
                <w:rFonts w:cs="Arial"/>
                <w:bCs w:val="0"/>
                <w:lang w:val="en-US" w:eastAsia="en-US"/>
              </w:rPr>
            </w:pPr>
            <w:r w:rsidRPr="00B84B0C">
              <w:rPr>
                <w:rFonts w:cs="Arial"/>
                <w:b w:val="0"/>
                <w:iCs/>
                <w:lang w:val="en-US" w:eastAsia="en-US"/>
              </w:rPr>
              <w:t xml:space="preserve">     </w:t>
            </w:r>
            <w:r w:rsidRPr="00B84B0C">
              <w:rPr>
                <w:rFonts w:cs="Arial"/>
                <w:b w:val="0"/>
                <w:iCs/>
                <w:szCs w:val="14"/>
                <w:lang w:eastAsia="en-US"/>
              </w:rPr>
              <w:t>ABS</w:t>
            </w:r>
          </w:p>
        </w:tc>
        <w:tc>
          <w:tcPr>
            <w:tcW w:w="1134" w:type="dxa"/>
            <w:tcBorders>
              <w:top w:val="nil"/>
              <w:left w:val="nil"/>
              <w:bottom w:val="nil"/>
              <w:right w:val="nil"/>
            </w:tcBorders>
            <w:hideMark/>
          </w:tcPr>
          <w:p w14:paraId="54C78A5D"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color w:val="000000"/>
                <w:szCs w:val="14"/>
                <w:lang w:eastAsia="en-US"/>
              </w:rPr>
              <w:t>153,000</w:t>
            </w:r>
          </w:p>
        </w:tc>
        <w:tc>
          <w:tcPr>
            <w:tcW w:w="1275" w:type="dxa"/>
            <w:tcBorders>
              <w:top w:val="nil"/>
              <w:left w:val="nil"/>
              <w:bottom w:val="nil"/>
              <w:right w:val="nil"/>
            </w:tcBorders>
            <w:hideMark/>
          </w:tcPr>
          <w:p w14:paraId="0613ECC1"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color w:val="000000"/>
                <w:szCs w:val="14"/>
                <w:lang w:eastAsia="en-US"/>
              </w:rPr>
              <w:t>63,000</w:t>
            </w:r>
          </w:p>
        </w:tc>
        <w:tc>
          <w:tcPr>
            <w:tcW w:w="1134" w:type="dxa"/>
            <w:tcBorders>
              <w:top w:val="nil"/>
              <w:left w:val="nil"/>
              <w:bottom w:val="nil"/>
              <w:right w:val="nil"/>
            </w:tcBorders>
            <w:hideMark/>
          </w:tcPr>
          <w:p w14:paraId="456E48DB"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eastAsia="en-US"/>
              </w:rPr>
            </w:pPr>
            <w:r w:rsidRPr="00B84B0C">
              <w:rPr>
                <w:rFonts w:cs="Arial"/>
                <w:szCs w:val="14"/>
                <w:lang w:val="en-US" w:eastAsia="en-US"/>
              </w:rPr>
              <w:t>90,000</w:t>
            </w:r>
          </w:p>
        </w:tc>
        <w:tc>
          <w:tcPr>
            <w:tcW w:w="284" w:type="dxa"/>
            <w:tcBorders>
              <w:top w:val="nil"/>
              <w:left w:val="nil"/>
              <w:bottom w:val="nil"/>
              <w:right w:val="nil"/>
            </w:tcBorders>
            <w:vAlign w:val="center"/>
          </w:tcPr>
          <w:p w14:paraId="32EDE1DC"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eastAsia="en-US"/>
              </w:rPr>
            </w:pPr>
          </w:p>
        </w:tc>
        <w:tc>
          <w:tcPr>
            <w:tcW w:w="1134" w:type="dxa"/>
            <w:tcBorders>
              <w:top w:val="nil"/>
              <w:left w:val="nil"/>
              <w:bottom w:val="nil"/>
              <w:right w:val="nil"/>
            </w:tcBorders>
            <w:hideMark/>
          </w:tcPr>
          <w:p w14:paraId="6AFE88C4"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171,667 </w:t>
            </w:r>
          </w:p>
        </w:tc>
        <w:tc>
          <w:tcPr>
            <w:tcW w:w="1276" w:type="dxa"/>
            <w:tcBorders>
              <w:top w:val="nil"/>
              <w:left w:val="nil"/>
              <w:bottom w:val="nil"/>
              <w:right w:val="nil"/>
            </w:tcBorders>
            <w:hideMark/>
          </w:tcPr>
          <w:p w14:paraId="41D1AADC"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90,642 </w:t>
            </w:r>
          </w:p>
        </w:tc>
        <w:tc>
          <w:tcPr>
            <w:tcW w:w="1383" w:type="dxa"/>
            <w:tcBorders>
              <w:top w:val="nil"/>
              <w:left w:val="nil"/>
              <w:bottom w:val="nil"/>
              <w:right w:val="nil"/>
            </w:tcBorders>
            <w:hideMark/>
          </w:tcPr>
          <w:p w14:paraId="239483E1"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81,025 </w:t>
            </w:r>
          </w:p>
        </w:tc>
      </w:tr>
      <w:tr w:rsidR="00720F68" w:rsidRPr="00B84B0C" w14:paraId="271849AB"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nil"/>
              <w:left w:val="nil"/>
              <w:bottom w:val="nil"/>
              <w:right w:val="nil"/>
            </w:tcBorders>
          </w:tcPr>
          <w:p w14:paraId="31C0D729" w14:textId="77777777" w:rsidR="00720F68" w:rsidRPr="00B84B0C" w:rsidRDefault="00720F68">
            <w:pPr>
              <w:pStyle w:val="07-Legenda"/>
              <w:jc w:val="left"/>
              <w:rPr>
                <w:rFonts w:cs="Arial"/>
                <w:bCs w:val="0"/>
                <w:lang w:val="en-US" w:eastAsia="en-US"/>
              </w:rPr>
            </w:pPr>
          </w:p>
        </w:tc>
        <w:tc>
          <w:tcPr>
            <w:tcW w:w="1134" w:type="dxa"/>
            <w:tcBorders>
              <w:top w:val="nil"/>
              <w:left w:val="nil"/>
              <w:bottom w:val="nil"/>
              <w:right w:val="nil"/>
            </w:tcBorders>
            <w:vAlign w:val="center"/>
          </w:tcPr>
          <w:p w14:paraId="4E0B0B6C"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1275" w:type="dxa"/>
            <w:tcBorders>
              <w:top w:val="nil"/>
              <w:left w:val="nil"/>
              <w:bottom w:val="nil"/>
              <w:right w:val="nil"/>
            </w:tcBorders>
            <w:vAlign w:val="center"/>
          </w:tcPr>
          <w:p w14:paraId="18C20BAC"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p>
        </w:tc>
        <w:tc>
          <w:tcPr>
            <w:tcW w:w="1134" w:type="dxa"/>
            <w:tcBorders>
              <w:top w:val="nil"/>
              <w:left w:val="nil"/>
              <w:bottom w:val="nil"/>
              <w:right w:val="nil"/>
            </w:tcBorders>
            <w:vAlign w:val="center"/>
          </w:tcPr>
          <w:p w14:paraId="67468C5D"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p>
        </w:tc>
        <w:tc>
          <w:tcPr>
            <w:tcW w:w="284" w:type="dxa"/>
            <w:tcBorders>
              <w:top w:val="nil"/>
              <w:left w:val="nil"/>
              <w:bottom w:val="nil"/>
              <w:right w:val="nil"/>
            </w:tcBorders>
            <w:vAlign w:val="center"/>
          </w:tcPr>
          <w:p w14:paraId="1883C58C"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p>
        </w:tc>
        <w:tc>
          <w:tcPr>
            <w:tcW w:w="1134" w:type="dxa"/>
            <w:tcBorders>
              <w:top w:val="nil"/>
              <w:left w:val="nil"/>
              <w:bottom w:val="nil"/>
              <w:right w:val="nil"/>
            </w:tcBorders>
            <w:vAlign w:val="center"/>
          </w:tcPr>
          <w:p w14:paraId="123E45B5"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276" w:type="dxa"/>
            <w:tcBorders>
              <w:top w:val="nil"/>
              <w:left w:val="nil"/>
              <w:bottom w:val="nil"/>
              <w:right w:val="nil"/>
            </w:tcBorders>
            <w:vAlign w:val="center"/>
          </w:tcPr>
          <w:p w14:paraId="7A04ECEB"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c>
          <w:tcPr>
            <w:tcW w:w="1383" w:type="dxa"/>
            <w:tcBorders>
              <w:top w:val="nil"/>
              <w:left w:val="nil"/>
              <w:bottom w:val="nil"/>
              <w:right w:val="nil"/>
            </w:tcBorders>
            <w:vAlign w:val="center"/>
          </w:tcPr>
          <w:p w14:paraId="2A01EE1B"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p>
        </w:tc>
      </w:tr>
      <w:tr w:rsidR="00720F68" w:rsidRPr="00B84B0C" w14:paraId="4A0B0B56" w14:textId="77777777" w:rsidTr="00711D9A">
        <w:trPr>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nil"/>
              <w:left w:val="nil"/>
              <w:bottom w:val="nil"/>
              <w:right w:val="nil"/>
            </w:tcBorders>
            <w:vAlign w:val="center"/>
            <w:hideMark/>
          </w:tcPr>
          <w:p w14:paraId="69CEE003" w14:textId="77777777" w:rsidR="00720F68" w:rsidRPr="00B84B0C" w:rsidRDefault="00720F68">
            <w:pPr>
              <w:pStyle w:val="07-Legenda"/>
              <w:jc w:val="left"/>
              <w:rPr>
                <w:rFonts w:cs="Arial"/>
                <w:bCs w:val="0"/>
                <w:lang w:val="en-US" w:eastAsia="en-US"/>
              </w:rPr>
            </w:pPr>
            <w:proofErr w:type="spellStart"/>
            <w:r w:rsidRPr="00B84B0C">
              <w:rPr>
                <w:rFonts w:cs="Arial"/>
                <w:bCs w:val="0"/>
                <w:szCs w:val="14"/>
                <w:lang w:eastAsia="en-US"/>
              </w:rPr>
              <w:t>Brasilcap</w:t>
            </w:r>
            <w:proofErr w:type="spellEnd"/>
          </w:p>
        </w:tc>
        <w:tc>
          <w:tcPr>
            <w:tcW w:w="1134" w:type="dxa"/>
            <w:tcBorders>
              <w:top w:val="nil"/>
              <w:left w:val="nil"/>
              <w:bottom w:val="nil"/>
              <w:right w:val="nil"/>
            </w:tcBorders>
            <w:hideMark/>
          </w:tcPr>
          <w:p w14:paraId="4074CA73"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color w:val="000000"/>
                <w:szCs w:val="14"/>
                <w:lang w:eastAsia="en-US"/>
              </w:rPr>
              <w:t>391,000</w:t>
            </w:r>
          </w:p>
        </w:tc>
        <w:tc>
          <w:tcPr>
            <w:tcW w:w="1275" w:type="dxa"/>
            <w:tcBorders>
              <w:top w:val="nil"/>
              <w:left w:val="nil"/>
              <w:bottom w:val="nil"/>
              <w:right w:val="nil"/>
            </w:tcBorders>
            <w:hideMark/>
          </w:tcPr>
          <w:p w14:paraId="5B87852D"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sidRPr="00B84B0C">
              <w:rPr>
                <w:rFonts w:cs="Arial"/>
                <w:color w:val="000000"/>
                <w:szCs w:val="14"/>
                <w:lang w:eastAsia="en-US"/>
              </w:rPr>
              <w:t>276,000</w:t>
            </w:r>
          </w:p>
        </w:tc>
        <w:tc>
          <w:tcPr>
            <w:tcW w:w="1134" w:type="dxa"/>
            <w:tcBorders>
              <w:top w:val="nil"/>
              <w:left w:val="nil"/>
              <w:bottom w:val="nil"/>
              <w:right w:val="nil"/>
            </w:tcBorders>
            <w:hideMark/>
          </w:tcPr>
          <w:p w14:paraId="790D02A9"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eastAsia="en-US"/>
              </w:rPr>
            </w:pPr>
            <w:r w:rsidRPr="00B84B0C">
              <w:rPr>
                <w:rFonts w:cs="Arial"/>
                <w:szCs w:val="14"/>
                <w:lang w:val="en-US" w:eastAsia="en-US"/>
              </w:rPr>
              <w:t>115,000</w:t>
            </w:r>
          </w:p>
        </w:tc>
        <w:tc>
          <w:tcPr>
            <w:tcW w:w="284" w:type="dxa"/>
            <w:tcBorders>
              <w:top w:val="nil"/>
              <w:left w:val="nil"/>
              <w:bottom w:val="nil"/>
              <w:right w:val="nil"/>
            </w:tcBorders>
            <w:vAlign w:val="center"/>
          </w:tcPr>
          <w:p w14:paraId="032BFC25"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lang w:val="en-US" w:eastAsia="en-US"/>
              </w:rPr>
            </w:pPr>
          </w:p>
        </w:tc>
        <w:tc>
          <w:tcPr>
            <w:tcW w:w="1134" w:type="dxa"/>
            <w:tcBorders>
              <w:top w:val="nil"/>
              <w:left w:val="nil"/>
              <w:bottom w:val="nil"/>
              <w:right w:val="nil"/>
            </w:tcBorders>
            <w:hideMark/>
          </w:tcPr>
          <w:p w14:paraId="4974B689"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545,733 </w:t>
            </w:r>
          </w:p>
        </w:tc>
        <w:tc>
          <w:tcPr>
            <w:tcW w:w="1276" w:type="dxa"/>
            <w:tcBorders>
              <w:top w:val="nil"/>
              <w:left w:val="nil"/>
              <w:bottom w:val="nil"/>
              <w:right w:val="nil"/>
            </w:tcBorders>
            <w:hideMark/>
          </w:tcPr>
          <w:p w14:paraId="1D8B8E39"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298,239 </w:t>
            </w:r>
          </w:p>
        </w:tc>
        <w:tc>
          <w:tcPr>
            <w:tcW w:w="1383" w:type="dxa"/>
            <w:tcBorders>
              <w:top w:val="nil"/>
              <w:left w:val="nil"/>
              <w:bottom w:val="nil"/>
              <w:right w:val="nil"/>
            </w:tcBorders>
            <w:hideMark/>
          </w:tcPr>
          <w:p w14:paraId="0DDBF322" w14:textId="77777777" w:rsidR="00720F68" w:rsidRPr="00B84B0C" w:rsidRDefault="00720F68">
            <w:pPr>
              <w:pStyle w:val="07-Legenda"/>
              <w:jc w:val="right"/>
              <w:cnfStyle w:val="000000000000" w:firstRow="0" w:lastRow="0" w:firstColumn="0" w:lastColumn="0" w:oddVBand="0" w:evenVBand="0" w:oddHBand="0" w:evenHBand="0" w:firstRowFirstColumn="0" w:firstRowLastColumn="0" w:lastRowFirstColumn="0" w:lastRowLastColumn="0"/>
              <w:rPr>
                <w:rFonts w:cs="Arial"/>
                <w:b/>
                <w:szCs w:val="14"/>
                <w:lang w:val="en-US" w:eastAsia="en-US"/>
              </w:rPr>
            </w:pPr>
            <w:r w:rsidRPr="00B84B0C">
              <w:rPr>
                <w:rFonts w:cs="Arial"/>
                <w:lang w:eastAsia="en-US"/>
              </w:rPr>
              <w:t xml:space="preserve"> 247,494 </w:t>
            </w:r>
          </w:p>
        </w:tc>
      </w:tr>
      <w:tr w:rsidR="00720F68" w:rsidRPr="00B84B0C" w14:paraId="08F486A7"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019" w:type="dxa"/>
            <w:tcBorders>
              <w:top w:val="nil"/>
              <w:left w:val="nil"/>
              <w:bottom w:val="single" w:sz="2" w:space="0" w:color="8EAADB" w:themeColor="accent5" w:themeTint="99"/>
              <w:right w:val="nil"/>
            </w:tcBorders>
            <w:hideMark/>
          </w:tcPr>
          <w:p w14:paraId="24BEAD9F" w14:textId="77777777" w:rsidR="00720F68" w:rsidRPr="00B84B0C" w:rsidRDefault="00720F68">
            <w:pPr>
              <w:pStyle w:val="07-Legenda"/>
              <w:jc w:val="left"/>
              <w:rPr>
                <w:rFonts w:cs="Arial"/>
                <w:bCs w:val="0"/>
                <w:lang w:val="en-US" w:eastAsia="en-US"/>
              </w:rPr>
            </w:pPr>
            <w:proofErr w:type="spellStart"/>
            <w:r w:rsidRPr="00B84B0C">
              <w:rPr>
                <w:rFonts w:cs="Arial"/>
                <w:bCs w:val="0"/>
                <w:lang w:val="en-US" w:eastAsia="en-US"/>
              </w:rPr>
              <w:t>Brasilprev</w:t>
            </w:r>
            <w:proofErr w:type="spellEnd"/>
          </w:p>
        </w:tc>
        <w:tc>
          <w:tcPr>
            <w:tcW w:w="1134" w:type="dxa"/>
            <w:tcBorders>
              <w:top w:val="nil"/>
              <w:left w:val="nil"/>
              <w:bottom w:val="single" w:sz="2" w:space="0" w:color="8EAADB" w:themeColor="accent5" w:themeTint="99"/>
              <w:right w:val="nil"/>
            </w:tcBorders>
            <w:hideMark/>
          </w:tcPr>
          <w:p w14:paraId="42177C43"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sidRPr="00B84B0C">
              <w:rPr>
                <w:rFonts w:cs="Arial"/>
                <w:color w:val="000000"/>
                <w:szCs w:val="14"/>
                <w:lang w:eastAsia="en-US"/>
              </w:rPr>
              <w:t>3,185,000</w:t>
            </w:r>
          </w:p>
        </w:tc>
        <w:tc>
          <w:tcPr>
            <w:tcW w:w="1275" w:type="dxa"/>
            <w:tcBorders>
              <w:top w:val="nil"/>
              <w:left w:val="nil"/>
              <w:bottom w:val="single" w:sz="2" w:space="0" w:color="8EAADB" w:themeColor="accent5" w:themeTint="99"/>
              <w:right w:val="nil"/>
            </w:tcBorders>
            <w:hideMark/>
          </w:tcPr>
          <w:p w14:paraId="1A06E577"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sidRPr="00B84B0C">
              <w:rPr>
                <w:rFonts w:cs="Arial"/>
                <w:color w:val="000000"/>
                <w:szCs w:val="14"/>
                <w:lang w:eastAsia="en-US"/>
              </w:rPr>
              <w:t>2,294,000</w:t>
            </w:r>
          </w:p>
        </w:tc>
        <w:tc>
          <w:tcPr>
            <w:tcW w:w="1134" w:type="dxa"/>
            <w:tcBorders>
              <w:top w:val="nil"/>
              <w:left w:val="nil"/>
              <w:bottom w:val="single" w:sz="2" w:space="0" w:color="8EAADB" w:themeColor="accent5" w:themeTint="99"/>
              <w:right w:val="nil"/>
            </w:tcBorders>
            <w:hideMark/>
          </w:tcPr>
          <w:p w14:paraId="159DD8E1"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r w:rsidRPr="00B84B0C">
              <w:rPr>
                <w:rFonts w:cs="Arial"/>
                <w:szCs w:val="14"/>
                <w:lang w:val="en-US" w:eastAsia="en-US"/>
              </w:rPr>
              <w:t>891,000</w:t>
            </w:r>
          </w:p>
        </w:tc>
        <w:tc>
          <w:tcPr>
            <w:tcW w:w="284" w:type="dxa"/>
            <w:tcBorders>
              <w:top w:val="nil"/>
              <w:left w:val="nil"/>
              <w:bottom w:val="single" w:sz="2" w:space="0" w:color="8EAADB" w:themeColor="accent5" w:themeTint="99"/>
              <w:right w:val="nil"/>
            </w:tcBorders>
            <w:vAlign w:val="center"/>
          </w:tcPr>
          <w:p w14:paraId="6395F0A0"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lang w:val="en-US" w:eastAsia="en-US"/>
              </w:rPr>
            </w:pPr>
          </w:p>
        </w:tc>
        <w:tc>
          <w:tcPr>
            <w:tcW w:w="1134" w:type="dxa"/>
            <w:tcBorders>
              <w:top w:val="nil"/>
              <w:left w:val="nil"/>
              <w:bottom w:val="single" w:sz="2" w:space="0" w:color="8EAADB" w:themeColor="accent5" w:themeTint="99"/>
              <w:right w:val="nil"/>
            </w:tcBorders>
            <w:hideMark/>
          </w:tcPr>
          <w:p w14:paraId="0A3D0F82"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3,907,660 </w:t>
            </w:r>
          </w:p>
        </w:tc>
        <w:tc>
          <w:tcPr>
            <w:tcW w:w="1276" w:type="dxa"/>
            <w:tcBorders>
              <w:top w:val="nil"/>
              <w:left w:val="nil"/>
              <w:bottom w:val="single" w:sz="2" w:space="0" w:color="8EAADB" w:themeColor="accent5" w:themeTint="99"/>
              <w:right w:val="nil"/>
            </w:tcBorders>
            <w:hideMark/>
          </w:tcPr>
          <w:p w14:paraId="6388987C"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2,357,496 </w:t>
            </w:r>
          </w:p>
        </w:tc>
        <w:tc>
          <w:tcPr>
            <w:tcW w:w="1383" w:type="dxa"/>
            <w:tcBorders>
              <w:top w:val="nil"/>
              <w:left w:val="nil"/>
              <w:bottom w:val="single" w:sz="2" w:space="0" w:color="8EAADB" w:themeColor="accent5" w:themeTint="99"/>
              <w:right w:val="nil"/>
            </w:tcBorders>
            <w:hideMark/>
          </w:tcPr>
          <w:p w14:paraId="0A4EB7F9" w14:textId="77777777" w:rsidR="00720F68" w:rsidRPr="00B84B0C" w:rsidRDefault="00720F68">
            <w:pPr>
              <w:pStyle w:val="07-Legenda"/>
              <w:jc w:val="right"/>
              <w:cnfStyle w:val="000000100000" w:firstRow="0" w:lastRow="0" w:firstColumn="0" w:lastColumn="0" w:oddVBand="0" w:evenVBand="0" w:oddHBand="1" w:evenHBand="0" w:firstRowFirstColumn="0" w:firstRowLastColumn="0" w:lastRowFirstColumn="0" w:lastRowLastColumn="0"/>
              <w:rPr>
                <w:rFonts w:cs="Arial"/>
                <w:b/>
                <w:szCs w:val="14"/>
                <w:lang w:val="en-US" w:eastAsia="en-US"/>
              </w:rPr>
            </w:pPr>
            <w:r w:rsidRPr="00B84B0C">
              <w:rPr>
                <w:rFonts w:cs="Arial"/>
                <w:lang w:eastAsia="en-US"/>
              </w:rPr>
              <w:t xml:space="preserve"> 1,550,164 </w:t>
            </w:r>
          </w:p>
        </w:tc>
      </w:tr>
    </w:tbl>
    <w:p w14:paraId="27DE7B2D" w14:textId="77777777" w:rsidR="00720F68" w:rsidRPr="00B84B0C" w:rsidRDefault="00720F68" w:rsidP="00720F68">
      <w:pPr>
        <w:pStyle w:val="PargrafodaLista"/>
        <w:numPr>
          <w:ilvl w:val="0"/>
          <w:numId w:val="39"/>
        </w:numPr>
        <w:jc w:val="both"/>
        <w:rPr>
          <w:rFonts w:ascii="Arial" w:eastAsia="Times New Roman" w:hAnsi="Arial" w:cs="Arial"/>
          <w:spacing w:val="-2"/>
          <w:sz w:val="14"/>
          <w:szCs w:val="14"/>
          <w:lang w:val="en-US" w:eastAsia="pt-BR"/>
        </w:rPr>
      </w:pPr>
      <w:r w:rsidRPr="00B84B0C">
        <w:rPr>
          <w:rFonts w:ascii="Arial" w:eastAsia="Times New Roman" w:hAnsi="Arial" w:cs="Arial"/>
          <w:spacing w:val="-2"/>
          <w:sz w:val="14"/>
          <w:szCs w:val="14"/>
          <w:lang w:val="en-US" w:eastAsia="pt-BR"/>
        </w:rPr>
        <w:t>For the projections, the invested Company did not account the reduction of Net Equity promoted by dividends distributions.</w:t>
      </w:r>
    </w:p>
    <w:p w14:paraId="1D284444" w14:textId="75CEB0C5" w:rsidR="00720F68" w:rsidRPr="00B84B0C" w:rsidRDefault="00720F68" w:rsidP="00720F68">
      <w:pPr>
        <w:pStyle w:val="05-Textonormal"/>
        <w:rPr>
          <w:rStyle w:val="hps"/>
          <w:rFonts w:cs="Arial"/>
          <w:lang w:val="en-US"/>
        </w:rPr>
      </w:pPr>
      <w:r w:rsidRPr="00B84B0C">
        <w:rPr>
          <w:rStyle w:val="hps"/>
          <w:rFonts w:cs="Arial"/>
          <w:lang w:val="en-US"/>
        </w:rPr>
        <w:t xml:space="preserve">As for the company's results, projections were made in optimistic, </w:t>
      </w:r>
      <w:proofErr w:type="gramStart"/>
      <w:r w:rsidRPr="00B84B0C">
        <w:rPr>
          <w:rStyle w:val="hps"/>
          <w:rFonts w:cs="Arial"/>
          <w:lang w:val="en-US"/>
        </w:rPr>
        <w:t>base</w:t>
      </w:r>
      <w:proofErr w:type="gramEnd"/>
      <w:r w:rsidRPr="00B84B0C">
        <w:rPr>
          <w:rStyle w:val="hps"/>
          <w:rFonts w:cs="Arial"/>
          <w:lang w:val="en-US"/>
        </w:rPr>
        <w:t xml:space="preserve"> and pessimistic scenarios. The hybrid model was used to build scenarios for BB </w:t>
      </w:r>
      <w:proofErr w:type="spellStart"/>
      <w:r w:rsidRPr="00B84B0C">
        <w:rPr>
          <w:rStyle w:val="hps"/>
          <w:rFonts w:cs="Arial"/>
          <w:lang w:val="en-US"/>
        </w:rPr>
        <w:t>Seguridade's</w:t>
      </w:r>
      <w:proofErr w:type="spellEnd"/>
      <w:r w:rsidRPr="00B84B0C">
        <w:rPr>
          <w:rStyle w:val="hps"/>
          <w:rFonts w:cs="Arial"/>
          <w:lang w:val="en-US"/>
        </w:rPr>
        <w:t xml:space="preserve"> budget due to the current difficulties in designing scenarios, enhanced by the unprecedented nature of the crisis and the suspension of market projections disclosure.</w:t>
      </w:r>
    </w:p>
    <w:p w14:paraId="156077B8" w14:textId="77777777" w:rsidR="000426AD" w:rsidRPr="00B84B0C" w:rsidRDefault="000426AD" w:rsidP="00720F68">
      <w:pPr>
        <w:pStyle w:val="05-Textonormal"/>
        <w:rPr>
          <w:rStyle w:val="hps"/>
          <w:rFonts w:cs="Arial"/>
          <w:lang w:val="en-US"/>
        </w:rPr>
      </w:pPr>
    </w:p>
    <w:p w14:paraId="68BFABF5" w14:textId="46564BF9" w:rsidR="00711D9A" w:rsidRPr="00B84B0C" w:rsidRDefault="00711D9A" w:rsidP="00711D9A">
      <w:pPr>
        <w:pStyle w:val="02-TtulodeNota"/>
        <w:rPr>
          <w:rFonts w:cs="Arial"/>
          <w:color w:val="1F4E79" w:themeColor="accent1" w:themeShade="80"/>
          <w:lang w:val="en-US"/>
        </w:rPr>
      </w:pPr>
      <w:bookmarkStart w:id="18" w:name="_Toc39131490"/>
      <w:r w:rsidRPr="00B84B0C">
        <w:rPr>
          <w:rFonts w:cs="Arial"/>
          <w:color w:val="1F4E79" w:themeColor="accent1" w:themeShade="80"/>
          <w:lang w:val="en-US"/>
        </w:rPr>
        <w:t>6 – SEGMENT INFORMATION</w:t>
      </w:r>
      <w:bookmarkEnd w:id="18"/>
    </w:p>
    <w:p w14:paraId="1C34D443" w14:textId="77777777" w:rsidR="00711D9A" w:rsidRPr="00B84B0C" w:rsidRDefault="00711D9A" w:rsidP="00711D9A">
      <w:pPr>
        <w:pStyle w:val="01-TtulodeNota"/>
        <w:rPr>
          <w:rFonts w:cs="Arial"/>
          <w:b w:val="0"/>
          <w:sz w:val="18"/>
          <w:szCs w:val="18"/>
          <w:lang w:val="en-US"/>
        </w:rPr>
      </w:pPr>
      <w:r w:rsidRPr="00B84B0C">
        <w:rPr>
          <w:rFonts w:cs="Arial"/>
          <w:b w:val="0"/>
          <w:sz w:val="18"/>
          <w:szCs w:val="18"/>
          <w:lang w:val="en-US"/>
        </w:rPr>
        <w:t>The information by segment has been prepared considering the criteria used by Management to evaluate the performance, in decisions made regarding the allocation of funds for investment and other purposes, considering the regulatory environment and the similarities between goods and services.</w:t>
      </w:r>
    </w:p>
    <w:p w14:paraId="31BFC44A" w14:textId="77777777" w:rsidR="00711D9A" w:rsidRPr="00B84B0C" w:rsidRDefault="00711D9A" w:rsidP="00711D9A">
      <w:pPr>
        <w:pStyle w:val="01-TtulodeNota"/>
        <w:rPr>
          <w:rFonts w:cs="Arial"/>
          <w:b w:val="0"/>
          <w:sz w:val="18"/>
          <w:szCs w:val="18"/>
          <w:lang w:val="en-US"/>
        </w:rPr>
      </w:pPr>
      <w:r w:rsidRPr="00B84B0C">
        <w:rPr>
          <w:rFonts w:cs="Arial"/>
          <w:b w:val="0"/>
          <w:sz w:val="18"/>
          <w:szCs w:val="18"/>
          <w:lang w:val="en-US"/>
        </w:rPr>
        <w:t xml:space="preserve">BB </w:t>
      </w:r>
      <w:proofErr w:type="spellStart"/>
      <w:r w:rsidRPr="00B84B0C">
        <w:rPr>
          <w:rFonts w:cs="Arial"/>
          <w:b w:val="0"/>
          <w:sz w:val="18"/>
          <w:szCs w:val="18"/>
          <w:lang w:val="en-US"/>
        </w:rPr>
        <w:t>Seguridade</w:t>
      </w:r>
      <w:proofErr w:type="spellEnd"/>
      <w:r w:rsidRPr="00B84B0C">
        <w:rPr>
          <w:rFonts w:cs="Arial"/>
          <w:b w:val="0"/>
          <w:sz w:val="18"/>
          <w:szCs w:val="18"/>
          <w:lang w:val="en-US"/>
        </w:rPr>
        <w:t xml:space="preserve"> Group's operations are basically divided into two segments: </w:t>
      </w:r>
      <w:proofErr w:type="spellStart"/>
      <w:r w:rsidRPr="00B84B0C">
        <w:rPr>
          <w:rFonts w:cs="Arial"/>
          <w:b w:val="0"/>
          <w:sz w:val="18"/>
          <w:szCs w:val="18"/>
          <w:lang w:val="en-US"/>
        </w:rPr>
        <w:t>i</w:t>
      </w:r>
      <w:proofErr w:type="spellEnd"/>
      <w:r w:rsidRPr="00B84B0C">
        <w:rPr>
          <w:rFonts w:cs="Arial"/>
          <w:b w:val="0"/>
          <w:sz w:val="18"/>
          <w:szCs w:val="18"/>
          <w:lang w:val="en-US"/>
        </w:rPr>
        <w:t xml:space="preserve">) insurance, which includes insurance and reinsurance operations (reinsurance until July 23, 2019), pension plans, </w:t>
      </w:r>
      <w:proofErr w:type="gramStart"/>
      <w:r w:rsidRPr="00B84B0C">
        <w:rPr>
          <w:rFonts w:cs="Arial"/>
          <w:b w:val="0"/>
          <w:sz w:val="18"/>
          <w:szCs w:val="18"/>
          <w:lang w:val="en-US"/>
        </w:rPr>
        <w:t>capitalization</w:t>
      </w:r>
      <w:proofErr w:type="gramEnd"/>
      <w:r w:rsidRPr="00B84B0C">
        <w:rPr>
          <w:rFonts w:cs="Arial"/>
          <w:b w:val="0"/>
          <w:sz w:val="18"/>
          <w:szCs w:val="18"/>
          <w:lang w:val="en-US"/>
        </w:rPr>
        <w:t xml:space="preserve"> and health; and ii) brokerage.</w:t>
      </w:r>
    </w:p>
    <w:p w14:paraId="24DA1C55" w14:textId="77777777" w:rsidR="00711D9A" w:rsidRPr="00B84B0C" w:rsidRDefault="00711D9A" w:rsidP="00711D9A">
      <w:pPr>
        <w:pStyle w:val="01-TtulodeNota"/>
        <w:rPr>
          <w:rFonts w:cs="Arial"/>
          <w:color w:val="1F4E79" w:themeColor="accent1" w:themeShade="80"/>
          <w:sz w:val="18"/>
          <w:lang w:val="en-US"/>
        </w:rPr>
      </w:pPr>
      <w:r w:rsidRPr="00B84B0C">
        <w:rPr>
          <w:rFonts w:cs="Arial"/>
          <w:b w:val="0"/>
          <w:sz w:val="18"/>
          <w:szCs w:val="18"/>
          <w:lang w:val="en-US"/>
        </w:rPr>
        <w:t xml:space="preserve"> </w:t>
      </w:r>
      <w:r w:rsidRPr="00B84B0C">
        <w:rPr>
          <w:rFonts w:cs="Arial"/>
          <w:color w:val="1F4E79" w:themeColor="accent1" w:themeShade="80"/>
          <w:sz w:val="18"/>
          <w:lang w:val="en-US"/>
        </w:rPr>
        <w:t>a) Insurance</w:t>
      </w:r>
    </w:p>
    <w:p w14:paraId="5E7DAD5D" w14:textId="77777777" w:rsidR="00711D9A" w:rsidRPr="00B84B0C" w:rsidRDefault="00711D9A" w:rsidP="00711D9A">
      <w:pPr>
        <w:pStyle w:val="05-Textonormal"/>
        <w:rPr>
          <w:rFonts w:cs="Arial"/>
          <w:lang w:val="en-US"/>
        </w:rPr>
      </w:pPr>
      <w:r w:rsidRPr="00B84B0C">
        <w:rPr>
          <w:rFonts w:cs="Arial"/>
          <w:lang w:val="en-US"/>
        </w:rPr>
        <w:t>In this segment, products and services offered are related to life, property and vehicle insurance, property and vehicle insurance, rural, special risks and financial, transport, hulls, and housing people, supplementary pension plans, dental plans and capitalization plans, and reinsurance.</w:t>
      </w:r>
    </w:p>
    <w:p w14:paraId="1670A360" w14:textId="77777777" w:rsidR="00711D9A" w:rsidRPr="00B84B0C" w:rsidRDefault="00711D9A" w:rsidP="00711D9A">
      <w:pPr>
        <w:pStyle w:val="05-Textonormal"/>
        <w:rPr>
          <w:rFonts w:cs="Arial"/>
          <w:lang w:val="en-US"/>
        </w:rPr>
      </w:pPr>
      <w:r w:rsidRPr="00B84B0C">
        <w:rPr>
          <w:rFonts w:cs="Arial"/>
          <w:lang w:val="en-US"/>
        </w:rPr>
        <w:t xml:space="preserve">The profit or loss from this segment derives mainly from revenues from insurance and reinsurance premiums, contributions to private pension plans, contributions to dental plans, capitalization bonds and investments in securities, less sales expenses, technical </w:t>
      </w:r>
      <w:proofErr w:type="gramStart"/>
      <w:r w:rsidRPr="00B84B0C">
        <w:rPr>
          <w:rFonts w:cs="Arial"/>
          <w:lang w:val="en-US"/>
        </w:rPr>
        <w:t>reserves</w:t>
      </w:r>
      <w:proofErr w:type="gramEnd"/>
      <w:r w:rsidRPr="00B84B0C">
        <w:rPr>
          <w:rFonts w:cs="Arial"/>
          <w:lang w:val="en-US"/>
        </w:rPr>
        <w:t xml:space="preserve"> and expenses related to claims.</w:t>
      </w:r>
    </w:p>
    <w:p w14:paraId="7A386480" w14:textId="77777777" w:rsidR="00711D9A" w:rsidRPr="00B84B0C" w:rsidRDefault="00711D9A" w:rsidP="00711D9A">
      <w:pPr>
        <w:pStyle w:val="01-TtulodeNota"/>
        <w:rPr>
          <w:rFonts w:cs="Arial"/>
          <w:b w:val="0"/>
          <w:sz w:val="18"/>
          <w:szCs w:val="18"/>
          <w:lang w:val="en-US"/>
        </w:rPr>
      </w:pPr>
      <w:r w:rsidRPr="00B84B0C">
        <w:rPr>
          <w:rFonts w:cs="Arial"/>
          <w:b w:val="0"/>
          <w:sz w:val="18"/>
          <w:szCs w:val="18"/>
          <w:lang w:val="en-US"/>
        </w:rPr>
        <w:t xml:space="preserve">Profit and loss </w:t>
      </w:r>
      <w:proofErr w:type="gramStart"/>
      <w:r w:rsidRPr="00B84B0C">
        <w:rPr>
          <w:rFonts w:cs="Arial"/>
          <w:b w:val="0"/>
          <w:sz w:val="18"/>
          <w:szCs w:val="18"/>
          <w:lang w:val="en-US"/>
        </w:rPr>
        <w:t>is</w:t>
      </w:r>
      <w:proofErr w:type="gramEnd"/>
      <w:r w:rsidRPr="00B84B0C">
        <w:rPr>
          <w:rFonts w:cs="Arial"/>
          <w:b w:val="0"/>
          <w:sz w:val="18"/>
          <w:szCs w:val="18"/>
          <w:lang w:val="en-US"/>
        </w:rPr>
        <w:t xml:space="preserve"> recorded under the equity method of the investments in subsidiaries.</w:t>
      </w:r>
    </w:p>
    <w:p w14:paraId="60747F67" w14:textId="77777777" w:rsidR="00711D9A" w:rsidRPr="00B84B0C" w:rsidRDefault="00711D9A" w:rsidP="00711D9A">
      <w:pPr>
        <w:pStyle w:val="01-TtulodeNota"/>
        <w:rPr>
          <w:rFonts w:cs="Arial"/>
          <w:color w:val="1F4E79" w:themeColor="accent1" w:themeShade="80"/>
          <w:sz w:val="18"/>
          <w:lang w:val="en-US"/>
        </w:rPr>
      </w:pPr>
      <w:r w:rsidRPr="00B84B0C">
        <w:rPr>
          <w:rFonts w:cs="Arial"/>
          <w:color w:val="1F4E79" w:themeColor="accent1" w:themeShade="80"/>
          <w:sz w:val="18"/>
          <w:lang w:val="en-US"/>
        </w:rPr>
        <w:t>b) Brokerage</w:t>
      </w:r>
    </w:p>
    <w:p w14:paraId="70488AD3" w14:textId="77777777" w:rsidR="00711D9A" w:rsidRPr="00B84B0C" w:rsidRDefault="00711D9A" w:rsidP="00711D9A">
      <w:pPr>
        <w:pStyle w:val="05-Textonormal"/>
        <w:rPr>
          <w:rFonts w:cs="Arial"/>
          <w:lang w:val="en-US"/>
        </w:rPr>
      </w:pPr>
      <w:r w:rsidRPr="00B84B0C">
        <w:rPr>
          <w:rFonts w:cs="Arial"/>
          <w:lang w:val="en-US"/>
        </w:rPr>
        <w:t xml:space="preserve">In this segment, products and services offered are related to brokerage and management, fulfillment, promotion and facilitation of casualty, life and capitalization insurance, pension plans, dental plans and health insurance, It includes the balances of BB </w:t>
      </w:r>
      <w:proofErr w:type="spellStart"/>
      <w:r w:rsidRPr="00B84B0C">
        <w:rPr>
          <w:rFonts w:cs="Arial"/>
          <w:lang w:val="en-US"/>
        </w:rPr>
        <w:t>Corretora</w:t>
      </w:r>
      <w:proofErr w:type="spellEnd"/>
      <w:r w:rsidRPr="00B84B0C">
        <w:rPr>
          <w:rFonts w:cs="Arial"/>
          <w:lang w:val="en-US"/>
        </w:rPr>
        <w:t xml:space="preserve"> and its investee </w:t>
      </w:r>
      <w:proofErr w:type="spellStart"/>
      <w:proofErr w:type="gramStart"/>
      <w:r w:rsidRPr="00B84B0C">
        <w:rPr>
          <w:rFonts w:cs="Arial"/>
          <w:lang w:val="en-US"/>
        </w:rPr>
        <w:t>Ciclic</w:t>
      </w:r>
      <w:proofErr w:type="spellEnd"/>
      <w:r w:rsidRPr="00B84B0C">
        <w:rPr>
          <w:rFonts w:cs="Arial"/>
          <w:lang w:val="en-US"/>
        </w:rPr>
        <w:t>..</w:t>
      </w:r>
      <w:proofErr w:type="gramEnd"/>
    </w:p>
    <w:p w14:paraId="2A02BCE3" w14:textId="77777777" w:rsidR="00711D9A" w:rsidRPr="00B84B0C" w:rsidRDefault="00711D9A" w:rsidP="00711D9A">
      <w:pPr>
        <w:pStyle w:val="01-TtulodeNota"/>
        <w:spacing w:after="0"/>
        <w:rPr>
          <w:rFonts w:cs="Arial"/>
          <w:color w:val="1F4E79" w:themeColor="accent1" w:themeShade="80"/>
          <w:sz w:val="18"/>
          <w:lang w:val="en-US"/>
        </w:rPr>
      </w:pPr>
      <w:r w:rsidRPr="00B84B0C">
        <w:rPr>
          <w:rFonts w:cs="Arial"/>
          <w:color w:val="1F4E79" w:themeColor="accent1" w:themeShade="80"/>
          <w:sz w:val="18"/>
          <w:lang w:val="en-US"/>
        </w:rPr>
        <w:t>c) Financial Information by Reportable Segment</w:t>
      </w:r>
    </w:p>
    <w:p w14:paraId="46150A3C" w14:textId="77777777" w:rsidR="00711D9A" w:rsidRPr="00B84B0C" w:rsidRDefault="00711D9A" w:rsidP="00711D9A">
      <w:pPr>
        <w:spacing w:after="0"/>
        <w:jc w:val="right"/>
        <w:rPr>
          <w:rFonts w:cs="Arial"/>
          <w:b/>
          <w:sz w:val="14"/>
          <w:szCs w:val="18"/>
        </w:rPr>
      </w:pPr>
      <w:bookmarkStart w:id="19" w:name="OLE_LINK3"/>
      <w:r w:rsidRPr="00B84B0C">
        <w:rPr>
          <w:rFonts w:cs="Arial"/>
          <w:b/>
          <w:sz w:val="14"/>
          <w:szCs w:val="18"/>
        </w:rPr>
        <w:t xml:space="preserve">R$ </w:t>
      </w:r>
      <w:proofErr w:type="spellStart"/>
      <w:r w:rsidRPr="00B84B0C">
        <w:rPr>
          <w:rFonts w:cs="Arial"/>
          <w:b/>
          <w:sz w:val="14"/>
          <w:szCs w:val="18"/>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4570"/>
        <w:gridCol w:w="1240"/>
        <w:gridCol w:w="1240"/>
        <w:gridCol w:w="1240"/>
        <w:gridCol w:w="1349"/>
      </w:tblGrid>
      <w:tr w:rsidR="00711D9A" w:rsidRPr="00B84B0C" w14:paraId="4057E857" w14:textId="77777777" w:rsidTr="00711D9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570" w:type="dxa"/>
            <w:tcBorders>
              <w:top w:val="single" w:sz="2" w:space="0" w:color="8EAADB" w:themeColor="accent5" w:themeTint="99"/>
              <w:bottom w:val="nil"/>
            </w:tcBorders>
            <w:vAlign w:val="center"/>
          </w:tcPr>
          <w:p w14:paraId="30367B5C" w14:textId="77777777" w:rsidR="00711D9A" w:rsidRPr="00B84B0C" w:rsidRDefault="00711D9A" w:rsidP="00711D9A">
            <w:pPr>
              <w:jc w:val="center"/>
              <w:rPr>
                <w:rFonts w:cs="Arial"/>
                <w:b w:val="0"/>
                <w:szCs w:val="18"/>
              </w:rPr>
            </w:pPr>
          </w:p>
        </w:tc>
        <w:tc>
          <w:tcPr>
            <w:tcW w:w="5069" w:type="dxa"/>
            <w:gridSpan w:val="4"/>
            <w:tcBorders>
              <w:top w:val="single" w:sz="2" w:space="0" w:color="8EAADB" w:themeColor="accent5" w:themeTint="99"/>
              <w:bottom w:val="single" w:sz="2" w:space="0" w:color="8EAADB" w:themeColor="accent5" w:themeTint="99"/>
            </w:tcBorders>
            <w:vAlign w:val="center"/>
          </w:tcPr>
          <w:p w14:paraId="352750EA"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84B0C">
              <w:rPr>
                <w:rFonts w:cs="Arial"/>
                <w:sz w:val="14"/>
                <w:szCs w:val="18"/>
              </w:rPr>
              <w:t xml:space="preserve">1st </w:t>
            </w:r>
            <w:proofErr w:type="spellStart"/>
            <w:r w:rsidRPr="00B84B0C">
              <w:rPr>
                <w:rFonts w:cs="Arial"/>
                <w:sz w:val="14"/>
                <w:szCs w:val="18"/>
              </w:rPr>
              <w:t>Quarter</w:t>
            </w:r>
            <w:proofErr w:type="spellEnd"/>
            <w:r w:rsidRPr="00B84B0C">
              <w:rPr>
                <w:rFonts w:cs="Arial"/>
                <w:sz w:val="14"/>
                <w:szCs w:val="18"/>
              </w:rPr>
              <w:t xml:space="preserve"> 2020</w:t>
            </w:r>
          </w:p>
        </w:tc>
      </w:tr>
      <w:tr w:rsidR="00711D9A" w:rsidRPr="00B84B0C" w14:paraId="6DF27149" w14:textId="77777777" w:rsidTr="00711D9A">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4570" w:type="dxa"/>
            <w:tcBorders>
              <w:top w:val="nil"/>
              <w:bottom w:val="single" w:sz="2" w:space="0" w:color="8EAADB" w:themeColor="accent5" w:themeTint="99"/>
            </w:tcBorders>
            <w:shd w:val="clear" w:color="auto" w:fill="D9E2F3"/>
          </w:tcPr>
          <w:p w14:paraId="07792873" w14:textId="77777777" w:rsidR="00711D9A" w:rsidRPr="00B84B0C" w:rsidRDefault="00711D9A" w:rsidP="00711D9A">
            <w:pPr>
              <w:pStyle w:val="08-Tabelageral"/>
              <w:jc w:val="left"/>
              <w:rPr>
                <w:rFonts w:cs="Arial"/>
                <w:b w:val="0"/>
              </w:rPr>
            </w:pPr>
          </w:p>
        </w:tc>
        <w:tc>
          <w:tcPr>
            <w:tcW w:w="1240" w:type="dxa"/>
            <w:tcBorders>
              <w:top w:val="single" w:sz="2" w:space="0" w:color="8EAADB" w:themeColor="accent5" w:themeTint="99"/>
              <w:bottom w:val="single" w:sz="2" w:space="0" w:color="8EAADB" w:themeColor="accent5" w:themeTint="99"/>
            </w:tcBorders>
            <w:shd w:val="clear" w:color="auto" w:fill="D9E2F3"/>
            <w:vAlign w:val="center"/>
          </w:tcPr>
          <w:p w14:paraId="4E118B4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proofErr w:type="spellStart"/>
            <w:r w:rsidRPr="00B84B0C">
              <w:rPr>
                <w:rFonts w:cs="Arial"/>
                <w:b/>
                <w:sz w:val="12"/>
              </w:rPr>
              <w:t>Insurance</w:t>
            </w:r>
            <w:proofErr w:type="spellEnd"/>
          </w:p>
        </w:tc>
        <w:tc>
          <w:tcPr>
            <w:tcW w:w="1240" w:type="dxa"/>
            <w:tcBorders>
              <w:top w:val="single" w:sz="2" w:space="0" w:color="8EAADB" w:themeColor="accent5" w:themeTint="99"/>
              <w:bottom w:val="single" w:sz="2" w:space="0" w:color="8EAADB" w:themeColor="accent5" w:themeTint="99"/>
            </w:tcBorders>
            <w:shd w:val="clear" w:color="auto" w:fill="D9E2F3"/>
            <w:vAlign w:val="center"/>
          </w:tcPr>
          <w:p w14:paraId="121847C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r w:rsidRPr="00B84B0C">
              <w:rPr>
                <w:rFonts w:cs="Arial"/>
                <w:b/>
                <w:sz w:val="12"/>
                <w:szCs w:val="12"/>
              </w:rPr>
              <w:t>Brokerage</w:t>
            </w:r>
            <w:proofErr w:type="spellEnd"/>
          </w:p>
        </w:tc>
        <w:tc>
          <w:tcPr>
            <w:tcW w:w="1240" w:type="dxa"/>
            <w:tcBorders>
              <w:top w:val="single" w:sz="2" w:space="0" w:color="8EAADB" w:themeColor="accent5" w:themeTint="99"/>
              <w:bottom w:val="single" w:sz="2" w:space="0" w:color="8EAADB" w:themeColor="accent5" w:themeTint="99"/>
            </w:tcBorders>
            <w:shd w:val="clear" w:color="auto" w:fill="D9E2F3"/>
            <w:vAlign w:val="center"/>
          </w:tcPr>
          <w:p w14:paraId="48859CB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proofErr w:type="spellStart"/>
            <w:r w:rsidRPr="00B84B0C">
              <w:rPr>
                <w:rFonts w:cs="Arial"/>
                <w:b/>
                <w:sz w:val="12"/>
              </w:rPr>
              <w:t>Intersegment</w:t>
            </w:r>
            <w:proofErr w:type="spellEnd"/>
            <w:r w:rsidRPr="00B84B0C">
              <w:rPr>
                <w:rFonts w:cs="Arial"/>
                <w:b/>
                <w:sz w:val="12"/>
              </w:rPr>
              <w:t xml:space="preserve"> </w:t>
            </w:r>
            <w:proofErr w:type="spellStart"/>
            <w:r w:rsidRPr="00B84B0C">
              <w:rPr>
                <w:rFonts w:cs="Arial"/>
                <w:b/>
                <w:sz w:val="12"/>
              </w:rPr>
              <w:t>transactions</w:t>
            </w:r>
            <w:proofErr w:type="spellEnd"/>
          </w:p>
        </w:tc>
        <w:tc>
          <w:tcPr>
            <w:tcW w:w="1349" w:type="dxa"/>
            <w:tcBorders>
              <w:top w:val="single" w:sz="2" w:space="0" w:color="8EAADB" w:themeColor="accent5" w:themeTint="99"/>
              <w:bottom w:val="single" w:sz="2" w:space="0" w:color="8EAADB" w:themeColor="accent5" w:themeTint="99"/>
            </w:tcBorders>
            <w:shd w:val="clear" w:color="auto" w:fill="D9E2F3"/>
            <w:vAlign w:val="center"/>
          </w:tcPr>
          <w:p w14:paraId="48D9FE0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Total</w:t>
            </w:r>
          </w:p>
        </w:tc>
      </w:tr>
      <w:tr w:rsidR="00711D9A" w:rsidRPr="00B84B0C" w14:paraId="24C97374"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single" w:sz="2" w:space="0" w:color="8EAADB" w:themeColor="accent5" w:themeTint="99"/>
              <w:bottom w:val="nil"/>
            </w:tcBorders>
            <w:shd w:val="clear" w:color="auto" w:fill="auto"/>
          </w:tcPr>
          <w:p w14:paraId="08F0E034" w14:textId="77777777" w:rsidR="00711D9A" w:rsidRPr="00B84B0C" w:rsidRDefault="00711D9A" w:rsidP="00711D9A">
            <w:pPr>
              <w:pStyle w:val="08-Tabelageral"/>
              <w:jc w:val="left"/>
              <w:rPr>
                <w:rFonts w:cs="Arial"/>
                <w:bCs w:val="0"/>
                <w:szCs w:val="14"/>
              </w:rPr>
            </w:pPr>
            <w:r w:rsidRPr="00B84B0C">
              <w:rPr>
                <w:rFonts w:cs="Arial"/>
                <w:szCs w:val="14"/>
              </w:rPr>
              <w:t>OPERATING INCOME</w:t>
            </w:r>
          </w:p>
        </w:tc>
        <w:tc>
          <w:tcPr>
            <w:tcW w:w="1240" w:type="dxa"/>
            <w:tcBorders>
              <w:top w:val="single" w:sz="2" w:space="0" w:color="8EAADB" w:themeColor="accent5" w:themeTint="99"/>
              <w:bottom w:val="nil"/>
            </w:tcBorders>
            <w:shd w:val="clear" w:color="auto" w:fill="auto"/>
          </w:tcPr>
          <w:p w14:paraId="1BD5E6E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1,262,074</w:t>
            </w:r>
          </w:p>
        </w:tc>
        <w:tc>
          <w:tcPr>
            <w:tcW w:w="1240" w:type="dxa"/>
            <w:tcBorders>
              <w:top w:val="single" w:sz="2" w:space="0" w:color="8EAADB" w:themeColor="accent5" w:themeTint="99"/>
              <w:bottom w:val="nil"/>
            </w:tcBorders>
            <w:shd w:val="clear" w:color="auto" w:fill="auto"/>
          </w:tcPr>
          <w:p w14:paraId="78083F1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775,531</w:t>
            </w:r>
          </w:p>
        </w:tc>
        <w:tc>
          <w:tcPr>
            <w:tcW w:w="1240" w:type="dxa"/>
            <w:tcBorders>
              <w:top w:val="single" w:sz="2" w:space="0" w:color="8EAADB" w:themeColor="accent5" w:themeTint="99"/>
              <w:bottom w:val="nil"/>
            </w:tcBorders>
            <w:shd w:val="clear" w:color="auto" w:fill="auto"/>
          </w:tcPr>
          <w:p w14:paraId="6F68B23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(868,229)</w:t>
            </w:r>
          </w:p>
        </w:tc>
        <w:tc>
          <w:tcPr>
            <w:tcW w:w="1349" w:type="dxa"/>
            <w:tcBorders>
              <w:top w:val="single" w:sz="2" w:space="0" w:color="8EAADB" w:themeColor="accent5" w:themeTint="99"/>
              <w:bottom w:val="nil"/>
            </w:tcBorders>
            <w:shd w:val="clear" w:color="auto" w:fill="auto"/>
          </w:tcPr>
          <w:p w14:paraId="1E89BAA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1,169,376</w:t>
            </w:r>
          </w:p>
        </w:tc>
      </w:tr>
      <w:tr w:rsidR="00711D9A" w:rsidRPr="00B84B0C" w14:paraId="3E40C92B"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5F5EEF1F"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Equity</w:t>
            </w:r>
            <w:proofErr w:type="spellEnd"/>
            <w:r w:rsidRPr="00B84B0C">
              <w:rPr>
                <w:rFonts w:cs="Arial"/>
                <w:b w:val="0"/>
                <w:szCs w:val="14"/>
              </w:rPr>
              <w:t xml:space="preserve"> income</w:t>
            </w:r>
          </w:p>
        </w:tc>
        <w:tc>
          <w:tcPr>
            <w:tcW w:w="1240" w:type="dxa"/>
            <w:tcBorders>
              <w:top w:val="nil"/>
              <w:bottom w:val="nil"/>
            </w:tcBorders>
            <w:shd w:val="clear" w:color="auto" w:fill="D9E2F3"/>
          </w:tcPr>
          <w:p w14:paraId="58086B2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1,262,074</w:t>
            </w:r>
          </w:p>
        </w:tc>
        <w:tc>
          <w:tcPr>
            <w:tcW w:w="1240" w:type="dxa"/>
            <w:tcBorders>
              <w:top w:val="nil"/>
              <w:bottom w:val="nil"/>
            </w:tcBorders>
            <w:shd w:val="clear" w:color="auto" w:fill="D9E2F3"/>
          </w:tcPr>
          <w:p w14:paraId="560295E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(5,087)</w:t>
            </w:r>
          </w:p>
        </w:tc>
        <w:tc>
          <w:tcPr>
            <w:tcW w:w="1240" w:type="dxa"/>
            <w:tcBorders>
              <w:top w:val="nil"/>
              <w:bottom w:val="nil"/>
            </w:tcBorders>
            <w:shd w:val="clear" w:color="auto" w:fill="D9E2F3"/>
          </w:tcPr>
          <w:p w14:paraId="3C3E5CC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(868,229)</w:t>
            </w:r>
          </w:p>
        </w:tc>
        <w:tc>
          <w:tcPr>
            <w:tcW w:w="1349" w:type="dxa"/>
            <w:tcBorders>
              <w:top w:val="nil"/>
              <w:bottom w:val="nil"/>
            </w:tcBorders>
            <w:shd w:val="clear" w:color="auto" w:fill="D9E2F3"/>
          </w:tcPr>
          <w:p w14:paraId="3F79C9D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388,758</w:t>
            </w:r>
          </w:p>
        </w:tc>
      </w:tr>
      <w:tr w:rsidR="00711D9A" w:rsidRPr="00B84B0C" w14:paraId="34F69956"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auto"/>
          </w:tcPr>
          <w:p w14:paraId="567259D3"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Commissions</w:t>
            </w:r>
            <w:proofErr w:type="spellEnd"/>
            <w:r w:rsidRPr="00B84B0C">
              <w:rPr>
                <w:rFonts w:cs="Arial"/>
                <w:b w:val="0"/>
                <w:szCs w:val="14"/>
              </w:rPr>
              <w:t xml:space="preserve"> income</w:t>
            </w:r>
          </w:p>
        </w:tc>
        <w:tc>
          <w:tcPr>
            <w:tcW w:w="1240" w:type="dxa"/>
            <w:tcBorders>
              <w:top w:val="nil"/>
              <w:bottom w:val="nil"/>
            </w:tcBorders>
            <w:shd w:val="clear" w:color="auto" w:fill="auto"/>
          </w:tcPr>
          <w:p w14:paraId="7BECE05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240" w:type="dxa"/>
            <w:tcBorders>
              <w:top w:val="nil"/>
              <w:bottom w:val="nil"/>
            </w:tcBorders>
            <w:shd w:val="clear" w:color="auto" w:fill="auto"/>
          </w:tcPr>
          <w:p w14:paraId="49688BD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780,618</w:t>
            </w:r>
          </w:p>
        </w:tc>
        <w:tc>
          <w:tcPr>
            <w:tcW w:w="1240" w:type="dxa"/>
            <w:tcBorders>
              <w:top w:val="nil"/>
              <w:bottom w:val="nil"/>
            </w:tcBorders>
            <w:shd w:val="clear" w:color="auto" w:fill="auto"/>
          </w:tcPr>
          <w:p w14:paraId="4ACA276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49" w:type="dxa"/>
            <w:tcBorders>
              <w:top w:val="nil"/>
              <w:bottom w:val="nil"/>
            </w:tcBorders>
            <w:shd w:val="clear" w:color="auto" w:fill="auto"/>
          </w:tcPr>
          <w:p w14:paraId="485661E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780,618</w:t>
            </w:r>
          </w:p>
        </w:tc>
      </w:tr>
      <w:tr w:rsidR="00711D9A" w:rsidRPr="00B84B0C" w14:paraId="5739A69A"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7365377B" w14:textId="77777777" w:rsidR="00711D9A" w:rsidRPr="00B84B0C" w:rsidRDefault="00711D9A" w:rsidP="00711D9A">
            <w:pPr>
              <w:pStyle w:val="08-Tabelageral"/>
              <w:ind w:left="113"/>
              <w:jc w:val="left"/>
              <w:rPr>
                <w:rFonts w:cs="Arial"/>
                <w:szCs w:val="14"/>
              </w:rPr>
            </w:pPr>
            <w:r w:rsidRPr="00B84B0C">
              <w:rPr>
                <w:rFonts w:cs="Arial"/>
                <w:szCs w:val="14"/>
              </w:rPr>
              <w:t>COST OF SERVICES PROVIDED</w:t>
            </w:r>
          </w:p>
        </w:tc>
        <w:tc>
          <w:tcPr>
            <w:tcW w:w="1240" w:type="dxa"/>
            <w:tcBorders>
              <w:top w:val="nil"/>
              <w:bottom w:val="nil"/>
            </w:tcBorders>
            <w:shd w:val="clear" w:color="auto" w:fill="D9E2F3"/>
          </w:tcPr>
          <w:p w14:paraId="0D0E4F3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w:t>
            </w:r>
          </w:p>
        </w:tc>
        <w:tc>
          <w:tcPr>
            <w:tcW w:w="1240" w:type="dxa"/>
            <w:tcBorders>
              <w:top w:val="nil"/>
              <w:bottom w:val="nil"/>
            </w:tcBorders>
            <w:shd w:val="clear" w:color="auto" w:fill="D9E2F3"/>
          </w:tcPr>
          <w:p w14:paraId="7901A94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(45,460)</w:t>
            </w:r>
          </w:p>
        </w:tc>
        <w:tc>
          <w:tcPr>
            <w:tcW w:w="1240" w:type="dxa"/>
            <w:tcBorders>
              <w:top w:val="nil"/>
              <w:bottom w:val="nil"/>
            </w:tcBorders>
            <w:shd w:val="clear" w:color="auto" w:fill="D9E2F3"/>
          </w:tcPr>
          <w:p w14:paraId="4FC6E5E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w:t>
            </w:r>
          </w:p>
        </w:tc>
        <w:tc>
          <w:tcPr>
            <w:tcW w:w="1349" w:type="dxa"/>
            <w:tcBorders>
              <w:top w:val="nil"/>
              <w:bottom w:val="nil"/>
            </w:tcBorders>
            <w:shd w:val="clear" w:color="auto" w:fill="D9E2F3"/>
          </w:tcPr>
          <w:p w14:paraId="1C6E86E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(45,460)</w:t>
            </w:r>
          </w:p>
        </w:tc>
      </w:tr>
      <w:tr w:rsidR="00711D9A" w:rsidRPr="00B84B0C" w14:paraId="406A9214"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auto"/>
          </w:tcPr>
          <w:p w14:paraId="59B9509D" w14:textId="77777777" w:rsidR="00711D9A" w:rsidRPr="00B84B0C" w:rsidRDefault="00711D9A" w:rsidP="00711D9A">
            <w:pPr>
              <w:pStyle w:val="08-Tabelageral"/>
              <w:jc w:val="left"/>
              <w:rPr>
                <w:rFonts w:cs="Arial"/>
                <w:szCs w:val="14"/>
              </w:rPr>
            </w:pPr>
            <w:r w:rsidRPr="00B84B0C">
              <w:rPr>
                <w:rFonts w:cs="Arial"/>
                <w:szCs w:val="14"/>
              </w:rPr>
              <w:t>GROSS PROFIT</w:t>
            </w:r>
          </w:p>
        </w:tc>
        <w:tc>
          <w:tcPr>
            <w:tcW w:w="1240" w:type="dxa"/>
            <w:tcBorders>
              <w:top w:val="nil"/>
              <w:bottom w:val="nil"/>
            </w:tcBorders>
            <w:shd w:val="clear" w:color="auto" w:fill="auto"/>
          </w:tcPr>
          <w:p w14:paraId="35567BB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1,262,074</w:t>
            </w:r>
          </w:p>
        </w:tc>
        <w:tc>
          <w:tcPr>
            <w:tcW w:w="1240" w:type="dxa"/>
            <w:tcBorders>
              <w:top w:val="nil"/>
              <w:bottom w:val="nil"/>
            </w:tcBorders>
            <w:shd w:val="clear" w:color="auto" w:fill="auto"/>
          </w:tcPr>
          <w:p w14:paraId="51D5E04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730,071</w:t>
            </w:r>
          </w:p>
        </w:tc>
        <w:tc>
          <w:tcPr>
            <w:tcW w:w="1240" w:type="dxa"/>
            <w:tcBorders>
              <w:top w:val="nil"/>
              <w:bottom w:val="nil"/>
            </w:tcBorders>
            <w:shd w:val="clear" w:color="auto" w:fill="auto"/>
          </w:tcPr>
          <w:p w14:paraId="150A86E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(868,229)</w:t>
            </w:r>
          </w:p>
        </w:tc>
        <w:tc>
          <w:tcPr>
            <w:tcW w:w="1349" w:type="dxa"/>
            <w:tcBorders>
              <w:top w:val="nil"/>
              <w:bottom w:val="nil"/>
            </w:tcBorders>
            <w:shd w:val="clear" w:color="auto" w:fill="auto"/>
          </w:tcPr>
          <w:p w14:paraId="4FE5DD6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1,123,916</w:t>
            </w:r>
          </w:p>
        </w:tc>
      </w:tr>
      <w:tr w:rsidR="00711D9A" w:rsidRPr="00B84B0C" w14:paraId="11980A7F"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5372D9D0" w14:textId="77777777" w:rsidR="00711D9A" w:rsidRPr="00B84B0C" w:rsidRDefault="00711D9A" w:rsidP="00711D9A">
            <w:pPr>
              <w:pStyle w:val="08-Tabelageral"/>
              <w:jc w:val="left"/>
              <w:rPr>
                <w:rFonts w:cs="Arial"/>
                <w:bCs w:val="0"/>
                <w:szCs w:val="14"/>
              </w:rPr>
            </w:pPr>
            <w:r w:rsidRPr="00B84B0C">
              <w:rPr>
                <w:rFonts w:cs="Arial"/>
                <w:szCs w:val="14"/>
              </w:rPr>
              <w:t>OTHER INCOME AND EXPENSES</w:t>
            </w:r>
          </w:p>
        </w:tc>
        <w:tc>
          <w:tcPr>
            <w:tcW w:w="1240" w:type="dxa"/>
            <w:tcBorders>
              <w:top w:val="nil"/>
              <w:bottom w:val="nil"/>
            </w:tcBorders>
            <w:shd w:val="clear" w:color="auto" w:fill="D9E2F3"/>
          </w:tcPr>
          <w:p w14:paraId="781AE48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(15,933)</w:t>
            </w:r>
          </w:p>
        </w:tc>
        <w:tc>
          <w:tcPr>
            <w:tcW w:w="1240" w:type="dxa"/>
            <w:tcBorders>
              <w:top w:val="nil"/>
              <w:bottom w:val="nil"/>
            </w:tcBorders>
            <w:shd w:val="clear" w:color="auto" w:fill="D9E2F3"/>
          </w:tcPr>
          <w:p w14:paraId="3ABD81A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(15,786)</w:t>
            </w:r>
          </w:p>
        </w:tc>
        <w:tc>
          <w:tcPr>
            <w:tcW w:w="1240" w:type="dxa"/>
            <w:tcBorders>
              <w:top w:val="nil"/>
              <w:bottom w:val="nil"/>
            </w:tcBorders>
            <w:shd w:val="clear" w:color="auto" w:fill="D9E2F3"/>
          </w:tcPr>
          <w:p w14:paraId="1322EA1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w:t>
            </w:r>
          </w:p>
        </w:tc>
        <w:tc>
          <w:tcPr>
            <w:tcW w:w="1349" w:type="dxa"/>
            <w:tcBorders>
              <w:top w:val="nil"/>
              <w:bottom w:val="nil"/>
            </w:tcBorders>
            <w:shd w:val="clear" w:color="auto" w:fill="D9E2F3"/>
          </w:tcPr>
          <w:p w14:paraId="3D7A22D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(31,719)</w:t>
            </w:r>
          </w:p>
        </w:tc>
      </w:tr>
      <w:tr w:rsidR="00711D9A" w:rsidRPr="00B84B0C" w14:paraId="2F8F79B6"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auto"/>
          </w:tcPr>
          <w:p w14:paraId="10D762F0"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Personnel</w:t>
            </w:r>
            <w:proofErr w:type="spellEnd"/>
            <w:r w:rsidRPr="00B84B0C">
              <w:rPr>
                <w:rFonts w:cs="Arial"/>
                <w:b w:val="0"/>
                <w:szCs w:val="14"/>
              </w:rPr>
              <w:t xml:space="preserve"> </w:t>
            </w:r>
            <w:proofErr w:type="spellStart"/>
            <w:r w:rsidRPr="00B84B0C">
              <w:rPr>
                <w:rFonts w:cs="Arial"/>
                <w:b w:val="0"/>
                <w:szCs w:val="14"/>
              </w:rPr>
              <w:t>expenses</w:t>
            </w:r>
            <w:proofErr w:type="spellEnd"/>
          </w:p>
        </w:tc>
        <w:tc>
          <w:tcPr>
            <w:tcW w:w="1240" w:type="dxa"/>
            <w:tcBorders>
              <w:top w:val="nil"/>
              <w:bottom w:val="nil"/>
            </w:tcBorders>
            <w:shd w:val="clear" w:color="auto" w:fill="auto"/>
          </w:tcPr>
          <w:p w14:paraId="31FB388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(5,379)</w:t>
            </w:r>
          </w:p>
        </w:tc>
        <w:tc>
          <w:tcPr>
            <w:tcW w:w="1240" w:type="dxa"/>
            <w:tcBorders>
              <w:top w:val="nil"/>
              <w:bottom w:val="nil"/>
            </w:tcBorders>
            <w:shd w:val="clear" w:color="auto" w:fill="auto"/>
          </w:tcPr>
          <w:p w14:paraId="0DB4546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(10,056)</w:t>
            </w:r>
          </w:p>
        </w:tc>
        <w:tc>
          <w:tcPr>
            <w:tcW w:w="1240" w:type="dxa"/>
            <w:tcBorders>
              <w:top w:val="nil"/>
              <w:bottom w:val="nil"/>
            </w:tcBorders>
            <w:shd w:val="clear" w:color="auto" w:fill="auto"/>
          </w:tcPr>
          <w:p w14:paraId="5A15F61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49" w:type="dxa"/>
            <w:tcBorders>
              <w:top w:val="nil"/>
              <w:bottom w:val="nil"/>
            </w:tcBorders>
            <w:shd w:val="clear" w:color="auto" w:fill="auto"/>
          </w:tcPr>
          <w:p w14:paraId="178DA21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(15,435)</w:t>
            </w:r>
          </w:p>
        </w:tc>
      </w:tr>
      <w:tr w:rsidR="00711D9A" w:rsidRPr="00B84B0C" w14:paraId="37DE535A"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2E3D078C"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Adminstrative</w:t>
            </w:r>
            <w:proofErr w:type="spellEnd"/>
            <w:r w:rsidRPr="00B84B0C">
              <w:rPr>
                <w:rFonts w:cs="Arial"/>
                <w:b w:val="0"/>
                <w:szCs w:val="14"/>
              </w:rPr>
              <w:t xml:space="preserve"> </w:t>
            </w:r>
            <w:proofErr w:type="spellStart"/>
            <w:r w:rsidRPr="00B84B0C">
              <w:rPr>
                <w:rFonts w:cs="Arial"/>
                <w:b w:val="0"/>
                <w:szCs w:val="14"/>
              </w:rPr>
              <w:t>expenses</w:t>
            </w:r>
            <w:proofErr w:type="spellEnd"/>
          </w:p>
        </w:tc>
        <w:tc>
          <w:tcPr>
            <w:tcW w:w="1240" w:type="dxa"/>
            <w:tcBorders>
              <w:top w:val="nil"/>
              <w:bottom w:val="nil"/>
            </w:tcBorders>
            <w:shd w:val="clear" w:color="auto" w:fill="D9E2F3"/>
          </w:tcPr>
          <w:p w14:paraId="765743D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(2,069)</w:t>
            </w:r>
          </w:p>
        </w:tc>
        <w:tc>
          <w:tcPr>
            <w:tcW w:w="1240" w:type="dxa"/>
            <w:tcBorders>
              <w:top w:val="nil"/>
              <w:bottom w:val="nil"/>
            </w:tcBorders>
            <w:shd w:val="clear" w:color="auto" w:fill="D9E2F3"/>
          </w:tcPr>
          <w:p w14:paraId="0CD1D7D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(3,341)</w:t>
            </w:r>
          </w:p>
        </w:tc>
        <w:tc>
          <w:tcPr>
            <w:tcW w:w="1240" w:type="dxa"/>
            <w:tcBorders>
              <w:top w:val="nil"/>
              <w:bottom w:val="nil"/>
            </w:tcBorders>
            <w:shd w:val="clear" w:color="auto" w:fill="D9E2F3"/>
          </w:tcPr>
          <w:p w14:paraId="6950F83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49" w:type="dxa"/>
            <w:tcBorders>
              <w:top w:val="nil"/>
              <w:bottom w:val="nil"/>
            </w:tcBorders>
            <w:shd w:val="clear" w:color="auto" w:fill="D9E2F3"/>
          </w:tcPr>
          <w:p w14:paraId="6250266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(5,410)</w:t>
            </w:r>
          </w:p>
        </w:tc>
      </w:tr>
      <w:tr w:rsidR="00711D9A" w:rsidRPr="00B84B0C" w14:paraId="57B4E990"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auto"/>
          </w:tcPr>
          <w:p w14:paraId="673068ED"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expenses</w:t>
            </w:r>
            <w:proofErr w:type="spellEnd"/>
          </w:p>
        </w:tc>
        <w:tc>
          <w:tcPr>
            <w:tcW w:w="1240" w:type="dxa"/>
            <w:tcBorders>
              <w:top w:val="nil"/>
              <w:bottom w:val="nil"/>
            </w:tcBorders>
            <w:shd w:val="clear" w:color="auto" w:fill="auto"/>
          </w:tcPr>
          <w:p w14:paraId="4736460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(3,333)</w:t>
            </w:r>
          </w:p>
        </w:tc>
        <w:tc>
          <w:tcPr>
            <w:tcW w:w="1240" w:type="dxa"/>
            <w:tcBorders>
              <w:top w:val="nil"/>
              <w:bottom w:val="nil"/>
            </w:tcBorders>
            <w:shd w:val="clear" w:color="auto" w:fill="auto"/>
          </w:tcPr>
          <w:p w14:paraId="0828828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(1,006)</w:t>
            </w:r>
          </w:p>
        </w:tc>
        <w:tc>
          <w:tcPr>
            <w:tcW w:w="1240" w:type="dxa"/>
            <w:tcBorders>
              <w:top w:val="nil"/>
              <w:bottom w:val="nil"/>
            </w:tcBorders>
            <w:shd w:val="clear" w:color="auto" w:fill="auto"/>
          </w:tcPr>
          <w:p w14:paraId="15238F8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49" w:type="dxa"/>
            <w:tcBorders>
              <w:top w:val="nil"/>
              <w:bottom w:val="nil"/>
            </w:tcBorders>
            <w:shd w:val="clear" w:color="auto" w:fill="auto"/>
          </w:tcPr>
          <w:p w14:paraId="1045901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(4,339)</w:t>
            </w:r>
          </w:p>
        </w:tc>
      </w:tr>
      <w:tr w:rsidR="00711D9A" w:rsidRPr="00B84B0C" w14:paraId="183478E8"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52713026" w14:textId="77777777" w:rsidR="00711D9A" w:rsidRPr="00B84B0C" w:rsidRDefault="00711D9A" w:rsidP="00711D9A">
            <w:pPr>
              <w:pStyle w:val="08-Tabelageral"/>
              <w:ind w:left="113"/>
              <w:jc w:val="left"/>
              <w:rPr>
                <w:rFonts w:cs="Arial"/>
                <w:b w:val="0"/>
                <w:szCs w:val="14"/>
              </w:rPr>
            </w:pPr>
            <w:r w:rsidRPr="00B84B0C">
              <w:rPr>
                <w:rFonts w:cs="Arial"/>
                <w:b w:val="0"/>
                <w:szCs w:val="14"/>
              </w:rPr>
              <w:t>Other</w:t>
            </w:r>
          </w:p>
        </w:tc>
        <w:tc>
          <w:tcPr>
            <w:tcW w:w="1240" w:type="dxa"/>
            <w:tcBorders>
              <w:top w:val="nil"/>
              <w:bottom w:val="nil"/>
            </w:tcBorders>
            <w:shd w:val="clear" w:color="auto" w:fill="D9E2F3"/>
          </w:tcPr>
          <w:p w14:paraId="5B50FEC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(5,152)</w:t>
            </w:r>
          </w:p>
        </w:tc>
        <w:tc>
          <w:tcPr>
            <w:tcW w:w="1240" w:type="dxa"/>
            <w:tcBorders>
              <w:top w:val="nil"/>
              <w:bottom w:val="nil"/>
            </w:tcBorders>
            <w:shd w:val="clear" w:color="auto" w:fill="D9E2F3"/>
          </w:tcPr>
          <w:p w14:paraId="4D4B752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(1,383)</w:t>
            </w:r>
          </w:p>
        </w:tc>
        <w:tc>
          <w:tcPr>
            <w:tcW w:w="1240" w:type="dxa"/>
            <w:tcBorders>
              <w:top w:val="nil"/>
              <w:bottom w:val="nil"/>
            </w:tcBorders>
            <w:shd w:val="clear" w:color="auto" w:fill="D9E2F3"/>
          </w:tcPr>
          <w:p w14:paraId="62DB51D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49" w:type="dxa"/>
            <w:tcBorders>
              <w:top w:val="nil"/>
              <w:bottom w:val="nil"/>
            </w:tcBorders>
            <w:shd w:val="clear" w:color="auto" w:fill="D9E2F3"/>
          </w:tcPr>
          <w:p w14:paraId="12DF365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(6,535)</w:t>
            </w:r>
          </w:p>
        </w:tc>
      </w:tr>
      <w:tr w:rsidR="00711D9A" w:rsidRPr="00B84B0C" w14:paraId="7B1CBAC4"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auto"/>
          </w:tcPr>
          <w:p w14:paraId="300F12D5" w14:textId="77777777" w:rsidR="00711D9A" w:rsidRPr="00B84B0C" w:rsidRDefault="00711D9A" w:rsidP="00711D9A">
            <w:pPr>
              <w:pStyle w:val="08-Tabelageral"/>
              <w:jc w:val="left"/>
              <w:rPr>
                <w:rFonts w:cs="Arial"/>
                <w:szCs w:val="14"/>
                <w:lang w:val="en-US"/>
              </w:rPr>
            </w:pPr>
            <w:r w:rsidRPr="00B84B0C">
              <w:rPr>
                <w:rFonts w:cs="Arial"/>
                <w:szCs w:val="14"/>
                <w:lang w:val="en-US"/>
              </w:rPr>
              <w:t>INCOME BEFORE FINANCIAL REVENUE AND EXPENSES</w:t>
            </w:r>
          </w:p>
        </w:tc>
        <w:tc>
          <w:tcPr>
            <w:tcW w:w="1240" w:type="dxa"/>
            <w:tcBorders>
              <w:top w:val="nil"/>
              <w:bottom w:val="nil"/>
            </w:tcBorders>
            <w:shd w:val="clear" w:color="auto" w:fill="auto"/>
          </w:tcPr>
          <w:p w14:paraId="4D5231D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1,246,142</w:t>
            </w:r>
          </w:p>
        </w:tc>
        <w:tc>
          <w:tcPr>
            <w:tcW w:w="1240" w:type="dxa"/>
            <w:tcBorders>
              <w:top w:val="nil"/>
              <w:bottom w:val="nil"/>
            </w:tcBorders>
            <w:shd w:val="clear" w:color="auto" w:fill="auto"/>
          </w:tcPr>
          <w:p w14:paraId="654F1BB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714,284</w:t>
            </w:r>
          </w:p>
        </w:tc>
        <w:tc>
          <w:tcPr>
            <w:tcW w:w="1240" w:type="dxa"/>
            <w:tcBorders>
              <w:top w:val="nil"/>
              <w:bottom w:val="nil"/>
            </w:tcBorders>
            <w:shd w:val="clear" w:color="auto" w:fill="auto"/>
          </w:tcPr>
          <w:p w14:paraId="26E6F2B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(868,229)</w:t>
            </w:r>
          </w:p>
        </w:tc>
        <w:tc>
          <w:tcPr>
            <w:tcW w:w="1349" w:type="dxa"/>
            <w:tcBorders>
              <w:top w:val="nil"/>
              <w:bottom w:val="nil"/>
            </w:tcBorders>
            <w:shd w:val="clear" w:color="auto" w:fill="auto"/>
          </w:tcPr>
          <w:p w14:paraId="04F9B83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1,092,197</w:t>
            </w:r>
          </w:p>
        </w:tc>
      </w:tr>
      <w:tr w:rsidR="00711D9A" w:rsidRPr="00B84B0C" w14:paraId="4C795523"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1835F887" w14:textId="77777777" w:rsidR="00711D9A" w:rsidRPr="00B84B0C" w:rsidRDefault="00711D9A" w:rsidP="00711D9A">
            <w:pPr>
              <w:pStyle w:val="08-Tabelageral"/>
              <w:jc w:val="left"/>
              <w:rPr>
                <w:rFonts w:cs="Arial"/>
                <w:szCs w:val="14"/>
              </w:rPr>
            </w:pPr>
            <w:r w:rsidRPr="00B84B0C">
              <w:rPr>
                <w:rFonts w:cs="Arial"/>
                <w:szCs w:val="14"/>
              </w:rPr>
              <w:t>FINANCIAL RESULT</w:t>
            </w:r>
          </w:p>
        </w:tc>
        <w:tc>
          <w:tcPr>
            <w:tcW w:w="1240" w:type="dxa"/>
            <w:tcBorders>
              <w:top w:val="nil"/>
              <w:bottom w:val="nil"/>
            </w:tcBorders>
            <w:shd w:val="clear" w:color="auto" w:fill="D9E2F3"/>
          </w:tcPr>
          <w:p w14:paraId="698C085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34,220</w:t>
            </w:r>
          </w:p>
        </w:tc>
        <w:tc>
          <w:tcPr>
            <w:tcW w:w="1240" w:type="dxa"/>
            <w:tcBorders>
              <w:top w:val="nil"/>
              <w:bottom w:val="nil"/>
            </w:tcBorders>
            <w:shd w:val="clear" w:color="auto" w:fill="D9E2F3"/>
          </w:tcPr>
          <w:p w14:paraId="3C27EAE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12,490</w:t>
            </w:r>
          </w:p>
        </w:tc>
        <w:tc>
          <w:tcPr>
            <w:tcW w:w="1240" w:type="dxa"/>
            <w:tcBorders>
              <w:top w:val="nil"/>
              <w:bottom w:val="nil"/>
            </w:tcBorders>
            <w:shd w:val="clear" w:color="auto" w:fill="D9E2F3"/>
          </w:tcPr>
          <w:p w14:paraId="626AC9A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49" w:type="dxa"/>
            <w:tcBorders>
              <w:top w:val="nil"/>
              <w:bottom w:val="nil"/>
            </w:tcBorders>
            <w:shd w:val="clear" w:color="auto" w:fill="D9E2F3"/>
          </w:tcPr>
          <w:p w14:paraId="35C7C91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46,710</w:t>
            </w:r>
          </w:p>
        </w:tc>
      </w:tr>
      <w:tr w:rsidR="00711D9A" w:rsidRPr="00B84B0C" w14:paraId="300A8E89"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auto"/>
          </w:tcPr>
          <w:p w14:paraId="65C3EFE3" w14:textId="77777777" w:rsidR="00711D9A" w:rsidRPr="00B84B0C" w:rsidRDefault="00711D9A" w:rsidP="00711D9A">
            <w:pPr>
              <w:pStyle w:val="08-Tabelageral"/>
              <w:ind w:left="113"/>
              <w:jc w:val="left"/>
              <w:rPr>
                <w:rFonts w:cs="Arial"/>
                <w:b w:val="0"/>
                <w:szCs w:val="14"/>
              </w:rPr>
            </w:pPr>
            <w:r w:rsidRPr="00B84B0C">
              <w:rPr>
                <w:rFonts w:cs="Arial"/>
                <w:b w:val="0"/>
                <w:szCs w:val="14"/>
              </w:rPr>
              <w:t xml:space="preserve">Financial </w:t>
            </w:r>
            <w:proofErr w:type="spellStart"/>
            <w:r w:rsidRPr="00B84B0C">
              <w:rPr>
                <w:rFonts w:cs="Arial"/>
                <w:b w:val="0"/>
                <w:szCs w:val="14"/>
              </w:rPr>
              <w:t>revenue</w:t>
            </w:r>
            <w:proofErr w:type="spellEnd"/>
          </w:p>
        </w:tc>
        <w:tc>
          <w:tcPr>
            <w:tcW w:w="1240" w:type="dxa"/>
            <w:tcBorders>
              <w:top w:val="nil"/>
              <w:bottom w:val="nil"/>
            </w:tcBorders>
            <w:shd w:val="clear" w:color="auto" w:fill="auto"/>
          </w:tcPr>
          <w:p w14:paraId="28D6BEF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63,899</w:t>
            </w:r>
          </w:p>
        </w:tc>
        <w:tc>
          <w:tcPr>
            <w:tcW w:w="1240" w:type="dxa"/>
            <w:tcBorders>
              <w:top w:val="nil"/>
              <w:bottom w:val="nil"/>
            </w:tcBorders>
            <w:shd w:val="clear" w:color="auto" w:fill="auto"/>
          </w:tcPr>
          <w:p w14:paraId="5167F77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20,553</w:t>
            </w:r>
          </w:p>
        </w:tc>
        <w:tc>
          <w:tcPr>
            <w:tcW w:w="1240" w:type="dxa"/>
            <w:tcBorders>
              <w:top w:val="nil"/>
              <w:bottom w:val="nil"/>
            </w:tcBorders>
            <w:shd w:val="clear" w:color="auto" w:fill="auto"/>
          </w:tcPr>
          <w:p w14:paraId="1C8DA13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(11,229)</w:t>
            </w:r>
          </w:p>
        </w:tc>
        <w:tc>
          <w:tcPr>
            <w:tcW w:w="1349" w:type="dxa"/>
            <w:tcBorders>
              <w:top w:val="nil"/>
              <w:bottom w:val="nil"/>
            </w:tcBorders>
            <w:shd w:val="clear" w:color="auto" w:fill="auto"/>
          </w:tcPr>
          <w:p w14:paraId="006EA70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73,223</w:t>
            </w:r>
          </w:p>
        </w:tc>
      </w:tr>
      <w:tr w:rsidR="00711D9A" w:rsidRPr="00B84B0C" w14:paraId="102402E3"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200AF331" w14:textId="77777777" w:rsidR="00711D9A" w:rsidRPr="00B84B0C" w:rsidRDefault="00711D9A" w:rsidP="00711D9A">
            <w:pPr>
              <w:pStyle w:val="08-Tabelageral"/>
              <w:ind w:left="113"/>
              <w:jc w:val="left"/>
              <w:rPr>
                <w:rFonts w:cs="Arial"/>
                <w:b w:val="0"/>
                <w:szCs w:val="14"/>
              </w:rPr>
            </w:pPr>
            <w:r w:rsidRPr="00B84B0C">
              <w:rPr>
                <w:rFonts w:cs="Arial"/>
                <w:b w:val="0"/>
                <w:szCs w:val="14"/>
              </w:rPr>
              <w:t xml:space="preserve">Financial </w:t>
            </w:r>
            <w:proofErr w:type="spellStart"/>
            <w:r w:rsidRPr="00B84B0C">
              <w:rPr>
                <w:rFonts w:cs="Arial"/>
                <w:b w:val="0"/>
                <w:szCs w:val="14"/>
              </w:rPr>
              <w:t>expenses</w:t>
            </w:r>
            <w:proofErr w:type="spellEnd"/>
          </w:p>
        </w:tc>
        <w:tc>
          <w:tcPr>
            <w:tcW w:w="1240" w:type="dxa"/>
            <w:tcBorders>
              <w:top w:val="nil"/>
              <w:bottom w:val="nil"/>
            </w:tcBorders>
            <w:shd w:val="clear" w:color="auto" w:fill="D9E2F3"/>
          </w:tcPr>
          <w:p w14:paraId="5F20607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(29,678)</w:t>
            </w:r>
          </w:p>
        </w:tc>
        <w:tc>
          <w:tcPr>
            <w:tcW w:w="1240" w:type="dxa"/>
            <w:tcBorders>
              <w:top w:val="nil"/>
              <w:bottom w:val="nil"/>
            </w:tcBorders>
            <w:shd w:val="clear" w:color="auto" w:fill="D9E2F3"/>
          </w:tcPr>
          <w:p w14:paraId="7821F6F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(8,064)</w:t>
            </w:r>
          </w:p>
        </w:tc>
        <w:tc>
          <w:tcPr>
            <w:tcW w:w="1240" w:type="dxa"/>
            <w:tcBorders>
              <w:top w:val="nil"/>
              <w:bottom w:val="nil"/>
            </w:tcBorders>
            <w:shd w:val="clear" w:color="auto" w:fill="D9E2F3"/>
          </w:tcPr>
          <w:p w14:paraId="4A0BF3D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11,229</w:t>
            </w:r>
          </w:p>
        </w:tc>
        <w:tc>
          <w:tcPr>
            <w:tcW w:w="1349" w:type="dxa"/>
            <w:tcBorders>
              <w:top w:val="nil"/>
              <w:bottom w:val="nil"/>
            </w:tcBorders>
            <w:shd w:val="clear" w:color="auto" w:fill="D9E2F3"/>
          </w:tcPr>
          <w:p w14:paraId="47973DA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(26,513)</w:t>
            </w:r>
          </w:p>
        </w:tc>
      </w:tr>
      <w:tr w:rsidR="00711D9A" w:rsidRPr="00B84B0C" w14:paraId="3899B892"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auto"/>
          </w:tcPr>
          <w:p w14:paraId="508F772F" w14:textId="77777777" w:rsidR="00711D9A" w:rsidRPr="00B84B0C" w:rsidRDefault="00711D9A" w:rsidP="00711D9A">
            <w:pPr>
              <w:pStyle w:val="08-Tabelageral"/>
              <w:jc w:val="left"/>
              <w:rPr>
                <w:rFonts w:cs="Arial"/>
                <w:bCs w:val="0"/>
                <w:szCs w:val="14"/>
                <w:lang w:val="en-US"/>
              </w:rPr>
            </w:pPr>
            <w:r w:rsidRPr="00B84B0C">
              <w:rPr>
                <w:rFonts w:cs="Arial"/>
                <w:szCs w:val="14"/>
                <w:lang w:val="en-US"/>
              </w:rPr>
              <w:t>INCOME BEFORE TAXES AND EQUITIES</w:t>
            </w:r>
          </w:p>
        </w:tc>
        <w:tc>
          <w:tcPr>
            <w:tcW w:w="1240" w:type="dxa"/>
            <w:tcBorders>
              <w:top w:val="nil"/>
              <w:bottom w:val="nil"/>
            </w:tcBorders>
            <w:shd w:val="clear" w:color="auto" w:fill="auto"/>
          </w:tcPr>
          <w:p w14:paraId="2ADC332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1,280,363</w:t>
            </w:r>
          </w:p>
        </w:tc>
        <w:tc>
          <w:tcPr>
            <w:tcW w:w="1240" w:type="dxa"/>
            <w:tcBorders>
              <w:top w:val="nil"/>
              <w:bottom w:val="nil"/>
            </w:tcBorders>
            <w:shd w:val="clear" w:color="auto" w:fill="auto"/>
          </w:tcPr>
          <w:p w14:paraId="5CA3E47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726,773</w:t>
            </w:r>
          </w:p>
        </w:tc>
        <w:tc>
          <w:tcPr>
            <w:tcW w:w="1240" w:type="dxa"/>
            <w:tcBorders>
              <w:top w:val="nil"/>
              <w:bottom w:val="nil"/>
            </w:tcBorders>
            <w:shd w:val="clear" w:color="auto" w:fill="auto"/>
          </w:tcPr>
          <w:p w14:paraId="167FAB8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(868,229)</w:t>
            </w:r>
          </w:p>
        </w:tc>
        <w:tc>
          <w:tcPr>
            <w:tcW w:w="1349" w:type="dxa"/>
            <w:tcBorders>
              <w:top w:val="nil"/>
              <w:bottom w:val="nil"/>
            </w:tcBorders>
            <w:shd w:val="clear" w:color="auto" w:fill="auto"/>
          </w:tcPr>
          <w:p w14:paraId="3AE32F4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1,138,907</w:t>
            </w:r>
          </w:p>
        </w:tc>
      </w:tr>
      <w:tr w:rsidR="00711D9A" w:rsidRPr="00B84B0C" w14:paraId="7D4C7ACB" w14:textId="77777777" w:rsidTr="00711D9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7C4A8397" w14:textId="77777777" w:rsidR="00711D9A" w:rsidRPr="00B84B0C" w:rsidRDefault="00711D9A" w:rsidP="00711D9A">
            <w:pPr>
              <w:pStyle w:val="08-Tabelageral"/>
              <w:ind w:left="113"/>
              <w:jc w:val="left"/>
              <w:rPr>
                <w:rFonts w:cs="Arial"/>
                <w:b w:val="0"/>
                <w:szCs w:val="14"/>
                <w:lang w:val="en-US"/>
              </w:rPr>
            </w:pPr>
            <w:r w:rsidRPr="00B84B0C">
              <w:rPr>
                <w:rFonts w:cs="Arial"/>
                <w:b w:val="0"/>
                <w:szCs w:val="14"/>
                <w:lang w:val="en-US"/>
              </w:rPr>
              <w:t>INCOME TAX AND SOCIAL CONTRIBUTION</w:t>
            </w:r>
          </w:p>
        </w:tc>
        <w:tc>
          <w:tcPr>
            <w:tcW w:w="1240" w:type="dxa"/>
            <w:tcBorders>
              <w:top w:val="nil"/>
              <w:bottom w:val="nil"/>
            </w:tcBorders>
            <w:shd w:val="clear" w:color="auto" w:fill="D9E2F3"/>
          </w:tcPr>
          <w:p w14:paraId="51A72DC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(7,545)</w:t>
            </w:r>
          </w:p>
        </w:tc>
        <w:tc>
          <w:tcPr>
            <w:tcW w:w="1240" w:type="dxa"/>
            <w:tcBorders>
              <w:top w:val="nil"/>
              <w:bottom w:val="nil"/>
            </w:tcBorders>
            <w:shd w:val="clear" w:color="auto" w:fill="D9E2F3"/>
          </w:tcPr>
          <w:p w14:paraId="15949AF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(248,641)</w:t>
            </w:r>
          </w:p>
        </w:tc>
        <w:tc>
          <w:tcPr>
            <w:tcW w:w="1240" w:type="dxa"/>
            <w:tcBorders>
              <w:top w:val="nil"/>
              <w:bottom w:val="nil"/>
            </w:tcBorders>
            <w:shd w:val="clear" w:color="auto" w:fill="D9E2F3"/>
          </w:tcPr>
          <w:p w14:paraId="010AB86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49" w:type="dxa"/>
            <w:tcBorders>
              <w:top w:val="nil"/>
              <w:bottom w:val="nil"/>
            </w:tcBorders>
            <w:shd w:val="clear" w:color="auto" w:fill="D9E2F3"/>
          </w:tcPr>
          <w:p w14:paraId="134FF3E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(256,186)</w:t>
            </w:r>
          </w:p>
        </w:tc>
      </w:tr>
      <w:tr w:rsidR="00711D9A" w:rsidRPr="00B84B0C" w14:paraId="5A28EE3C" w14:textId="77777777" w:rsidTr="00711D9A">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single" w:sz="2" w:space="0" w:color="8EAADB" w:themeColor="accent5" w:themeTint="99"/>
            </w:tcBorders>
            <w:shd w:val="clear" w:color="auto" w:fill="auto"/>
            <w:vAlign w:val="center"/>
          </w:tcPr>
          <w:p w14:paraId="7A0FCAF2" w14:textId="77777777" w:rsidR="00711D9A" w:rsidRPr="00B84B0C" w:rsidRDefault="00711D9A" w:rsidP="00711D9A">
            <w:pPr>
              <w:pStyle w:val="08-Tabelageral"/>
              <w:jc w:val="left"/>
              <w:rPr>
                <w:rFonts w:cs="Arial"/>
                <w:bCs w:val="0"/>
                <w:szCs w:val="14"/>
                <w:lang w:val="en-US"/>
              </w:rPr>
            </w:pPr>
            <w:r w:rsidRPr="00B84B0C">
              <w:rPr>
                <w:rFonts w:cs="Arial"/>
                <w:szCs w:val="14"/>
                <w:lang w:val="en-US"/>
              </w:rPr>
              <w:t>NET INCOME FOR THE PERIOD</w:t>
            </w:r>
          </w:p>
        </w:tc>
        <w:tc>
          <w:tcPr>
            <w:tcW w:w="1240" w:type="dxa"/>
            <w:tcBorders>
              <w:top w:val="nil"/>
              <w:bottom w:val="single" w:sz="2" w:space="0" w:color="8EAADB" w:themeColor="accent5" w:themeTint="99"/>
            </w:tcBorders>
            <w:shd w:val="clear" w:color="auto" w:fill="auto"/>
          </w:tcPr>
          <w:p w14:paraId="4AE99EA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1,272,818</w:t>
            </w:r>
          </w:p>
        </w:tc>
        <w:tc>
          <w:tcPr>
            <w:tcW w:w="1240" w:type="dxa"/>
            <w:tcBorders>
              <w:top w:val="nil"/>
              <w:bottom w:val="single" w:sz="2" w:space="0" w:color="8EAADB" w:themeColor="accent5" w:themeTint="99"/>
            </w:tcBorders>
            <w:shd w:val="clear" w:color="auto" w:fill="auto"/>
          </w:tcPr>
          <w:p w14:paraId="7F772B9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478,132</w:t>
            </w:r>
          </w:p>
        </w:tc>
        <w:tc>
          <w:tcPr>
            <w:tcW w:w="1240" w:type="dxa"/>
            <w:tcBorders>
              <w:top w:val="nil"/>
              <w:bottom w:val="single" w:sz="2" w:space="0" w:color="8EAADB" w:themeColor="accent5" w:themeTint="99"/>
            </w:tcBorders>
            <w:shd w:val="clear" w:color="auto" w:fill="auto"/>
          </w:tcPr>
          <w:p w14:paraId="19CFA33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(868,229)</w:t>
            </w:r>
          </w:p>
        </w:tc>
        <w:tc>
          <w:tcPr>
            <w:tcW w:w="1349" w:type="dxa"/>
            <w:tcBorders>
              <w:top w:val="nil"/>
              <w:bottom w:val="single" w:sz="2" w:space="0" w:color="8EAADB" w:themeColor="accent5" w:themeTint="99"/>
            </w:tcBorders>
            <w:shd w:val="clear" w:color="auto" w:fill="auto"/>
          </w:tcPr>
          <w:p w14:paraId="4DB5FFF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882,721</w:t>
            </w:r>
          </w:p>
        </w:tc>
      </w:tr>
    </w:tbl>
    <w:p w14:paraId="6F484F48" w14:textId="77777777" w:rsidR="00711D9A" w:rsidRPr="00B84B0C" w:rsidRDefault="00711D9A" w:rsidP="00711D9A">
      <w:pPr>
        <w:spacing w:after="0"/>
        <w:jc w:val="right"/>
        <w:rPr>
          <w:rFonts w:cs="Arial"/>
          <w:b/>
          <w:sz w:val="14"/>
          <w:lang w:eastAsia="pt-BR"/>
        </w:rPr>
      </w:pPr>
    </w:p>
    <w:p w14:paraId="4416750B" w14:textId="77777777" w:rsidR="00711D9A" w:rsidRPr="00B84B0C" w:rsidRDefault="00711D9A">
      <w:pPr>
        <w:rPr>
          <w:rFonts w:cs="Arial"/>
          <w:b/>
          <w:sz w:val="14"/>
          <w:lang w:eastAsia="pt-BR"/>
        </w:rPr>
      </w:pPr>
      <w:r w:rsidRPr="00B84B0C">
        <w:rPr>
          <w:rFonts w:cs="Arial"/>
          <w:b/>
          <w:sz w:val="14"/>
          <w:lang w:eastAsia="pt-BR"/>
        </w:rPr>
        <w:br w:type="page"/>
      </w:r>
    </w:p>
    <w:p w14:paraId="2C94F273" w14:textId="77777777" w:rsidR="00711D9A" w:rsidRPr="00B84B0C" w:rsidRDefault="00711D9A" w:rsidP="00711D9A">
      <w:pPr>
        <w:spacing w:after="0"/>
        <w:jc w:val="right"/>
        <w:rPr>
          <w:rFonts w:cs="Arial"/>
          <w:b/>
          <w:sz w:val="14"/>
          <w:lang w:eastAsia="pt-BR"/>
        </w:rPr>
      </w:pPr>
    </w:p>
    <w:p w14:paraId="6925FC3E" w14:textId="77777777" w:rsidR="00711D9A" w:rsidRPr="00B84B0C" w:rsidRDefault="00711D9A" w:rsidP="00711D9A">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szCs w:val="18"/>
        </w:rPr>
        <w:t>thousand</w:t>
      </w:r>
      <w:proofErr w:type="spellEnd"/>
    </w:p>
    <w:tbl>
      <w:tblPr>
        <w:tblStyle w:val="TabeladeLista6Colorida-nfase510"/>
        <w:tblW w:w="9639" w:type="dxa"/>
        <w:tblInd w:w="108" w:type="dxa"/>
        <w:shd w:val="clear" w:color="auto" w:fill="D9E2F3"/>
        <w:tblLayout w:type="fixed"/>
        <w:tblLook w:val="04A0" w:firstRow="1" w:lastRow="0" w:firstColumn="1" w:lastColumn="0" w:noHBand="0" w:noVBand="1"/>
      </w:tblPr>
      <w:tblGrid>
        <w:gridCol w:w="4570"/>
        <w:gridCol w:w="1240"/>
        <w:gridCol w:w="1240"/>
        <w:gridCol w:w="1240"/>
        <w:gridCol w:w="1349"/>
      </w:tblGrid>
      <w:tr w:rsidR="00711D9A" w:rsidRPr="00B84B0C" w14:paraId="166E9090" w14:textId="77777777" w:rsidTr="00AC568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570" w:type="dxa"/>
            <w:tcBorders>
              <w:top w:val="single" w:sz="2" w:space="0" w:color="8EAADB" w:themeColor="accent5" w:themeTint="99"/>
              <w:bottom w:val="nil"/>
            </w:tcBorders>
            <w:shd w:val="clear" w:color="auto" w:fill="D9E2F3"/>
            <w:vAlign w:val="center"/>
          </w:tcPr>
          <w:p w14:paraId="714AC7E3" w14:textId="77777777" w:rsidR="00711D9A" w:rsidRPr="00B84B0C" w:rsidRDefault="00711D9A" w:rsidP="00711D9A">
            <w:pPr>
              <w:jc w:val="center"/>
              <w:rPr>
                <w:rFonts w:cs="Arial"/>
                <w:b w:val="0"/>
                <w:szCs w:val="18"/>
              </w:rPr>
            </w:pPr>
          </w:p>
        </w:tc>
        <w:tc>
          <w:tcPr>
            <w:tcW w:w="5069" w:type="dxa"/>
            <w:gridSpan w:val="4"/>
            <w:tcBorders>
              <w:top w:val="single" w:sz="2" w:space="0" w:color="8EAADB" w:themeColor="accent5" w:themeTint="99"/>
              <w:bottom w:val="single" w:sz="2" w:space="0" w:color="8EAADB" w:themeColor="accent5" w:themeTint="99"/>
            </w:tcBorders>
            <w:shd w:val="clear" w:color="auto" w:fill="D9E2F3"/>
            <w:vAlign w:val="center"/>
          </w:tcPr>
          <w:p w14:paraId="5CE348D9"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84B0C">
              <w:rPr>
                <w:rFonts w:cs="Arial"/>
                <w:sz w:val="14"/>
                <w:szCs w:val="18"/>
              </w:rPr>
              <w:t xml:space="preserve">1st </w:t>
            </w:r>
            <w:proofErr w:type="spellStart"/>
            <w:r w:rsidRPr="00B84B0C">
              <w:rPr>
                <w:rFonts w:cs="Arial"/>
                <w:sz w:val="14"/>
                <w:szCs w:val="18"/>
              </w:rPr>
              <w:t>Quarter</w:t>
            </w:r>
            <w:proofErr w:type="spellEnd"/>
            <w:r w:rsidRPr="00B84B0C">
              <w:rPr>
                <w:rFonts w:cs="Arial"/>
                <w:sz w:val="14"/>
                <w:szCs w:val="18"/>
              </w:rPr>
              <w:t xml:space="preserve"> 2019</w:t>
            </w:r>
          </w:p>
        </w:tc>
      </w:tr>
      <w:tr w:rsidR="00711D9A" w:rsidRPr="00B84B0C" w14:paraId="2819036F" w14:textId="77777777" w:rsidTr="00AC5680">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4570" w:type="dxa"/>
            <w:tcBorders>
              <w:top w:val="nil"/>
              <w:bottom w:val="single" w:sz="2" w:space="0" w:color="8EAADB" w:themeColor="accent5" w:themeTint="99"/>
            </w:tcBorders>
            <w:shd w:val="clear" w:color="auto" w:fill="D9E2F3"/>
          </w:tcPr>
          <w:p w14:paraId="2AACB516" w14:textId="77777777" w:rsidR="00711D9A" w:rsidRPr="00B84B0C" w:rsidRDefault="00711D9A" w:rsidP="00711D9A">
            <w:pPr>
              <w:pStyle w:val="08-Tabelageral"/>
              <w:jc w:val="left"/>
              <w:rPr>
                <w:rFonts w:cs="Arial"/>
                <w:b w:val="0"/>
              </w:rPr>
            </w:pPr>
          </w:p>
        </w:tc>
        <w:tc>
          <w:tcPr>
            <w:tcW w:w="1240" w:type="dxa"/>
            <w:tcBorders>
              <w:top w:val="single" w:sz="2" w:space="0" w:color="8EAADB" w:themeColor="accent5" w:themeTint="99"/>
              <w:bottom w:val="single" w:sz="2" w:space="0" w:color="8EAADB" w:themeColor="accent5" w:themeTint="99"/>
            </w:tcBorders>
            <w:shd w:val="clear" w:color="auto" w:fill="D9E2F3"/>
            <w:vAlign w:val="center"/>
          </w:tcPr>
          <w:p w14:paraId="3EABDF7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proofErr w:type="spellStart"/>
            <w:r w:rsidRPr="00B84B0C">
              <w:rPr>
                <w:rFonts w:cs="Arial"/>
                <w:b/>
                <w:sz w:val="12"/>
              </w:rPr>
              <w:t>Insurance</w:t>
            </w:r>
            <w:proofErr w:type="spellEnd"/>
          </w:p>
        </w:tc>
        <w:tc>
          <w:tcPr>
            <w:tcW w:w="1240" w:type="dxa"/>
            <w:tcBorders>
              <w:top w:val="single" w:sz="2" w:space="0" w:color="8EAADB" w:themeColor="accent5" w:themeTint="99"/>
              <w:bottom w:val="single" w:sz="2" w:space="0" w:color="8EAADB" w:themeColor="accent5" w:themeTint="99"/>
            </w:tcBorders>
            <w:shd w:val="clear" w:color="auto" w:fill="D9E2F3"/>
            <w:vAlign w:val="center"/>
          </w:tcPr>
          <w:p w14:paraId="62A997B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r w:rsidRPr="00B84B0C">
              <w:rPr>
                <w:rFonts w:cs="Arial"/>
                <w:b/>
                <w:sz w:val="12"/>
                <w:szCs w:val="12"/>
              </w:rPr>
              <w:t>Brokerage</w:t>
            </w:r>
            <w:proofErr w:type="spellEnd"/>
          </w:p>
        </w:tc>
        <w:tc>
          <w:tcPr>
            <w:tcW w:w="1240" w:type="dxa"/>
            <w:tcBorders>
              <w:top w:val="single" w:sz="2" w:space="0" w:color="8EAADB" w:themeColor="accent5" w:themeTint="99"/>
              <w:bottom w:val="single" w:sz="2" w:space="0" w:color="8EAADB" w:themeColor="accent5" w:themeTint="99"/>
            </w:tcBorders>
            <w:shd w:val="clear" w:color="auto" w:fill="D9E2F3"/>
            <w:vAlign w:val="center"/>
          </w:tcPr>
          <w:p w14:paraId="1F2E81D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proofErr w:type="spellStart"/>
            <w:r w:rsidRPr="00B84B0C">
              <w:rPr>
                <w:rFonts w:cs="Arial"/>
                <w:b/>
                <w:sz w:val="12"/>
              </w:rPr>
              <w:t>Intersegment</w:t>
            </w:r>
            <w:proofErr w:type="spellEnd"/>
            <w:r w:rsidRPr="00B84B0C">
              <w:rPr>
                <w:rFonts w:cs="Arial"/>
                <w:b/>
                <w:sz w:val="12"/>
              </w:rPr>
              <w:t xml:space="preserve"> </w:t>
            </w:r>
            <w:proofErr w:type="spellStart"/>
            <w:r w:rsidRPr="00B84B0C">
              <w:rPr>
                <w:rFonts w:cs="Arial"/>
                <w:b/>
                <w:sz w:val="12"/>
              </w:rPr>
              <w:t>transactions</w:t>
            </w:r>
            <w:proofErr w:type="spellEnd"/>
          </w:p>
        </w:tc>
        <w:tc>
          <w:tcPr>
            <w:tcW w:w="1349" w:type="dxa"/>
            <w:tcBorders>
              <w:top w:val="single" w:sz="2" w:space="0" w:color="8EAADB" w:themeColor="accent5" w:themeTint="99"/>
              <w:bottom w:val="single" w:sz="2" w:space="0" w:color="8EAADB" w:themeColor="accent5" w:themeTint="99"/>
            </w:tcBorders>
            <w:shd w:val="clear" w:color="auto" w:fill="D9E2F3"/>
            <w:vAlign w:val="center"/>
          </w:tcPr>
          <w:p w14:paraId="563771E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Total</w:t>
            </w:r>
          </w:p>
        </w:tc>
      </w:tr>
      <w:tr w:rsidR="00711D9A" w:rsidRPr="00B84B0C" w14:paraId="0EC8E0D0"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single" w:sz="2" w:space="0" w:color="8EAADB" w:themeColor="accent5" w:themeTint="99"/>
              <w:bottom w:val="nil"/>
            </w:tcBorders>
            <w:shd w:val="clear" w:color="auto" w:fill="FFFFFF" w:themeFill="background1"/>
          </w:tcPr>
          <w:p w14:paraId="62A5775D" w14:textId="77777777" w:rsidR="00711D9A" w:rsidRPr="00B84B0C" w:rsidRDefault="00711D9A" w:rsidP="00711D9A">
            <w:pPr>
              <w:pStyle w:val="08-Tabelageral"/>
              <w:jc w:val="left"/>
              <w:rPr>
                <w:rFonts w:cs="Arial"/>
                <w:bCs w:val="0"/>
                <w:szCs w:val="14"/>
              </w:rPr>
            </w:pPr>
            <w:r w:rsidRPr="00B84B0C">
              <w:rPr>
                <w:rFonts w:cs="Arial"/>
                <w:szCs w:val="14"/>
              </w:rPr>
              <w:t>OPERATING INCOME</w:t>
            </w:r>
          </w:p>
        </w:tc>
        <w:tc>
          <w:tcPr>
            <w:tcW w:w="1240" w:type="dxa"/>
            <w:tcBorders>
              <w:top w:val="single" w:sz="2" w:space="0" w:color="8EAADB" w:themeColor="accent5" w:themeTint="99"/>
              <w:bottom w:val="nil"/>
            </w:tcBorders>
            <w:shd w:val="clear" w:color="auto" w:fill="FFFFFF" w:themeFill="background1"/>
            <w:vAlign w:val="center"/>
          </w:tcPr>
          <w:p w14:paraId="00E113E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1,590,246</w:t>
            </w:r>
          </w:p>
        </w:tc>
        <w:tc>
          <w:tcPr>
            <w:tcW w:w="1240" w:type="dxa"/>
            <w:tcBorders>
              <w:top w:val="single" w:sz="2" w:space="0" w:color="8EAADB" w:themeColor="accent5" w:themeTint="99"/>
              <w:bottom w:val="nil"/>
            </w:tcBorders>
            <w:shd w:val="clear" w:color="auto" w:fill="FFFFFF" w:themeFill="background1"/>
            <w:vAlign w:val="center"/>
          </w:tcPr>
          <w:p w14:paraId="55C5A56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760,645</w:t>
            </w:r>
          </w:p>
        </w:tc>
        <w:tc>
          <w:tcPr>
            <w:tcW w:w="1240" w:type="dxa"/>
            <w:tcBorders>
              <w:top w:val="single" w:sz="2" w:space="0" w:color="8EAADB" w:themeColor="accent5" w:themeTint="99"/>
              <w:bottom w:val="nil"/>
            </w:tcBorders>
            <w:shd w:val="clear" w:color="auto" w:fill="FFFFFF" w:themeFill="background1"/>
            <w:vAlign w:val="center"/>
          </w:tcPr>
          <w:p w14:paraId="1A67B03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(1,002,039)</w:t>
            </w:r>
          </w:p>
        </w:tc>
        <w:tc>
          <w:tcPr>
            <w:tcW w:w="1349" w:type="dxa"/>
            <w:tcBorders>
              <w:top w:val="single" w:sz="2" w:space="0" w:color="8EAADB" w:themeColor="accent5" w:themeTint="99"/>
              <w:bottom w:val="nil"/>
            </w:tcBorders>
            <w:shd w:val="clear" w:color="auto" w:fill="FFFFFF" w:themeFill="background1"/>
            <w:vAlign w:val="center"/>
          </w:tcPr>
          <w:p w14:paraId="16DF478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1,348,852</w:t>
            </w:r>
          </w:p>
        </w:tc>
      </w:tr>
      <w:tr w:rsidR="00711D9A" w:rsidRPr="00B84B0C" w14:paraId="089B56F5"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4B655751"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Equity</w:t>
            </w:r>
            <w:proofErr w:type="spellEnd"/>
            <w:r w:rsidRPr="00B84B0C">
              <w:rPr>
                <w:rFonts w:cs="Arial"/>
                <w:b w:val="0"/>
                <w:szCs w:val="14"/>
              </w:rPr>
              <w:t xml:space="preserve"> income</w:t>
            </w:r>
          </w:p>
        </w:tc>
        <w:tc>
          <w:tcPr>
            <w:tcW w:w="1240" w:type="dxa"/>
            <w:tcBorders>
              <w:top w:val="nil"/>
              <w:bottom w:val="nil"/>
            </w:tcBorders>
            <w:shd w:val="clear" w:color="auto" w:fill="D9E2F3"/>
            <w:vAlign w:val="center"/>
          </w:tcPr>
          <w:p w14:paraId="09D38A6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1,590,246</w:t>
            </w:r>
          </w:p>
        </w:tc>
        <w:tc>
          <w:tcPr>
            <w:tcW w:w="1240" w:type="dxa"/>
            <w:tcBorders>
              <w:top w:val="nil"/>
              <w:bottom w:val="nil"/>
            </w:tcBorders>
            <w:shd w:val="clear" w:color="auto" w:fill="D9E2F3"/>
            <w:vAlign w:val="center"/>
          </w:tcPr>
          <w:p w14:paraId="1371724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(1,534)</w:t>
            </w:r>
          </w:p>
        </w:tc>
        <w:tc>
          <w:tcPr>
            <w:tcW w:w="1240" w:type="dxa"/>
            <w:tcBorders>
              <w:top w:val="nil"/>
              <w:bottom w:val="nil"/>
            </w:tcBorders>
            <w:shd w:val="clear" w:color="auto" w:fill="D9E2F3"/>
            <w:vAlign w:val="center"/>
          </w:tcPr>
          <w:p w14:paraId="023AC87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(1,002,039)</w:t>
            </w:r>
          </w:p>
        </w:tc>
        <w:tc>
          <w:tcPr>
            <w:tcW w:w="1349" w:type="dxa"/>
            <w:tcBorders>
              <w:top w:val="nil"/>
              <w:bottom w:val="nil"/>
            </w:tcBorders>
            <w:shd w:val="clear" w:color="auto" w:fill="D9E2F3"/>
            <w:vAlign w:val="center"/>
          </w:tcPr>
          <w:p w14:paraId="242A5F6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586,673</w:t>
            </w:r>
          </w:p>
        </w:tc>
      </w:tr>
      <w:tr w:rsidR="00711D9A" w:rsidRPr="00B84B0C" w14:paraId="40DF14BD"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FFFFFF" w:themeFill="background1"/>
          </w:tcPr>
          <w:p w14:paraId="4A639945"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Commissions</w:t>
            </w:r>
            <w:proofErr w:type="spellEnd"/>
            <w:r w:rsidRPr="00B84B0C">
              <w:rPr>
                <w:rFonts w:cs="Arial"/>
                <w:b w:val="0"/>
                <w:szCs w:val="14"/>
              </w:rPr>
              <w:t xml:space="preserve"> income</w:t>
            </w:r>
          </w:p>
        </w:tc>
        <w:tc>
          <w:tcPr>
            <w:tcW w:w="1240" w:type="dxa"/>
            <w:tcBorders>
              <w:top w:val="nil"/>
              <w:bottom w:val="nil"/>
            </w:tcBorders>
            <w:shd w:val="clear" w:color="auto" w:fill="FFFFFF" w:themeFill="background1"/>
            <w:vAlign w:val="center"/>
          </w:tcPr>
          <w:p w14:paraId="69FBC29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1240" w:type="dxa"/>
            <w:tcBorders>
              <w:top w:val="nil"/>
              <w:bottom w:val="nil"/>
            </w:tcBorders>
            <w:shd w:val="clear" w:color="auto" w:fill="FFFFFF" w:themeFill="background1"/>
            <w:vAlign w:val="center"/>
          </w:tcPr>
          <w:p w14:paraId="7A65ACA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762,179</w:t>
            </w:r>
          </w:p>
        </w:tc>
        <w:tc>
          <w:tcPr>
            <w:tcW w:w="1240" w:type="dxa"/>
            <w:tcBorders>
              <w:top w:val="nil"/>
              <w:bottom w:val="nil"/>
            </w:tcBorders>
            <w:shd w:val="clear" w:color="auto" w:fill="FFFFFF" w:themeFill="background1"/>
            <w:vAlign w:val="center"/>
          </w:tcPr>
          <w:p w14:paraId="299D04D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1349" w:type="dxa"/>
            <w:tcBorders>
              <w:top w:val="nil"/>
              <w:bottom w:val="nil"/>
            </w:tcBorders>
            <w:shd w:val="clear" w:color="auto" w:fill="FFFFFF" w:themeFill="background1"/>
            <w:vAlign w:val="center"/>
          </w:tcPr>
          <w:p w14:paraId="07CF904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762,179</w:t>
            </w:r>
          </w:p>
        </w:tc>
      </w:tr>
      <w:tr w:rsidR="00711D9A" w:rsidRPr="00B84B0C" w14:paraId="39BF0FA6"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492B76CB" w14:textId="77777777" w:rsidR="00711D9A" w:rsidRPr="00B84B0C" w:rsidRDefault="00711D9A" w:rsidP="00711D9A">
            <w:pPr>
              <w:pStyle w:val="08-Tabelageral"/>
              <w:ind w:left="113"/>
              <w:jc w:val="left"/>
              <w:rPr>
                <w:rFonts w:cs="Arial"/>
                <w:szCs w:val="14"/>
              </w:rPr>
            </w:pPr>
            <w:r w:rsidRPr="00B84B0C">
              <w:rPr>
                <w:rFonts w:cs="Arial"/>
                <w:szCs w:val="14"/>
              </w:rPr>
              <w:t>COST OF SERVICES PROVIDED</w:t>
            </w:r>
          </w:p>
        </w:tc>
        <w:tc>
          <w:tcPr>
            <w:tcW w:w="1240" w:type="dxa"/>
            <w:tcBorders>
              <w:top w:val="nil"/>
              <w:bottom w:val="nil"/>
            </w:tcBorders>
            <w:shd w:val="clear" w:color="auto" w:fill="D9E2F3"/>
            <w:vAlign w:val="center"/>
          </w:tcPr>
          <w:p w14:paraId="2379254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w:t>
            </w:r>
          </w:p>
        </w:tc>
        <w:tc>
          <w:tcPr>
            <w:tcW w:w="1240" w:type="dxa"/>
            <w:tcBorders>
              <w:top w:val="nil"/>
              <w:bottom w:val="nil"/>
            </w:tcBorders>
            <w:shd w:val="clear" w:color="auto" w:fill="D9E2F3"/>
            <w:vAlign w:val="center"/>
          </w:tcPr>
          <w:p w14:paraId="7999203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(43,667)</w:t>
            </w:r>
          </w:p>
        </w:tc>
        <w:tc>
          <w:tcPr>
            <w:tcW w:w="1240" w:type="dxa"/>
            <w:tcBorders>
              <w:top w:val="nil"/>
              <w:bottom w:val="nil"/>
            </w:tcBorders>
            <w:shd w:val="clear" w:color="auto" w:fill="D9E2F3"/>
            <w:vAlign w:val="center"/>
          </w:tcPr>
          <w:p w14:paraId="0274BF2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w:t>
            </w:r>
          </w:p>
        </w:tc>
        <w:tc>
          <w:tcPr>
            <w:tcW w:w="1349" w:type="dxa"/>
            <w:tcBorders>
              <w:top w:val="nil"/>
              <w:bottom w:val="nil"/>
            </w:tcBorders>
            <w:shd w:val="clear" w:color="auto" w:fill="D9E2F3"/>
            <w:vAlign w:val="center"/>
          </w:tcPr>
          <w:p w14:paraId="53D5523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(43,667)</w:t>
            </w:r>
          </w:p>
        </w:tc>
      </w:tr>
      <w:tr w:rsidR="00711D9A" w:rsidRPr="00B84B0C" w14:paraId="1CBB90BA"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FFFFFF" w:themeFill="background1"/>
          </w:tcPr>
          <w:p w14:paraId="71C828B8" w14:textId="77777777" w:rsidR="00711D9A" w:rsidRPr="00B84B0C" w:rsidRDefault="00711D9A" w:rsidP="00711D9A">
            <w:pPr>
              <w:pStyle w:val="08-Tabelageral"/>
              <w:jc w:val="left"/>
              <w:rPr>
                <w:rFonts w:cs="Arial"/>
                <w:szCs w:val="14"/>
              </w:rPr>
            </w:pPr>
            <w:r w:rsidRPr="00B84B0C">
              <w:rPr>
                <w:rFonts w:cs="Arial"/>
                <w:szCs w:val="14"/>
              </w:rPr>
              <w:t>GROSS PROFIT</w:t>
            </w:r>
          </w:p>
        </w:tc>
        <w:tc>
          <w:tcPr>
            <w:tcW w:w="1240" w:type="dxa"/>
            <w:tcBorders>
              <w:top w:val="nil"/>
              <w:bottom w:val="nil"/>
            </w:tcBorders>
            <w:shd w:val="clear" w:color="auto" w:fill="FFFFFF" w:themeFill="background1"/>
            <w:vAlign w:val="center"/>
          </w:tcPr>
          <w:p w14:paraId="26CF1DB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1,590,246</w:t>
            </w:r>
          </w:p>
        </w:tc>
        <w:tc>
          <w:tcPr>
            <w:tcW w:w="1240" w:type="dxa"/>
            <w:tcBorders>
              <w:top w:val="nil"/>
              <w:bottom w:val="nil"/>
            </w:tcBorders>
            <w:shd w:val="clear" w:color="auto" w:fill="FFFFFF" w:themeFill="background1"/>
            <w:vAlign w:val="center"/>
          </w:tcPr>
          <w:p w14:paraId="72B4E87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716,978</w:t>
            </w:r>
          </w:p>
        </w:tc>
        <w:tc>
          <w:tcPr>
            <w:tcW w:w="1240" w:type="dxa"/>
            <w:tcBorders>
              <w:top w:val="nil"/>
              <w:bottom w:val="nil"/>
            </w:tcBorders>
            <w:shd w:val="clear" w:color="auto" w:fill="FFFFFF" w:themeFill="background1"/>
            <w:vAlign w:val="center"/>
          </w:tcPr>
          <w:p w14:paraId="2146693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(1,002,039)</w:t>
            </w:r>
          </w:p>
        </w:tc>
        <w:tc>
          <w:tcPr>
            <w:tcW w:w="1349" w:type="dxa"/>
            <w:tcBorders>
              <w:top w:val="nil"/>
              <w:bottom w:val="nil"/>
            </w:tcBorders>
            <w:shd w:val="clear" w:color="auto" w:fill="FFFFFF" w:themeFill="background1"/>
            <w:vAlign w:val="center"/>
          </w:tcPr>
          <w:p w14:paraId="253FD42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1,305,185</w:t>
            </w:r>
          </w:p>
        </w:tc>
      </w:tr>
      <w:tr w:rsidR="00711D9A" w:rsidRPr="00B84B0C" w14:paraId="2CDEBB10"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62ABE2E5" w14:textId="77777777" w:rsidR="00711D9A" w:rsidRPr="00B84B0C" w:rsidRDefault="00711D9A" w:rsidP="00711D9A">
            <w:pPr>
              <w:pStyle w:val="08-Tabelageral"/>
              <w:jc w:val="left"/>
              <w:rPr>
                <w:rFonts w:cs="Arial"/>
                <w:bCs w:val="0"/>
                <w:szCs w:val="14"/>
              </w:rPr>
            </w:pPr>
            <w:r w:rsidRPr="00B84B0C">
              <w:rPr>
                <w:rFonts w:cs="Arial"/>
                <w:szCs w:val="14"/>
              </w:rPr>
              <w:t>OTHER INCOME AND EXPENSES</w:t>
            </w:r>
          </w:p>
        </w:tc>
        <w:tc>
          <w:tcPr>
            <w:tcW w:w="1240" w:type="dxa"/>
            <w:tcBorders>
              <w:top w:val="nil"/>
              <w:bottom w:val="nil"/>
            </w:tcBorders>
            <w:shd w:val="clear" w:color="auto" w:fill="D9E2F3"/>
            <w:vAlign w:val="center"/>
          </w:tcPr>
          <w:p w14:paraId="772C554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(9,624)</w:t>
            </w:r>
          </w:p>
        </w:tc>
        <w:tc>
          <w:tcPr>
            <w:tcW w:w="1240" w:type="dxa"/>
            <w:tcBorders>
              <w:top w:val="nil"/>
              <w:bottom w:val="nil"/>
            </w:tcBorders>
            <w:shd w:val="clear" w:color="auto" w:fill="D9E2F3"/>
            <w:vAlign w:val="center"/>
          </w:tcPr>
          <w:p w14:paraId="7AD0D98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(109,710)</w:t>
            </w:r>
          </w:p>
        </w:tc>
        <w:tc>
          <w:tcPr>
            <w:tcW w:w="1240" w:type="dxa"/>
            <w:tcBorders>
              <w:top w:val="nil"/>
              <w:bottom w:val="nil"/>
            </w:tcBorders>
            <w:shd w:val="clear" w:color="auto" w:fill="D9E2F3"/>
            <w:vAlign w:val="center"/>
          </w:tcPr>
          <w:p w14:paraId="39356A8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w:t>
            </w:r>
          </w:p>
        </w:tc>
        <w:tc>
          <w:tcPr>
            <w:tcW w:w="1349" w:type="dxa"/>
            <w:tcBorders>
              <w:top w:val="nil"/>
              <w:bottom w:val="nil"/>
            </w:tcBorders>
            <w:shd w:val="clear" w:color="auto" w:fill="D9E2F3"/>
            <w:vAlign w:val="center"/>
          </w:tcPr>
          <w:p w14:paraId="5143B0B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(119,334)</w:t>
            </w:r>
          </w:p>
        </w:tc>
      </w:tr>
      <w:tr w:rsidR="00711D9A" w:rsidRPr="00B84B0C" w14:paraId="1605382D"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FFFFFF" w:themeFill="background1"/>
          </w:tcPr>
          <w:p w14:paraId="77BB2E33"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Personnel</w:t>
            </w:r>
            <w:proofErr w:type="spellEnd"/>
            <w:r w:rsidRPr="00B84B0C">
              <w:rPr>
                <w:rFonts w:cs="Arial"/>
                <w:b w:val="0"/>
                <w:szCs w:val="14"/>
              </w:rPr>
              <w:t xml:space="preserve"> </w:t>
            </w:r>
            <w:proofErr w:type="spellStart"/>
            <w:r w:rsidRPr="00B84B0C">
              <w:rPr>
                <w:rFonts w:cs="Arial"/>
                <w:b w:val="0"/>
                <w:szCs w:val="14"/>
              </w:rPr>
              <w:t>expenses</w:t>
            </w:r>
            <w:proofErr w:type="spellEnd"/>
          </w:p>
        </w:tc>
        <w:tc>
          <w:tcPr>
            <w:tcW w:w="1240" w:type="dxa"/>
            <w:tcBorders>
              <w:top w:val="nil"/>
              <w:bottom w:val="nil"/>
            </w:tcBorders>
            <w:shd w:val="clear" w:color="auto" w:fill="FFFFFF" w:themeFill="background1"/>
            <w:vAlign w:val="center"/>
          </w:tcPr>
          <w:p w14:paraId="62E84F1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(5,066)</w:t>
            </w:r>
          </w:p>
        </w:tc>
        <w:tc>
          <w:tcPr>
            <w:tcW w:w="1240" w:type="dxa"/>
            <w:tcBorders>
              <w:top w:val="nil"/>
              <w:bottom w:val="nil"/>
            </w:tcBorders>
            <w:shd w:val="clear" w:color="auto" w:fill="FFFFFF" w:themeFill="background1"/>
            <w:vAlign w:val="center"/>
          </w:tcPr>
          <w:p w14:paraId="052FFDA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(8,062)</w:t>
            </w:r>
          </w:p>
        </w:tc>
        <w:tc>
          <w:tcPr>
            <w:tcW w:w="1240" w:type="dxa"/>
            <w:tcBorders>
              <w:top w:val="nil"/>
              <w:bottom w:val="nil"/>
            </w:tcBorders>
            <w:shd w:val="clear" w:color="auto" w:fill="FFFFFF" w:themeFill="background1"/>
            <w:vAlign w:val="center"/>
          </w:tcPr>
          <w:p w14:paraId="1D22BBA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1349" w:type="dxa"/>
            <w:tcBorders>
              <w:top w:val="nil"/>
              <w:bottom w:val="nil"/>
            </w:tcBorders>
            <w:shd w:val="clear" w:color="auto" w:fill="FFFFFF" w:themeFill="background1"/>
            <w:vAlign w:val="center"/>
          </w:tcPr>
          <w:p w14:paraId="588589D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(13,128)</w:t>
            </w:r>
          </w:p>
        </w:tc>
      </w:tr>
      <w:tr w:rsidR="00711D9A" w:rsidRPr="00B84B0C" w14:paraId="4C011E95"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6148C5A0"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Adminstrative</w:t>
            </w:r>
            <w:proofErr w:type="spellEnd"/>
            <w:r w:rsidRPr="00B84B0C">
              <w:rPr>
                <w:rFonts w:cs="Arial"/>
                <w:b w:val="0"/>
                <w:szCs w:val="14"/>
              </w:rPr>
              <w:t xml:space="preserve"> </w:t>
            </w:r>
            <w:proofErr w:type="spellStart"/>
            <w:r w:rsidRPr="00B84B0C">
              <w:rPr>
                <w:rFonts w:cs="Arial"/>
                <w:b w:val="0"/>
                <w:szCs w:val="14"/>
              </w:rPr>
              <w:t>expenses</w:t>
            </w:r>
            <w:proofErr w:type="spellEnd"/>
          </w:p>
        </w:tc>
        <w:tc>
          <w:tcPr>
            <w:tcW w:w="1240" w:type="dxa"/>
            <w:tcBorders>
              <w:top w:val="nil"/>
              <w:bottom w:val="nil"/>
            </w:tcBorders>
            <w:shd w:val="clear" w:color="auto" w:fill="D9E2F3"/>
            <w:vAlign w:val="center"/>
          </w:tcPr>
          <w:p w14:paraId="3FD27C9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(1,297)</w:t>
            </w:r>
          </w:p>
        </w:tc>
        <w:tc>
          <w:tcPr>
            <w:tcW w:w="1240" w:type="dxa"/>
            <w:tcBorders>
              <w:top w:val="nil"/>
              <w:bottom w:val="nil"/>
            </w:tcBorders>
            <w:shd w:val="clear" w:color="auto" w:fill="D9E2F3"/>
            <w:vAlign w:val="center"/>
          </w:tcPr>
          <w:p w14:paraId="0901A0A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(3,813)</w:t>
            </w:r>
          </w:p>
        </w:tc>
        <w:tc>
          <w:tcPr>
            <w:tcW w:w="1240" w:type="dxa"/>
            <w:tcBorders>
              <w:top w:val="nil"/>
              <w:bottom w:val="nil"/>
            </w:tcBorders>
            <w:shd w:val="clear" w:color="auto" w:fill="D9E2F3"/>
            <w:vAlign w:val="center"/>
          </w:tcPr>
          <w:p w14:paraId="1E7D795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w:t>
            </w:r>
          </w:p>
        </w:tc>
        <w:tc>
          <w:tcPr>
            <w:tcW w:w="1349" w:type="dxa"/>
            <w:tcBorders>
              <w:top w:val="nil"/>
              <w:bottom w:val="nil"/>
            </w:tcBorders>
            <w:shd w:val="clear" w:color="auto" w:fill="D9E2F3"/>
            <w:vAlign w:val="center"/>
          </w:tcPr>
          <w:p w14:paraId="4EA5DC4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(5,110)</w:t>
            </w:r>
          </w:p>
        </w:tc>
      </w:tr>
      <w:tr w:rsidR="00711D9A" w:rsidRPr="00B84B0C" w14:paraId="7F9BAE14"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FFFFFF" w:themeFill="background1"/>
          </w:tcPr>
          <w:p w14:paraId="61FF2533" w14:textId="77777777" w:rsidR="00711D9A" w:rsidRPr="00B84B0C" w:rsidRDefault="00711D9A" w:rsidP="00711D9A">
            <w:pPr>
              <w:pStyle w:val="08-Tabelageral"/>
              <w:ind w:left="113"/>
              <w:jc w:val="left"/>
              <w:rPr>
                <w:rFonts w:cs="Arial"/>
                <w:b w:val="0"/>
                <w:szCs w:val="14"/>
              </w:rPr>
            </w:pP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expenses</w:t>
            </w:r>
            <w:proofErr w:type="spellEnd"/>
          </w:p>
        </w:tc>
        <w:tc>
          <w:tcPr>
            <w:tcW w:w="1240" w:type="dxa"/>
            <w:tcBorders>
              <w:top w:val="nil"/>
              <w:bottom w:val="nil"/>
            </w:tcBorders>
            <w:shd w:val="clear" w:color="auto" w:fill="FFFFFF" w:themeFill="background1"/>
            <w:vAlign w:val="center"/>
          </w:tcPr>
          <w:p w14:paraId="1443050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(3,137)</w:t>
            </w:r>
          </w:p>
        </w:tc>
        <w:tc>
          <w:tcPr>
            <w:tcW w:w="1240" w:type="dxa"/>
            <w:tcBorders>
              <w:top w:val="nil"/>
              <w:bottom w:val="nil"/>
            </w:tcBorders>
            <w:shd w:val="clear" w:color="auto" w:fill="FFFFFF" w:themeFill="background1"/>
            <w:vAlign w:val="center"/>
          </w:tcPr>
          <w:p w14:paraId="6A24757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(95,307)</w:t>
            </w:r>
          </w:p>
        </w:tc>
        <w:tc>
          <w:tcPr>
            <w:tcW w:w="1240" w:type="dxa"/>
            <w:tcBorders>
              <w:top w:val="nil"/>
              <w:bottom w:val="nil"/>
            </w:tcBorders>
            <w:shd w:val="clear" w:color="auto" w:fill="FFFFFF" w:themeFill="background1"/>
            <w:vAlign w:val="center"/>
          </w:tcPr>
          <w:p w14:paraId="13BA6E1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1349" w:type="dxa"/>
            <w:tcBorders>
              <w:top w:val="nil"/>
              <w:bottom w:val="nil"/>
            </w:tcBorders>
            <w:shd w:val="clear" w:color="auto" w:fill="FFFFFF" w:themeFill="background1"/>
            <w:vAlign w:val="center"/>
          </w:tcPr>
          <w:p w14:paraId="721DE30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(98,444)</w:t>
            </w:r>
          </w:p>
        </w:tc>
      </w:tr>
      <w:tr w:rsidR="00711D9A" w:rsidRPr="00B84B0C" w14:paraId="4EB60489"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12721EFE" w14:textId="77777777" w:rsidR="00711D9A" w:rsidRPr="00B84B0C" w:rsidRDefault="00711D9A" w:rsidP="00711D9A">
            <w:pPr>
              <w:pStyle w:val="08-Tabelageral"/>
              <w:ind w:left="113"/>
              <w:jc w:val="left"/>
              <w:rPr>
                <w:rFonts w:cs="Arial"/>
                <w:b w:val="0"/>
                <w:szCs w:val="14"/>
              </w:rPr>
            </w:pPr>
            <w:r w:rsidRPr="00B84B0C">
              <w:rPr>
                <w:rFonts w:cs="Arial"/>
                <w:b w:val="0"/>
                <w:szCs w:val="14"/>
              </w:rPr>
              <w:t>Other</w:t>
            </w:r>
          </w:p>
        </w:tc>
        <w:tc>
          <w:tcPr>
            <w:tcW w:w="1240" w:type="dxa"/>
            <w:tcBorders>
              <w:top w:val="nil"/>
              <w:bottom w:val="nil"/>
            </w:tcBorders>
            <w:shd w:val="clear" w:color="auto" w:fill="D9E2F3"/>
            <w:vAlign w:val="center"/>
          </w:tcPr>
          <w:p w14:paraId="3F1BB52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(124)</w:t>
            </w:r>
          </w:p>
        </w:tc>
        <w:tc>
          <w:tcPr>
            <w:tcW w:w="1240" w:type="dxa"/>
            <w:tcBorders>
              <w:top w:val="nil"/>
              <w:bottom w:val="nil"/>
            </w:tcBorders>
            <w:shd w:val="clear" w:color="auto" w:fill="D9E2F3"/>
            <w:vAlign w:val="center"/>
          </w:tcPr>
          <w:p w14:paraId="2500E8C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(2,528)</w:t>
            </w:r>
          </w:p>
        </w:tc>
        <w:tc>
          <w:tcPr>
            <w:tcW w:w="1240" w:type="dxa"/>
            <w:tcBorders>
              <w:top w:val="nil"/>
              <w:bottom w:val="nil"/>
            </w:tcBorders>
            <w:shd w:val="clear" w:color="auto" w:fill="D9E2F3"/>
            <w:vAlign w:val="center"/>
          </w:tcPr>
          <w:p w14:paraId="2EEE740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w:t>
            </w:r>
          </w:p>
        </w:tc>
        <w:tc>
          <w:tcPr>
            <w:tcW w:w="1349" w:type="dxa"/>
            <w:tcBorders>
              <w:top w:val="nil"/>
              <w:bottom w:val="nil"/>
            </w:tcBorders>
            <w:shd w:val="clear" w:color="auto" w:fill="D9E2F3"/>
            <w:vAlign w:val="center"/>
          </w:tcPr>
          <w:p w14:paraId="0CE52B2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(2,652)</w:t>
            </w:r>
          </w:p>
        </w:tc>
      </w:tr>
      <w:tr w:rsidR="00711D9A" w:rsidRPr="00B84B0C" w14:paraId="519A0385"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FFFFFF" w:themeFill="background1"/>
          </w:tcPr>
          <w:p w14:paraId="37D8D589" w14:textId="77777777" w:rsidR="00711D9A" w:rsidRPr="00B84B0C" w:rsidRDefault="00711D9A" w:rsidP="00711D9A">
            <w:pPr>
              <w:pStyle w:val="08-Tabelageral"/>
              <w:jc w:val="left"/>
              <w:rPr>
                <w:rFonts w:cs="Arial"/>
                <w:szCs w:val="14"/>
                <w:lang w:val="en-US"/>
              </w:rPr>
            </w:pPr>
            <w:r w:rsidRPr="00B84B0C">
              <w:rPr>
                <w:rFonts w:cs="Arial"/>
                <w:szCs w:val="14"/>
                <w:lang w:val="en-US"/>
              </w:rPr>
              <w:t>INCOME BEFORE FINANCIAL REVENUE AND EXPENSES</w:t>
            </w:r>
          </w:p>
        </w:tc>
        <w:tc>
          <w:tcPr>
            <w:tcW w:w="1240" w:type="dxa"/>
            <w:tcBorders>
              <w:top w:val="nil"/>
              <w:bottom w:val="nil"/>
            </w:tcBorders>
            <w:shd w:val="clear" w:color="auto" w:fill="FFFFFF" w:themeFill="background1"/>
            <w:vAlign w:val="center"/>
          </w:tcPr>
          <w:p w14:paraId="1484B37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1,580,622</w:t>
            </w:r>
          </w:p>
        </w:tc>
        <w:tc>
          <w:tcPr>
            <w:tcW w:w="1240" w:type="dxa"/>
            <w:tcBorders>
              <w:top w:val="nil"/>
              <w:bottom w:val="nil"/>
            </w:tcBorders>
            <w:shd w:val="clear" w:color="auto" w:fill="FFFFFF" w:themeFill="background1"/>
            <w:vAlign w:val="center"/>
          </w:tcPr>
          <w:p w14:paraId="41E6067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607,268</w:t>
            </w:r>
          </w:p>
        </w:tc>
        <w:tc>
          <w:tcPr>
            <w:tcW w:w="1240" w:type="dxa"/>
            <w:tcBorders>
              <w:top w:val="nil"/>
              <w:bottom w:val="nil"/>
            </w:tcBorders>
            <w:shd w:val="clear" w:color="auto" w:fill="FFFFFF" w:themeFill="background1"/>
            <w:vAlign w:val="center"/>
          </w:tcPr>
          <w:p w14:paraId="3092F77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(1,002,039)</w:t>
            </w:r>
          </w:p>
        </w:tc>
        <w:tc>
          <w:tcPr>
            <w:tcW w:w="1349" w:type="dxa"/>
            <w:tcBorders>
              <w:top w:val="nil"/>
              <w:bottom w:val="nil"/>
            </w:tcBorders>
            <w:shd w:val="clear" w:color="auto" w:fill="FFFFFF" w:themeFill="background1"/>
            <w:vAlign w:val="center"/>
          </w:tcPr>
          <w:p w14:paraId="112B9FB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1,185,851</w:t>
            </w:r>
          </w:p>
        </w:tc>
      </w:tr>
      <w:tr w:rsidR="00711D9A" w:rsidRPr="00B84B0C" w14:paraId="6DECF594"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1C85E454" w14:textId="77777777" w:rsidR="00711D9A" w:rsidRPr="00B84B0C" w:rsidRDefault="00711D9A" w:rsidP="00711D9A">
            <w:pPr>
              <w:pStyle w:val="08-Tabelageral"/>
              <w:jc w:val="left"/>
              <w:rPr>
                <w:rFonts w:cs="Arial"/>
                <w:szCs w:val="14"/>
              </w:rPr>
            </w:pPr>
            <w:r w:rsidRPr="00B84B0C">
              <w:rPr>
                <w:rFonts w:cs="Arial"/>
                <w:szCs w:val="14"/>
              </w:rPr>
              <w:t>FINANCIAL RESULT</w:t>
            </w:r>
          </w:p>
        </w:tc>
        <w:tc>
          <w:tcPr>
            <w:tcW w:w="1240" w:type="dxa"/>
            <w:tcBorders>
              <w:top w:val="nil"/>
              <w:bottom w:val="nil"/>
            </w:tcBorders>
            <w:shd w:val="clear" w:color="auto" w:fill="D9E2F3"/>
            <w:vAlign w:val="center"/>
          </w:tcPr>
          <w:p w14:paraId="57952A4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29,445</w:t>
            </w:r>
          </w:p>
        </w:tc>
        <w:tc>
          <w:tcPr>
            <w:tcW w:w="1240" w:type="dxa"/>
            <w:tcBorders>
              <w:top w:val="nil"/>
              <w:bottom w:val="nil"/>
            </w:tcBorders>
            <w:shd w:val="clear" w:color="auto" w:fill="D9E2F3"/>
            <w:vAlign w:val="center"/>
          </w:tcPr>
          <w:p w14:paraId="1083D5B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21,246</w:t>
            </w:r>
          </w:p>
        </w:tc>
        <w:tc>
          <w:tcPr>
            <w:tcW w:w="1240" w:type="dxa"/>
            <w:tcBorders>
              <w:top w:val="nil"/>
              <w:bottom w:val="nil"/>
            </w:tcBorders>
            <w:shd w:val="clear" w:color="auto" w:fill="D9E2F3"/>
            <w:vAlign w:val="center"/>
          </w:tcPr>
          <w:p w14:paraId="2CAB756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w:t>
            </w:r>
          </w:p>
        </w:tc>
        <w:tc>
          <w:tcPr>
            <w:tcW w:w="1349" w:type="dxa"/>
            <w:tcBorders>
              <w:top w:val="nil"/>
              <w:bottom w:val="nil"/>
            </w:tcBorders>
            <w:shd w:val="clear" w:color="auto" w:fill="D9E2F3"/>
            <w:vAlign w:val="center"/>
          </w:tcPr>
          <w:p w14:paraId="48C2A2D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50,691</w:t>
            </w:r>
          </w:p>
        </w:tc>
      </w:tr>
      <w:tr w:rsidR="00711D9A" w:rsidRPr="00B84B0C" w14:paraId="5F3B65C3"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FFFFFF" w:themeFill="background1"/>
          </w:tcPr>
          <w:p w14:paraId="36961DCF" w14:textId="77777777" w:rsidR="00711D9A" w:rsidRPr="00B84B0C" w:rsidRDefault="00711D9A" w:rsidP="00711D9A">
            <w:pPr>
              <w:pStyle w:val="08-Tabelageral"/>
              <w:ind w:left="113"/>
              <w:jc w:val="left"/>
              <w:rPr>
                <w:rFonts w:cs="Arial"/>
                <w:b w:val="0"/>
                <w:szCs w:val="14"/>
              </w:rPr>
            </w:pPr>
            <w:r w:rsidRPr="00B84B0C">
              <w:rPr>
                <w:rFonts w:cs="Arial"/>
                <w:b w:val="0"/>
                <w:szCs w:val="14"/>
              </w:rPr>
              <w:t xml:space="preserve">Financial </w:t>
            </w:r>
            <w:proofErr w:type="spellStart"/>
            <w:r w:rsidRPr="00B84B0C">
              <w:rPr>
                <w:rFonts w:cs="Arial"/>
                <w:b w:val="0"/>
                <w:szCs w:val="14"/>
              </w:rPr>
              <w:t>revenue</w:t>
            </w:r>
            <w:proofErr w:type="spellEnd"/>
          </w:p>
        </w:tc>
        <w:tc>
          <w:tcPr>
            <w:tcW w:w="1240" w:type="dxa"/>
            <w:tcBorders>
              <w:top w:val="nil"/>
              <w:bottom w:val="nil"/>
            </w:tcBorders>
            <w:shd w:val="clear" w:color="auto" w:fill="FFFFFF" w:themeFill="background1"/>
            <w:vAlign w:val="center"/>
          </w:tcPr>
          <w:p w14:paraId="38026F8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43,235</w:t>
            </w:r>
          </w:p>
        </w:tc>
        <w:tc>
          <w:tcPr>
            <w:tcW w:w="1240" w:type="dxa"/>
            <w:tcBorders>
              <w:top w:val="nil"/>
              <w:bottom w:val="nil"/>
            </w:tcBorders>
            <w:shd w:val="clear" w:color="auto" w:fill="FFFFFF" w:themeFill="background1"/>
            <w:vAlign w:val="center"/>
          </w:tcPr>
          <w:p w14:paraId="507D8C5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26,799</w:t>
            </w:r>
          </w:p>
        </w:tc>
        <w:tc>
          <w:tcPr>
            <w:tcW w:w="1240" w:type="dxa"/>
            <w:tcBorders>
              <w:top w:val="nil"/>
              <w:bottom w:val="nil"/>
            </w:tcBorders>
            <w:shd w:val="clear" w:color="auto" w:fill="FFFFFF" w:themeFill="background1"/>
            <w:vAlign w:val="center"/>
          </w:tcPr>
          <w:p w14:paraId="7B7EFBC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(5,487)</w:t>
            </w:r>
          </w:p>
        </w:tc>
        <w:tc>
          <w:tcPr>
            <w:tcW w:w="1349" w:type="dxa"/>
            <w:tcBorders>
              <w:top w:val="nil"/>
              <w:bottom w:val="nil"/>
            </w:tcBorders>
            <w:shd w:val="clear" w:color="auto" w:fill="FFFFFF" w:themeFill="background1"/>
            <w:vAlign w:val="center"/>
          </w:tcPr>
          <w:p w14:paraId="518E681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64,547</w:t>
            </w:r>
          </w:p>
        </w:tc>
      </w:tr>
      <w:tr w:rsidR="00711D9A" w:rsidRPr="00B84B0C" w14:paraId="5A60398D"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04BBC0E9" w14:textId="77777777" w:rsidR="00711D9A" w:rsidRPr="00B84B0C" w:rsidRDefault="00711D9A" w:rsidP="00711D9A">
            <w:pPr>
              <w:pStyle w:val="08-Tabelageral"/>
              <w:ind w:left="113"/>
              <w:jc w:val="left"/>
              <w:rPr>
                <w:rFonts w:cs="Arial"/>
                <w:b w:val="0"/>
                <w:szCs w:val="14"/>
              </w:rPr>
            </w:pPr>
            <w:r w:rsidRPr="00B84B0C">
              <w:rPr>
                <w:rFonts w:cs="Arial"/>
                <w:b w:val="0"/>
                <w:szCs w:val="14"/>
              </w:rPr>
              <w:t xml:space="preserve">Financial </w:t>
            </w:r>
            <w:proofErr w:type="spellStart"/>
            <w:r w:rsidRPr="00B84B0C">
              <w:rPr>
                <w:rFonts w:cs="Arial"/>
                <w:b w:val="0"/>
                <w:szCs w:val="14"/>
              </w:rPr>
              <w:t>expenses</w:t>
            </w:r>
            <w:proofErr w:type="spellEnd"/>
          </w:p>
        </w:tc>
        <w:tc>
          <w:tcPr>
            <w:tcW w:w="1240" w:type="dxa"/>
            <w:tcBorders>
              <w:top w:val="nil"/>
              <w:bottom w:val="nil"/>
            </w:tcBorders>
            <w:shd w:val="clear" w:color="auto" w:fill="D9E2F3"/>
            <w:vAlign w:val="center"/>
          </w:tcPr>
          <w:p w14:paraId="31E460A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(13,790)</w:t>
            </w:r>
          </w:p>
        </w:tc>
        <w:tc>
          <w:tcPr>
            <w:tcW w:w="1240" w:type="dxa"/>
            <w:tcBorders>
              <w:top w:val="nil"/>
              <w:bottom w:val="nil"/>
            </w:tcBorders>
            <w:shd w:val="clear" w:color="auto" w:fill="D9E2F3"/>
            <w:vAlign w:val="center"/>
          </w:tcPr>
          <w:p w14:paraId="215D588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(5,553)</w:t>
            </w:r>
          </w:p>
        </w:tc>
        <w:tc>
          <w:tcPr>
            <w:tcW w:w="1240" w:type="dxa"/>
            <w:tcBorders>
              <w:top w:val="nil"/>
              <w:bottom w:val="nil"/>
            </w:tcBorders>
            <w:shd w:val="clear" w:color="auto" w:fill="D9E2F3"/>
            <w:vAlign w:val="center"/>
          </w:tcPr>
          <w:p w14:paraId="151A668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5,487</w:t>
            </w:r>
          </w:p>
        </w:tc>
        <w:tc>
          <w:tcPr>
            <w:tcW w:w="1349" w:type="dxa"/>
            <w:tcBorders>
              <w:top w:val="nil"/>
              <w:bottom w:val="nil"/>
            </w:tcBorders>
            <w:shd w:val="clear" w:color="auto" w:fill="D9E2F3"/>
            <w:vAlign w:val="center"/>
          </w:tcPr>
          <w:p w14:paraId="30DAF11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(13,856)</w:t>
            </w:r>
          </w:p>
        </w:tc>
      </w:tr>
      <w:tr w:rsidR="00711D9A" w:rsidRPr="00B84B0C" w14:paraId="58DF24C2"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FFFFFF" w:themeFill="background1"/>
          </w:tcPr>
          <w:p w14:paraId="388CBE86" w14:textId="77777777" w:rsidR="00711D9A" w:rsidRPr="00B84B0C" w:rsidRDefault="00711D9A" w:rsidP="00711D9A">
            <w:pPr>
              <w:pStyle w:val="08-Tabelageral"/>
              <w:jc w:val="left"/>
              <w:rPr>
                <w:rFonts w:cs="Arial"/>
                <w:bCs w:val="0"/>
                <w:szCs w:val="14"/>
                <w:lang w:val="en-US"/>
              </w:rPr>
            </w:pPr>
            <w:r w:rsidRPr="00B84B0C">
              <w:rPr>
                <w:rFonts w:cs="Arial"/>
                <w:szCs w:val="14"/>
                <w:lang w:val="en-US"/>
              </w:rPr>
              <w:t>INCOME BEFORE TAXES AND EQUITIES</w:t>
            </w:r>
          </w:p>
        </w:tc>
        <w:tc>
          <w:tcPr>
            <w:tcW w:w="1240" w:type="dxa"/>
            <w:tcBorders>
              <w:top w:val="nil"/>
              <w:bottom w:val="nil"/>
            </w:tcBorders>
            <w:shd w:val="clear" w:color="auto" w:fill="FFFFFF" w:themeFill="background1"/>
            <w:vAlign w:val="center"/>
          </w:tcPr>
          <w:p w14:paraId="0A75EE8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1,610,068</w:t>
            </w:r>
          </w:p>
        </w:tc>
        <w:tc>
          <w:tcPr>
            <w:tcW w:w="1240" w:type="dxa"/>
            <w:tcBorders>
              <w:top w:val="nil"/>
              <w:bottom w:val="nil"/>
            </w:tcBorders>
            <w:shd w:val="clear" w:color="auto" w:fill="FFFFFF" w:themeFill="background1"/>
            <w:vAlign w:val="center"/>
          </w:tcPr>
          <w:p w14:paraId="694C6E5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628,513</w:t>
            </w:r>
          </w:p>
        </w:tc>
        <w:tc>
          <w:tcPr>
            <w:tcW w:w="1240" w:type="dxa"/>
            <w:tcBorders>
              <w:top w:val="nil"/>
              <w:bottom w:val="nil"/>
            </w:tcBorders>
            <w:shd w:val="clear" w:color="auto" w:fill="FFFFFF" w:themeFill="background1"/>
            <w:vAlign w:val="center"/>
          </w:tcPr>
          <w:p w14:paraId="3431A30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(1,002,039)</w:t>
            </w:r>
          </w:p>
        </w:tc>
        <w:tc>
          <w:tcPr>
            <w:tcW w:w="1349" w:type="dxa"/>
            <w:tcBorders>
              <w:top w:val="nil"/>
              <w:bottom w:val="nil"/>
            </w:tcBorders>
            <w:shd w:val="clear" w:color="auto" w:fill="FFFFFF" w:themeFill="background1"/>
            <w:vAlign w:val="center"/>
          </w:tcPr>
          <w:p w14:paraId="6F48D9F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1,236,542</w:t>
            </w:r>
          </w:p>
        </w:tc>
      </w:tr>
      <w:tr w:rsidR="00711D9A" w:rsidRPr="00B84B0C" w14:paraId="687146CD"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nil"/>
            </w:tcBorders>
            <w:shd w:val="clear" w:color="auto" w:fill="D9E2F3"/>
          </w:tcPr>
          <w:p w14:paraId="039217B2" w14:textId="77777777" w:rsidR="00711D9A" w:rsidRPr="00B84B0C" w:rsidRDefault="00711D9A" w:rsidP="00711D9A">
            <w:pPr>
              <w:pStyle w:val="08-Tabelageral"/>
              <w:ind w:left="113"/>
              <w:jc w:val="left"/>
              <w:rPr>
                <w:rFonts w:cs="Arial"/>
                <w:b w:val="0"/>
                <w:szCs w:val="14"/>
                <w:lang w:val="en-US"/>
              </w:rPr>
            </w:pPr>
            <w:r w:rsidRPr="00B84B0C">
              <w:rPr>
                <w:rFonts w:cs="Arial"/>
                <w:b w:val="0"/>
                <w:szCs w:val="14"/>
                <w:lang w:val="en-US"/>
              </w:rPr>
              <w:t>INCOME TAX AND SOCIAL CONTRIBUTION</w:t>
            </w:r>
          </w:p>
        </w:tc>
        <w:tc>
          <w:tcPr>
            <w:tcW w:w="1240" w:type="dxa"/>
            <w:tcBorders>
              <w:top w:val="nil"/>
              <w:bottom w:val="nil"/>
            </w:tcBorders>
            <w:shd w:val="clear" w:color="auto" w:fill="D9E2F3"/>
            <w:vAlign w:val="center"/>
          </w:tcPr>
          <w:p w14:paraId="16A3CCC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(9,894)</w:t>
            </w:r>
          </w:p>
        </w:tc>
        <w:tc>
          <w:tcPr>
            <w:tcW w:w="1240" w:type="dxa"/>
            <w:tcBorders>
              <w:top w:val="nil"/>
              <w:bottom w:val="nil"/>
            </w:tcBorders>
            <w:shd w:val="clear" w:color="auto" w:fill="D9E2F3"/>
            <w:vAlign w:val="center"/>
          </w:tcPr>
          <w:p w14:paraId="24F2A75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(212,890)</w:t>
            </w:r>
          </w:p>
        </w:tc>
        <w:tc>
          <w:tcPr>
            <w:tcW w:w="1240" w:type="dxa"/>
            <w:tcBorders>
              <w:top w:val="nil"/>
              <w:bottom w:val="nil"/>
            </w:tcBorders>
            <w:shd w:val="clear" w:color="auto" w:fill="D9E2F3"/>
            <w:vAlign w:val="center"/>
          </w:tcPr>
          <w:p w14:paraId="0C0B447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w:t>
            </w:r>
          </w:p>
        </w:tc>
        <w:tc>
          <w:tcPr>
            <w:tcW w:w="1349" w:type="dxa"/>
            <w:tcBorders>
              <w:top w:val="nil"/>
              <w:bottom w:val="nil"/>
            </w:tcBorders>
            <w:shd w:val="clear" w:color="auto" w:fill="D9E2F3"/>
            <w:vAlign w:val="center"/>
          </w:tcPr>
          <w:p w14:paraId="274DA2F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(222,784)</w:t>
            </w:r>
          </w:p>
        </w:tc>
      </w:tr>
      <w:tr w:rsidR="00711D9A" w:rsidRPr="00B84B0C" w14:paraId="65F6ACC9"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570" w:type="dxa"/>
            <w:tcBorders>
              <w:top w:val="nil"/>
              <w:bottom w:val="single" w:sz="2" w:space="0" w:color="8EAADB" w:themeColor="accent5" w:themeTint="99"/>
            </w:tcBorders>
            <w:shd w:val="clear" w:color="auto" w:fill="FFFFFF" w:themeFill="background1"/>
            <w:vAlign w:val="center"/>
          </w:tcPr>
          <w:p w14:paraId="5CB61058" w14:textId="77777777" w:rsidR="00711D9A" w:rsidRPr="00B84B0C" w:rsidRDefault="00711D9A" w:rsidP="00711D9A">
            <w:pPr>
              <w:pStyle w:val="08-Tabelageral"/>
              <w:jc w:val="left"/>
              <w:rPr>
                <w:rFonts w:cs="Arial"/>
                <w:bCs w:val="0"/>
                <w:szCs w:val="14"/>
                <w:lang w:val="en-US"/>
              </w:rPr>
            </w:pPr>
            <w:r w:rsidRPr="00B84B0C">
              <w:rPr>
                <w:rFonts w:cs="Arial"/>
                <w:szCs w:val="14"/>
                <w:lang w:val="en-US"/>
              </w:rPr>
              <w:t>NET INCOME FOR THE PERIOD</w:t>
            </w:r>
          </w:p>
        </w:tc>
        <w:tc>
          <w:tcPr>
            <w:tcW w:w="1240" w:type="dxa"/>
            <w:tcBorders>
              <w:top w:val="nil"/>
              <w:bottom w:val="single" w:sz="2" w:space="0" w:color="8EAADB" w:themeColor="accent5" w:themeTint="99"/>
            </w:tcBorders>
            <w:shd w:val="clear" w:color="auto" w:fill="FFFFFF" w:themeFill="background1"/>
            <w:vAlign w:val="center"/>
          </w:tcPr>
          <w:p w14:paraId="4F9DF30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1,600,174</w:t>
            </w:r>
          </w:p>
        </w:tc>
        <w:tc>
          <w:tcPr>
            <w:tcW w:w="1240" w:type="dxa"/>
            <w:tcBorders>
              <w:top w:val="nil"/>
              <w:bottom w:val="single" w:sz="2" w:space="0" w:color="8EAADB" w:themeColor="accent5" w:themeTint="99"/>
            </w:tcBorders>
            <w:shd w:val="clear" w:color="auto" w:fill="FFFFFF" w:themeFill="background1"/>
            <w:vAlign w:val="center"/>
          </w:tcPr>
          <w:p w14:paraId="7982604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415,623</w:t>
            </w:r>
          </w:p>
        </w:tc>
        <w:tc>
          <w:tcPr>
            <w:tcW w:w="1240" w:type="dxa"/>
            <w:tcBorders>
              <w:top w:val="nil"/>
              <w:bottom w:val="single" w:sz="2" w:space="0" w:color="8EAADB" w:themeColor="accent5" w:themeTint="99"/>
            </w:tcBorders>
            <w:shd w:val="clear" w:color="auto" w:fill="FFFFFF" w:themeFill="background1"/>
            <w:vAlign w:val="center"/>
          </w:tcPr>
          <w:p w14:paraId="19B4C88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(1,002,039)</w:t>
            </w:r>
          </w:p>
        </w:tc>
        <w:tc>
          <w:tcPr>
            <w:tcW w:w="1349" w:type="dxa"/>
            <w:tcBorders>
              <w:top w:val="nil"/>
              <w:bottom w:val="single" w:sz="2" w:space="0" w:color="8EAADB" w:themeColor="accent5" w:themeTint="99"/>
            </w:tcBorders>
            <w:shd w:val="clear" w:color="auto" w:fill="FFFFFF" w:themeFill="background1"/>
            <w:vAlign w:val="center"/>
          </w:tcPr>
          <w:p w14:paraId="477EC92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rPr>
              <w:t>1,013,758</w:t>
            </w:r>
          </w:p>
        </w:tc>
      </w:tr>
    </w:tbl>
    <w:p w14:paraId="434F84E5" w14:textId="77777777" w:rsidR="00711D9A" w:rsidRPr="00B84B0C" w:rsidRDefault="00711D9A" w:rsidP="00711D9A">
      <w:pPr>
        <w:spacing w:after="0" w:line="240" w:lineRule="auto"/>
        <w:rPr>
          <w:rFonts w:cs="Arial"/>
          <w:b/>
          <w:color w:val="1F4E79" w:themeColor="accent1" w:themeShade="80"/>
          <w:szCs w:val="18"/>
        </w:rPr>
      </w:pPr>
    </w:p>
    <w:p w14:paraId="5CAA11EB" w14:textId="77777777" w:rsidR="00711D9A" w:rsidRPr="00B84B0C" w:rsidRDefault="00711D9A" w:rsidP="00711D9A">
      <w:pPr>
        <w:spacing w:after="0" w:line="240" w:lineRule="auto"/>
        <w:rPr>
          <w:rFonts w:cs="Arial"/>
          <w:b/>
          <w:color w:val="1F4E79" w:themeColor="accent1" w:themeShade="80"/>
          <w:szCs w:val="18"/>
        </w:rPr>
      </w:pPr>
      <w:r w:rsidRPr="00B84B0C">
        <w:rPr>
          <w:rFonts w:cs="Arial"/>
          <w:b/>
          <w:color w:val="1F4E79" w:themeColor="accent1" w:themeShade="80"/>
          <w:szCs w:val="18"/>
        </w:rPr>
        <w:t xml:space="preserve">d) Balance </w:t>
      </w:r>
      <w:proofErr w:type="spellStart"/>
      <w:r w:rsidRPr="00B84B0C">
        <w:rPr>
          <w:rFonts w:cs="Arial"/>
          <w:b/>
          <w:color w:val="1F4E79" w:themeColor="accent1" w:themeShade="80"/>
          <w:szCs w:val="18"/>
        </w:rPr>
        <w:t>sheet</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by</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segment</w:t>
      </w:r>
      <w:proofErr w:type="spellEnd"/>
    </w:p>
    <w:p w14:paraId="037E3E37" w14:textId="77777777" w:rsidR="00711D9A" w:rsidRPr="00B84B0C" w:rsidRDefault="00711D9A" w:rsidP="00711D9A">
      <w:pPr>
        <w:pStyle w:val="05-Textonormal"/>
        <w:spacing w:after="0"/>
        <w:jc w:val="right"/>
        <w:rPr>
          <w:rFonts w:cs="Arial"/>
          <w:b/>
          <w:sz w:val="14"/>
        </w:rPr>
      </w:pPr>
      <w:r w:rsidRPr="00B84B0C">
        <w:rPr>
          <w:rFonts w:cs="Arial"/>
          <w:b/>
          <w:sz w:val="14"/>
        </w:rPr>
        <w:t xml:space="preserve">R$ </w:t>
      </w:r>
      <w:proofErr w:type="spellStart"/>
      <w:r w:rsidRPr="00B84B0C">
        <w:rPr>
          <w:rFonts w:cs="Arial"/>
          <w:b/>
          <w:sz w:val="14"/>
        </w:rPr>
        <w:t>thousand</w:t>
      </w:r>
      <w:proofErr w:type="spellEnd"/>
    </w:p>
    <w:tbl>
      <w:tblPr>
        <w:tblStyle w:val="TabeladeLista6Colorida-nfase510"/>
        <w:tblW w:w="9639" w:type="dxa"/>
        <w:tblInd w:w="108" w:type="dxa"/>
        <w:shd w:val="clear" w:color="auto" w:fill="D9E2F3"/>
        <w:tblLayout w:type="fixed"/>
        <w:tblLook w:val="04A0" w:firstRow="1" w:lastRow="0" w:firstColumn="1" w:lastColumn="0" w:noHBand="0" w:noVBand="1"/>
      </w:tblPr>
      <w:tblGrid>
        <w:gridCol w:w="3011"/>
        <w:gridCol w:w="1630"/>
        <w:gridCol w:w="1630"/>
        <w:gridCol w:w="1630"/>
        <w:gridCol w:w="1738"/>
      </w:tblGrid>
      <w:tr w:rsidR="00711D9A" w:rsidRPr="00B84B0C" w14:paraId="56C0A2A7" w14:textId="77777777" w:rsidTr="00AC568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011" w:type="dxa"/>
            <w:tcBorders>
              <w:top w:val="single" w:sz="2" w:space="0" w:color="8EAADB" w:themeColor="accent5" w:themeTint="99"/>
              <w:bottom w:val="nil"/>
            </w:tcBorders>
            <w:shd w:val="clear" w:color="auto" w:fill="D9E2F3"/>
            <w:vAlign w:val="center"/>
          </w:tcPr>
          <w:p w14:paraId="1D256F4B" w14:textId="77777777" w:rsidR="00711D9A" w:rsidRPr="00B84B0C" w:rsidRDefault="00711D9A" w:rsidP="00711D9A">
            <w:pPr>
              <w:jc w:val="center"/>
              <w:rPr>
                <w:rFonts w:cs="Arial"/>
                <w:b w:val="0"/>
                <w:szCs w:val="18"/>
              </w:rPr>
            </w:pPr>
          </w:p>
        </w:tc>
        <w:tc>
          <w:tcPr>
            <w:tcW w:w="6628" w:type="dxa"/>
            <w:gridSpan w:val="4"/>
            <w:tcBorders>
              <w:top w:val="single" w:sz="2" w:space="0" w:color="8EAADB" w:themeColor="accent5" w:themeTint="99"/>
              <w:bottom w:val="single" w:sz="2" w:space="0" w:color="8EAADB" w:themeColor="accent5" w:themeTint="99"/>
            </w:tcBorders>
            <w:shd w:val="clear" w:color="auto" w:fill="D9E2F3"/>
            <w:vAlign w:val="center"/>
          </w:tcPr>
          <w:p w14:paraId="402B4346"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84B0C">
              <w:rPr>
                <w:rFonts w:cs="Arial"/>
                <w:sz w:val="14"/>
                <w:szCs w:val="18"/>
              </w:rPr>
              <w:t>Mar 31, 2020</w:t>
            </w:r>
          </w:p>
        </w:tc>
      </w:tr>
      <w:tr w:rsidR="00711D9A" w:rsidRPr="00B84B0C" w14:paraId="3284C50B" w14:textId="77777777" w:rsidTr="00AC5680">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3011" w:type="dxa"/>
            <w:tcBorders>
              <w:top w:val="nil"/>
              <w:bottom w:val="single" w:sz="2" w:space="0" w:color="8EAADB" w:themeColor="accent5" w:themeTint="99"/>
            </w:tcBorders>
            <w:shd w:val="clear" w:color="auto" w:fill="D9E2F3"/>
          </w:tcPr>
          <w:p w14:paraId="372CD2C9" w14:textId="77777777" w:rsidR="00711D9A" w:rsidRPr="00B84B0C" w:rsidRDefault="00711D9A" w:rsidP="00711D9A">
            <w:pPr>
              <w:pStyle w:val="08-Tabelageral"/>
              <w:jc w:val="left"/>
              <w:rPr>
                <w:rFonts w:cs="Arial"/>
                <w:b w:val="0"/>
              </w:rPr>
            </w:pPr>
          </w:p>
        </w:tc>
        <w:tc>
          <w:tcPr>
            <w:tcW w:w="1630" w:type="dxa"/>
            <w:tcBorders>
              <w:top w:val="single" w:sz="2" w:space="0" w:color="8EAADB" w:themeColor="accent5" w:themeTint="99"/>
              <w:bottom w:val="single" w:sz="2" w:space="0" w:color="8EAADB" w:themeColor="accent5" w:themeTint="99"/>
            </w:tcBorders>
            <w:shd w:val="clear" w:color="auto" w:fill="D9E2F3"/>
            <w:vAlign w:val="center"/>
          </w:tcPr>
          <w:p w14:paraId="4D9F34F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proofErr w:type="spellStart"/>
            <w:r w:rsidRPr="00B84B0C">
              <w:rPr>
                <w:rFonts w:cs="Arial"/>
                <w:b/>
                <w:sz w:val="12"/>
              </w:rPr>
              <w:t>Insurance</w:t>
            </w:r>
            <w:proofErr w:type="spellEnd"/>
          </w:p>
        </w:tc>
        <w:tc>
          <w:tcPr>
            <w:tcW w:w="1630" w:type="dxa"/>
            <w:tcBorders>
              <w:top w:val="single" w:sz="2" w:space="0" w:color="8EAADB" w:themeColor="accent5" w:themeTint="99"/>
              <w:bottom w:val="single" w:sz="2" w:space="0" w:color="8EAADB" w:themeColor="accent5" w:themeTint="99"/>
            </w:tcBorders>
            <w:shd w:val="clear" w:color="auto" w:fill="D9E2F3"/>
            <w:vAlign w:val="center"/>
          </w:tcPr>
          <w:p w14:paraId="6FC0FB8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r w:rsidRPr="00B84B0C">
              <w:rPr>
                <w:rFonts w:cs="Arial"/>
                <w:b/>
                <w:sz w:val="12"/>
                <w:szCs w:val="12"/>
              </w:rPr>
              <w:t>Brokerage</w:t>
            </w:r>
            <w:proofErr w:type="spellEnd"/>
          </w:p>
        </w:tc>
        <w:tc>
          <w:tcPr>
            <w:tcW w:w="1630" w:type="dxa"/>
            <w:tcBorders>
              <w:top w:val="single" w:sz="2" w:space="0" w:color="8EAADB" w:themeColor="accent5" w:themeTint="99"/>
              <w:bottom w:val="single" w:sz="2" w:space="0" w:color="8EAADB" w:themeColor="accent5" w:themeTint="99"/>
            </w:tcBorders>
            <w:shd w:val="clear" w:color="auto" w:fill="D9E2F3"/>
            <w:vAlign w:val="center"/>
          </w:tcPr>
          <w:p w14:paraId="597DF1D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proofErr w:type="spellStart"/>
            <w:r w:rsidRPr="00B84B0C">
              <w:rPr>
                <w:rFonts w:cs="Arial"/>
                <w:b/>
                <w:sz w:val="12"/>
              </w:rPr>
              <w:t>Intersegment</w:t>
            </w:r>
            <w:proofErr w:type="spellEnd"/>
            <w:r w:rsidRPr="00B84B0C">
              <w:rPr>
                <w:rFonts w:cs="Arial"/>
                <w:b/>
                <w:sz w:val="12"/>
              </w:rPr>
              <w:t xml:space="preserve"> </w:t>
            </w:r>
            <w:proofErr w:type="spellStart"/>
            <w:r w:rsidRPr="00B84B0C">
              <w:rPr>
                <w:rFonts w:cs="Arial"/>
                <w:b/>
                <w:sz w:val="12"/>
              </w:rPr>
              <w:t>transactions</w:t>
            </w:r>
            <w:proofErr w:type="spellEnd"/>
          </w:p>
        </w:tc>
        <w:tc>
          <w:tcPr>
            <w:tcW w:w="1738" w:type="dxa"/>
            <w:tcBorders>
              <w:top w:val="single" w:sz="2" w:space="0" w:color="8EAADB" w:themeColor="accent5" w:themeTint="99"/>
              <w:bottom w:val="single" w:sz="2" w:space="0" w:color="8EAADB" w:themeColor="accent5" w:themeTint="99"/>
            </w:tcBorders>
            <w:shd w:val="clear" w:color="auto" w:fill="D9E2F3"/>
            <w:vAlign w:val="center"/>
          </w:tcPr>
          <w:p w14:paraId="4FB3746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Total</w:t>
            </w:r>
          </w:p>
        </w:tc>
      </w:tr>
      <w:tr w:rsidR="00711D9A" w:rsidRPr="00B84B0C" w14:paraId="01F138F0"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single" w:sz="2" w:space="0" w:color="8EAADB" w:themeColor="accent5" w:themeTint="99"/>
              <w:bottom w:val="nil"/>
            </w:tcBorders>
            <w:shd w:val="clear" w:color="auto" w:fill="FFFFFF" w:themeFill="background1"/>
            <w:vAlign w:val="center"/>
          </w:tcPr>
          <w:p w14:paraId="2A8810FD" w14:textId="77777777" w:rsidR="00711D9A" w:rsidRPr="00B84B0C" w:rsidRDefault="00711D9A" w:rsidP="00711D9A">
            <w:pPr>
              <w:pStyle w:val="08-Tabelageral"/>
              <w:jc w:val="left"/>
              <w:rPr>
                <w:rFonts w:cs="Arial"/>
                <w:b w:val="0"/>
                <w:bCs w:val="0"/>
              </w:rPr>
            </w:pP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assets</w:t>
            </w:r>
            <w:proofErr w:type="spellEnd"/>
          </w:p>
        </w:tc>
        <w:tc>
          <w:tcPr>
            <w:tcW w:w="1630" w:type="dxa"/>
            <w:tcBorders>
              <w:top w:val="single" w:sz="2" w:space="0" w:color="8EAADB" w:themeColor="accent5" w:themeTint="99"/>
              <w:bottom w:val="nil"/>
            </w:tcBorders>
            <w:shd w:val="clear" w:color="auto" w:fill="FFFFFF" w:themeFill="background1"/>
            <w:vAlign w:val="center"/>
          </w:tcPr>
          <w:p w14:paraId="4100732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color w:val="000000"/>
              </w:rPr>
            </w:pPr>
            <w:r w:rsidRPr="00B84B0C">
              <w:rPr>
                <w:rFonts w:cs="Arial"/>
              </w:rPr>
              <w:t>3,759,747</w:t>
            </w:r>
          </w:p>
        </w:tc>
        <w:tc>
          <w:tcPr>
            <w:tcW w:w="1630" w:type="dxa"/>
            <w:tcBorders>
              <w:top w:val="single" w:sz="2" w:space="0" w:color="8EAADB" w:themeColor="accent5" w:themeTint="99"/>
              <w:bottom w:val="nil"/>
            </w:tcBorders>
            <w:shd w:val="clear" w:color="auto" w:fill="FFFFFF" w:themeFill="background1"/>
            <w:vAlign w:val="center"/>
          </w:tcPr>
          <w:p w14:paraId="494E96A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1,633,186</w:t>
            </w:r>
          </w:p>
        </w:tc>
        <w:tc>
          <w:tcPr>
            <w:tcW w:w="1630" w:type="dxa"/>
            <w:tcBorders>
              <w:top w:val="single" w:sz="2" w:space="0" w:color="8EAADB" w:themeColor="accent5" w:themeTint="99"/>
              <w:bottom w:val="nil"/>
            </w:tcBorders>
            <w:shd w:val="clear" w:color="auto" w:fill="FFFFFF" w:themeFill="background1"/>
            <w:vAlign w:val="center"/>
          </w:tcPr>
          <w:p w14:paraId="66F7602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(5,766)</w:t>
            </w:r>
          </w:p>
        </w:tc>
        <w:tc>
          <w:tcPr>
            <w:tcW w:w="1738" w:type="dxa"/>
            <w:tcBorders>
              <w:top w:val="single" w:sz="2" w:space="0" w:color="8EAADB" w:themeColor="accent5" w:themeTint="99"/>
              <w:bottom w:val="nil"/>
            </w:tcBorders>
            <w:shd w:val="clear" w:color="auto" w:fill="FFFFFF" w:themeFill="background1"/>
            <w:vAlign w:val="center"/>
          </w:tcPr>
          <w:p w14:paraId="3B31D62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5,387,167</w:t>
            </w:r>
          </w:p>
        </w:tc>
      </w:tr>
      <w:tr w:rsidR="00711D9A" w:rsidRPr="00B84B0C" w14:paraId="6465F508"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D9E2F3"/>
            <w:vAlign w:val="center"/>
          </w:tcPr>
          <w:p w14:paraId="1E220D75" w14:textId="77777777" w:rsidR="00711D9A" w:rsidRPr="00B84B0C" w:rsidRDefault="00711D9A" w:rsidP="00711D9A">
            <w:pPr>
              <w:pStyle w:val="08-Tabelageral"/>
              <w:jc w:val="left"/>
              <w:rPr>
                <w:rFonts w:cs="Arial"/>
                <w:b w:val="0"/>
                <w:bCs w:val="0"/>
              </w:rPr>
            </w:pPr>
            <w:r w:rsidRPr="00B84B0C">
              <w:rPr>
                <w:rFonts w:cs="Arial"/>
                <w:b w:val="0"/>
              </w:rPr>
              <w:t>Non-</w:t>
            </w: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assets</w:t>
            </w:r>
            <w:proofErr w:type="spellEnd"/>
          </w:p>
        </w:tc>
        <w:tc>
          <w:tcPr>
            <w:tcW w:w="1630" w:type="dxa"/>
            <w:tcBorders>
              <w:top w:val="nil"/>
              <w:bottom w:val="nil"/>
            </w:tcBorders>
            <w:shd w:val="clear" w:color="auto" w:fill="D9E2F3"/>
            <w:vAlign w:val="center"/>
          </w:tcPr>
          <w:p w14:paraId="1B6AF2D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color w:val="000000"/>
              </w:rPr>
            </w:pPr>
            <w:r w:rsidRPr="00B84B0C">
              <w:rPr>
                <w:rFonts w:cs="Arial"/>
              </w:rPr>
              <w:t>11,092,346</w:t>
            </w:r>
          </w:p>
        </w:tc>
        <w:tc>
          <w:tcPr>
            <w:tcW w:w="1630" w:type="dxa"/>
            <w:tcBorders>
              <w:top w:val="nil"/>
              <w:bottom w:val="nil"/>
            </w:tcBorders>
            <w:shd w:val="clear" w:color="auto" w:fill="D9E2F3"/>
            <w:vAlign w:val="center"/>
          </w:tcPr>
          <w:p w14:paraId="70F1CD9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1,491,056</w:t>
            </w:r>
          </w:p>
        </w:tc>
        <w:tc>
          <w:tcPr>
            <w:tcW w:w="1630" w:type="dxa"/>
            <w:tcBorders>
              <w:top w:val="nil"/>
              <w:bottom w:val="nil"/>
            </w:tcBorders>
            <w:shd w:val="clear" w:color="auto" w:fill="D9E2F3"/>
            <w:vAlign w:val="center"/>
          </w:tcPr>
          <w:p w14:paraId="0769AE6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(6,311,452)</w:t>
            </w:r>
          </w:p>
        </w:tc>
        <w:tc>
          <w:tcPr>
            <w:tcW w:w="1738" w:type="dxa"/>
            <w:tcBorders>
              <w:top w:val="nil"/>
              <w:bottom w:val="nil"/>
            </w:tcBorders>
            <w:shd w:val="clear" w:color="auto" w:fill="D9E2F3"/>
            <w:vAlign w:val="center"/>
          </w:tcPr>
          <w:p w14:paraId="7C55032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6,271,950</w:t>
            </w:r>
          </w:p>
        </w:tc>
      </w:tr>
      <w:tr w:rsidR="00711D9A" w:rsidRPr="00B84B0C" w14:paraId="5DFBC42F"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FFFFFF" w:themeFill="background1"/>
            <w:vAlign w:val="center"/>
          </w:tcPr>
          <w:p w14:paraId="36763169" w14:textId="77777777" w:rsidR="00711D9A" w:rsidRPr="00B84B0C" w:rsidRDefault="00711D9A" w:rsidP="00711D9A">
            <w:pPr>
              <w:pStyle w:val="08-Tabelageral"/>
              <w:jc w:val="left"/>
              <w:rPr>
                <w:rFonts w:cs="Arial"/>
                <w:bCs w:val="0"/>
              </w:rPr>
            </w:pPr>
            <w:r w:rsidRPr="00B84B0C">
              <w:rPr>
                <w:rFonts w:cs="Arial"/>
              </w:rPr>
              <w:t xml:space="preserve">Total </w:t>
            </w:r>
            <w:proofErr w:type="spellStart"/>
            <w:r w:rsidRPr="00B84B0C">
              <w:rPr>
                <w:rFonts w:cs="Arial"/>
              </w:rPr>
              <w:t>assets</w:t>
            </w:r>
            <w:proofErr w:type="spellEnd"/>
          </w:p>
        </w:tc>
        <w:tc>
          <w:tcPr>
            <w:tcW w:w="1630" w:type="dxa"/>
            <w:tcBorders>
              <w:top w:val="nil"/>
              <w:bottom w:val="nil"/>
            </w:tcBorders>
            <w:shd w:val="clear" w:color="auto" w:fill="FFFFFF" w:themeFill="background1"/>
            <w:vAlign w:val="center"/>
          </w:tcPr>
          <w:p w14:paraId="6F526C7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rPr>
            </w:pPr>
            <w:r w:rsidRPr="00B84B0C">
              <w:rPr>
                <w:rFonts w:cs="Arial"/>
                <w:b/>
                <w:bCs/>
              </w:rPr>
              <w:t>14,852,093</w:t>
            </w:r>
          </w:p>
        </w:tc>
        <w:tc>
          <w:tcPr>
            <w:tcW w:w="1630" w:type="dxa"/>
            <w:tcBorders>
              <w:top w:val="nil"/>
              <w:bottom w:val="nil"/>
            </w:tcBorders>
            <w:shd w:val="clear" w:color="auto" w:fill="FFFFFF" w:themeFill="background1"/>
            <w:vAlign w:val="center"/>
          </w:tcPr>
          <w:p w14:paraId="48193EC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3,124,242</w:t>
            </w:r>
          </w:p>
        </w:tc>
        <w:tc>
          <w:tcPr>
            <w:tcW w:w="1630" w:type="dxa"/>
            <w:tcBorders>
              <w:top w:val="nil"/>
              <w:bottom w:val="nil"/>
            </w:tcBorders>
            <w:shd w:val="clear" w:color="auto" w:fill="FFFFFF" w:themeFill="background1"/>
            <w:vAlign w:val="center"/>
          </w:tcPr>
          <w:p w14:paraId="0B8AD8E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(6,317,218)</w:t>
            </w:r>
          </w:p>
        </w:tc>
        <w:tc>
          <w:tcPr>
            <w:tcW w:w="1738" w:type="dxa"/>
            <w:tcBorders>
              <w:top w:val="nil"/>
              <w:bottom w:val="nil"/>
            </w:tcBorders>
            <w:shd w:val="clear" w:color="auto" w:fill="FFFFFF" w:themeFill="background1"/>
            <w:vAlign w:val="center"/>
          </w:tcPr>
          <w:p w14:paraId="68B0B42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11,659,117</w:t>
            </w:r>
          </w:p>
        </w:tc>
      </w:tr>
      <w:tr w:rsidR="00711D9A" w:rsidRPr="00B84B0C" w14:paraId="2DD925ED"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D9E2F3"/>
            <w:vAlign w:val="center"/>
          </w:tcPr>
          <w:p w14:paraId="1EA229A0" w14:textId="77777777" w:rsidR="00711D9A" w:rsidRPr="00B84B0C" w:rsidRDefault="00711D9A" w:rsidP="00711D9A">
            <w:pPr>
              <w:pStyle w:val="08-Tabelageral"/>
              <w:jc w:val="left"/>
              <w:rPr>
                <w:rFonts w:cs="Arial"/>
                <w:b w:val="0"/>
                <w:bCs w:val="0"/>
              </w:rPr>
            </w:pP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liabilities</w:t>
            </w:r>
            <w:proofErr w:type="spellEnd"/>
          </w:p>
        </w:tc>
        <w:tc>
          <w:tcPr>
            <w:tcW w:w="1630" w:type="dxa"/>
            <w:tcBorders>
              <w:top w:val="nil"/>
              <w:bottom w:val="nil"/>
            </w:tcBorders>
            <w:shd w:val="clear" w:color="auto" w:fill="D9E2F3"/>
            <w:vAlign w:val="center"/>
          </w:tcPr>
          <w:p w14:paraId="4E239DD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color w:val="000000"/>
              </w:rPr>
            </w:pPr>
            <w:r w:rsidRPr="00B84B0C">
              <w:rPr>
                <w:rFonts w:cs="Arial"/>
              </w:rPr>
              <w:t>2,740,254</w:t>
            </w:r>
          </w:p>
        </w:tc>
        <w:tc>
          <w:tcPr>
            <w:tcW w:w="1630" w:type="dxa"/>
            <w:tcBorders>
              <w:top w:val="nil"/>
              <w:bottom w:val="nil"/>
            </w:tcBorders>
            <w:shd w:val="clear" w:color="auto" w:fill="D9E2F3"/>
            <w:vAlign w:val="center"/>
          </w:tcPr>
          <w:p w14:paraId="476B1C3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1,292,045</w:t>
            </w:r>
          </w:p>
        </w:tc>
        <w:tc>
          <w:tcPr>
            <w:tcW w:w="1630" w:type="dxa"/>
            <w:tcBorders>
              <w:top w:val="nil"/>
              <w:bottom w:val="nil"/>
            </w:tcBorders>
            <w:shd w:val="clear" w:color="auto" w:fill="D9E2F3"/>
            <w:vAlign w:val="center"/>
          </w:tcPr>
          <w:p w14:paraId="7326656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(5,766)</w:t>
            </w:r>
          </w:p>
        </w:tc>
        <w:tc>
          <w:tcPr>
            <w:tcW w:w="1738" w:type="dxa"/>
            <w:tcBorders>
              <w:top w:val="nil"/>
              <w:bottom w:val="nil"/>
            </w:tcBorders>
            <w:shd w:val="clear" w:color="auto" w:fill="D9E2F3"/>
            <w:vAlign w:val="center"/>
          </w:tcPr>
          <w:p w14:paraId="230C670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4,026,533</w:t>
            </w:r>
          </w:p>
        </w:tc>
      </w:tr>
      <w:tr w:rsidR="00711D9A" w:rsidRPr="00B84B0C" w14:paraId="405E916F"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FFFFFF" w:themeFill="background1"/>
            <w:vAlign w:val="center"/>
          </w:tcPr>
          <w:p w14:paraId="7E90B947" w14:textId="77777777" w:rsidR="00711D9A" w:rsidRPr="00B84B0C" w:rsidRDefault="00711D9A" w:rsidP="00711D9A">
            <w:pPr>
              <w:pStyle w:val="08-Tabelageral"/>
              <w:jc w:val="left"/>
              <w:rPr>
                <w:rFonts w:cs="Arial"/>
                <w:b w:val="0"/>
                <w:bCs w:val="0"/>
              </w:rPr>
            </w:pPr>
            <w:r w:rsidRPr="00B84B0C">
              <w:rPr>
                <w:rFonts w:cs="Arial"/>
                <w:b w:val="0"/>
              </w:rPr>
              <w:t>Non-</w:t>
            </w: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liabilities</w:t>
            </w:r>
            <w:proofErr w:type="spellEnd"/>
          </w:p>
        </w:tc>
        <w:tc>
          <w:tcPr>
            <w:tcW w:w="1630" w:type="dxa"/>
            <w:tcBorders>
              <w:top w:val="nil"/>
              <w:bottom w:val="nil"/>
            </w:tcBorders>
            <w:shd w:val="clear" w:color="auto" w:fill="FFFFFF" w:themeFill="background1"/>
            <w:vAlign w:val="center"/>
          </w:tcPr>
          <w:p w14:paraId="1120E43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color w:val="000000"/>
              </w:rPr>
            </w:pPr>
            <w:r w:rsidRPr="00B84B0C">
              <w:rPr>
                <w:rFonts w:cs="Arial"/>
              </w:rPr>
              <w:t>229,030</w:t>
            </w:r>
          </w:p>
        </w:tc>
        <w:tc>
          <w:tcPr>
            <w:tcW w:w="1630" w:type="dxa"/>
            <w:tcBorders>
              <w:top w:val="nil"/>
              <w:bottom w:val="nil"/>
            </w:tcBorders>
            <w:shd w:val="clear" w:color="auto" w:fill="FFFFFF" w:themeFill="background1"/>
            <w:vAlign w:val="center"/>
          </w:tcPr>
          <w:p w14:paraId="35E0ACF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1,307,157</w:t>
            </w:r>
          </w:p>
        </w:tc>
        <w:tc>
          <w:tcPr>
            <w:tcW w:w="1630" w:type="dxa"/>
            <w:tcBorders>
              <w:top w:val="nil"/>
              <w:bottom w:val="nil"/>
            </w:tcBorders>
            <w:shd w:val="clear" w:color="auto" w:fill="FFFFFF" w:themeFill="background1"/>
            <w:vAlign w:val="center"/>
          </w:tcPr>
          <w:p w14:paraId="07591B9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738" w:type="dxa"/>
            <w:tcBorders>
              <w:top w:val="nil"/>
              <w:bottom w:val="nil"/>
            </w:tcBorders>
            <w:shd w:val="clear" w:color="auto" w:fill="FFFFFF" w:themeFill="background1"/>
            <w:vAlign w:val="center"/>
          </w:tcPr>
          <w:p w14:paraId="008318E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1,536,187</w:t>
            </w:r>
          </w:p>
        </w:tc>
      </w:tr>
      <w:tr w:rsidR="00711D9A" w:rsidRPr="00B84B0C" w14:paraId="43910348"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D9E2F3"/>
            <w:vAlign w:val="center"/>
          </w:tcPr>
          <w:p w14:paraId="06FE286B" w14:textId="77777777" w:rsidR="00711D9A" w:rsidRPr="00B84B0C" w:rsidRDefault="00711D9A" w:rsidP="00711D9A">
            <w:pPr>
              <w:pStyle w:val="08-Tabelageral"/>
              <w:jc w:val="left"/>
              <w:rPr>
                <w:rFonts w:cs="Arial"/>
                <w:b w:val="0"/>
                <w:bCs w:val="0"/>
              </w:rPr>
            </w:pPr>
            <w:proofErr w:type="spellStart"/>
            <w:r w:rsidRPr="00B84B0C">
              <w:rPr>
                <w:rFonts w:cs="Arial"/>
                <w:b w:val="0"/>
              </w:rPr>
              <w:t>Equity</w:t>
            </w:r>
            <w:proofErr w:type="spellEnd"/>
          </w:p>
        </w:tc>
        <w:tc>
          <w:tcPr>
            <w:tcW w:w="1630" w:type="dxa"/>
            <w:tcBorders>
              <w:top w:val="nil"/>
              <w:bottom w:val="nil"/>
            </w:tcBorders>
            <w:shd w:val="clear" w:color="auto" w:fill="D9E2F3"/>
            <w:vAlign w:val="center"/>
          </w:tcPr>
          <w:p w14:paraId="5F614EA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color w:val="000000"/>
              </w:rPr>
            </w:pPr>
            <w:r w:rsidRPr="00B84B0C">
              <w:rPr>
                <w:rFonts w:cs="Arial"/>
              </w:rPr>
              <w:t>11,882,809</w:t>
            </w:r>
          </w:p>
        </w:tc>
        <w:tc>
          <w:tcPr>
            <w:tcW w:w="1630" w:type="dxa"/>
            <w:tcBorders>
              <w:top w:val="nil"/>
              <w:bottom w:val="nil"/>
            </w:tcBorders>
            <w:shd w:val="clear" w:color="auto" w:fill="D9E2F3"/>
            <w:vAlign w:val="center"/>
          </w:tcPr>
          <w:p w14:paraId="33148A2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525,040</w:t>
            </w:r>
          </w:p>
        </w:tc>
        <w:tc>
          <w:tcPr>
            <w:tcW w:w="1630" w:type="dxa"/>
            <w:tcBorders>
              <w:top w:val="nil"/>
              <w:bottom w:val="nil"/>
            </w:tcBorders>
            <w:shd w:val="clear" w:color="auto" w:fill="D9E2F3"/>
            <w:vAlign w:val="center"/>
          </w:tcPr>
          <w:p w14:paraId="360500A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(6,311,452)</w:t>
            </w:r>
          </w:p>
        </w:tc>
        <w:tc>
          <w:tcPr>
            <w:tcW w:w="1738" w:type="dxa"/>
            <w:tcBorders>
              <w:top w:val="nil"/>
              <w:bottom w:val="nil"/>
            </w:tcBorders>
            <w:shd w:val="clear" w:color="auto" w:fill="D9E2F3"/>
            <w:vAlign w:val="center"/>
          </w:tcPr>
          <w:p w14:paraId="78F7555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6,096,397</w:t>
            </w:r>
          </w:p>
        </w:tc>
      </w:tr>
      <w:tr w:rsidR="00711D9A" w:rsidRPr="00B84B0C" w14:paraId="6D552318"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single" w:sz="2" w:space="0" w:color="8EAADB" w:themeColor="accent5" w:themeTint="99"/>
            </w:tcBorders>
            <w:shd w:val="clear" w:color="auto" w:fill="FFFFFF" w:themeFill="background1"/>
            <w:vAlign w:val="center"/>
          </w:tcPr>
          <w:p w14:paraId="2D37A890" w14:textId="77777777" w:rsidR="00711D9A" w:rsidRPr="00B84B0C" w:rsidRDefault="00711D9A" w:rsidP="00711D9A">
            <w:pPr>
              <w:pStyle w:val="08-Tabelageral"/>
              <w:jc w:val="left"/>
              <w:rPr>
                <w:rFonts w:cs="Arial"/>
                <w:bCs w:val="0"/>
              </w:rPr>
            </w:pPr>
            <w:r w:rsidRPr="00B84B0C">
              <w:rPr>
                <w:rFonts w:cs="Arial"/>
              </w:rPr>
              <w:t xml:space="preserve">Total </w:t>
            </w:r>
            <w:proofErr w:type="spellStart"/>
            <w:r w:rsidRPr="00B84B0C">
              <w:rPr>
                <w:rFonts w:cs="Arial"/>
              </w:rPr>
              <w:t>liabilities</w:t>
            </w:r>
            <w:proofErr w:type="spellEnd"/>
            <w:r w:rsidRPr="00B84B0C">
              <w:rPr>
                <w:rFonts w:cs="Arial"/>
              </w:rPr>
              <w:t xml:space="preserve"> </w:t>
            </w:r>
            <w:proofErr w:type="spellStart"/>
            <w:r w:rsidRPr="00B84B0C">
              <w:rPr>
                <w:rFonts w:cs="Arial"/>
              </w:rPr>
              <w:t>and</w:t>
            </w:r>
            <w:proofErr w:type="spellEnd"/>
            <w:r w:rsidRPr="00B84B0C">
              <w:rPr>
                <w:rFonts w:cs="Arial"/>
              </w:rPr>
              <w:t xml:space="preserve"> </w:t>
            </w:r>
            <w:proofErr w:type="spellStart"/>
            <w:r w:rsidRPr="00B84B0C">
              <w:rPr>
                <w:rFonts w:cs="Arial"/>
              </w:rPr>
              <w:t>equity</w:t>
            </w:r>
            <w:proofErr w:type="spellEnd"/>
          </w:p>
        </w:tc>
        <w:tc>
          <w:tcPr>
            <w:tcW w:w="1630" w:type="dxa"/>
            <w:tcBorders>
              <w:top w:val="nil"/>
              <w:bottom w:val="single" w:sz="2" w:space="0" w:color="8EAADB" w:themeColor="accent5" w:themeTint="99"/>
            </w:tcBorders>
            <w:shd w:val="clear" w:color="auto" w:fill="FFFFFF" w:themeFill="background1"/>
            <w:vAlign w:val="center"/>
          </w:tcPr>
          <w:p w14:paraId="4B4A7A1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rPr>
            </w:pPr>
            <w:r w:rsidRPr="00B84B0C">
              <w:rPr>
                <w:rFonts w:cs="Arial"/>
                <w:b/>
              </w:rPr>
              <w:t>14,852,093</w:t>
            </w:r>
          </w:p>
        </w:tc>
        <w:tc>
          <w:tcPr>
            <w:tcW w:w="1630" w:type="dxa"/>
            <w:tcBorders>
              <w:top w:val="nil"/>
              <w:bottom w:val="single" w:sz="2" w:space="0" w:color="8EAADB" w:themeColor="accent5" w:themeTint="99"/>
            </w:tcBorders>
            <w:shd w:val="clear" w:color="auto" w:fill="FFFFFF" w:themeFill="background1"/>
            <w:vAlign w:val="center"/>
          </w:tcPr>
          <w:p w14:paraId="033BE0F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3,124,242</w:t>
            </w:r>
          </w:p>
        </w:tc>
        <w:tc>
          <w:tcPr>
            <w:tcW w:w="1630" w:type="dxa"/>
            <w:tcBorders>
              <w:top w:val="nil"/>
              <w:bottom w:val="single" w:sz="2" w:space="0" w:color="8EAADB" w:themeColor="accent5" w:themeTint="99"/>
            </w:tcBorders>
            <w:shd w:val="clear" w:color="auto" w:fill="FFFFFF" w:themeFill="background1"/>
            <w:vAlign w:val="center"/>
          </w:tcPr>
          <w:p w14:paraId="2B3308B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(6,317,218)</w:t>
            </w:r>
          </w:p>
        </w:tc>
        <w:tc>
          <w:tcPr>
            <w:tcW w:w="1738" w:type="dxa"/>
            <w:tcBorders>
              <w:top w:val="nil"/>
              <w:bottom w:val="single" w:sz="2" w:space="0" w:color="8EAADB" w:themeColor="accent5" w:themeTint="99"/>
            </w:tcBorders>
            <w:shd w:val="clear" w:color="auto" w:fill="FFFFFF" w:themeFill="background1"/>
            <w:vAlign w:val="center"/>
          </w:tcPr>
          <w:p w14:paraId="5FE19D1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11,659,117</w:t>
            </w:r>
          </w:p>
        </w:tc>
      </w:tr>
    </w:tbl>
    <w:p w14:paraId="76304D72" w14:textId="77777777" w:rsidR="00711D9A" w:rsidRPr="00B84B0C" w:rsidRDefault="00711D9A" w:rsidP="00711D9A">
      <w:pPr>
        <w:pStyle w:val="05-Textonormal"/>
        <w:spacing w:before="0" w:after="0" w:line="240" w:lineRule="auto"/>
        <w:rPr>
          <w:rFonts w:cs="Arial"/>
        </w:rPr>
      </w:pPr>
    </w:p>
    <w:p w14:paraId="361806D3" w14:textId="77777777" w:rsidR="00711D9A" w:rsidRPr="00B84B0C" w:rsidRDefault="00711D9A" w:rsidP="00711D9A">
      <w:pPr>
        <w:pStyle w:val="05-Textonormal"/>
        <w:spacing w:after="0"/>
        <w:jc w:val="right"/>
        <w:rPr>
          <w:rFonts w:cs="Arial"/>
          <w:b/>
          <w:sz w:val="14"/>
        </w:rPr>
      </w:pPr>
      <w:r w:rsidRPr="00B84B0C">
        <w:rPr>
          <w:rFonts w:cs="Arial"/>
          <w:b/>
          <w:sz w:val="14"/>
        </w:rPr>
        <w:t xml:space="preserve">R$ </w:t>
      </w:r>
      <w:proofErr w:type="spellStart"/>
      <w:r w:rsidRPr="00B84B0C">
        <w:rPr>
          <w:rFonts w:cs="Arial"/>
          <w:b/>
          <w:sz w:val="14"/>
        </w:rPr>
        <w:t>thousand</w:t>
      </w:r>
      <w:proofErr w:type="spellEnd"/>
    </w:p>
    <w:tbl>
      <w:tblPr>
        <w:tblStyle w:val="TabeladeLista6Colorida-nfase510"/>
        <w:tblW w:w="9639" w:type="dxa"/>
        <w:tblInd w:w="108" w:type="dxa"/>
        <w:shd w:val="clear" w:color="auto" w:fill="D9E2F3"/>
        <w:tblLayout w:type="fixed"/>
        <w:tblLook w:val="04A0" w:firstRow="1" w:lastRow="0" w:firstColumn="1" w:lastColumn="0" w:noHBand="0" w:noVBand="1"/>
      </w:tblPr>
      <w:tblGrid>
        <w:gridCol w:w="3011"/>
        <w:gridCol w:w="1630"/>
        <w:gridCol w:w="1630"/>
        <w:gridCol w:w="1630"/>
        <w:gridCol w:w="1738"/>
      </w:tblGrid>
      <w:tr w:rsidR="00711D9A" w:rsidRPr="00B84B0C" w14:paraId="3B90C97D" w14:textId="77777777" w:rsidTr="00AC568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011" w:type="dxa"/>
            <w:tcBorders>
              <w:top w:val="single" w:sz="2" w:space="0" w:color="8EAADB" w:themeColor="accent5" w:themeTint="99"/>
              <w:bottom w:val="nil"/>
            </w:tcBorders>
            <w:shd w:val="clear" w:color="auto" w:fill="D9E2F3"/>
            <w:vAlign w:val="center"/>
          </w:tcPr>
          <w:p w14:paraId="52CAA298" w14:textId="77777777" w:rsidR="00711D9A" w:rsidRPr="00B84B0C" w:rsidRDefault="00711D9A" w:rsidP="00711D9A">
            <w:pPr>
              <w:jc w:val="center"/>
              <w:rPr>
                <w:rFonts w:cs="Arial"/>
                <w:b w:val="0"/>
                <w:szCs w:val="18"/>
              </w:rPr>
            </w:pPr>
          </w:p>
        </w:tc>
        <w:tc>
          <w:tcPr>
            <w:tcW w:w="6628" w:type="dxa"/>
            <w:gridSpan w:val="4"/>
            <w:tcBorders>
              <w:top w:val="single" w:sz="2" w:space="0" w:color="8EAADB" w:themeColor="accent5" w:themeTint="99"/>
              <w:bottom w:val="single" w:sz="2" w:space="0" w:color="8EAADB" w:themeColor="accent5" w:themeTint="99"/>
            </w:tcBorders>
            <w:shd w:val="clear" w:color="auto" w:fill="D9E2F3"/>
            <w:vAlign w:val="center"/>
          </w:tcPr>
          <w:p w14:paraId="42CC882C"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Dec</w:t>
            </w:r>
            <w:proofErr w:type="spellEnd"/>
            <w:r w:rsidRPr="00B84B0C">
              <w:rPr>
                <w:rFonts w:cs="Arial"/>
                <w:sz w:val="14"/>
                <w:szCs w:val="18"/>
              </w:rPr>
              <w:t>, 31.2019</w:t>
            </w:r>
          </w:p>
        </w:tc>
      </w:tr>
      <w:tr w:rsidR="00711D9A" w:rsidRPr="00B84B0C" w14:paraId="2CE71C2E" w14:textId="77777777" w:rsidTr="00AC5680">
        <w:trPr>
          <w:cnfStyle w:val="000000100000" w:firstRow="0" w:lastRow="0" w:firstColumn="0" w:lastColumn="0" w:oddVBand="0" w:evenVBand="0" w:oddHBand="1" w:evenHBand="0" w:firstRowFirstColumn="0" w:firstRowLastColumn="0" w:lastRowFirstColumn="0" w:lastRowLastColumn="0"/>
          <w:trHeight w:hRule="exact" w:val="436"/>
        </w:trPr>
        <w:tc>
          <w:tcPr>
            <w:cnfStyle w:val="001000000000" w:firstRow="0" w:lastRow="0" w:firstColumn="1" w:lastColumn="0" w:oddVBand="0" w:evenVBand="0" w:oddHBand="0" w:evenHBand="0" w:firstRowFirstColumn="0" w:firstRowLastColumn="0" w:lastRowFirstColumn="0" w:lastRowLastColumn="0"/>
            <w:tcW w:w="3011" w:type="dxa"/>
            <w:tcBorders>
              <w:top w:val="nil"/>
              <w:bottom w:val="single" w:sz="2" w:space="0" w:color="8EAADB" w:themeColor="accent5" w:themeTint="99"/>
            </w:tcBorders>
            <w:shd w:val="clear" w:color="auto" w:fill="D9E2F3"/>
          </w:tcPr>
          <w:p w14:paraId="3C8EA185" w14:textId="77777777" w:rsidR="00711D9A" w:rsidRPr="00B84B0C" w:rsidRDefault="00711D9A" w:rsidP="00711D9A">
            <w:pPr>
              <w:pStyle w:val="08-Tabelageral"/>
              <w:jc w:val="left"/>
              <w:rPr>
                <w:rFonts w:cs="Arial"/>
                <w:b w:val="0"/>
              </w:rPr>
            </w:pPr>
          </w:p>
        </w:tc>
        <w:tc>
          <w:tcPr>
            <w:tcW w:w="1630" w:type="dxa"/>
            <w:tcBorders>
              <w:top w:val="single" w:sz="2" w:space="0" w:color="8EAADB" w:themeColor="accent5" w:themeTint="99"/>
              <w:bottom w:val="single" w:sz="2" w:space="0" w:color="8EAADB" w:themeColor="accent5" w:themeTint="99"/>
            </w:tcBorders>
            <w:shd w:val="clear" w:color="auto" w:fill="D9E2F3"/>
            <w:vAlign w:val="center"/>
          </w:tcPr>
          <w:p w14:paraId="46D72E6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Seguridade</w:t>
            </w:r>
          </w:p>
        </w:tc>
        <w:tc>
          <w:tcPr>
            <w:tcW w:w="1630" w:type="dxa"/>
            <w:tcBorders>
              <w:top w:val="single" w:sz="2" w:space="0" w:color="8EAADB" w:themeColor="accent5" w:themeTint="99"/>
              <w:bottom w:val="single" w:sz="2" w:space="0" w:color="8EAADB" w:themeColor="accent5" w:themeTint="99"/>
            </w:tcBorders>
            <w:shd w:val="clear" w:color="auto" w:fill="D9E2F3"/>
            <w:vAlign w:val="center"/>
          </w:tcPr>
          <w:p w14:paraId="481B088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Corretagem</w:t>
            </w:r>
          </w:p>
        </w:tc>
        <w:tc>
          <w:tcPr>
            <w:tcW w:w="1630" w:type="dxa"/>
            <w:tcBorders>
              <w:top w:val="single" w:sz="2" w:space="0" w:color="8EAADB" w:themeColor="accent5" w:themeTint="99"/>
              <w:bottom w:val="single" w:sz="2" w:space="0" w:color="8EAADB" w:themeColor="accent5" w:themeTint="99"/>
            </w:tcBorders>
            <w:shd w:val="clear" w:color="auto" w:fill="D9E2F3"/>
            <w:vAlign w:val="center"/>
          </w:tcPr>
          <w:p w14:paraId="5022A28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Eliminações intersegmentos</w:t>
            </w:r>
          </w:p>
        </w:tc>
        <w:tc>
          <w:tcPr>
            <w:tcW w:w="1738" w:type="dxa"/>
            <w:tcBorders>
              <w:top w:val="single" w:sz="2" w:space="0" w:color="8EAADB" w:themeColor="accent5" w:themeTint="99"/>
              <w:bottom w:val="single" w:sz="2" w:space="0" w:color="8EAADB" w:themeColor="accent5" w:themeTint="99"/>
            </w:tcBorders>
            <w:shd w:val="clear" w:color="auto" w:fill="D9E2F3"/>
            <w:vAlign w:val="center"/>
          </w:tcPr>
          <w:p w14:paraId="5BC197B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Total</w:t>
            </w:r>
          </w:p>
        </w:tc>
      </w:tr>
      <w:tr w:rsidR="00711D9A" w:rsidRPr="00B84B0C" w14:paraId="5C5CCE3F"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single" w:sz="2" w:space="0" w:color="8EAADB" w:themeColor="accent5" w:themeTint="99"/>
              <w:bottom w:val="nil"/>
            </w:tcBorders>
            <w:shd w:val="clear" w:color="auto" w:fill="FFFFFF" w:themeFill="background1"/>
            <w:vAlign w:val="center"/>
          </w:tcPr>
          <w:p w14:paraId="3930E77B" w14:textId="77777777" w:rsidR="00711D9A" w:rsidRPr="00B84B0C" w:rsidRDefault="00711D9A" w:rsidP="00711D9A">
            <w:pPr>
              <w:pStyle w:val="08-Tabelageral"/>
              <w:jc w:val="left"/>
              <w:rPr>
                <w:rFonts w:cs="Arial"/>
                <w:b w:val="0"/>
                <w:bCs w:val="0"/>
              </w:rPr>
            </w:pP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assets</w:t>
            </w:r>
            <w:proofErr w:type="spellEnd"/>
          </w:p>
        </w:tc>
        <w:tc>
          <w:tcPr>
            <w:tcW w:w="1630" w:type="dxa"/>
            <w:tcBorders>
              <w:top w:val="single" w:sz="2" w:space="0" w:color="8EAADB" w:themeColor="accent5" w:themeTint="99"/>
              <w:bottom w:val="nil"/>
            </w:tcBorders>
            <w:shd w:val="clear" w:color="auto" w:fill="FFFFFF" w:themeFill="background1"/>
            <w:vAlign w:val="center"/>
          </w:tcPr>
          <w:p w14:paraId="242D1A33" w14:textId="77777777" w:rsidR="00711D9A" w:rsidRPr="00B84B0C" w:rsidRDefault="00711D9A" w:rsidP="00711D9A">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 w:val="14"/>
                <w:szCs w:val="14"/>
              </w:rPr>
            </w:pPr>
            <w:r w:rsidRPr="00B84B0C">
              <w:rPr>
                <w:rFonts w:cs="Arial"/>
                <w:sz w:val="14"/>
                <w:szCs w:val="14"/>
              </w:rPr>
              <w:t>7,983,069</w:t>
            </w:r>
          </w:p>
        </w:tc>
        <w:tc>
          <w:tcPr>
            <w:tcW w:w="1630" w:type="dxa"/>
            <w:tcBorders>
              <w:top w:val="single" w:sz="2" w:space="0" w:color="8EAADB" w:themeColor="accent5" w:themeTint="99"/>
              <w:bottom w:val="nil"/>
            </w:tcBorders>
            <w:shd w:val="clear" w:color="auto" w:fill="FFFFFF" w:themeFill="background1"/>
          </w:tcPr>
          <w:p w14:paraId="7152D91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2,753,321</w:t>
            </w:r>
          </w:p>
        </w:tc>
        <w:tc>
          <w:tcPr>
            <w:tcW w:w="1630" w:type="dxa"/>
            <w:tcBorders>
              <w:top w:val="single" w:sz="2" w:space="0" w:color="8EAADB" w:themeColor="accent5" w:themeTint="99"/>
              <w:bottom w:val="nil"/>
            </w:tcBorders>
            <w:shd w:val="clear" w:color="auto" w:fill="FFFFFF" w:themeFill="background1"/>
          </w:tcPr>
          <w:p w14:paraId="125E200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(1,998,131)</w:t>
            </w:r>
          </w:p>
        </w:tc>
        <w:tc>
          <w:tcPr>
            <w:tcW w:w="1738" w:type="dxa"/>
            <w:tcBorders>
              <w:top w:val="single" w:sz="2" w:space="0" w:color="8EAADB" w:themeColor="accent5" w:themeTint="99"/>
              <w:bottom w:val="nil"/>
            </w:tcBorders>
            <w:shd w:val="clear" w:color="auto" w:fill="FFFFFF" w:themeFill="background1"/>
          </w:tcPr>
          <w:p w14:paraId="400008C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8,738,259</w:t>
            </w:r>
          </w:p>
        </w:tc>
      </w:tr>
      <w:tr w:rsidR="00711D9A" w:rsidRPr="00B84B0C" w14:paraId="74303188"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D9E2F3"/>
            <w:vAlign w:val="center"/>
          </w:tcPr>
          <w:p w14:paraId="6F612392" w14:textId="77777777" w:rsidR="00711D9A" w:rsidRPr="00B84B0C" w:rsidRDefault="00711D9A" w:rsidP="00711D9A">
            <w:pPr>
              <w:pStyle w:val="08-Tabelageral"/>
              <w:jc w:val="left"/>
              <w:rPr>
                <w:rFonts w:cs="Arial"/>
                <w:b w:val="0"/>
                <w:bCs w:val="0"/>
              </w:rPr>
            </w:pPr>
            <w:r w:rsidRPr="00B84B0C">
              <w:rPr>
                <w:rFonts w:cs="Arial"/>
                <w:b w:val="0"/>
              </w:rPr>
              <w:t>Non-</w:t>
            </w: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assets</w:t>
            </w:r>
            <w:proofErr w:type="spellEnd"/>
          </w:p>
        </w:tc>
        <w:tc>
          <w:tcPr>
            <w:tcW w:w="1630" w:type="dxa"/>
            <w:tcBorders>
              <w:top w:val="nil"/>
              <w:bottom w:val="nil"/>
            </w:tcBorders>
            <w:shd w:val="clear" w:color="auto" w:fill="D9E2F3"/>
            <w:vAlign w:val="center"/>
          </w:tcPr>
          <w:p w14:paraId="7C9E8C53" w14:textId="77777777" w:rsidR="00711D9A" w:rsidRPr="00B84B0C" w:rsidRDefault="00711D9A" w:rsidP="00711D9A">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sz w:val="14"/>
                <w:szCs w:val="14"/>
              </w:rPr>
              <w:t>10,408,745</w:t>
            </w:r>
          </w:p>
        </w:tc>
        <w:tc>
          <w:tcPr>
            <w:tcW w:w="1630" w:type="dxa"/>
            <w:tcBorders>
              <w:top w:val="nil"/>
              <w:bottom w:val="nil"/>
            </w:tcBorders>
            <w:shd w:val="clear" w:color="auto" w:fill="D9E2F3"/>
          </w:tcPr>
          <w:p w14:paraId="697A48C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1,257,846</w:t>
            </w:r>
          </w:p>
        </w:tc>
        <w:tc>
          <w:tcPr>
            <w:tcW w:w="1630" w:type="dxa"/>
            <w:tcBorders>
              <w:top w:val="nil"/>
              <w:bottom w:val="nil"/>
            </w:tcBorders>
            <w:shd w:val="clear" w:color="auto" w:fill="D9E2F3"/>
          </w:tcPr>
          <w:p w14:paraId="1346170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(5,478,303)</w:t>
            </w:r>
          </w:p>
        </w:tc>
        <w:tc>
          <w:tcPr>
            <w:tcW w:w="1738" w:type="dxa"/>
            <w:tcBorders>
              <w:top w:val="nil"/>
              <w:bottom w:val="nil"/>
            </w:tcBorders>
            <w:shd w:val="clear" w:color="auto" w:fill="D9E2F3"/>
          </w:tcPr>
          <w:p w14:paraId="02EDB47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6,188,288</w:t>
            </w:r>
          </w:p>
        </w:tc>
      </w:tr>
      <w:tr w:rsidR="00711D9A" w:rsidRPr="00B84B0C" w14:paraId="774AA1F0"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FFFFFF" w:themeFill="background1"/>
            <w:vAlign w:val="center"/>
          </w:tcPr>
          <w:p w14:paraId="77E9307B" w14:textId="77777777" w:rsidR="00711D9A" w:rsidRPr="00B84B0C" w:rsidRDefault="00711D9A" w:rsidP="00711D9A">
            <w:pPr>
              <w:pStyle w:val="08-Tabelageral"/>
              <w:jc w:val="left"/>
              <w:rPr>
                <w:rFonts w:cs="Arial"/>
                <w:bCs w:val="0"/>
              </w:rPr>
            </w:pPr>
            <w:r w:rsidRPr="00B84B0C">
              <w:rPr>
                <w:rFonts w:cs="Arial"/>
              </w:rPr>
              <w:t xml:space="preserve">Total </w:t>
            </w:r>
            <w:proofErr w:type="spellStart"/>
            <w:r w:rsidRPr="00B84B0C">
              <w:rPr>
                <w:rFonts w:cs="Arial"/>
              </w:rPr>
              <w:t>assets</w:t>
            </w:r>
            <w:proofErr w:type="spellEnd"/>
          </w:p>
        </w:tc>
        <w:tc>
          <w:tcPr>
            <w:tcW w:w="1630" w:type="dxa"/>
            <w:tcBorders>
              <w:top w:val="nil"/>
              <w:bottom w:val="nil"/>
            </w:tcBorders>
            <w:shd w:val="clear" w:color="auto" w:fill="FFFFFF" w:themeFill="background1"/>
            <w:vAlign w:val="center"/>
          </w:tcPr>
          <w:p w14:paraId="47F5DC30" w14:textId="77777777" w:rsidR="00711D9A" w:rsidRPr="00B84B0C" w:rsidRDefault="00711D9A" w:rsidP="00711D9A">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sz w:val="14"/>
                <w:szCs w:val="14"/>
              </w:rPr>
              <w:t>18,391,814</w:t>
            </w:r>
          </w:p>
        </w:tc>
        <w:tc>
          <w:tcPr>
            <w:tcW w:w="1630" w:type="dxa"/>
            <w:tcBorders>
              <w:top w:val="nil"/>
              <w:bottom w:val="nil"/>
            </w:tcBorders>
            <w:shd w:val="clear" w:color="auto" w:fill="FFFFFF" w:themeFill="background1"/>
          </w:tcPr>
          <w:p w14:paraId="3E0D00D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4,011,167</w:t>
            </w:r>
          </w:p>
        </w:tc>
        <w:tc>
          <w:tcPr>
            <w:tcW w:w="1630" w:type="dxa"/>
            <w:tcBorders>
              <w:top w:val="nil"/>
              <w:bottom w:val="nil"/>
            </w:tcBorders>
            <w:shd w:val="clear" w:color="auto" w:fill="FFFFFF" w:themeFill="background1"/>
          </w:tcPr>
          <w:p w14:paraId="13E71FE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(7,476,434)</w:t>
            </w:r>
          </w:p>
        </w:tc>
        <w:tc>
          <w:tcPr>
            <w:tcW w:w="1738" w:type="dxa"/>
            <w:tcBorders>
              <w:top w:val="nil"/>
              <w:bottom w:val="nil"/>
            </w:tcBorders>
            <w:shd w:val="clear" w:color="auto" w:fill="FFFFFF" w:themeFill="background1"/>
          </w:tcPr>
          <w:p w14:paraId="24C010A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14,926,547</w:t>
            </w:r>
          </w:p>
        </w:tc>
      </w:tr>
      <w:tr w:rsidR="00711D9A" w:rsidRPr="00B84B0C" w14:paraId="06194E92"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D9E2F3"/>
            <w:vAlign w:val="center"/>
          </w:tcPr>
          <w:p w14:paraId="05336FE6" w14:textId="77777777" w:rsidR="00711D9A" w:rsidRPr="00B84B0C" w:rsidRDefault="00711D9A" w:rsidP="00711D9A">
            <w:pPr>
              <w:pStyle w:val="08-Tabelageral"/>
              <w:jc w:val="left"/>
              <w:rPr>
                <w:rFonts w:cs="Arial"/>
                <w:b w:val="0"/>
                <w:bCs w:val="0"/>
              </w:rPr>
            </w:pP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liabilities</w:t>
            </w:r>
            <w:proofErr w:type="spellEnd"/>
          </w:p>
        </w:tc>
        <w:tc>
          <w:tcPr>
            <w:tcW w:w="1630" w:type="dxa"/>
            <w:tcBorders>
              <w:top w:val="nil"/>
              <w:bottom w:val="nil"/>
            </w:tcBorders>
            <w:shd w:val="clear" w:color="auto" w:fill="D9E2F3"/>
            <w:vAlign w:val="center"/>
          </w:tcPr>
          <w:p w14:paraId="215879D6" w14:textId="77777777" w:rsidR="00711D9A" w:rsidRPr="00B84B0C" w:rsidRDefault="00711D9A" w:rsidP="00711D9A">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sz w:val="14"/>
                <w:szCs w:val="14"/>
              </w:rPr>
              <w:t>7,482,618</w:t>
            </w:r>
          </w:p>
        </w:tc>
        <w:tc>
          <w:tcPr>
            <w:tcW w:w="1630" w:type="dxa"/>
            <w:tcBorders>
              <w:top w:val="nil"/>
              <w:bottom w:val="nil"/>
            </w:tcBorders>
            <w:shd w:val="clear" w:color="auto" w:fill="D9E2F3"/>
          </w:tcPr>
          <w:p w14:paraId="5A46D1D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2,731,240</w:t>
            </w:r>
          </w:p>
        </w:tc>
        <w:tc>
          <w:tcPr>
            <w:tcW w:w="1630" w:type="dxa"/>
            <w:tcBorders>
              <w:top w:val="nil"/>
              <w:bottom w:val="nil"/>
            </w:tcBorders>
            <w:shd w:val="clear" w:color="auto" w:fill="D9E2F3"/>
          </w:tcPr>
          <w:p w14:paraId="69EC3F4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(1,998,130)</w:t>
            </w:r>
          </w:p>
        </w:tc>
        <w:tc>
          <w:tcPr>
            <w:tcW w:w="1738" w:type="dxa"/>
            <w:tcBorders>
              <w:top w:val="nil"/>
              <w:bottom w:val="nil"/>
            </w:tcBorders>
            <w:shd w:val="clear" w:color="auto" w:fill="D9E2F3"/>
          </w:tcPr>
          <w:p w14:paraId="2744666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8,215,728</w:t>
            </w:r>
          </w:p>
        </w:tc>
      </w:tr>
      <w:tr w:rsidR="00711D9A" w:rsidRPr="00B84B0C" w14:paraId="03151BC7"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FFFFFF" w:themeFill="background1"/>
            <w:vAlign w:val="center"/>
          </w:tcPr>
          <w:p w14:paraId="13E7DFA7" w14:textId="77777777" w:rsidR="00711D9A" w:rsidRPr="00B84B0C" w:rsidRDefault="00711D9A" w:rsidP="00711D9A">
            <w:pPr>
              <w:pStyle w:val="08-Tabelageral"/>
              <w:jc w:val="left"/>
              <w:rPr>
                <w:rFonts w:cs="Arial"/>
                <w:b w:val="0"/>
                <w:bCs w:val="0"/>
              </w:rPr>
            </w:pPr>
            <w:r w:rsidRPr="00B84B0C">
              <w:rPr>
                <w:rFonts w:cs="Arial"/>
                <w:b w:val="0"/>
              </w:rPr>
              <w:t>Non-</w:t>
            </w: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liabilities</w:t>
            </w:r>
            <w:proofErr w:type="spellEnd"/>
          </w:p>
        </w:tc>
        <w:tc>
          <w:tcPr>
            <w:tcW w:w="1630" w:type="dxa"/>
            <w:tcBorders>
              <w:top w:val="nil"/>
              <w:bottom w:val="nil"/>
            </w:tcBorders>
            <w:shd w:val="clear" w:color="auto" w:fill="FFFFFF" w:themeFill="background1"/>
            <w:vAlign w:val="center"/>
          </w:tcPr>
          <w:p w14:paraId="417BCE61" w14:textId="77777777" w:rsidR="00711D9A" w:rsidRPr="00B84B0C" w:rsidRDefault="00711D9A" w:rsidP="00711D9A">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sz w:val="14"/>
                <w:szCs w:val="14"/>
              </w:rPr>
              <w:t>229,046</w:t>
            </w:r>
          </w:p>
        </w:tc>
        <w:tc>
          <w:tcPr>
            <w:tcW w:w="1630" w:type="dxa"/>
            <w:tcBorders>
              <w:top w:val="nil"/>
              <w:bottom w:val="nil"/>
            </w:tcBorders>
            <w:shd w:val="clear" w:color="auto" w:fill="FFFFFF" w:themeFill="background1"/>
          </w:tcPr>
          <w:p w14:paraId="45A9285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1,233,019</w:t>
            </w:r>
          </w:p>
        </w:tc>
        <w:tc>
          <w:tcPr>
            <w:tcW w:w="1630" w:type="dxa"/>
            <w:tcBorders>
              <w:top w:val="nil"/>
              <w:bottom w:val="nil"/>
            </w:tcBorders>
            <w:shd w:val="clear" w:color="auto" w:fill="FFFFFF" w:themeFill="background1"/>
          </w:tcPr>
          <w:p w14:paraId="057E82C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738" w:type="dxa"/>
            <w:tcBorders>
              <w:top w:val="nil"/>
              <w:bottom w:val="nil"/>
            </w:tcBorders>
            <w:shd w:val="clear" w:color="auto" w:fill="FFFFFF" w:themeFill="background1"/>
          </w:tcPr>
          <w:p w14:paraId="616BE3F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1,462,065</w:t>
            </w:r>
          </w:p>
        </w:tc>
      </w:tr>
      <w:tr w:rsidR="00711D9A" w:rsidRPr="00B84B0C" w14:paraId="08D28D92"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nil"/>
            </w:tcBorders>
            <w:shd w:val="clear" w:color="auto" w:fill="D9E2F3"/>
            <w:vAlign w:val="center"/>
          </w:tcPr>
          <w:p w14:paraId="5BD758BD" w14:textId="77777777" w:rsidR="00711D9A" w:rsidRPr="00B84B0C" w:rsidRDefault="00711D9A" w:rsidP="00711D9A">
            <w:pPr>
              <w:pStyle w:val="08-Tabelageral"/>
              <w:jc w:val="left"/>
              <w:rPr>
                <w:rFonts w:cs="Arial"/>
                <w:b w:val="0"/>
                <w:bCs w:val="0"/>
              </w:rPr>
            </w:pPr>
            <w:proofErr w:type="spellStart"/>
            <w:r w:rsidRPr="00B84B0C">
              <w:rPr>
                <w:rFonts w:cs="Arial"/>
                <w:b w:val="0"/>
              </w:rPr>
              <w:t>Equity</w:t>
            </w:r>
            <w:proofErr w:type="spellEnd"/>
          </w:p>
        </w:tc>
        <w:tc>
          <w:tcPr>
            <w:tcW w:w="1630" w:type="dxa"/>
            <w:tcBorders>
              <w:top w:val="nil"/>
              <w:bottom w:val="nil"/>
            </w:tcBorders>
            <w:shd w:val="clear" w:color="auto" w:fill="D9E2F3"/>
            <w:vAlign w:val="center"/>
          </w:tcPr>
          <w:p w14:paraId="6F743462" w14:textId="77777777" w:rsidR="00711D9A" w:rsidRPr="00B84B0C" w:rsidRDefault="00711D9A" w:rsidP="00711D9A">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sz w:val="14"/>
                <w:szCs w:val="14"/>
              </w:rPr>
              <w:t>10,680,150</w:t>
            </w:r>
          </w:p>
        </w:tc>
        <w:tc>
          <w:tcPr>
            <w:tcW w:w="1630" w:type="dxa"/>
            <w:tcBorders>
              <w:top w:val="nil"/>
              <w:bottom w:val="nil"/>
            </w:tcBorders>
            <w:shd w:val="clear" w:color="auto" w:fill="D9E2F3"/>
          </w:tcPr>
          <w:p w14:paraId="580A8FC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46,908</w:t>
            </w:r>
          </w:p>
        </w:tc>
        <w:tc>
          <w:tcPr>
            <w:tcW w:w="1630" w:type="dxa"/>
            <w:tcBorders>
              <w:top w:val="nil"/>
              <w:bottom w:val="nil"/>
            </w:tcBorders>
            <w:shd w:val="clear" w:color="auto" w:fill="D9E2F3"/>
          </w:tcPr>
          <w:p w14:paraId="2839DE9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(5,478,304)</w:t>
            </w:r>
          </w:p>
        </w:tc>
        <w:tc>
          <w:tcPr>
            <w:tcW w:w="1738" w:type="dxa"/>
            <w:tcBorders>
              <w:top w:val="nil"/>
              <w:bottom w:val="nil"/>
            </w:tcBorders>
            <w:shd w:val="clear" w:color="auto" w:fill="D9E2F3"/>
          </w:tcPr>
          <w:p w14:paraId="4F1C396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5,248,754</w:t>
            </w:r>
          </w:p>
        </w:tc>
      </w:tr>
      <w:tr w:rsidR="00711D9A" w:rsidRPr="00B84B0C" w14:paraId="0D649464"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11" w:type="dxa"/>
            <w:tcBorders>
              <w:top w:val="nil"/>
              <w:bottom w:val="single" w:sz="2" w:space="0" w:color="8EAADB" w:themeColor="accent5" w:themeTint="99"/>
            </w:tcBorders>
            <w:shd w:val="clear" w:color="auto" w:fill="FFFFFF" w:themeFill="background1"/>
            <w:vAlign w:val="center"/>
          </w:tcPr>
          <w:p w14:paraId="108DBE28" w14:textId="77777777" w:rsidR="00711D9A" w:rsidRPr="00B84B0C" w:rsidRDefault="00711D9A" w:rsidP="00711D9A">
            <w:pPr>
              <w:pStyle w:val="08-Tabelageral"/>
              <w:jc w:val="left"/>
              <w:rPr>
                <w:rFonts w:cs="Arial"/>
                <w:bCs w:val="0"/>
              </w:rPr>
            </w:pPr>
            <w:r w:rsidRPr="00B84B0C">
              <w:rPr>
                <w:rFonts w:cs="Arial"/>
              </w:rPr>
              <w:t xml:space="preserve">Total </w:t>
            </w:r>
            <w:proofErr w:type="spellStart"/>
            <w:r w:rsidRPr="00B84B0C">
              <w:rPr>
                <w:rFonts w:cs="Arial"/>
              </w:rPr>
              <w:t>liabilities</w:t>
            </w:r>
            <w:proofErr w:type="spellEnd"/>
            <w:r w:rsidRPr="00B84B0C">
              <w:rPr>
                <w:rFonts w:cs="Arial"/>
              </w:rPr>
              <w:t xml:space="preserve"> </w:t>
            </w:r>
            <w:proofErr w:type="spellStart"/>
            <w:r w:rsidRPr="00B84B0C">
              <w:rPr>
                <w:rFonts w:cs="Arial"/>
              </w:rPr>
              <w:t>and</w:t>
            </w:r>
            <w:proofErr w:type="spellEnd"/>
            <w:r w:rsidRPr="00B84B0C">
              <w:rPr>
                <w:rFonts w:cs="Arial"/>
              </w:rPr>
              <w:t xml:space="preserve"> </w:t>
            </w:r>
            <w:proofErr w:type="spellStart"/>
            <w:r w:rsidRPr="00B84B0C">
              <w:rPr>
                <w:rFonts w:cs="Arial"/>
              </w:rPr>
              <w:t>equity</w:t>
            </w:r>
            <w:proofErr w:type="spellEnd"/>
          </w:p>
        </w:tc>
        <w:tc>
          <w:tcPr>
            <w:tcW w:w="1630" w:type="dxa"/>
            <w:tcBorders>
              <w:top w:val="nil"/>
              <w:bottom w:val="single" w:sz="2" w:space="0" w:color="8EAADB" w:themeColor="accent5" w:themeTint="99"/>
            </w:tcBorders>
            <w:shd w:val="clear" w:color="auto" w:fill="FFFFFF" w:themeFill="background1"/>
            <w:vAlign w:val="center"/>
          </w:tcPr>
          <w:p w14:paraId="28C4CD23" w14:textId="77777777" w:rsidR="00711D9A" w:rsidRPr="00B84B0C" w:rsidRDefault="00711D9A" w:rsidP="00711D9A">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sz w:val="14"/>
                <w:szCs w:val="14"/>
              </w:rPr>
              <w:t>18,391,814</w:t>
            </w:r>
          </w:p>
        </w:tc>
        <w:tc>
          <w:tcPr>
            <w:tcW w:w="1630" w:type="dxa"/>
            <w:tcBorders>
              <w:top w:val="nil"/>
              <w:bottom w:val="single" w:sz="2" w:space="0" w:color="8EAADB" w:themeColor="accent5" w:themeTint="99"/>
            </w:tcBorders>
            <w:shd w:val="clear" w:color="auto" w:fill="FFFFFF" w:themeFill="background1"/>
          </w:tcPr>
          <w:p w14:paraId="20FE91E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4,011,167</w:t>
            </w:r>
          </w:p>
        </w:tc>
        <w:tc>
          <w:tcPr>
            <w:tcW w:w="1630" w:type="dxa"/>
            <w:tcBorders>
              <w:top w:val="nil"/>
              <w:bottom w:val="single" w:sz="2" w:space="0" w:color="8EAADB" w:themeColor="accent5" w:themeTint="99"/>
            </w:tcBorders>
            <w:shd w:val="clear" w:color="auto" w:fill="FFFFFF" w:themeFill="background1"/>
          </w:tcPr>
          <w:p w14:paraId="6131259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(7,476,434)</w:t>
            </w:r>
          </w:p>
        </w:tc>
        <w:tc>
          <w:tcPr>
            <w:tcW w:w="1738" w:type="dxa"/>
            <w:tcBorders>
              <w:top w:val="nil"/>
              <w:bottom w:val="single" w:sz="2" w:space="0" w:color="8EAADB" w:themeColor="accent5" w:themeTint="99"/>
            </w:tcBorders>
            <w:shd w:val="clear" w:color="auto" w:fill="FFFFFF" w:themeFill="background1"/>
          </w:tcPr>
          <w:p w14:paraId="357CBCD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14,926,547</w:t>
            </w:r>
          </w:p>
        </w:tc>
      </w:tr>
    </w:tbl>
    <w:p w14:paraId="669D7A78" w14:textId="77777777" w:rsidR="00711D9A" w:rsidRPr="00B84B0C" w:rsidRDefault="00711D9A" w:rsidP="00711D9A">
      <w:pPr>
        <w:spacing w:after="0" w:line="240" w:lineRule="auto"/>
        <w:rPr>
          <w:rFonts w:eastAsia="Times New Roman" w:cs="Arial"/>
          <w:spacing w:val="-2"/>
          <w:szCs w:val="18"/>
          <w:lang w:eastAsia="pt-BR"/>
        </w:rPr>
      </w:pPr>
    </w:p>
    <w:p w14:paraId="42704BFF" w14:textId="77777777" w:rsidR="00711D9A" w:rsidRPr="00B84B0C" w:rsidRDefault="00711D9A" w:rsidP="00711D9A">
      <w:pPr>
        <w:rPr>
          <w:rFonts w:cs="Arial"/>
          <w:b/>
          <w:color w:val="1F4E79" w:themeColor="accent1" w:themeShade="80"/>
          <w:szCs w:val="18"/>
        </w:rPr>
      </w:pPr>
      <w:r w:rsidRPr="00B84B0C">
        <w:rPr>
          <w:rFonts w:cs="Arial"/>
          <w:b/>
          <w:color w:val="1F4E79" w:themeColor="accent1" w:themeShade="80"/>
          <w:szCs w:val="18"/>
        </w:rPr>
        <w:t xml:space="preserve">e) </w:t>
      </w:r>
      <w:proofErr w:type="spellStart"/>
      <w:r w:rsidRPr="00B84B0C">
        <w:rPr>
          <w:rFonts w:cs="Arial"/>
          <w:b/>
          <w:color w:val="1F4E79" w:themeColor="accent1" w:themeShade="80"/>
          <w:szCs w:val="18"/>
        </w:rPr>
        <w:t>Insurance</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Segment</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Subdivision</w:t>
      </w:r>
      <w:proofErr w:type="spellEnd"/>
    </w:p>
    <w:p w14:paraId="69205FE2" w14:textId="77777777" w:rsidR="00711D9A" w:rsidRPr="00B84B0C" w:rsidRDefault="00711D9A" w:rsidP="00711D9A">
      <w:pPr>
        <w:pStyle w:val="05-Textonormal"/>
        <w:rPr>
          <w:rFonts w:cs="Arial"/>
          <w:lang w:val="en-US"/>
        </w:rPr>
      </w:pPr>
      <w:r w:rsidRPr="00B84B0C">
        <w:rPr>
          <w:rFonts w:cs="Arial"/>
          <w:lang w:val="en-US"/>
        </w:rPr>
        <w:t>Insurance Segment results are evaluated considering the following lines of business: (</w:t>
      </w:r>
      <w:proofErr w:type="spellStart"/>
      <w:r w:rsidRPr="00B84B0C">
        <w:rPr>
          <w:rFonts w:cs="Arial"/>
          <w:lang w:val="en-US"/>
        </w:rPr>
        <w:t>i</w:t>
      </w:r>
      <w:proofErr w:type="spellEnd"/>
      <w:r w:rsidRPr="00B84B0C">
        <w:rPr>
          <w:rFonts w:cs="Arial"/>
          <w:lang w:val="en-US"/>
        </w:rPr>
        <w:t>) Insurance, (ii) Reinsurance (until July 23, 2019), (iii) Private Pension Plans, (iv) Capitalization Plans and (v) Health.</w:t>
      </w:r>
    </w:p>
    <w:p w14:paraId="1A0B50AC" w14:textId="77777777" w:rsidR="00711D9A" w:rsidRPr="00B84B0C" w:rsidRDefault="00711D9A" w:rsidP="00711D9A">
      <w:pPr>
        <w:pStyle w:val="04-TtuloNegrito"/>
        <w:keepNext/>
        <w:keepLines/>
        <w:rPr>
          <w:rFonts w:eastAsiaTheme="minorHAnsi" w:cs="Arial"/>
          <w:b w:val="0"/>
          <w:sz w:val="18"/>
          <w:szCs w:val="18"/>
          <w:lang w:val="en-US"/>
        </w:rPr>
      </w:pPr>
      <w:r w:rsidRPr="00B84B0C">
        <w:rPr>
          <w:rFonts w:cs="Arial"/>
          <w:color w:val="1F4E79" w:themeColor="accent1" w:themeShade="80"/>
          <w:sz w:val="18"/>
          <w:szCs w:val="18"/>
          <w:lang w:val="en-US"/>
        </w:rPr>
        <w:t xml:space="preserve">Insurance – Life, Mortgage Life, Rural and </w:t>
      </w:r>
      <w:proofErr w:type="spellStart"/>
      <w:r w:rsidRPr="00B84B0C">
        <w:rPr>
          <w:rFonts w:cs="Arial"/>
          <w:color w:val="1F4E79" w:themeColor="accent1" w:themeShade="80"/>
          <w:sz w:val="18"/>
          <w:szCs w:val="18"/>
          <w:lang w:val="en-US"/>
        </w:rPr>
        <w:t>Propety</w:t>
      </w:r>
      <w:proofErr w:type="spellEnd"/>
      <w:r w:rsidRPr="00B84B0C">
        <w:rPr>
          <w:rFonts w:cs="Arial"/>
          <w:color w:val="1F4E79" w:themeColor="accent1" w:themeShade="80"/>
          <w:sz w:val="18"/>
          <w:szCs w:val="18"/>
          <w:lang w:val="en-US"/>
        </w:rPr>
        <w:t xml:space="preserve"> </w:t>
      </w:r>
      <w:r w:rsidRPr="00B84B0C">
        <w:rPr>
          <w:rFonts w:cs="Arial"/>
          <w:sz w:val="18"/>
          <w:szCs w:val="18"/>
          <w:lang w:val="en-US"/>
        </w:rPr>
        <w:t xml:space="preserve">- </w:t>
      </w:r>
      <w:r w:rsidRPr="00B84B0C">
        <w:rPr>
          <w:rFonts w:eastAsiaTheme="minorHAnsi" w:cs="Arial"/>
          <w:b w:val="0"/>
          <w:sz w:val="18"/>
          <w:szCs w:val="18"/>
          <w:lang w:val="en-US"/>
        </w:rPr>
        <w:t xml:space="preserve">Life, mortgage life, rural and </w:t>
      </w:r>
      <w:proofErr w:type="spellStart"/>
      <w:r w:rsidRPr="00B84B0C">
        <w:rPr>
          <w:rFonts w:eastAsiaTheme="minorHAnsi" w:cs="Arial"/>
          <w:b w:val="0"/>
          <w:sz w:val="18"/>
          <w:szCs w:val="18"/>
          <w:lang w:val="en-US"/>
        </w:rPr>
        <w:t>propety</w:t>
      </w:r>
      <w:proofErr w:type="spellEnd"/>
      <w:r w:rsidRPr="00B84B0C">
        <w:rPr>
          <w:rFonts w:eastAsiaTheme="minorHAnsi" w:cs="Arial"/>
          <w:b w:val="0"/>
          <w:sz w:val="18"/>
          <w:szCs w:val="18"/>
          <w:lang w:val="en-US"/>
        </w:rPr>
        <w:t xml:space="preserve"> comprise the products offered by BB </w:t>
      </w:r>
      <w:proofErr w:type="spellStart"/>
      <w:r w:rsidRPr="00B84B0C">
        <w:rPr>
          <w:rFonts w:eastAsiaTheme="minorHAnsi" w:cs="Arial"/>
          <w:b w:val="0"/>
          <w:sz w:val="18"/>
          <w:szCs w:val="18"/>
          <w:lang w:val="en-US"/>
        </w:rPr>
        <w:t>Mapfre</w:t>
      </w:r>
      <w:proofErr w:type="spellEnd"/>
      <w:r w:rsidRPr="00B84B0C">
        <w:rPr>
          <w:rFonts w:eastAsiaTheme="minorHAnsi" w:cs="Arial"/>
          <w:b w:val="0"/>
          <w:sz w:val="18"/>
          <w:szCs w:val="18"/>
          <w:lang w:val="en-US"/>
        </w:rPr>
        <w:t xml:space="preserve"> SH1 (personal, property and rural insurance), Income arises mainly from insurance premiums revenues and investments in securities, net of selling expenses, technical provisions and claims expenses.</w:t>
      </w:r>
    </w:p>
    <w:p w14:paraId="3F229BB8" w14:textId="77777777" w:rsidR="00711D9A" w:rsidRPr="00B84B0C" w:rsidRDefault="00711D9A" w:rsidP="00711D9A">
      <w:pPr>
        <w:pStyle w:val="04-TtuloNegrito"/>
        <w:rPr>
          <w:rFonts w:eastAsiaTheme="minorHAnsi" w:cs="Arial"/>
          <w:b w:val="0"/>
          <w:sz w:val="18"/>
          <w:szCs w:val="18"/>
          <w:lang w:val="en-US"/>
        </w:rPr>
      </w:pPr>
      <w:r w:rsidRPr="00B84B0C">
        <w:rPr>
          <w:rFonts w:cs="Arial"/>
          <w:color w:val="1F4E79" w:themeColor="accent1" w:themeShade="80"/>
          <w:sz w:val="18"/>
          <w:szCs w:val="18"/>
          <w:lang w:val="en-US"/>
        </w:rPr>
        <w:t>Reinsurance</w:t>
      </w:r>
      <w:r w:rsidRPr="00B84B0C">
        <w:rPr>
          <w:rFonts w:cs="Arial"/>
          <w:lang w:val="en-US"/>
        </w:rPr>
        <w:t xml:space="preserve"> </w:t>
      </w:r>
      <w:r w:rsidRPr="00B84B0C">
        <w:rPr>
          <w:rFonts w:eastAsiaTheme="minorHAnsi" w:cs="Arial"/>
          <w:b w:val="0"/>
          <w:sz w:val="18"/>
          <w:szCs w:val="18"/>
          <w:lang w:val="en-US" w:eastAsia="en-US"/>
        </w:rPr>
        <w:t xml:space="preserve">- </w:t>
      </w:r>
      <w:r w:rsidRPr="00B84B0C">
        <w:rPr>
          <w:rFonts w:eastAsiaTheme="minorHAnsi" w:cs="Arial"/>
          <w:b w:val="0"/>
          <w:sz w:val="18"/>
          <w:szCs w:val="18"/>
          <w:lang w:val="en-US"/>
        </w:rPr>
        <w:t xml:space="preserve">Reinsurance comprises the products offered by </w:t>
      </w:r>
      <w:r w:rsidRPr="00B84B0C">
        <w:rPr>
          <w:rFonts w:cs="Arial"/>
          <w:b w:val="0"/>
          <w:sz w:val="18"/>
          <w:szCs w:val="18"/>
          <w:lang w:val="en-US"/>
        </w:rPr>
        <w:t>IRB </w:t>
      </w:r>
      <w:proofErr w:type="spellStart"/>
      <w:r w:rsidRPr="00B84B0C">
        <w:rPr>
          <w:rFonts w:cs="Arial"/>
          <w:b w:val="0"/>
          <w:sz w:val="18"/>
          <w:szCs w:val="18"/>
          <w:lang w:val="en-US"/>
        </w:rPr>
        <w:t>Brasil</w:t>
      </w:r>
      <w:proofErr w:type="spellEnd"/>
      <w:r w:rsidRPr="00B84B0C">
        <w:rPr>
          <w:rFonts w:cs="Arial"/>
          <w:b w:val="0"/>
          <w:sz w:val="18"/>
          <w:szCs w:val="18"/>
          <w:lang w:val="en-US"/>
        </w:rPr>
        <w:t xml:space="preserve"> Re </w:t>
      </w:r>
      <w:r w:rsidRPr="00B84B0C">
        <w:rPr>
          <w:rFonts w:eastAsiaTheme="minorHAnsi" w:cs="Arial"/>
          <w:b w:val="0"/>
          <w:sz w:val="18"/>
          <w:szCs w:val="18"/>
          <w:lang w:val="en-US"/>
        </w:rPr>
        <w:t>(reinsurance operations), until July 23, 2019, Income and expenses are recorded by the equity method and arise, mainly, from reinsurance premiums issued in the country and abroad revenues and investments in securities, net of selling expenses, technical provisions and claims expenses.</w:t>
      </w:r>
    </w:p>
    <w:p w14:paraId="2DBCB564" w14:textId="77777777" w:rsidR="00711D9A" w:rsidRPr="00B84B0C" w:rsidRDefault="00711D9A" w:rsidP="00711D9A">
      <w:pPr>
        <w:pStyle w:val="05-Textonormal"/>
        <w:rPr>
          <w:rFonts w:cs="Arial"/>
          <w:lang w:val="en-US"/>
        </w:rPr>
      </w:pPr>
      <w:r w:rsidRPr="00B84B0C">
        <w:rPr>
          <w:rFonts w:cs="Arial"/>
          <w:b/>
          <w:color w:val="1F4E79" w:themeColor="accent1" w:themeShade="80"/>
          <w:lang w:val="en-US"/>
        </w:rPr>
        <w:lastRenderedPageBreak/>
        <w:t>Private Pension Plans</w:t>
      </w:r>
      <w:r w:rsidRPr="00B84B0C">
        <w:rPr>
          <w:rFonts w:cs="Arial"/>
          <w:lang w:val="en-US"/>
        </w:rPr>
        <w:t xml:space="preserve"> - </w:t>
      </w:r>
      <w:r w:rsidRPr="00B84B0C">
        <w:rPr>
          <w:rFonts w:eastAsiaTheme="minorHAnsi" w:cs="Arial"/>
          <w:lang w:val="en-US"/>
        </w:rPr>
        <w:t xml:space="preserve">Pension plans are offered in plans marketed by </w:t>
      </w:r>
      <w:proofErr w:type="spellStart"/>
      <w:r w:rsidRPr="00B84B0C">
        <w:rPr>
          <w:rFonts w:eastAsiaTheme="minorHAnsi" w:cs="Arial"/>
          <w:lang w:val="en-US"/>
        </w:rPr>
        <w:t>Brasilprev</w:t>
      </w:r>
      <w:proofErr w:type="spellEnd"/>
      <w:r w:rsidRPr="00B84B0C">
        <w:rPr>
          <w:rFonts w:eastAsiaTheme="minorHAnsi" w:cs="Arial"/>
          <w:lang w:val="en-US"/>
        </w:rPr>
        <w:t xml:space="preserve">, Income </w:t>
      </w:r>
      <w:proofErr w:type="gramStart"/>
      <w:r w:rsidRPr="00B84B0C">
        <w:rPr>
          <w:rFonts w:eastAsiaTheme="minorHAnsi" w:cs="Arial"/>
          <w:lang w:val="en-US"/>
        </w:rPr>
        <w:t>arise</w:t>
      </w:r>
      <w:proofErr w:type="gramEnd"/>
      <w:r w:rsidRPr="00B84B0C">
        <w:rPr>
          <w:rFonts w:eastAsiaTheme="minorHAnsi" w:cs="Arial"/>
          <w:lang w:val="en-US"/>
        </w:rPr>
        <w:t xml:space="preserve"> mainly from administration fees and investments in securities, net of selling expenses, technical provisions and expenses with benefits and redemption.</w:t>
      </w:r>
      <w:r w:rsidRPr="00B84B0C">
        <w:rPr>
          <w:rFonts w:cs="Arial"/>
          <w:lang w:val="en-US"/>
        </w:rPr>
        <w:t xml:space="preserve"> </w:t>
      </w:r>
    </w:p>
    <w:p w14:paraId="3B87851C" w14:textId="77777777" w:rsidR="00711D9A" w:rsidRPr="00B84B0C" w:rsidRDefault="00711D9A" w:rsidP="00711D9A">
      <w:pPr>
        <w:pStyle w:val="04-TtuloNegrito"/>
        <w:rPr>
          <w:rFonts w:cs="Arial"/>
          <w:b w:val="0"/>
          <w:sz w:val="18"/>
          <w:szCs w:val="18"/>
          <w:lang w:val="en-US"/>
        </w:rPr>
      </w:pPr>
      <w:r w:rsidRPr="00B84B0C">
        <w:rPr>
          <w:rFonts w:cs="Arial"/>
          <w:color w:val="1F4E79" w:themeColor="accent1" w:themeShade="80"/>
          <w:sz w:val="18"/>
          <w:szCs w:val="18"/>
          <w:lang w:val="en-US"/>
        </w:rPr>
        <w:t>Capitalization Plans</w:t>
      </w:r>
      <w:r w:rsidRPr="00B84B0C">
        <w:rPr>
          <w:rFonts w:eastAsiaTheme="minorHAnsi" w:cs="Arial"/>
          <w:b w:val="0"/>
          <w:sz w:val="18"/>
          <w:szCs w:val="18"/>
          <w:lang w:val="en-US" w:eastAsia="en-US"/>
        </w:rPr>
        <w:t xml:space="preserve"> - </w:t>
      </w:r>
      <w:proofErr w:type="spellStart"/>
      <w:r w:rsidRPr="00B84B0C">
        <w:rPr>
          <w:rFonts w:eastAsiaTheme="minorHAnsi" w:cs="Arial"/>
          <w:b w:val="0"/>
          <w:sz w:val="18"/>
          <w:szCs w:val="18"/>
          <w:lang w:val="en-US"/>
        </w:rPr>
        <w:t>Brasilcap</w:t>
      </w:r>
      <w:proofErr w:type="spellEnd"/>
      <w:r w:rsidRPr="00B84B0C">
        <w:rPr>
          <w:rFonts w:eastAsiaTheme="minorHAnsi" w:cs="Arial"/>
          <w:b w:val="0"/>
          <w:sz w:val="18"/>
          <w:szCs w:val="18"/>
          <w:lang w:val="en-US"/>
        </w:rPr>
        <w:t xml:space="preserve"> primarily responsible for offering capitalization plans, Income and expenses are recorded by the equity method and arise, mainly, from insurance premiums issued revenues and investments in securities, net of selling expenses, technical provisions and expenses with redemption</w:t>
      </w:r>
      <w:r w:rsidRPr="00B84B0C">
        <w:rPr>
          <w:rFonts w:cs="Arial"/>
          <w:b w:val="0"/>
          <w:sz w:val="18"/>
          <w:szCs w:val="18"/>
          <w:lang w:val="en-US"/>
        </w:rPr>
        <w:t xml:space="preserve"> and lottery.</w:t>
      </w:r>
    </w:p>
    <w:bookmarkEnd w:id="19"/>
    <w:p w14:paraId="590A5D76" w14:textId="77777777" w:rsidR="00711D9A" w:rsidRPr="00B84B0C" w:rsidRDefault="00711D9A" w:rsidP="00711D9A">
      <w:pPr>
        <w:jc w:val="both"/>
        <w:rPr>
          <w:rFonts w:cs="Arial"/>
          <w:spacing w:val="-2"/>
          <w:szCs w:val="18"/>
          <w:lang w:val="en-US" w:eastAsia="pt-BR"/>
        </w:rPr>
      </w:pPr>
      <w:r w:rsidRPr="00B84B0C">
        <w:rPr>
          <w:rFonts w:eastAsia="Times New Roman" w:cs="Arial"/>
          <w:b/>
          <w:color w:val="1F4E79" w:themeColor="accent1" w:themeShade="80"/>
          <w:spacing w:val="-2"/>
          <w:szCs w:val="18"/>
          <w:lang w:val="en-US" w:eastAsia="pt-BR"/>
        </w:rPr>
        <w:t xml:space="preserve">Health </w:t>
      </w:r>
      <w:r w:rsidRPr="00B84B0C">
        <w:rPr>
          <w:rFonts w:cs="Arial"/>
          <w:szCs w:val="18"/>
          <w:lang w:val="en-US"/>
        </w:rPr>
        <w:t xml:space="preserve">- </w:t>
      </w:r>
      <w:r w:rsidRPr="00B84B0C">
        <w:rPr>
          <w:rFonts w:cs="Arial"/>
          <w:spacing w:val="-2"/>
          <w:szCs w:val="18"/>
          <w:lang w:val="en-US" w:eastAsia="pt-BR"/>
        </w:rPr>
        <w:t xml:space="preserve">Reinsurance comprises the products offered by </w:t>
      </w:r>
      <w:proofErr w:type="spellStart"/>
      <w:r w:rsidRPr="00B84B0C">
        <w:rPr>
          <w:rFonts w:cs="Arial"/>
          <w:spacing w:val="-2"/>
          <w:szCs w:val="18"/>
          <w:lang w:val="en-US" w:eastAsia="pt-BR"/>
        </w:rPr>
        <w:t>Brasildental</w:t>
      </w:r>
      <w:proofErr w:type="spellEnd"/>
      <w:r w:rsidRPr="00B84B0C">
        <w:rPr>
          <w:rFonts w:cs="Arial"/>
          <w:spacing w:val="-2"/>
          <w:szCs w:val="18"/>
          <w:lang w:val="en-US" w:eastAsia="pt-BR"/>
        </w:rPr>
        <w:t xml:space="preserve"> </w:t>
      </w:r>
      <w:proofErr w:type="spellStart"/>
      <w:r w:rsidRPr="00B84B0C">
        <w:rPr>
          <w:rFonts w:cs="Arial"/>
          <w:spacing w:val="-2"/>
          <w:szCs w:val="18"/>
          <w:lang w:val="en-US" w:eastAsia="pt-BR"/>
        </w:rPr>
        <w:t>Operadora</w:t>
      </w:r>
      <w:proofErr w:type="spellEnd"/>
      <w:r w:rsidRPr="00B84B0C">
        <w:rPr>
          <w:rFonts w:cs="Arial"/>
          <w:spacing w:val="-2"/>
          <w:szCs w:val="18"/>
          <w:lang w:val="en-US" w:eastAsia="pt-BR"/>
        </w:rPr>
        <w:t xml:space="preserve"> de </w:t>
      </w:r>
      <w:proofErr w:type="spellStart"/>
      <w:r w:rsidRPr="00B84B0C">
        <w:rPr>
          <w:rFonts w:cs="Arial"/>
          <w:spacing w:val="-2"/>
          <w:szCs w:val="18"/>
          <w:lang w:val="en-US" w:eastAsia="pt-BR"/>
        </w:rPr>
        <w:t>Planos</w:t>
      </w:r>
      <w:proofErr w:type="spellEnd"/>
      <w:r w:rsidRPr="00B84B0C">
        <w:rPr>
          <w:rFonts w:cs="Arial"/>
          <w:spacing w:val="-2"/>
          <w:szCs w:val="18"/>
          <w:lang w:val="en-US" w:eastAsia="pt-BR"/>
        </w:rPr>
        <w:t xml:space="preserve"> </w:t>
      </w:r>
      <w:proofErr w:type="spellStart"/>
      <w:r w:rsidRPr="00B84B0C">
        <w:rPr>
          <w:rFonts w:cs="Arial"/>
          <w:spacing w:val="-2"/>
          <w:szCs w:val="18"/>
          <w:lang w:val="en-US" w:eastAsia="pt-BR"/>
        </w:rPr>
        <w:t>Odontológicos</w:t>
      </w:r>
      <w:proofErr w:type="spellEnd"/>
      <w:r w:rsidRPr="00B84B0C">
        <w:rPr>
          <w:rFonts w:cs="Arial"/>
          <w:spacing w:val="-2"/>
          <w:szCs w:val="18"/>
          <w:lang w:val="en-US" w:eastAsia="pt-BR"/>
        </w:rPr>
        <w:t>, (operation of private dental plans), Income and expenses are recorded by the equity method and arise, mainly, from health dental plans/ retained premiums and investments in securities, net of selling expenses and technical provisions.</w:t>
      </w:r>
    </w:p>
    <w:p w14:paraId="7DB04CFB" w14:textId="77777777" w:rsidR="00711D9A" w:rsidRPr="00B84B0C" w:rsidRDefault="00711D9A" w:rsidP="00711D9A">
      <w:pPr>
        <w:spacing w:after="0"/>
        <w:rPr>
          <w:rFonts w:cs="Arial"/>
          <w:b/>
          <w:color w:val="1F4E79" w:themeColor="accent1" w:themeShade="80"/>
          <w:szCs w:val="18"/>
          <w:lang w:val="en-US"/>
        </w:rPr>
      </w:pPr>
      <w:r w:rsidRPr="00B84B0C">
        <w:rPr>
          <w:rFonts w:cs="Arial"/>
          <w:b/>
          <w:color w:val="1F4E79" w:themeColor="accent1" w:themeShade="80"/>
          <w:szCs w:val="18"/>
          <w:lang w:val="en-US"/>
        </w:rPr>
        <w:t>f) Combined Statement of Income by Sub Segment</w:t>
      </w:r>
    </w:p>
    <w:p w14:paraId="6F864692" w14:textId="77777777" w:rsidR="00711D9A" w:rsidRPr="00B84B0C" w:rsidRDefault="00711D9A" w:rsidP="00711D9A">
      <w:pPr>
        <w:spacing w:after="0"/>
        <w:jc w:val="right"/>
        <w:rPr>
          <w:rFonts w:cs="Arial"/>
          <w:b/>
          <w:sz w:val="14"/>
          <w:szCs w:val="18"/>
        </w:rPr>
      </w:pPr>
      <w:r w:rsidRPr="00B84B0C">
        <w:rPr>
          <w:rFonts w:cs="Arial"/>
          <w:b/>
          <w:sz w:val="14"/>
          <w:szCs w:val="18"/>
        </w:rPr>
        <w:t xml:space="preserve">R$ </w:t>
      </w:r>
      <w:proofErr w:type="spellStart"/>
      <w:r w:rsidRPr="00B84B0C">
        <w:rPr>
          <w:rFonts w:cs="Arial"/>
          <w:b/>
          <w:sz w:val="14"/>
          <w:szCs w:val="18"/>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3578"/>
        <w:gridCol w:w="1190"/>
        <w:gridCol w:w="1191"/>
        <w:gridCol w:w="1190"/>
        <w:gridCol w:w="1191"/>
        <w:gridCol w:w="1299"/>
      </w:tblGrid>
      <w:tr w:rsidR="00711D9A" w:rsidRPr="00B84B0C" w14:paraId="03FB1FFC" w14:textId="77777777" w:rsidTr="00AC568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578" w:type="dxa"/>
            <w:tcBorders>
              <w:top w:val="single" w:sz="2" w:space="0" w:color="8EAADB" w:themeColor="accent5" w:themeTint="99"/>
              <w:bottom w:val="nil"/>
            </w:tcBorders>
            <w:shd w:val="clear" w:color="auto" w:fill="D9E2F3"/>
            <w:vAlign w:val="center"/>
          </w:tcPr>
          <w:p w14:paraId="0D4E45F4" w14:textId="77777777" w:rsidR="00711D9A" w:rsidRPr="00B84B0C" w:rsidRDefault="00711D9A" w:rsidP="00711D9A">
            <w:pPr>
              <w:jc w:val="center"/>
              <w:rPr>
                <w:rFonts w:cs="Arial"/>
                <w:b w:val="0"/>
                <w:szCs w:val="18"/>
              </w:rPr>
            </w:pPr>
          </w:p>
        </w:tc>
        <w:tc>
          <w:tcPr>
            <w:tcW w:w="6061" w:type="dxa"/>
            <w:gridSpan w:val="5"/>
            <w:tcBorders>
              <w:top w:val="single" w:sz="2" w:space="0" w:color="8EAADB" w:themeColor="accent5" w:themeTint="99"/>
              <w:bottom w:val="single" w:sz="2" w:space="0" w:color="8EAADB" w:themeColor="accent5" w:themeTint="99"/>
            </w:tcBorders>
            <w:shd w:val="clear" w:color="auto" w:fill="D9E2F3"/>
            <w:vAlign w:val="center"/>
          </w:tcPr>
          <w:p w14:paraId="0EDE5F4F"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84B0C">
              <w:rPr>
                <w:rFonts w:cs="Arial"/>
                <w:sz w:val="14"/>
                <w:szCs w:val="18"/>
              </w:rPr>
              <w:t xml:space="preserve">1st </w:t>
            </w:r>
            <w:proofErr w:type="spellStart"/>
            <w:r w:rsidRPr="00B84B0C">
              <w:rPr>
                <w:rFonts w:cs="Arial"/>
                <w:sz w:val="14"/>
                <w:szCs w:val="18"/>
              </w:rPr>
              <w:t>Quarter</w:t>
            </w:r>
            <w:proofErr w:type="spellEnd"/>
            <w:r w:rsidRPr="00B84B0C">
              <w:rPr>
                <w:rFonts w:cs="Arial"/>
                <w:sz w:val="14"/>
                <w:szCs w:val="18"/>
              </w:rPr>
              <w:t xml:space="preserve"> 2020</w:t>
            </w:r>
          </w:p>
        </w:tc>
      </w:tr>
      <w:tr w:rsidR="00711D9A" w:rsidRPr="00B84B0C" w14:paraId="0A77B0CD" w14:textId="77777777" w:rsidTr="00AC5680">
        <w:trPr>
          <w:cnfStyle w:val="000000100000" w:firstRow="0" w:lastRow="0" w:firstColumn="0" w:lastColumn="0" w:oddVBand="0" w:evenVBand="0" w:oddHBand="1" w:evenHBand="0" w:firstRowFirstColumn="0" w:firstRowLastColumn="0" w:lastRowFirstColumn="0" w:lastRowLastColumn="0"/>
          <w:trHeight w:hRule="exact" w:val="636"/>
        </w:trPr>
        <w:tc>
          <w:tcPr>
            <w:cnfStyle w:val="001000000000" w:firstRow="0" w:lastRow="0" w:firstColumn="1" w:lastColumn="0" w:oddVBand="0" w:evenVBand="0" w:oddHBand="0" w:evenHBand="0" w:firstRowFirstColumn="0" w:firstRowLastColumn="0" w:lastRowFirstColumn="0" w:lastRowLastColumn="0"/>
            <w:tcW w:w="3578" w:type="dxa"/>
            <w:tcBorders>
              <w:top w:val="nil"/>
              <w:bottom w:val="single" w:sz="2" w:space="0" w:color="8EAADB" w:themeColor="accent5" w:themeTint="99"/>
            </w:tcBorders>
            <w:shd w:val="clear" w:color="auto" w:fill="D9E2F3"/>
          </w:tcPr>
          <w:p w14:paraId="5406C88F" w14:textId="77777777" w:rsidR="00711D9A" w:rsidRPr="00B84B0C" w:rsidRDefault="00711D9A" w:rsidP="00711D9A">
            <w:pPr>
              <w:pStyle w:val="08-Tabelageral"/>
              <w:jc w:val="left"/>
              <w:rPr>
                <w:rFonts w:cs="Arial"/>
                <w:b w:val="0"/>
              </w:rPr>
            </w:pPr>
          </w:p>
        </w:tc>
        <w:tc>
          <w:tcPr>
            <w:tcW w:w="1190" w:type="dxa"/>
            <w:tcBorders>
              <w:top w:val="single" w:sz="2" w:space="0" w:color="8EAADB" w:themeColor="accent5" w:themeTint="99"/>
              <w:bottom w:val="single" w:sz="2" w:space="0" w:color="8EAADB" w:themeColor="accent5" w:themeTint="99"/>
            </w:tcBorders>
            <w:shd w:val="clear" w:color="auto" w:fill="D9E2F3"/>
          </w:tcPr>
          <w:p w14:paraId="2348F0C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lang w:val="en-US"/>
              </w:rPr>
            </w:pPr>
          </w:p>
        </w:tc>
        <w:tc>
          <w:tcPr>
            <w:tcW w:w="1191" w:type="dxa"/>
            <w:tcBorders>
              <w:top w:val="single" w:sz="2" w:space="0" w:color="8EAADB" w:themeColor="accent5" w:themeTint="99"/>
              <w:bottom w:val="single" w:sz="2" w:space="0" w:color="8EAADB" w:themeColor="accent5" w:themeTint="99"/>
            </w:tcBorders>
            <w:shd w:val="clear" w:color="auto" w:fill="D9E2F3"/>
          </w:tcPr>
          <w:p w14:paraId="4049486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lang w:val="en-US"/>
              </w:rPr>
            </w:pPr>
            <w:r w:rsidRPr="00B84B0C">
              <w:rPr>
                <w:rFonts w:cs="Arial"/>
                <w:b/>
                <w:sz w:val="12"/>
                <w:lang w:val="en-US"/>
              </w:rPr>
              <w:t>Life, Mortgage, Rural and Property</w:t>
            </w:r>
          </w:p>
        </w:tc>
        <w:tc>
          <w:tcPr>
            <w:tcW w:w="1190" w:type="dxa"/>
            <w:tcBorders>
              <w:top w:val="single" w:sz="2" w:space="0" w:color="8EAADB" w:themeColor="accent5" w:themeTint="99"/>
              <w:bottom w:val="single" w:sz="2" w:space="0" w:color="8EAADB" w:themeColor="accent5" w:themeTint="99"/>
            </w:tcBorders>
            <w:shd w:val="clear" w:color="auto" w:fill="D9E2F3"/>
            <w:vAlign w:val="center"/>
          </w:tcPr>
          <w:p w14:paraId="566A550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 xml:space="preserve">Private </w:t>
            </w:r>
            <w:proofErr w:type="spellStart"/>
            <w:r w:rsidRPr="00B84B0C">
              <w:rPr>
                <w:rFonts w:cs="Arial"/>
                <w:b/>
                <w:sz w:val="12"/>
              </w:rPr>
              <w:t>Pension</w:t>
            </w:r>
            <w:proofErr w:type="spellEnd"/>
            <w:r w:rsidRPr="00B84B0C">
              <w:rPr>
                <w:rFonts w:cs="Arial"/>
                <w:b/>
                <w:sz w:val="12"/>
              </w:rPr>
              <w:t xml:space="preserve"> </w:t>
            </w:r>
            <w:proofErr w:type="spellStart"/>
            <w:r w:rsidRPr="00B84B0C">
              <w:rPr>
                <w:rFonts w:cs="Arial"/>
                <w:b/>
                <w:sz w:val="12"/>
              </w:rPr>
              <w:t>Plans</w:t>
            </w:r>
            <w:proofErr w:type="spellEnd"/>
          </w:p>
        </w:tc>
        <w:tc>
          <w:tcPr>
            <w:tcW w:w="1191" w:type="dxa"/>
            <w:tcBorders>
              <w:top w:val="single" w:sz="2" w:space="0" w:color="8EAADB" w:themeColor="accent5" w:themeTint="99"/>
              <w:bottom w:val="single" w:sz="2" w:space="0" w:color="8EAADB" w:themeColor="accent5" w:themeTint="99"/>
            </w:tcBorders>
            <w:shd w:val="clear" w:color="auto" w:fill="D9E2F3"/>
            <w:vAlign w:val="center"/>
          </w:tcPr>
          <w:p w14:paraId="484DCD2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proofErr w:type="spellStart"/>
            <w:r w:rsidRPr="00B84B0C">
              <w:rPr>
                <w:rFonts w:cs="Arial"/>
                <w:b/>
                <w:sz w:val="12"/>
              </w:rPr>
              <w:t>Capitalization</w:t>
            </w:r>
            <w:proofErr w:type="spellEnd"/>
            <w:r w:rsidRPr="00B84B0C">
              <w:rPr>
                <w:rFonts w:cs="Arial"/>
                <w:b/>
                <w:sz w:val="12"/>
              </w:rPr>
              <w:t xml:space="preserve"> </w:t>
            </w:r>
            <w:proofErr w:type="spellStart"/>
            <w:r w:rsidRPr="00B84B0C">
              <w:rPr>
                <w:rFonts w:cs="Arial"/>
                <w:b/>
                <w:sz w:val="12"/>
              </w:rPr>
              <w:t>Plans</w:t>
            </w:r>
            <w:proofErr w:type="spellEnd"/>
          </w:p>
        </w:tc>
        <w:tc>
          <w:tcPr>
            <w:tcW w:w="1299" w:type="dxa"/>
            <w:tcBorders>
              <w:top w:val="single" w:sz="2" w:space="0" w:color="8EAADB" w:themeColor="accent5" w:themeTint="99"/>
              <w:bottom w:val="single" w:sz="2" w:space="0" w:color="8EAADB" w:themeColor="accent5" w:themeTint="99"/>
            </w:tcBorders>
            <w:shd w:val="clear" w:color="auto" w:fill="D9E2F3"/>
            <w:vAlign w:val="center"/>
          </w:tcPr>
          <w:p w14:paraId="6BC5486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Health</w:t>
            </w:r>
          </w:p>
        </w:tc>
      </w:tr>
      <w:tr w:rsidR="00711D9A" w:rsidRPr="00B84B0C" w14:paraId="63B164C4"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single" w:sz="2" w:space="0" w:color="8EAADB" w:themeColor="accent5" w:themeTint="99"/>
              <w:bottom w:val="nil"/>
            </w:tcBorders>
            <w:shd w:val="clear" w:color="auto" w:fill="FFFFFF" w:themeFill="background1"/>
            <w:vAlign w:val="center"/>
          </w:tcPr>
          <w:p w14:paraId="2CC6550E" w14:textId="77777777" w:rsidR="00711D9A" w:rsidRPr="00B84B0C" w:rsidRDefault="00711D9A" w:rsidP="00711D9A">
            <w:pPr>
              <w:pStyle w:val="08-Tabelageral"/>
              <w:jc w:val="left"/>
              <w:rPr>
                <w:rFonts w:cs="Arial"/>
                <w:b w:val="0"/>
                <w:bCs w:val="0"/>
                <w:szCs w:val="14"/>
              </w:rPr>
            </w:pPr>
            <w:proofErr w:type="spellStart"/>
            <w:r w:rsidRPr="00B84B0C">
              <w:rPr>
                <w:rFonts w:cs="Arial"/>
                <w:b w:val="0"/>
                <w:bCs w:val="0"/>
                <w:szCs w:val="14"/>
              </w:rPr>
              <w:t>Insurance</w:t>
            </w:r>
            <w:proofErr w:type="spellEnd"/>
            <w:r w:rsidRPr="00B84B0C">
              <w:rPr>
                <w:rFonts w:cs="Arial"/>
                <w:b w:val="0"/>
                <w:bCs w:val="0"/>
                <w:szCs w:val="14"/>
              </w:rPr>
              <w:t xml:space="preserve"> income</w:t>
            </w:r>
          </w:p>
        </w:tc>
        <w:tc>
          <w:tcPr>
            <w:tcW w:w="1190" w:type="dxa"/>
            <w:tcBorders>
              <w:top w:val="single" w:sz="2" w:space="0" w:color="8EAADB" w:themeColor="accent5" w:themeTint="99"/>
              <w:bottom w:val="nil"/>
            </w:tcBorders>
            <w:shd w:val="clear" w:color="auto" w:fill="FFFFFF" w:themeFill="background1"/>
          </w:tcPr>
          <w:p w14:paraId="4FB9D6D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191" w:type="dxa"/>
            <w:tcBorders>
              <w:top w:val="single" w:sz="2" w:space="0" w:color="8EAADB" w:themeColor="accent5" w:themeTint="99"/>
              <w:bottom w:val="nil"/>
            </w:tcBorders>
            <w:shd w:val="clear" w:color="auto" w:fill="FFFFFF" w:themeFill="background1"/>
            <w:vAlign w:val="center"/>
          </w:tcPr>
          <w:p w14:paraId="277417B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338,665</w:t>
            </w:r>
          </w:p>
        </w:tc>
        <w:tc>
          <w:tcPr>
            <w:tcW w:w="1190" w:type="dxa"/>
            <w:tcBorders>
              <w:top w:val="single" w:sz="2" w:space="0" w:color="8EAADB" w:themeColor="accent5" w:themeTint="99"/>
              <w:bottom w:val="nil"/>
            </w:tcBorders>
            <w:shd w:val="clear" w:color="auto" w:fill="FFFFFF" w:themeFill="background1"/>
            <w:vAlign w:val="center"/>
          </w:tcPr>
          <w:p w14:paraId="2BBF0CB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1" w:type="dxa"/>
            <w:tcBorders>
              <w:top w:val="single" w:sz="2" w:space="0" w:color="8EAADB" w:themeColor="accent5" w:themeTint="99"/>
              <w:bottom w:val="nil"/>
            </w:tcBorders>
            <w:shd w:val="clear" w:color="auto" w:fill="FFFFFF" w:themeFill="background1"/>
            <w:vAlign w:val="center"/>
          </w:tcPr>
          <w:p w14:paraId="5B56BF2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299" w:type="dxa"/>
            <w:tcBorders>
              <w:top w:val="single" w:sz="2" w:space="0" w:color="8EAADB" w:themeColor="accent5" w:themeTint="99"/>
              <w:bottom w:val="nil"/>
            </w:tcBorders>
            <w:shd w:val="clear" w:color="auto" w:fill="FFFFFF" w:themeFill="background1"/>
            <w:vAlign w:val="center"/>
          </w:tcPr>
          <w:p w14:paraId="29EF7D9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r>
      <w:tr w:rsidR="00711D9A" w:rsidRPr="00B84B0C" w14:paraId="0457EF2A"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vAlign w:val="center"/>
          </w:tcPr>
          <w:p w14:paraId="2773906A" w14:textId="77777777" w:rsidR="00711D9A" w:rsidRPr="00B84B0C" w:rsidRDefault="00711D9A" w:rsidP="00711D9A">
            <w:pPr>
              <w:pStyle w:val="08-Tabelageral"/>
              <w:jc w:val="left"/>
              <w:rPr>
                <w:rFonts w:cs="Arial"/>
                <w:b w:val="0"/>
                <w:bCs w:val="0"/>
                <w:color w:val="000000"/>
                <w:szCs w:val="14"/>
              </w:rPr>
            </w:pPr>
            <w:proofErr w:type="spellStart"/>
            <w:r w:rsidRPr="00B84B0C">
              <w:rPr>
                <w:rFonts w:cs="Arial"/>
                <w:b w:val="0"/>
                <w:bCs w:val="0"/>
                <w:color w:val="000000"/>
                <w:szCs w:val="14"/>
              </w:rPr>
              <w:t>Result</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from</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reinsurance</w:t>
            </w:r>
            <w:proofErr w:type="spellEnd"/>
            <w:r w:rsidRPr="00B84B0C">
              <w:rPr>
                <w:rFonts w:cs="Arial"/>
                <w:b w:val="0"/>
                <w:bCs w:val="0"/>
                <w:color w:val="000000"/>
                <w:szCs w:val="14"/>
              </w:rPr>
              <w:t xml:space="preserve"> income</w:t>
            </w:r>
          </w:p>
        </w:tc>
        <w:tc>
          <w:tcPr>
            <w:tcW w:w="1190" w:type="dxa"/>
            <w:tcBorders>
              <w:top w:val="nil"/>
              <w:bottom w:val="nil"/>
            </w:tcBorders>
            <w:shd w:val="clear" w:color="auto" w:fill="D9E2F3"/>
          </w:tcPr>
          <w:p w14:paraId="17780AD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191" w:type="dxa"/>
            <w:tcBorders>
              <w:top w:val="nil"/>
              <w:bottom w:val="nil"/>
            </w:tcBorders>
            <w:shd w:val="clear" w:color="auto" w:fill="D9E2F3"/>
            <w:vAlign w:val="center"/>
          </w:tcPr>
          <w:p w14:paraId="7345069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308,356</w:t>
            </w:r>
          </w:p>
        </w:tc>
        <w:tc>
          <w:tcPr>
            <w:tcW w:w="1190" w:type="dxa"/>
            <w:tcBorders>
              <w:top w:val="nil"/>
              <w:bottom w:val="nil"/>
            </w:tcBorders>
            <w:shd w:val="clear" w:color="auto" w:fill="D9E2F3"/>
            <w:vAlign w:val="center"/>
          </w:tcPr>
          <w:p w14:paraId="3A1AADF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2C8FBD5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299" w:type="dxa"/>
            <w:tcBorders>
              <w:top w:val="nil"/>
              <w:bottom w:val="nil"/>
            </w:tcBorders>
            <w:shd w:val="clear" w:color="auto" w:fill="D9E2F3"/>
            <w:vAlign w:val="center"/>
          </w:tcPr>
          <w:p w14:paraId="21603ED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318FFEA4"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vAlign w:val="center"/>
          </w:tcPr>
          <w:p w14:paraId="3C7EDA0D" w14:textId="77777777" w:rsidR="00711D9A" w:rsidRPr="00B84B0C" w:rsidRDefault="00711D9A" w:rsidP="00711D9A">
            <w:pPr>
              <w:pStyle w:val="08-Tabelageral"/>
              <w:jc w:val="left"/>
              <w:rPr>
                <w:rFonts w:cs="Arial"/>
                <w:b w:val="0"/>
                <w:bCs w:val="0"/>
                <w:szCs w:val="14"/>
              </w:rPr>
            </w:pPr>
            <w:r w:rsidRPr="00B84B0C">
              <w:rPr>
                <w:rFonts w:cs="Arial"/>
                <w:b w:val="0"/>
                <w:bCs w:val="0"/>
                <w:color w:val="000000"/>
                <w:szCs w:val="14"/>
              </w:rPr>
              <w:t xml:space="preserve">Private </w:t>
            </w:r>
            <w:proofErr w:type="spellStart"/>
            <w:r w:rsidRPr="00B84B0C">
              <w:rPr>
                <w:rFonts w:cs="Arial"/>
                <w:b w:val="0"/>
                <w:bCs w:val="0"/>
                <w:color w:val="000000"/>
                <w:szCs w:val="14"/>
              </w:rPr>
              <w:t>pension</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plans</w:t>
            </w:r>
            <w:proofErr w:type="spellEnd"/>
            <w:r w:rsidRPr="00B84B0C">
              <w:rPr>
                <w:rFonts w:cs="Arial"/>
                <w:b w:val="0"/>
                <w:bCs w:val="0"/>
                <w:color w:val="000000"/>
                <w:szCs w:val="14"/>
              </w:rPr>
              <w:t xml:space="preserve"> income</w:t>
            </w:r>
          </w:p>
        </w:tc>
        <w:tc>
          <w:tcPr>
            <w:tcW w:w="1190" w:type="dxa"/>
            <w:tcBorders>
              <w:top w:val="nil"/>
              <w:bottom w:val="nil"/>
            </w:tcBorders>
            <w:shd w:val="clear" w:color="auto" w:fill="FFFFFF" w:themeFill="background1"/>
          </w:tcPr>
          <w:p w14:paraId="697FFC9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191" w:type="dxa"/>
            <w:tcBorders>
              <w:top w:val="nil"/>
              <w:bottom w:val="nil"/>
            </w:tcBorders>
            <w:shd w:val="clear" w:color="auto" w:fill="FFFFFF" w:themeFill="background1"/>
          </w:tcPr>
          <w:p w14:paraId="6E0AEF5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0" w:type="dxa"/>
            <w:tcBorders>
              <w:top w:val="nil"/>
              <w:bottom w:val="nil"/>
            </w:tcBorders>
            <w:shd w:val="clear" w:color="auto" w:fill="FFFFFF" w:themeFill="background1"/>
            <w:vAlign w:val="center"/>
          </w:tcPr>
          <w:p w14:paraId="348CFAC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554,743</w:t>
            </w:r>
          </w:p>
        </w:tc>
        <w:tc>
          <w:tcPr>
            <w:tcW w:w="1191" w:type="dxa"/>
            <w:tcBorders>
              <w:top w:val="nil"/>
              <w:bottom w:val="nil"/>
            </w:tcBorders>
            <w:shd w:val="clear" w:color="auto" w:fill="FFFFFF" w:themeFill="background1"/>
          </w:tcPr>
          <w:p w14:paraId="1F7D8F3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299" w:type="dxa"/>
            <w:tcBorders>
              <w:top w:val="nil"/>
              <w:bottom w:val="nil"/>
            </w:tcBorders>
            <w:shd w:val="clear" w:color="auto" w:fill="FFFFFF" w:themeFill="background1"/>
          </w:tcPr>
          <w:p w14:paraId="2EEC128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r>
      <w:tr w:rsidR="00711D9A" w:rsidRPr="00B84B0C" w14:paraId="1EA4EEFD"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vAlign w:val="center"/>
          </w:tcPr>
          <w:p w14:paraId="7C28B07E" w14:textId="77777777" w:rsidR="00711D9A" w:rsidRPr="00B84B0C" w:rsidRDefault="00711D9A" w:rsidP="00711D9A">
            <w:pPr>
              <w:pStyle w:val="08-Tabelageral"/>
              <w:jc w:val="left"/>
              <w:rPr>
                <w:rFonts w:cs="Arial"/>
                <w:b w:val="0"/>
                <w:bCs w:val="0"/>
                <w:szCs w:val="14"/>
              </w:rPr>
            </w:pPr>
            <w:proofErr w:type="spellStart"/>
            <w:r w:rsidRPr="00B84B0C">
              <w:rPr>
                <w:rFonts w:cs="Arial"/>
                <w:b w:val="0"/>
                <w:bCs w:val="0"/>
                <w:color w:val="000000"/>
                <w:szCs w:val="14"/>
              </w:rPr>
              <w:t>Capitalization</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plans</w:t>
            </w:r>
            <w:proofErr w:type="spellEnd"/>
            <w:r w:rsidRPr="00B84B0C">
              <w:rPr>
                <w:rFonts w:cs="Arial"/>
                <w:b w:val="0"/>
                <w:bCs w:val="0"/>
                <w:color w:val="000000"/>
                <w:szCs w:val="14"/>
              </w:rPr>
              <w:t xml:space="preserve"> income</w:t>
            </w:r>
          </w:p>
        </w:tc>
        <w:tc>
          <w:tcPr>
            <w:tcW w:w="1190" w:type="dxa"/>
            <w:tcBorders>
              <w:top w:val="nil"/>
              <w:bottom w:val="nil"/>
            </w:tcBorders>
            <w:shd w:val="clear" w:color="auto" w:fill="D9E2F3"/>
          </w:tcPr>
          <w:p w14:paraId="4007C69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191" w:type="dxa"/>
            <w:tcBorders>
              <w:top w:val="nil"/>
              <w:bottom w:val="nil"/>
            </w:tcBorders>
            <w:shd w:val="clear" w:color="auto" w:fill="D9E2F3"/>
          </w:tcPr>
          <w:p w14:paraId="055A493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0" w:type="dxa"/>
            <w:tcBorders>
              <w:top w:val="nil"/>
              <w:bottom w:val="nil"/>
            </w:tcBorders>
            <w:shd w:val="clear" w:color="auto" w:fill="D9E2F3"/>
          </w:tcPr>
          <w:p w14:paraId="73B7FCA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7464708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39,309</w:t>
            </w:r>
          </w:p>
        </w:tc>
        <w:tc>
          <w:tcPr>
            <w:tcW w:w="1299" w:type="dxa"/>
            <w:tcBorders>
              <w:top w:val="nil"/>
              <w:bottom w:val="nil"/>
            </w:tcBorders>
            <w:shd w:val="clear" w:color="auto" w:fill="D9E2F3"/>
          </w:tcPr>
          <w:p w14:paraId="4C3EC1F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02BA9E71"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vAlign w:val="center"/>
          </w:tcPr>
          <w:p w14:paraId="38711EDA" w14:textId="77777777" w:rsidR="00711D9A" w:rsidRPr="00B84B0C" w:rsidRDefault="00711D9A" w:rsidP="00711D9A">
            <w:pPr>
              <w:pStyle w:val="08-Tabelageral"/>
              <w:jc w:val="left"/>
              <w:rPr>
                <w:rFonts w:cs="Arial"/>
                <w:b w:val="0"/>
                <w:bCs w:val="0"/>
                <w:color w:val="000000"/>
                <w:szCs w:val="14"/>
              </w:rPr>
            </w:pPr>
            <w:r w:rsidRPr="00B84B0C">
              <w:rPr>
                <w:rFonts w:cs="Arial"/>
                <w:b w:val="0"/>
                <w:bCs w:val="0"/>
                <w:color w:val="000000"/>
                <w:szCs w:val="14"/>
              </w:rPr>
              <w:t>Health income</w:t>
            </w:r>
          </w:p>
        </w:tc>
        <w:tc>
          <w:tcPr>
            <w:tcW w:w="1190" w:type="dxa"/>
            <w:tcBorders>
              <w:top w:val="nil"/>
              <w:bottom w:val="nil"/>
            </w:tcBorders>
            <w:shd w:val="clear" w:color="auto" w:fill="FFFFFF" w:themeFill="background1"/>
          </w:tcPr>
          <w:p w14:paraId="66B95AD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191" w:type="dxa"/>
            <w:tcBorders>
              <w:top w:val="nil"/>
              <w:bottom w:val="nil"/>
            </w:tcBorders>
            <w:shd w:val="clear" w:color="auto" w:fill="FFFFFF" w:themeFill="background1"/>
          </w:tcPr>
          <w:p w14:paraId="6FDF25E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0" w:type="dxa"/>
            <w:tcBorders>
              <w:top w:val="nil"/>
              <w:bottom w:val="nil"/>
            </w:tcBorders>
            <w:shd w:val="clear" w:color="auto" w:fill="FFFFFF" w:themeFill="background1"/>
          </w:tcPr>
          <w:p w14:paraId="5EBCE38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FFFFFF" w:themeFill="background1"/>
          </w:tcPr>
          <w:p w14:paraId="0F72AF0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299" w:type="dxa"/>
            <w:tcBorders>
              <w:top w:val="nil"/>
              <w:bottom w:val="nil"/>
            </w:tcBorders>
            <w:shd w:val="clear" w:color="auto" w:fill="FFFFFF" w:themeFill="background1"/>
            <w:vAlign w:val="center"/>
          </w:tcPr>
          <w:p w14:paraId="3DB2783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17,567</w:t>
            </w:r>
          </w:p>
        </w:tc>
      </w:tr>
      <w:tr w:rsidR="00711D9A" w:rsidRPr="00B84B0C" w14:paraId="2AA2141E"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4C5CFAF7" w14:textId="77777777" w:rsidR="00711D9A" w:rsidRPr="00B84B0C" w:rsidRDefault="00711D9A" w:rsidP="00711D9A">
            <w:pPr>
              <w:pStyle w:val="08-Tabelageral"/>
              <w:jc w:val="left"/>
              <w:rPr>
                <w:rFonts w:cs="Arial"/>
                <w:b w:val="0"/>
                <w:bCs w:val="0"/>
                <w:color w:val="000000"/>
                <w:szCs w:val="14"/>
              </w:rPr>
            </w:pPr>
            <w:r w:rsidRPr="00B84B0C">
              <w:rPr>
                <w:rFonts w:cs="Arial"/>
                <w:b w:val="0"/>
                <w:bCs w:val="0"/>
                <w:color w:val="000000"/>
                <w:szCs w:val="14"/>
              </w:rPr>
              <w:t xml:space="preserve">Other </w:t>
            </w:r>
            <w:proofErr w:type="spellStart"/>
            <w:r w:rsidRPr="00B84B0C">
              <w:rPr>
                <w:rFonts w:cs="Arial"/>
                <w:b w:val="0"/>
                <w:bCs w:val="0"/>
                <w:color w:val="000000"/>
                <w:szCs w:val="14"/>
              </w:rPr>
              <w:t>operation</w:t>
            </w:r>
            <w:proofErr w:type="spellEnd"/>
            <w:r w:rsidRPr="00B84B0C">
              <w:rPr>
                <w:rFonts w:cs="Arial"/>
                <w:b w:val="0"/>
                <w:bCs w:val="0"/>
                <w:color w:val="000000"/>
                <w:szCs w:val="14"/>
              </w:rPr>
              <w:t xml:space="preserve"> income (</w:t>
            </w:r>
            <w:proofErr w:type="spellStart"/>
            <w:r w:rsidRPr="00B84B0C">
              <w:rPr>
                <w:rFonts w:cs="Arial"/>
                <w:b w:val="0"/>
                <w:bCs w:val="0"/>
                <w:color w:val="000000"/>
                <w:szCs w:val="14"/>
              </w:rPr>
              <w:t>expenses</w:t>
            </w:r>
            <w:proofErr w:type="spellEnd"/>
            <w:r w:rsidRPr="00B84B0C">
              <w:rPr>
                <w:rFonts w:cs="Arial"/>
                <w:b w:val="0"/>
                <w:bCs w:val="0"/>
                <w:color w:val="000000"/>
                <w:szCs w:val="14"/>
              </w:rPr>
              <w:t>)</w:t>
            </w:r>
          </w:p>
        </w:tc>
        <w:tc>
          <w:tcPr>
            <w:tcW w:w="1190" w:type="dxa"/>
            <w:tcBorders>
              <w:top w:val="nil"/>
              <w:bottom w:val="nil"/>
            </w:tcBorders>
            <w:shd w:val="clear" w:color="auto" w:fill="D9E2F3"/>
          </w:tcPr>
          <w:p w14:paraId="2614AC2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191" w:type="dxa"/>
            <w:tcBorders>
              <w:top w:val="nil"/>
              <w:bottom w:val="nil"/>
            </w:tcBorders>
            <w:shd w:val="clear" w:color="auto" w:fill="D9E2F3"/>
          </w:tcPr>
          <w:p w14:paraId="021C22A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(272,533)</w:t>
            </w:r>
          </w:p>
        </w:tc>
        <w:tc>
          <w:tcPr>
            <w:tcW w:w="1190" w:type="dxa"/>
            <w:tcBorders>
              <w:top w:val="nil"/>
              <w:bottom w:val="nil"/>
            </w:tcBorders>
            <w:shd w:val="clear" w:color="auto" w:fill="D9E2F3"/>
          </w:tcPr>
          <w:p w14:paraId="0C6AA1D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(163,018)</w:t>
            </w:r>
          </w:p>
        </w:tc>
        <w:tc>
          <w:tcPr>
            <w:tcW w:w="1191" w:type="dxa"/>
            <w:tcBorders>
              <w:top w:val="nil"/>
              <w:bottom w:val="nil"/>
            </w:tcBorders>
            <w:shd w:val="clear" w:color="auto" w:fill="D9E2F3"/>
          </w:tcPr>
          <w:p w14:paraId="71CF4C8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(21,235)</w:t>
            </w:r>
          </w:p>
        </w:tc>
        <w:tc>
          <w:tcPr>
            <w:tcW w:w="1299" w:type="dxa"/>
            <w:tcBorders>
              <w:top w:val="nil"/>
              <w:bottom w:val="nil"/>
            </w:tcBorders>
            <w:shd w:val="clear" w:color="auto" w:fill="D9E2F3"/>
            <w:vAlign w:val="center"/>
          </w:tcPr>
          <w:p w14:paraId="38B8F52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(7,963)</w:t>
            </w:r>
          </w:p>
        </w:tc>
      </w:tr>
      <w:tr w:rsidR="00711D9A" w:rsidRPr="00B84B0C" w14:paraId="11CCE6EA"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26EA7DCB" w14:textId="77777777" w:rsidR="00711D9A" w:rsidRPr="00B84B0C" w:rsidRDefault="00711D9A" w:rsidP="00711D9A">
            <w:pPr>
              <w:pStyle w:val="08-Tabelageral"/>
              <w:jc w:val="left"/>
              <w:rPr>
                <w:rFonts w:cs="Arial"/>
                <w:b w:val="0"/>
                <w:bCs w:val="0"/>
                <w:color w:val="000000"/>
                <w:szCs w:val="14"/>
              </w:rPr>
            </w:pPr>
            <w:proofErr w:type="spellStart"/>
            <w:r w:rsidRPr="00B84B0C">
              <w:rPr>
                <w:rFonts w:cs="Arial"/>
                <w:b w:val="0"/>
                <w:bCs w:val="0"/>
                <w:color w:val="000000"/>
                <w:szCs w:val="14"/>
              </w:rPr>
              <w:t>Result</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from</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interest</w:t>
            </w:r>
            <w:proofErr w:type="spellEnd"/>
            <w:r w:rsidRPr="00B84B0C">
              <w:rPr>
                <w:rFonts w:cs="Arial"/>
                <w:b w:val="0"/>
                <w:bCs w:val="0"/>
                <w:color w:val="000000"/>
                <w:szCs w:val="14"/>
              </w:rPr>
              <w:t xml:space="preserve"> income</w:t>
            </w:r>
          </w:p>
        </w:tc>
        <w:tc>
          <w:tcPr>
            <w:tcW w:w="1190" w:type="dxa"/>
            <w:tcBorders>
              <w:top w:val="nil"/>
              <w:bottom w:val="nil"/>
            </w:tcBorders>
            <w:shd w:val="clear" w:color="auto" w:fill="FFFFFF" w:themeFill="background1"/>
          </w:tcPr>
          <w:p w14:paraId="0CE8A5B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191" w:type="dxa"/>
            <w:tcBorders>
              <w:top w:val="nil"/>
              <w:bottom w:val="nil"/>
            </w:tcBorders>
            <w:shd w:val="clear" w:color="auto" w:fill="FFFFFF" w:themeFill="background1"/>
            <w:vAlign w:val="center"/>
          </w:tcPr>
          <w:p w14:paraId="542B516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88,131</w:t>
            </w:r>
          </w:p>
        </w:tc>
        <w:tc>
          <w:tcPr>
            <w:tcW w:w="1190" w:type="dxa"/>
            <w:tcBorders>
              <w:top w:val="nil"/>
              <w:bottom w:val="nil"/>
            </w:tcBorders>
            <w:shd w:val="clear" w:color="auto" w:fill="FFFFFF" w:themeFill="background1"/>
            <w:vAlign w:val="center"/>
          </w:tcPr>
          <w:p w14:paraId="1CDF8F8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(112,778)</w:t>
            </w:r>
          </w:p>
        </w:tc>
        <w:tc>
          <w:tcPr>
            <w:tcW w:w="1191" w:type="dxa"/>
            <w:tcBorders>
              <w:top w:val="nil"/>
              <w:bottom w:val="nil"/>
            </w:tcBorders>
            <w:shd w:val="clear" w:color="auto" w:fill="FFFFFF" w:themeFill="background1"/>
            <w:vAlign w:val="center"/>
          </w:tcPr>
          <w:p w14:paraId="4792DC9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46,276</w:t>
            </w:r>
          </w:p>
        </w:tc>
        <w:tc>
          <w:tcPr>
            <w:tcW w:w="1299" w:type="dxa"/>
            <w:tcBorders>
              <w:top w:val="nil"/>
              <w:bottom w:val="nil"/>
            </w:tcBorders>
            <w:shd w:val="clear" w:color="auto" w:fill="FFFFFF" w:themeFill="background1"/>
            <w:vAlign w:val="center"/>
          </w:tcPr>
          <w:p w14:paraId="6825EB9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(172)</w:t>
            </w:r>
          </w:p>
        </w:tc>
      </w:tr>
      <w:tr w:rsidR="00711D9A" w:rsidRPr="00B84B0C" w14:paraId="2421A2BF"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7CC362AA" w14:textId="77777777" w:rsidR="00711D9A" w:rsidRPr="00B84B0C" w:rsidRDefault="00711D9A" w:rsidP="00711D9A">
            <w:pPr>
              <w:pStyle w:val="08-Tabelageral"/>
              <w:jc w:val="left"/>
              <w:rPr>
                <w:rFonts w:cs="Arial"/>
                <w:b w:val="0"/>
                <w:bCs w:val="0"/>
                <w:color w:val="000000"/>
                <w:szCs w:val="14"/>
              </w:rPr>
            </w:pPr>
            <w:proofErr w:type="spellStart"/>
            <w:r w:rsidRPr="00B84B0C">
              <w:rPr>
                <w:rFonts w:cs="Arial"/>
                <w:b w:val="0"/>
                <w:bCs w:val="0"/>
                <w:color w:val="000000"/>
                <w:szCs w:val="14"/>
              </w:rPr>
              <w:t>Equity</w:t>
            </w:r>
            <w:proofErr w:type="spellEnd"/>
            <w:r w:rsidRPr="00B84B0C">
              <w:rPr>
                <w:rFonts w:cs="Arial"/>
                <w:b w:val="0"/>
                <w:bCs w:val="0"/>
                <w:color w:val="000000"/>
                <w:szCs w:val="14"/>
              </w:rPr>
              <w:t xml:space="preserve"> in </w:t>
            </w:r>
            <w:proofErr w:type="spellStart"/>
            <w:r w:rsidRPr="00B84B0C">
              <w:rPr>
                <w:rFonts w:cs="Arial"/>
                <w:b w:val="0"/>
                <w:bCs w:val="0"/>
                <w:color w:val="000000"/>
                <w:szCs w:val="14"/>
              </w:rPr>
              <w:t>earnings</w:t>
            </w:r>
            <w:proofErr w:type="spellEnd"/>
          </w:p>
        </w:tc>
        <w:tc>
          <w:tcPr>
            <w:tcW w:w="1190" w:type="dxa"/>
            <w:tcBorders>
              <w:top w:val="nil"/>
              <w:bottom w:val="nil"/>
            </w:tcBorders>
            <w:shd w:val="clear" w:color="auto" w:fill="D9E2F3"/>
          </w:tcPr>
          <w:p w14:paraId="6EAD14C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191" w:type="dxa"/>
            <w:tcBorders>
              <w:top w:val="nil"/>
              <w:bottom w:val="nil"/>
            </w:tcBorders>
            <w:shd w:val="clear" w:color="auto" w:fill="D9E2F3"/>
          </w:tcPr>
          <w:p w14:paraId="010334C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494 </w:t>
            </w:r>
          </w:p>
        </w:tc>
        <w:tc>
          <w:tcPr>
            <w:tcW w:w="1190" w:type="dxa"/>
            <w:tcBorders>
              <w:top w:val="nil"/>
              <w:bottom w:val="nil"/>
            </w:tcBorders>
            <w:shd w:val="clear" w:color="auto" w:fill="D9E2F3"/>
            <w:vAlign w:val="center"/>
          </w:tcPr>
          <w:p w14:paraId="730C23A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33BFF54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(5)</w:t>
            </w:r>
          </w:p>
        </w:tc>
        <w:tc>
          <w:tcPr>
            <w:tcW w:w="1299" w:type="dxa"/>
            <w:tcBorders>
              <w:top w:val="nil"/>
              <w:bottom w:val="nil"/>
            </w:tcBorders>
            <w:shd w:val="clear" w:color="auto" w:fill="D9E2F3"/>
            <w:vAlign w:val="center"/>
          </w:tcPr>
          <w:p w14:paraId="6631EB6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493D7AC1"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396D2D50" w14:textId="77777777" w:rsidR="00711D9A" w:rsidRPr="00B84B0C" w:rsidRDefault="00711D9A" w:rsidP="00711D9A">
            <w:pPr>
              <w:pStyle w:val="08-Tabelageral"/>
              <w:jc w:val="left"/>
              <w:rPr>
                <w:rFonts w:cs="Arial"/>
                <w:color w:val="000000"/>
                <w:szCs w:val="14"/>
              </w:rPr>
            </w:pPr>
            <w:proofErr w:type="spellStart"/>
            <w:r w:rsidRPr="00B84B0C">
              <w:rPr>
                <w:rFonts w:cs="Arial"/>
                <w:color w:val="000000"/>
                <w:szCs w:val="14"/>
              </w:rPr>
              <w:t>Operating</w:t>
            </w:r>
            <w:proofErr w:type="spellEnd"/>
            <w:r w:rsidRPr="00B84B0C">
              <w:rPr>
                <w:rFonts w:cs="Arial"/>
                <w:color w:val="000000"/>
                <w:szCs w:val="14"/>
              </w:rPr>
              <w:t xml:space="preserve"> </w:t>
            </w:r>
            <w:proofErr w:type="spellStart"/>
            <w:r w:rsidRPr="00B84B0C">
              <w:rPr>
                <w:rFonts w:cs="Arial"/>
                <w:color w:val="000000"/>
                <w:szCs w:val="14"/>
              </w:rPr>
              <w:t>results</w:t>
            </w:r>
            <w:proofErr w:type="spellEnd"/>
          </w:p>
        </w:tc>
        <w:tc>
          <w:tcPr>
            <w:tcW w:w="1190" w:type="dxa"/>
            <w:tcBorders>
              <w:top w:val="nil"/>
              <w:bottom w:val="nil"/>
            </w:tcBorders>
            <w:shd w:val="clear" w:color="auto" w:fill="FFFFFF" w:themeFill="background1"/>
          </w:tcPr>
          <w:p w14:paraId="2C702B2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191" w:type="dxa"/>
            <w:tcBorders>
              <w:top w:val="nil"/>
              <w:bottom w:val="nil"/>
            </w:tcBorders>
            <w:shd w:val="clear" w:color="auto" w:fill="FFFFFF" w:themeFill="background1"/>
          </w:tcPr>
          <w:p w14:paraId="66356AB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463,113 </w:t>
            </w:r>
          </w:p>
        </w:tc>
        <w:tc>
          <w:tcPr>
            <w:tcW w:w="1190" w:type="dxa"/>
            <w:tcBorders>
              <w:top w:val="nil"/>
              <w:bottom w:val="nil"/>
            </w:tcBorders>
            <w:shd w:val="clear" w:color="auto" w:fill="FFFFFF" w:themeFill="background1"/>
            <w:vAlign w:val="center"/>
          </w:tcPr>
          <w:p w14:paraId="2A4CA52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278,947</w:t>
            </w:r>
          </w:p>
        </w:tc>
        <w:tc>
          <w:tcPr>
            <w:tcW w:w="1191" w:type="dxa"/>
            <w:tcBorders>
              <w:top w:val="nil"/>
              <w:bottom w:val="nil"/>
            </w:tcBorders>
            <w:shd w:val="clear" w:color="auto" w:fill="FFFFFF" w:themeFill="background1"/>
            <w:vAlign w:val="center"/>
          </w:tcPr>
          <w:p w14:paraId="5967E65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64,345</w:t>
            </w:r>
          </w:p>
        </w:tc>
        <w:tc>
          <w:tcPr>
            <w:tcW w:w="1299" w:type="dxa"/>
            <w:tcBorders>
              <w:top w:val="nil"/>
              <w:bottom w:val="nil"/>
            </w:tcBorders>
            <w:shd w:val="clear" w:color="auto" w:fill="FFFFFF" w:themeFill="background1"/>
            <w:vAlign w:val="center"/>
          </w:tcPr>
          <w:p w14:paraId="01FC5B0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9,432</w:t>
            </w:r>
          </w:p>
        </w:tc>
      </w:tr>
      <w:tr w:rsidR="00711D9A" w:rsidRPr="00B84B0C" w14:paraId="4A4A23D9"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569B1C13" w14:textId="77777777" w:rsidR="00711D9A" w:rsidRPr="00B84B0C" w:rsidRDefault="00711D9A" w:rsidP="00711D9A">
            <w:pPr>
              <w:pStyle w:val="08-Tabelageral"/>
              <w:jc w:val="left"/>
              <w:rPr>
                <w:rFonts w:cs="Arial"/>
                <w:b w:val="0"/>
                <w:bCs w:val="0"/>
                <w:color w:val="000000"/>
                <w:szCs w:val="14"/>
                <w:lang w:val="en-US"/>
              </w:rPr>
            </w:pPr>
            <w:r w:rsidRPr="00B84B0C">
              <w:rPr>
                <w:rFonts w:cs="Arial"/>
                <w:b w:val="0"/>
                <w:bCs w:val="0"/>
                <w:color w:val="000000"/>
                <w:szCs w:val="14"/>
                <w:lang w:val="en-US"/>
              </w:rPr>
              <w:t>Gains or losses on non-current assets</w:t>
            </w:r>
          </w:p>
        </w:tc>
        <w:tc>
          <w:tcPr>
            <w:tcW w:w="1190" w:type="dxa"/>
            <w:tcBorders>
              <w:top w:val="nil"/>
              <w:bottom w:val="nil"/>
            </w:tcBorders>
            <w:shd w:val="clear" w:color="auto" w:fill="D9E2F3"/>
          </w:tcPr>
          <w:p w14:paraId="1790ED3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p>
        </w:tc>
        <w:tc>
          <w:tcPr>
            <w:tcW w:w="1191" w:type="dxa"/>
            <w:tcBorders>
              <w:top w:val="nil"/>
              <w:bottom w:val="nil"/>
            </w:tcBorders>
            <w:shd w:val="clear" w:color="auto" w:fill="D9E2F3"/>
          </w:tcPr>
          <w:p w14:paraId="2DE8B7B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 xml:space="preserve">  </w:t>
            </w:r>
            <w:r w:rsidRPr="00B84B0C">
              <w:rPr>
                <w:rFonts w:cs="Arial"/>
              </w:rPr>
              <w:t>(291)</w:t>
            </w:r>
          </w:p>
        </w:tc>
        <w:tc>
          <w:tcPr>
            <w:tcW w:w="1190" w:type="dxa"/>
            <w:tcBorders>
              <w:top w:val="nil"/>
              <w:bottom w:val="nil"/>
            </w:tcBorders>
            <w:shd w:val="clear" w:color="auto" w:fill="D9E2F3"/>
            <w:vAlign w:val="center"/>
          </w:tcPr>
          <w:p w14:paraId="53DD8AF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w:t>
            </w:r>
          </w:p>
        </w:tc>
        <w:tc>
          <w:tcPr>
            <w:tcW w:w="1191" w:type="dxa"/>
            <w:tcBorders>
              <w:top w:val="nil"/>
              <w:bottom w:val="nil"/>
            </w:tcBorders>
            <w:shd w:val="clear" w:color="auto" w:fill="D9E2F3"/>
          </w:tcPr>
          <w:p w14:paraId="75287C7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 xml:space="preserve">  12 </w:t>
            </w:r>
          </w:p>
        </w:tc>
        <w:tc>
          <w:tcPr>
            <w:tcW w:w="1299" w:type="dxa"/>
            <w:tcBorders>
              <w:top w:val="nil"/>
              <w:bottom w:val="nil"/>
            </w:tcBorders>
            <w:shd w:val="clear" w:color="auto" w:fill="D9E2F3"/>
            <w:vAlign w:val="center"/>
          </w:tcPr>
          <w:p w14:paraId="2D3AF80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w:t>
            </w:r>
          </w:p>
        </w:tc>
      </w:tr>
      <w:tr w:rsidR="00711D9A" w:rsidRPr="00B84B0C" w14:paraId="452006FF"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194E069D"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Income </w:t>
            </w:r>
            <w:proofErr w:type="spellStart"/>
            <w:r w:rsidRPr="00B84B0C">
              <w:rPr>
                <w:rFonts w:cs="Arial"/>
                <w:color w:val="000000"/>
                <w:szCs w:val="14"/>
              </w:rPr>
              <w:t>before</w:t>
            </w:r>
            <w:proofErr w:type="spellEnd"/>
            <w:r w:rsidRPr="00B84B0C">
              <w:rPr>
                <w:rFonts w:cs="Arial"/>
                <w:color w:val="000000"/>
                <w:szCs w:val="14"/>
              </w:rPr>
              <w:t xml:space="preserve"> taxes</w:t>
            </w:r>
          </w:p>
        </w:tc>
        <w:tc>
          <w:tcPr>
            <w:tcW w:w="1190" w:type="dxa"/>
            <w:tcBorders>
              <w:top w:val="nil"/>
              <w:bottom w:val="nil"/>
            </w:tcBorders>
            <w:shd w:val="clear" w:color="auto" w:fill="FFFFFF" w:themeFill="background1"/>
          </w:tcPr>
          <w:p w14:paraId="6160732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191" w:type="dxa"/>
            <w:tcBorders>
              <w:top w:val="nil"/>
              <w:bottom w:val="nil"/>
            </w:tcBorders>
            <w:shd w:val="clear" w:color="auto" w:fill="FFFFFF" w:themeFill="background1"/>
          </w:tcPr>
          <w:p w14:paraId="4C2E68E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462,822 </w:t>
            </w:r>
          </w:p>
        </w:tc>
        <w:tc>
          <w:tcPr>
            <w:tcW w:w="1190" w:type="dxa"/>
            <w:tcBorders>
              <w:top w:val="nil"/>
              <w:bottom w:val="nil"/>
            </w:tcBorders>
            <w:shd w:val="clear" w:color="auto" w:fill="FFFFFF" w:themeFill="background1"/>
            <w:vAlign w:val="center"/>
          </w:tcPr>
          <w:p w14:paraId="2B7B0F3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278,947</w:t>
            </w:r>
          </w:p>
        </w:tc>
        <w:tc>
          <w:tcPr>
            <w:tcW w:w="1191" w:type="dxa"/>
            <w:tcBorders>
              <w:top w:val="nil"/>
              <w:bottom w:val="nil"/>
            </w:tcBorders>
            <w:shd w:val="clear" w:color="auto" w:fill="FFFFFF" w:themeFill="background1"/>
          </w:tcPr>
          <w:p w14:paraId="2B031AF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64,357 </w:t>
            </w:r>
          </w:p>
        </w:tc>
        <w:tc>
          <w:tcPr>
            <w:tcW w:w="1299" w:type="dxa"/>
            <w:tcBorders>
              <w:top w:val="nil"/>
              <w:bottom w:val="nil"/>
            </w:tcBorders>
            <w:shd w:val="clear" w:color="auto" w:fill="FFFFFF" w:themeFill="background1"/>
            <w:vAlign w:val="center"/>
          </w:tcPr>
          <w:p w14:paraId="312DCD0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9,432</w:t>
            </w:r>
          </w:p>
        </w:tc>
      </w:tr>
      <w:tr w:rsidR="00711D9A" w:rsidRPr="00B84B0C" w14:paraId="0F7A4A5F"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78B942F8" w14:textId="77777777" w:rsidR="00711D9A" w:rsidRPr="00B84B0C" w:rsidRDefault="00711D9A" w:rsidP="00711D9A">
            <w:pPr>
              <w:pStyle w:val="08-Tabelageral"/>
              <w:jc w:val="left"/>
              <w:rPr>
                <w:rFonts w:cs="Arial"/>
                <w:b w:val="0"/>
                <w:bCs w:val="0"/>
                <w:color w:val="000000"/>
                <w:szCs w:val="14"/>
                <w:lang w:val="en-US"/>
              </w:rPr>
            </w:pPr>
            <w:r w:rsidRPr="00B84B0C">
              <w:rPr>
                <w:rFonts w:cs="Arial"/>
                <w:b w:val="0"/>
                <w:bCs w:val="0"/>
                <w:color w:val="000000"/>
                <w:szCs w:val="14"/>
                <w:lang w:val="en-US"/>
              </w:rPr>
              <w:t>Interest taxes and results participation</w:t>
            </w:r>
          </w:p>
        </w:tc>
        <w:tc>
          <w:tcPr>
            <w:tcW w:w="1190" w:type="dxa"/>
            <w:tcBorders>
              <w:top w:val="nil"/>
              <w:bottom w:val="nil"/>
            </w:tcBorders>
            <w:shd w:val="clear" w:color="auto" w:fill="D9E2F3"/>
          </w:tcPr>
          <w:p w14:paraId="764B183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p>
        </w:tc>
        <w:tc>
          <w:tcPr>
            <w:tcW w:w="1191" w:type="dxa"/>
            <w:tcBorders>
              <w:top w:val="nil"/>
              <w:bottom w:val="nil"/>
            </w:tcBorders>
            <w:shd w:val="clear" w:color="auto" w:fill="D9E2F3"/>
            <w:vAlign w:val="center"/>
          </w:tcPr>
          <w:p w14:paraId="39ED7E4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(134,508)</w:t>
            </w:r>
          </w:p>
        </w:tc>
        <w:tc>
          <w:tcPr>
            <w:tcW w:w="1190" w:type="dxa"/>
            <w:tcBorders>
              <w:top w:val="nil"/>
              <w:bottom w:val="nil"/>
            </w:tcBorders>
            <w:shd w:val="clear" w:color="auto" w:fill="D9E2F3"/>
            <w:vAlign w:val="center"/>
          </w:tcPr>
          <w:p w14:paraId="67114FF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(114,865)</w:t>
            </w:r>
          </w:p>
        </w:tc>
        <w:tc>
          <w:tcPr>
            <w:tcW w:w="1191" w:type="dxa"/>
            <w:tcBorders>
              <w:top w:val="nil"/>
              <w:bottom w:val="nil"/>
            </w:tcBorders>
            <w:shd w:val="clear" w:color="auto" w:fill="D9E2F3"/>
            <w:vAlign w:val="center"/>
          </w:tcPr>
          <w:p w14:paraId="1E35941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(26,482)</w:t>
            </w:r>
          </w:p>
        </w:tc>
        <w:tc>
          <w:tcPr>
            <w:tcW w:w="1299" w:type="dxa"/>
            <w:tcBorders>
              <w:top w:val="nil"/>
              <w:bottom w:val="nil"/>
            </w:tcBorders>
            <w:shd w:val="clear" w:color="auto" w:fill="D9E2F3"/>
            <w:vAlign w:val="center"/>
          </w:tcPr>
          <w:p w14:paraId="087F1CA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(3,256)</w:t>
            </w:r>
          </w:p>
        </w:tc>
      </w:tr>
      <w:tr w:rsidR="00711D9A" w:rsidRPr="00B84B0C" w14:paraId="773D264E"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6183D7FB" w14:textId="77777777" w:rsidR="00711D9A" w:rsidRPr="00B84B0C" w:rsidRDefault="00711D9A" w:rsidP="00711D9A">
            <w:pPr>
              <w:pStyle w:val="08-Tabelageral"/>
              <w:jc w:val="left"/>
              <w:rPr>
                <w:rFonts w:cs="Arial"/>
                <w:color w:val="000000"/>
                <w:szCs w:val="14"/>
              </w:rPr>
            </w:pPr>
            <w:r w:rsidRPr="00B84B0C">
              <w:rPr>
                <w:rFonts w:cs="Arial"/>
                <w:color w:val="000000"/>
                <w:szCs w:val="14"/>
              </w:rPr>
              <w:t>Net income</w:t>
            </w:r>
          </w:p>
        </w:tc>
        <w:tc>
          <w:tcPr>
            <w:tcW w:w="1190" w:type="dxa"/>
            <w:tcBorders>
              <w:top w:val="nil"/>
              <w:bottom w:val="nil"/>
            </w:tcBorders>
            <w:shd w:val="clear" w:color="auto" w:fill="FFFFFF" w:themeFill="background1"/>
          </w:tcPr>
          <w:p w14:paraId="1A019E3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191" w:type="dxa"/>
            <w:tcBorders>
              <w:top w:val="nil"/>
              <w:bottom w:val="nil"/>
            </w:tcBorders>
            <w:shd w:val="clear" w:color="auto" w:fill="FFFFFF" w:themeFill="background1"/>
            <w:vAlign w:val="center"/>
          </w:tcPr>
          <w:p w14:paraId="4B204CC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328,314</w:t>
            </w:r>
          </w:p>
        </w:tc>
        <w:tc>
          <w:tcPr>
            <w:tcW w:w="1190" w:type="dxa"/>
            <w:tcBorders>
              <w:top w:val="nil"/>
              <w:bottom w:val="nil"/>
            </w:tcBorders>
            <w:shd w:val="clear" w:color="auto" w:fill="FFFFFF" w:themeFill="background1"/>
          </w:tcPr>
          <w:p w14:paraId="312E0DC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164,082 </w:t>
            </w:r>
          </w:p>
        </w:tc>
        <w:tc>
          <w:tcPr>
            <w:tcW w:w="1191" w:type="dxa"/>
            <w:tcBorders>
              <w:top w:val="nil"/>
              <w:bottom w:val="nil"/>
            </w:tcBorders>
            <w:shd w:val="clear" w:color="auto" w:fill="FFFFFF" w:themeFill="background1"/>
          </w:tcPr>
          <w:p w14:paraId="4ED2D6C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37,875 </w:t>
            </w:r>
          </w:p>
        </w:tc>
        <w:tc>
          <w:tcPr>
            <w:tcW w:w="1299" w:type="dxa"/>
            <w:tcBorders>
              <w:top w:val="nil"/>
              <w:bottom w:val="nil"/>
            </w:tcBorders>
            <w:shd w:val="clear" w:color="auto" w:fill="FFFFFF" w:themeFill="background1"/>
          </w:tcPr>
          <w:p w14:paraId="098610B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 xml:space="preserve">  6,176 </w:t>
            </w:r>
          </w:p>
        </w:tc>
      </w:tr>
      <w:tr w:rsidR="00711D9A" w:rsidRPr="00B84B0C" w14:paraId="56A8265E"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7FF38401" w14:textId="77777777" w:rsidR="00711D9A" w:rsidRPr="00B84B0C" w:rsidRDefault="00711D9A" w:rsidP="00711D9A">
            <w:pPr>
              <w:pStyle w:val="08-Tabelageral"/>
              <w:jc w:val="left"/>
              <w:rPr>
                <w:rFonts w:cs="Arial"/>
                <w:color w:val="000000"/>
                <w:szCs w:val="14"/>
                <w:lang w:val="en-US"/>
              </w:rPr>
            </w:pPr>
            <w:r w:rsidRPr="00B84B0C">
              <w:rPr>
                <w:rFonts w:cs="Arial"/>
                <w:color w:val="000000"/>
                <w:szCs w:val="14"/>
                <w:lang w:val="en-US"/>
              </w:rPr>
              <w:t xml:space="preserve">Attributable to Group BB </w:t>
            </w:r>
            <w:proofErr w:type="spellStart"/>
            <w:r w:rsidRPr="00B84B0C">
              <w:rPr>
                <w:rFonts w:cs="Arial"/>
                <w:color w:val="000000"/>
                <w:szCs w:val="14"/>
                <w:lang w:val="en-US"/>
              </w:rPr>
              <w:t>Seguridade</w:t>
            </w:r>
            <w:proofErr w:type="spellEnd"/>
          </w:p>
        </w:tc>
        <w:tc>
          <w:tcPr>
            <w:tcW w:w="1190" w:type="dxa"/>
            <w:tcBorders>
              <w:top w:val="nil"/>
              <w:bottom w:val="nil"/>
            </w:tcBorders>
            <w:shd w:val="clear" w:color="auto" w:fill="D9E2F3"/>
          </w:tcPr>
          <w:p w14:paraId="3C1C1C5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p>
        </w:tc>
        <w:tc>
          <w:tcPr>
            <w:tcW w:w="1191" w:type="dxa"/>
            <w:tcBorders>
              <w:top w:val="nil"/>
              <w:bottom w:val="nil"/>
            </w:tcBorders>
            <w:shd w:val="clear" w:color="auto" w:fill="D9E2F3"/>
          </w:tcPr>
          <w:p w14:paraId="1D78FB5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lang w:val="en-US"/>
              </w:rPr>
              <w:t xml:space="preserve">  </w:t>
            </w:r>
            <w:r w:rsidRPr="00B84B0C">
              <w:rPr>
                <w:rFonts w:cs="Arial"/>
                <w:b/>
              </w:rPr>
              <w:t xml:space="preserve">246,203 </w:t>
            </w:r>
          </w:p>
        </w:tc>
        <w:tc>
          <w:tcPr>
            <w:tcW w:w="1190" w:type="dxa"/>
            <w:tcBorders>
              <w:top w:val="nil"/>
              <w:bottom w:val="nil"/>
            </w:tcBorders>
            <w:shd w:val="clear" w:color="auto" w:fill="D9E2F3"/>
          </w:tcPr>
          <w:p w14:paraId="454E42F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rPr>
              <w:t xml:space="preserve">  123,053 </w:t>
            </w:r>
          </w:p>
        </w:tc>
        <w:tc>
          <w:tcPr>
            <w:tcW w:w="1191" w:type="dxa"/>
            <w:tcBorders>
              <w:top w:val="nil"/>
              <w:bottom w:val="nil"/>
            </w:tcBorders>
            <w:shd w:val="clear" w:color="auto" w:fill="D9E2F3"/>
          </w:tcPr>
          <w:p w14:paraId="666BF73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rPr>
              <w:t xml:space="preserve">  25,248 </w:t>
            </w:r>
          </w:p>
        </w:tc>
        <w:tc>
          <w:tcPr>
            <w:tcW w:w="1299" w:type="dxa"/>
            <w:tcBorders>
              <w:top w:val="nil"/>
              <w:bottom w:val="nil"/>
            </w:tcBorders>
            <w:shd w:val="clear" w:color="auto" w:fill="D9E2F3"/>
          </w:tcPr>
          <w:p w14:paraId="56F6D72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lang w:val="en-US"/>
              </w:rPr>
            </w:pPr>
            <w:r w:rsidRPr="00B84B0C">
              <w:rPr>
                <w:rFonts w:cs="Arial"/>
                <w:b/>
              </w:rPr>
              <w:t xml:space="preserve">  4,632 </w:t>
            </w:r>
          </w:p>
        </w:tc>
      </w:tr>
      <w:tr w:rsidR="00711D9A" w:rsidRPr="00B84B0C" w14:paraId="47DE57AA"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0BD4B706" w14:textId="77777777" w:rsidR="00711D9A" w:rsidRPr="00B84B0C" w:rsidRDefault="00711D9A" w:rsidP="00711D9A">
            <w:pPr>
              <w:pStyle w:val="08-Tabelageral"/>
              <w:jc w:val="left"/>
              <w:rPr>
                <w:rFonts w:cs="Arial"/>
                <w:b w:val="0"/>
                <w:color w:val="000000"/>
                <w:szCs w:val="14"/>
              </w:rPr>
            </w:pPr>
            <w:r w:rsidRPr="00B84B0C">
              <w:rPr>
                <w:rFonts w:cs="Arial"/>
                <w:b w:val="0"/>
                <w:color w:val="000000"/>
                <w:szCs w:val="14"/>
              </w:rPr>
              <w:t xml:space="preserve">Other </w:t>
            </w:r>
            <w:proofErr w:type="spellStart"/>
            <w:r w:rsidRPr="00B84B0C">
              <w:rPr>
                <w:rFonts w:cs="Arial"/>
                <w:b w:val="0"/>
                <w:color w:val="000000"/>
                <w:szCs w:val="14"/>
              </w:rPr>
              <w:t>adjustements</w:t>
            </w:r>
            <w:proofErr w:type="spellEnd"/>
          </w:p>
        </w:tc>
        <w:tc>
          <w:tcPr>
            <w:tcW w:w="1190" w:type="dxa"/>
            <w:tcBorders>
              <w:top w:val="nil"/>
              <w:bottom w:val="nil"/>
            </w:tcBorders>
            <w:shd w:val="clear" w:color="auto" w:fill="FFFFFF" w:themeFill="background1"/>
          </w:tcPr>
          <w:p w14:paraId="7A7E109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191" w:type="dxa"/>
            <w:tcBorders>
              <w:top w:val="nil"/>
              <w:bottom w:val="nil"/>
            </w:tcBorders>
            <w:shd w:val="clear" w:color="auto" w:fill="FFFFFF" w:themeFill="background1"/>
          </w:tcPr>
          <w:p w14:paraId="515009B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(13,369)</w:t>
            </w:r>
          </w:p>
        </w:tc>
        <w:tc>
          <w:tcPr>
            <w:tcW w:w="1190" w:type="dxa"/>
            <w:tcBorders>
              <w:top w:val="nil"/>
              <w:bottom w:val="nil"/>
            </w:tcBorders>
            <w:shd w:val="clear" w:color="auto" w:fill="FFFFFF" w:themeFill="background1"/>
          </w:tcPr>
          <w:p w14:paraId="069076B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 </w:t>
            </w:r>
          </w:p>
        </w:tc>
        <w:tc>
          <w:tcPr>
            <w:tcW w:w="1191" w:type="dxa"/>
            <w:tcBorders>
              <w:top w:val="nil"/>
              <w:bottom w:val="nil"/>
            </w:tcBorders>
            <w:shd w:val="clear" w:color="auto" w:fill="FFFFFF" w:themeFill="background1"/>
          </w:tcPr>
          <w:p w14:paraId="6F25F7E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99" w:type="dxa"/>
            <w:tcBorders>
              <w:top w:val="nil"/>
              <w:bottom w:val="nil"/>
            </w:tcBorders>
            <w:shd w:val="clear" w:color="auto" w:fill="FFFFFF" w:themeFill="background1"/>
          </w:tcPr>
          <w:p w14:paraId="1EA555E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 </w:t>
            </w:r>
          </w:p>
        </w:tc>
      </w:tr>
      <w:tr w:rsidR="00711D9A" w:rsidRPr="00B84B0C" w14:paraId="7ECC4FB7"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37D5E42F" w14:textId="77777777" w:rsidR="00711D9A" w:rsidRPr="00B84B0C" w:rsidRDefault="00711D9A" w:rsidP="00711D9A">
            <w:pPr>
              <w:pStyle w:val="08-Tabelageral"/>
              <w:jc w:val="left"/>
              <w:rPr>
                <w:rFonts w:cs="Arial"/>
                <w:b w:val="0"/>
                <w:color w:val="000000"/>
                <w:szCs w:val="14"/>
              </w:rPr>
            </w:pPr>
            <w:proofErr w:type="spellStart"/>
            <w:r w:rsidRPr="00B84B0C">
              <w:rPr>
                <w:rFonts w:cs="Arial"/>
                <w:b w:val="0"/>
                <w:color w:val="000000"/>
                <w:szCs w:val="14"/>
              </w:rPr>
              <w:t>Equity</w:t>
            </w:r>
            <w:proofErr w:type="spellEnd"/>
            <w:r w:rsidRPr="00B84B0C">
              <w:rPr>
                <w:rFonts w:cs="Arial"/>
                <w:b w:val="0"/>
                <w:color w:val="000000"/>
                <w:szCs w:val="14"/>
              </w:rPr>
              <w:t xml:space="preserve"> income</w:t>
            </w:r>
          </w:p>
        </w:tc>
        <w:tc>
          <w:tcPr>
            <w:tcW w:w="1190" w:type="dxa"/>
            <w:tcBorders>
              <w:top w:val="nil"/>
              <w:bottom w:val="nil"/>
            </w:tcBorders>
            <w:shd w:val="clear" w:color="auto" w:fill="D9E2F3"/>
          </w:tcPr>
          <w:p w14:paraId="239FA73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191" w:type="dxa"/>
            <w:tcBorders>
              <w:top w:val="nil"/>
              <w:bottom w:val="nil"/>
            </w:tcBorders>
            <w:shd w:val="clear" w:color="auto" w:fill="D9E2F3"/>
          </w:tcPr>
          <w:p w14:paraId="3EDF593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232,834 </w:t>
            </w:r>
          </w:p>
        </w:tc>
        <w:tc>
          <w:tcPr>
            <w:tcW w:w="1190" w:type="dxa"/>
            <w:tcBorders>
              <w:top w:val="nil"/>
              <w:bottom w:val="nil"/>
            </w:tcBorders>
            <w:shd w:val="clear" w:color="auto" w:fill="D9E2F3"/>
          </w:tcPr>
          <w:p w14:paraId="196DE06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123,053 </w:t>
            </w:r>
          </w:p>
        </w:tc>
        <w:tc>
          <w:tcPr>
            <w:tcW w:w="1191" w:type="dxa"/>
            <w:tcBorders>
              <w:top w:val="nil"/>
              <w:bottom w:val="nil"/>
            </w:tcBorders>
            <w:shd w:val="clear" w:color="auto" w:fill="D9E2F3"/>
          </w:tcPr>
          <w:p w14:paraId="2746B85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25,248 </w:t>
            </w:r>
          </w:p>
        </w:tc>
        <w:tc>
          <w:tcPr>
            <w:tcW w:w="1299" w:type="dxa"/>
            <w:tcBorders>
              <w:top w:val="nil"/>
              <w:bottom w:val="nil"/>
            </w:tcBorders>
            <w:shd w:val="clear" w:color="auto" w:fill="D9E2F3"/>
          </w:tcPr>
          <w:p w14:paraId="5F19E0A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4,632 </w:t>
            </w:r>
          </w:p>
        </w:tc>
      </w:tr>
      <w:tr w:rsidR="00711D9A" w:rsidRPr="00B84B0C" w14:paraId="300ECFE3"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7F1B12A4" w14:textId="77777777" w:rsidR="00711D9A" w:rsidRPr="00B84B0C" w:rsidRDefault="00711D9A" w:rsidP="00711D9A">
            <w:pPr>
              <w:pStyle w:val="08-Tabelageral"/>
              <w:jc w:val="left"/>
              <w:rPr>
                <w:rFonts w:cs="Arial"/>
                <w:b w:val="0"/>
                <w:color w:val="000000"/>
                <w:szCs w:val="14"/>
              </w:rPr>
            </w:pPr>
            <w:proofErr w:type="spellStart"/>
            <w:r w:rsidRPr="00B84B0C">
              <w:rPr>
                <w:rFonts w:cs="Arial"/>
                <w:b w:val="0"/>
                <w:color w:val="000000"/>
                <w:szCs w:val="14"/>
              </w:rPr>
              <w:t>Attributable</w:t>
            </w:r>
            <w:proofErr w:type="spellEnd"/>
            <w:r w:rsidRPr="00B84B0C">
              <w:rPr>
                <w:rFonts w:cs="Arial"/>
                <w:b w:val="0"/>
                <w:color w:val="000000"/>
                <w:szCs w:val="14"/>
              </w:rPr>
              <w:t xml:space="preserve"> </w:t>
            </w:r>
            <w:proofErr w:type="spellStart"/>
            <w:r w:rsidRPr="00B84B0C">
              <w:rPr>
                <w:rFonts w:cs="Arial"/>
                <w:b w:val="0"/>
                <w:color w:val="000000"/>
                <w:szCs w:val="14"/>
              </w:rPr>
              <w:t>to</w:t>
            </w:r>
            <w:proofErr w:type="spellEnd"/>
            <w:r w:rsidRPr="00B84B0C">
              <w:rPr>
                <w:rFonts w:cs="Arial"/>
                <w:b w:val="0"/>
                <w:color w:val="000000"/>
                <w:szCs w:val="14"/>
              </w:rPr>
              <w:t xml:space="preserve"> </w:t>
            </w:r>
            <w:proofErr w:type="spellStart"/>
            <w:r w:rsidRPr="00B84B0C">
              <w:rPr>
                <w:rFonts w:cs="Arial"/>
                <w:b w:val="0"/>
                <w:color w:val="000000"/>
                <w:szCs w:val="14"/>
              </w:rPr>
              <w:t>other</w:t>
            </w:r>
            <w:proofErr w:type="spellEnd"/>
            <w:r w:rsidRPr="00B84B0C">
              <w:rPr>
                <w:rFonts w:cs="Arial"/>
                <w:b w:val="0"/>
                <w:color w:val="000000"/>
                <w:szCs w:val="14"/>
              </w:rPr>
              <w:t xml:space="preserve"> </w:t>
            </w:r>
            <w:proofErr w:type="spellStart"/>
            <w:r w:rsidRPr="00B84B0C">
              <w:rPr>
                <w:rFonts w:cs="Arial"/>
                <w:b w:val="0"/>
                <w:color w:val="000000"/>
                <w:szCs w:val="14"/>
              </w:rPr>
              <w:t>stockholders</w:t>
            </w:r>
            <w:proofErr w:type="spellEnd"/>
            <w:r w:rsidRPr="00B84B0C">
              <w:rPr>
                <w:rFonts w:cs="Arial"/>
                <w:b w:val="0"/>
                <w:color w:val="000000"/>
                <w:szCs w:val="14"/>
              </w:rPr>
              <w:t>’</w:t>
            </w:r>
          </w:p>
        </w:tc>
        <w:tc>
          <w:tcPr>
            <w:tcW w:w="1190" w:type="dxa"/>
            <w:tcBorders>
              <w:top w:val="nil"/>
              <w:bottom w:val="nil"/>
            </w:tcBorders>
            <w:shd w:val="clear" w:color="auto" w:fill="FFFFFF" w:themeFill="background1"/>
          </w:tcPr>
          <w:p w14:paraId="4CA724D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191" w:type="dxa"/>
            <w:tcBorders>
              <w:top w:val="nil"/>
              <w:bottom w:val="nil"/>
            </w:tcBorders>
            <w:shd w:val="clear" w:color="auto" w:fill="FFFFFF" w:themeFill="background1"/>
          </w:tcPr>
          <w:p w14:paraId="433C873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82,111 </w:t>
            </w:r>
          </w:p>
        </w:tc>
        <w:tc>
          <w:tcPr>
            <w:tcW w:w="1190" w:type="dxa"/>
            <w:tcBorders>
              <w:top w:val="nil"/>
              <w:bottom w:val="nil"/>
            </w:tcBorders>
            <w:shd w:val="clear" w:color="auto" w:fill="FFFFFF" w:themeFill="background1"/>
          </w:tcPr>
          <w:p w14:paraId="041D588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41,029 </w:t>
            </w:r>
          </w:p>
        </w:tc>
        <w:tc>
          <w:tcPr>
            <w:tcW w:w="1191" w:type="dxa"/>
            <w:tcBorders>
              <w:top w:val="nil"/>
              <w:bottom w:val="nil"/>
            </w:tcBorders>
            <w:shd w:val="clear" w:color="auto" w:fill="FFFFFF" w:themeFill="background1"/>
          </w:tcPr>
          <w:p w14:paraId="74D8ED7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12,626 </w:t>
            </w:r>
          </w:p>
        </w:tc>
        <w:tc>
          <w:tcPr>
            <w:tcW w:w="1299" w:type="dxa"/>
            <w:tcBorders>
              <w:top w:val="nil"/>
              <w:bottom w:val="nil"/>
            </w:tcBorders>
            <w:shd w:val="clear" w:color="auto" w:fill="FFFFFF" w:themeFill="background1"/>
          </w:tcPr>
          <w:p w14:paraId="411A7BD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1,544 </w:t>
            </w:r>
          </w:p>
        </w:tc>
      </w:tr>
      <w:tr w:rsidR="00711D9A" w:rsidRPr="00B84B0C" w14:paraId="704CA316"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434A01F2" w14:textId="77777777" w:rsidR="00711D9A" w:rsidRPr="00B84B0C" w:rsidRDefault="00711D9A" w:rsidP="00711D9A">
            <w:pPr>
              <w:pStyle w:val="08-Tabelageral"/>
              <w:jc w:val="left"/>
              <w:rPr>
                <w:rFonts w:cs="Arial"/>
                <w:b w:val="0"/>
                <w:color w:val="000000"/>
                <w:szCs w:val="14"/>
              </w:rPr>
            </w:pPr>
          </w:p>
        </w:tc>
        <w:tc>
          <w:tcPr>
            <w:tcW w:w="1190" w:type="dxa"/>
            <w:tcBorders>
              <w:top w:val="nil"/>
              <w:bottom w:val="nil"/>
            </w:tcBorders>
            <w:shd w:val="clear" w:color="auto" w:fill="D9E2F3"/>
          </w:tcPr>
          <w:p w14:paraId="0939698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91" w:type="dxa"/>
            <w:tcBorders>
              <w:top w:val="nil"/>
              <w:bottom w:val="nil"/>
            </w:tcBorders>
            <w:shd w:val="clear" w:color="auto" w:fill="D9E2F3"/>
            <w:vAlign w:val="center"/>
          </w:tcPr>
          <w:p w14:paraId="7A91ED8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90" w:type="dxa"/>
            <w:tcBorders>
              <w:top w:val="nil"/>
              <w:bottom w:val="nil"/>
            </w:tcBorders>
            <w:shd w:val="clear" w:color="auto" w:fill="D9E2F3"/>
            <w:vAlign w:val="center"/>
          </w:tcPr>
          <w:p w14:paraId="4B52488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91" w:type="dxa"/>
            <w:tcBorders>
              <w:top w:val="nil"/>
              <w:bottom w:val="nil"/>
            </w:tcBorders>
            <w:shd w:val="clear" w:color="auto" w:fill="D9E2F3"/>
            <w:vAlign w:val="center"/>
          </w:tcPr>
          <w:p w14:paraId="2EB65AC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99" w:type="dxa"/>
            <w:tcBorders>
              <w:top w:val="nil"/>
              <w:bottom w:val="nil"/>
            </w:tcBorders>
            <w:shd w:val="clear" w:color="auto" w:fill="D9E2F3"/>
            <w:vAlign w:val="center"/>
          </w:tcPr>
          <w:p w14:paraId="24C68E4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r>
      <w:tr w:rsidR="00711D9A" w:rsidRPr="00B84B0C" w14:paraId="36593532"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471981C5"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Total </w:t>
            </w:r>
            <w:proofErr w:type="spellStart"/>
            <w:r w:rsidRPr="00B84B0C">
              <w:rPr>
                <w:rFonts w:cs="Arial"/>
                <w:color w:val="000000"/>
                <w:szCs w:val="14"/>
              </w:rPr>
              <w:t>assets</w:t>
            </w:r>
            <w:proofErr w:type="spellEnd"/>
          </w:p>
        </w:tc>
        <w:tc>
          <w:tcPr>
            <w:tcW w:w="1190" w:type="dxa"/>
            <w:tcBorders>
              <w:top w:val="nil"/>
              <w:bottom w:val="nil"/>
            </w:tcBorders>
            <w:shd w:val="clear" w:color="auto" w:fill="FFFFFF" w:themeFill="background1"/>
          </w:tcPr>
          <w:p w14:paraId="3894494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91" w:type="dxa"/>
            <w:tcBorders>
              <w:top w:val="nil"/>
              <w:bottom w:val="nil"/>
            </w:tcBorders>
            <w:shd w:val="clear" w:color="auto" w:fill="FFFFFF" w:themeFill="background1"/>
          </w:tcPr>
          <w:p w14:paraId="2BCC9D3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14,595,302 </w:t>
            </w:r>
          </w:p>
        </w:tc>
        <w:tc>
          <w:tcPr>
            <w:tcW w:w="1190" w:type="dxa"/>
            <w:tcBorders>
              <w:top w:val="nil"/>
              <w:bottom w:val="nil"/>
            </w:tcBorders>
            <w:shd w:val="clear" w:color="auto" w:fill="FFFFFF" w:themeFill="background1"/>
          </w:tcPr>
          <w:p w14:paraId="63B7E7B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290,172,085 </w:t>
            </w:r>
          </w:p>
        </w:tc>
        <w:tc>
          <w:tcPr>
            <w:tcW w:w="1191" w:type="dxa"/>
            <w:tcBorders>
              <w:top w:val="nil"/>
              <w:bottom w:val="nil"/>
            </w:tcBorders>
            <w:shd w:val="clear" w:color="auto" w:fill="FFFFFF" w:themeFill="background1"/>
          </w:tcPr>
          <w:p w14:paraId="21418C8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9,527,075 </w:t>
            </w:r>
          </w:p>
        </w:tc>
        <w:tc>
          <w:tcPr>
            <w:tcW w:w="1299" w:type="dxa"/>
            <w:tcBorders>
              <w:top w:val="nil"/>
              <w:bottom w:val="nil"/>
            </w:tcBorders>
            <w:shd w:val="clear" w:color="auto" w:fill="FFFFFF" w:themeFill="background1"/>
          </w:tcPr>
          <w:p w14:paraId="6AB82B1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48,026 </w:t>
            </w:r>
          </w:p>
        </w:tc>
      </w:tr>
      <w:tr w:rsidR="00711D9A" w:rsidRPr="00B84B0C" w14:paraId="762C0828"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175A88F9"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Total </w:t>
            </w:r>
            <w:proofErr w:type="spellStart"/>
            <w:r w:rsidRPr="00B84B0C">
              <w:rPr>
                <w:rFonts w:cs="Arial"/>
                <w:color w:val="000000"/>
                <w:szCs w:val="14"/>
              </w:rPr>
              <w:t>liabilities</w:t>
            </w:r>
            <w:proofErr w:type="spellEnd"/>
          </w:p>
        </w:tc>
        <w:tc>
          <w:tcPr>
            <w:tcW w:w="1190" w:type="dxa"/>
            <w:tcBorders>
              <w:top w:val="nil"/>
              <w:bottom w:val="nil"/>
            </w:tcBorders>
            <w:shd w:val="clear" w:color="auto" w:fill="D9E2F3"/>
          </w:tcPr>
          <w:p w14:paraId="074568B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91" w:type="dxa"/>
            <w:tcBorders>
              <w:top w:val="nil"/>
              <w:bottom w:val="nil"/>
            </w:tcBorders>
            <w:shd w:val="clear" w:color="auto" w:fill="D9E2F3"/>
          </w:tcPr>
          <w:p w14:paraId="0CCEE70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12,754,990 </w:t>
            </w:r>
          </w:p>
        </w:tc>
        <w:tc>
          <w:tcPr>
            <w:tcW w:w="1190" w:type="dxa"/>
            <w:tcBorders>
              <w:top w:val="nil"/>
              <w:bottom w:val="nil"/>
            </w:tcBorders>
            <w:shd w:val="clear" w:color="auto" w:fill="D9E2F3"/>
          </w:tcPr>
          <w:p w14:paraId="7882F53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286,972,134 </w:t>
            </w:r>
          </w:p>
        </w:tc>
        <w:tc>
          <w:tcPr>
            <w:tcW w:w="1191" w:type="dxa"/>
            <w:tcBorders>
              <w:top w:val="nil"/>
              <w:bottom w:val="nil"/>
            </w:tcBorders>
            <w:shd w:val="clear" w:color="auto" w:fill="D9E2F3"/>
          </w:tcPr>
          <w:p w14:paraId="5306968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9,075,108 </w:t>
            </w:r>
          </w:p>
        </w:tc>
        <w:tc>
          <w:tcPr>
            <w:tcW w:w="1299" w:type="dxa"/>
            <w:tcBorders>
              <w:top w:val="nil"/>
              <w:bottom w:val="nil"/>
            </w:tcBorders>
            <w:shd w:val="clear" w:color="auto" w:fill="D9E2F3"/>
          </w:tcPr>
          <w:p w14:paraId="3ECA690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24,677 </w:t>
            </w:r>
          </w:p>
        </w:tc>
      </w:tr>
      <w:tr w:rsidR="00711D9A" w:rsidRPr="00B84B0C" w14:paraId="211DDB6C"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1241E5D6"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Total </w:t>
            </w:r>
            <w:proofErr w:type="spellStart"/>
            <w:r w:rsidRPr="00B84B0C">
              <w:rPr>
                <w:rFonts w:cs="Arial"/>
                <w:color w:val="000000"/>
                <w:szCs w:val="14"/>
              </w:rPr>
              <w:t>Equity</w:t>
            </w:r>
            <w:proofErr w:type="spellEnd"/>
          </w:p>
        </w:tc>
        <w:tc>
          <w:tcPr>
            <w:tcW w:w="1190" w:type="dxa"/>
            <w:tcBorders>
              <w:top w:val="nil"/>
              <w:bottom w:val="nil"/>
            </w:tcBorders>
            <w:shd w:val="clear" w:color="auto" w:fill="FFFFFF" w:themeFill="background1"/>
          </w:tcPr>
          <w:p w14:paraId="051B0D9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91" w:type="dxa"/>
            <w:tcBorders>
              <w:top w:val="nil"/>
              <w:bottom w:val="nil"/>
            </w:tcBorders>
            <w:shd w:val="clear" w:color="auto" w:fill="FFFFFF" w:themeFill="background1"/>
          </w:tcPr>
          <w:p w14:paraId="79E56BA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1,840,312 </w:t>
            </w:r>
          </w:p>
        </w:tc>
        <w:tc>
          <w:tcPr>
            <w:tcW w:w="1190" w:type="dxa"/>
            <w:tcBorders>
              <w:top w:val="nil"/>
              <w:bottom w:val="nil"/>
            </w:tcBorders>
            <w:shd w:val="clear" w:color="auto" w:fill="FFFFFF" w:themeFill="background1"/>
          </w:tcPr>
          <w:p w14:paraId="716044B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3,199,951 </w:t>
            </w:r>
          </w:p>
        </w:tc>
        <w:tc>
          <w:tcPr>
            <w:tcW w:w="1191" w:type="dxa"/>
            <w:tcBorders>
              <w:top w:val="nil"/>
              <w:bottom w:val="nil"/>
            </w:tcBorders>
            <w:shd w:val="clear" w:color="auto" w:fill="FFFFFF" w:themeFill="background1"/>
          </w:tcPr>
          <w:p w14:paraId="15398A0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451,967 </w:t>
            </w:r>
          </w:p>
        </w:tc>
        <w:tc>
          <w:tcPr>
            <w:tcW w:w="1299" w:type="dxa"/>
            <w:tcBorders>
              <w:top w:val="nil"/>
              <w:bottom w:val="nil"/>
            </w:tcBorders>
            <w:shd w:val="clear" w:color="auto" w:fill="FFFFFF" w:themeFill="background1"/>
          </w:tcPr>
          <w:p w14:paraId="5B71357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23,349 </w:t>
            </w:r>
          </w:p>
        </w:tc>
      </w:tr>
      <w:tr w:rsidR="00711D9A" w:rsidRPr="00B84B0C" w14:paraId="61BA1C59"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11777E00" w14:textId="77777777" w:rsidR="00711D9A" w:rsidRPr="00B84B0C" w:rsidRDefault="00711D9A" w:rsidP="00711D9A">
            <w:pPr>
              <w:pStyle w:val="08-Tabelageral"/>
              <w:jc w:val="left"/>
              <w:rPr>
                <w:rFonts w:cs="Arial"/>
                <w:b w:val="0"/>
                <w:color w:val="000000"/>
                <w:szCs w:val="14"/>
                <w:lang w:val="en-US"/>
              </w:rPr>
            </w:pPr>
            <w:r w:rsidRPr="00B84B0C">
              <w:rPr>
                <w:rFonts w:cs="Arial"/>
                <w:b w:val="0"/>
                <w:color w:val="000000"/>
                <w:szCs w:val="14"/>
                <w:lang w:val="en-US"/>
              </w:rPr>
              <w:t xml:space="preserve">Attributable to Group BB </w:t>
            </w:r>
            <w:proofErr w:type="spellStart"/>
            <w:r w:rsidRPr="00B84B0C">
              <w:rPr>
                <w:rFonts w:cs="Arial"/>
                <w:b w:val="0"/>
                <w:color w:val="000000"/>
                <w:szCs w:val="14"/>
                <w:lang w:val="en-US"/>
              </w:rPr>
              <w:t>Seguridade</w:t>
            </w:r>
            <w:proofErr w:type="spellEnd"/>
          </w:p>
        </w:tc>
        <w:tc>
          <w:tcPr>
            <w:tcW w:w="1190" w:type="dxa"/>
            <w:tcBorders>
              <w:top w:val="nil"/>
              <w:bottom w:val="nil"/>
            </w:tcBorders>
            <w:shd w:val="clear" w:color="auto" w:fill="D9E2F3"/>
          </w:tcPr>
          <w:p w14:paraId="30298F9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p>
        </w:tc>
        <w:tc>
          <w:tcPr>
            <w:tcW w:w="1191" w:type="dxa"/>
            <w:tcBorders>
              <w:top w:val="nil"/>
              <w:bottom w:val="nil"/>
            </w:tcBorders>
            <w:shd w:val="clear" w:color="auto" w:fill="D9E2F3"/>
          </w:tcPr>
          <w:p w14:paraId="457608D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lang w:val="en-US"/>
              </w:rPr>
              <w:t xml:space="preserve">  </w:t>
            </w:r>
            <w:r w:rsidRPr="00B84B0C">
              <w:rPr>
                <w:rFonts w:cs="Arial"/>
              </w:rPr>
              <w:t xml:space="preserve">1,380,050 </w:t>
            </w:r>
          </w:p>
        </w:tc>
        <w:tc>
          <w:tcPr>
            <w:tcW w:w="1190" w:type="dxa"/>
            <w:tcBorders>
              <w:top w:val="nil"/>
              <w:bottom w:val="nil"/>
            </w:tcBorders>
            <w:shd w:val="clear" w:color="auto" w:fill="D9E2F3"/>
          </w:tcPr>
          <w:p w14:paraId="5C3E056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 xml:space="preserve">  2,399,803 </w:t>
            </w:r>
          </w:p>
        </w:tc>
        <w:tc>
          <w:tcPr>
            <w:tcW w:w="1191" w:type="dxa"/>
            <w:tcBorders>
              <w:top w:val="nil"/>
              <w:bottom w:val="nil"/>
            </w:tcBorders>
            <w:shd w:val="clear" w:color="auto" w:fill="D9E2F3"/>
          </w:tcPr>
          <w:p w14:paraId="526256C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 xml:space="preserve">  301,282 </w:t>
            </w:r>
          </w:p>
        </w:tc>
        <w:tc>
          <w:tcPr>
            <w:tcW w:w="1299" w:type="dxa"/>
            <w:tcBorders>
              <w:top w:val="nil"/>
              <w:bottom w:val="nil"/>
            </w:tcBorders>
            <w:shd w:val="clear" w:color="auto" w:fill="D9E2F3"/>
          </w:tcPr>
          <w:p w14:paraId="21A8BF2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 xml:space="preserve">  17,512 </w:t>
            </w:r>
          </w:p>
        </w:tc>
      </w:tr>
      <w:tr w:rsidR="00711D9A" w:rsidRPr="00B84B0C" w14:paraId="59AFB71C"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3BDE72BA" w14:textId="77777777" w:rsidR="00711D9A" w:rsidRPr="00B84B0C" w:rsidRDefault="00711D9A" w:rsidP="00711D9A">
            <w:pPr>
              <w:pStyle w:val="08-Tabelageral"/>
              <w:jc w:val="left"/>
              <w:rPr>
                <w:rFonts w:cs="Arial"/>
                <w:b w:val="0"/>
                <w:color w:val="000000"/>
                <w:szCs w:val="14"/>
              </w:rPr>
            </w:pPr>
            <w:r w:rsidRPr="00B84B0C">
              <w:rPr>
                <w:rFonts w:cs="Arial"/>
                <w:b w:val="0"/>
                <w:color w:val="000000"/>
                <w:szCs w:val="14"/>
              </w:rPr>
              <w:t xml:space="preserve">Other </w:t>
            </w:r>
            <w:proofErr w:type="spellStart"/>
            <w:r w:rsidRPr="00B84B0C">
              <w:rPr>
                <w:rFonts w:cs="Arial"/>
                <w:b w:val="0"/>
                <w:color w:val="000000"/>
                <w:szCs w:val="14"/>
              </w:rPr>
              <w:t>adjustements</w:t>
            </w:r>
            <w:proofErr w:type="spellEnd"/>
          </w:p>
        </w:tc>
        <w:tc>
          <w:tcPr>
            <w:tcW w:w="1190" w:type="dxa"/>
            <w:tcBorders>
              <w:top w:val="nil"/>
              <w:bottom w:val="nil"/>
            </w:tcBorders>
            <w:shd w:val="clear" w:color="auto" w:fill="FFFFFF" w:themeFill="background1"/>
          </w:tcPr>
          <w:p w14:paraId="5FE40EB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191" w:type="dxa"/>
            <w:tcBorders>
              <w:top w:val="nil"/>
              <w:bottom w:val="nil"/>
            </w:tcBorders>
            <w:shd w:val="clear" w:color="auto" w:fill="FFFFFF" w:themeFill="background1"/>
          </w:tcPr>
          <w:p w14:paraId="4B15E88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581,669 </w:t>
            </w:r>
          </w:p>
        </w:tc>
        <w:tc>
          <w:tcPr>
            <w:tcW w:w="1190" w:type="dxa"/>
            <w:tcBorders>
              <w:top w:val="nil"/>
              <w:bottom w:val="nil"/>
            </w:tcBorders>
            <w:shd w:val="clear" w:color="auto" w:fill="FFFFFF" w:themeFill="background1"/>
          </w:tcPr>
          <w:p w14:paraId="2285B57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(24,685)</w:t>
            </w:r>
          </w:p>
        </w:tc>
        <w:tc>
          <w:tcPr>
            <w:tcW w:w="1191" w:type="dxa"/>
            <w:tcBorders>
              <w:top w:val="nil"/>
              <w:bottom w:val="nil"/>
            </w:tcBorders>
            <w:shd w:val="clear" w:color="auto" w:fill="FFFFFF" w:themeFill="background1"/>
          </w:tcPr>
          <w:p w14:paraId="7E907CA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110,748 </w:t>
            </w:r>
          </w:p>
        </w:tc>
        <w:tc>
          <w:tcPr>
            <w:tcW w:w="1299" w:type="dxa"/>
            <w:tcBorders>
              <w:top w:val="nil"/>
              <w:bottom w:val="nil"/>
            </w:tcBorders>
            <w:shd w:val="clear" w:color="auto" w:fill="FFFFFF" w:themeFill="background1"/>
          </w:tcPr>
          <w:p w14:paraId="080C449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r>
      <w:tr w:rsidR="00711D9A" w:rsidRPr="00B84B0C" w14:paraId="7B1E0732"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single" w:sz="2" w:space="0" w:color="8EAADB" w:themeColor="accent5" w:themeTint="99"/>
            </w:tcBorders>
            <w:shd w:val="clear" w:color="auto" w:fill="D9E2F3"/>
          </w:tcPr>
          <w:p w14:paraId="451082BD"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Book balance </w:t>
            </w:r>
            <w:proofErr w:type="spellStart"/>
            <w:r w:rsidRPr="00B84B0C">
              <w:rPr>
                <w:rFonts w:cs="Arial"/>
                <w:color w:val="000000"/>
                <w:szCs w:val="14"/>
              </w:rPr>
              <w:t>of</w:t>
            </w:r>
            <w:proofErr w:type="spellEnd"/>
            <w:r w:rsidRPr="00B84B0C">
              <w:rPr>
                <w:rFonts w:cs="Arial"/>
                <w:color w:val="000000"/>
                <w:szCs w:val="14"/>
              </w:rPr>
              <w:t xml:space="preserve"> </w:t>
            </w:r>
            <w:proofErr w:type="spellStart"/>
            <w:r w:rsidRPr="00B84B0C">
              <w:rPr>
                <w:rFonts w:cs="Arial"/>
                <w:color w:val="000000"/>
                <w:szCs w:val="14"/>
              </w:rPr>
              <w:t>investment</w:t>
            </w:r>
            <w:proofErr w:type="spellEnd"/>
          </w:p>
        </w:tc>
        <w:tc>
          <w:tcPr>
            <w:tcW w:w="1190" w:type="dxa"/>
            <w:tcBorders>
              <w:top w:val="nil"/>
              <w:bottom w:val="single" w:sz="2" w:space="0" w:color="8EAADB" w:themeColor="accent5" w:themeTint="99"/>
            </w:tcBorders>
            <w:shd w:val="clear" w:color="auto" w:fill="D9E2F3"/>
          </w:tcPr>
          <w:p w14:paraId="2574772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91" w:type="dxa"/>
            <w:tcBorders>
              <w:top w:val="nil"/>
              <w:bottom w:val="single" w:sz="2" w:space="0" w:color="8EAADB" w:themeColor="accent5" w:themeTint="99"/>
            </w:tcBorders>
            <w:shd w:val="clear" w:color="auto" w:fill="D9E2F3"/>
          </w:tcPr>
          <w:p w14:paraId="000B317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1,961,719 </w:t>
            </w:r>
          </w:p>
        </w:tc>
        <w:tc>
          <w:tcPr>
            <w:tcW w:w="1190" w:type="dxa"/>
            <w:tcBorders>
              <w:top w:val="nil"/>
              <w:bottom w:val="single" w:sz="2" w:space="0" w:color="8EAADB" w:themeColor="accent5" w:themeTint="99"/>
            </w:tcBorders>
            <w:shd w:val="clear" w:color="auto" w:fill="D9E2F3"/>
          </w:tcPr>
          <w:p w14:paraId="48755B1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2,375,118 </w:t>
            </w:r>
          </w:p>
        </w:tc>
        <w:tc>
          <w:tcPr>
            <w:tcW w:w="1191" w:type="dxa"/>
            <w:tcBorders>
              <w:top w:val="nil"/>
              <w:bottom w:val="single" w:sz="2" w:space="0" w:color="8EAADB" w:themeColor="accent5" w:themeTint="99"/>
            </w:tcBorders>
            <w:shd w:val="clear" w:color="auto" w:fill="D9E2F3"/>
          </w:tcPr>
          <w:p w14:paraId="5934C91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412,030 </w:t>
            </w:r>
          </w:p>
        </w:tc>
        <w:tc>
          <w:tcPr>
            <w:tcW w:w="1299" w:type="dxa"/>
            <w:tcBorders>
              <w:top w:val="nil"/>
              <w:bottom w:val="single" w:sz="2" w:space="0" w:color="8EAADB" w:themeColor="accent5" w:themeTint="99"/>
            </w:tcBorders>
            <w:shd w:val="clear" w:color="auto" w:fill="D9E2F3"/>
          </w:tcPr>
          <w:p w14:paraId="59144EC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17,512 </w:t>
            </w:r>
          </w:p>
        </w:tc>
      </w:tr>
    </w:tbl>
    <w:p w14:paraId="4A06F523" w14:textId="77777777" w:rsidR="00711D9A" w:rsidRPr="00B84B0C" w:rsidRDefault="00711D9A" w:rsidP="00711D9A">
      <w:pPr>
        <w:pStyle w:val="07-Legenda"/>
        <w:rPr>
          <w:rFonts w:cs="Arial"/>
          <w:lang w:val="en-US"/>
        </w:rPr>
      </w:pPr>
      <w:r w:rsidRPr="00B84B0C">
        <w:rPr>
          <w:rFonts w:cs="Arial"/>
          <w:lang w:val="en-US"/>
        </w:rPr>
        <w:t xml:space="preserve">(1) On July 23, 2019, BB </w:t>
      </w:r>
      <w:proofErr w:type="spellStart"/>
      <w:r w:rsidRPr="00B84B0C">
        <w:rPr>
          <w:rFonts w:cs="Arial"/>
          <w:lang w:val="en-US"/>
        </w:rPr>
        <w:t>Seguros</w:t>
      </w:r>
      <w:proofErr w:type="spellEnd"/>
      <w:r w:rsidRPr="00B84B0C">
        <w:rPr>
          <w:rFonts w:cs="Arial"/>
          <w:lang w:val="en-US"/>
        </w:rPr>
        <w:t xml:space="preserve"> sold all the shares held in IRB-</w:t>
      </w:r>
      <w:proofErr w:type="spellStart"/>
      <w:r w:rsidRPr="00B84B0C">
        <w:rPr>
          <w:rFonts w:cs="Arial"/>
          <w:lang w:val="en-US"/>
        </w:rPr>
        <w:t>Brasil</w:t>
      </w:r>
      <w:proofErr w:type="spellEnd"/>
      <w:r w:rsidRPr="00B84B0C">
        <w:rPr>
          <w:rFonts w:cs="Arial"/>
          <w:lang w:val="en-US"/>
        </w:rPr>
        <w:t xml:space="preserve"> </w:t>
      </w:r>
      <w:proofErr w:type="spellStart"/>
      <w:r w:rsidRPr="00B84B0C">
        <w:rPr>
          <w:rFonts w:cs="Arial"/>
          <w:lang w:val="en-US"/>
        </w:rPr>
        <w:t>Resseguros</w:t>
      </w:r>
      <w:proofErr w:type="spellEnd"/>
      <w:r w:rsidRPr="00B84B0C">
        <w:rPr>
          <w:rFonts w:cs="Arial"/>
          <w:lang w:val="en-US"/>
        </w:rPr>
        <w:t xml:space="preserve"> S.A, as explained in Note 2.</w:t>
      </w:r>
    </w:p>
    <w:p w14:paraId="07F70FD1" w14:textId="77777777" w:rsidR="00711D9A" w:rsidRPr="00B84B0C" w:rsidRDefault="00711D9A" w:rsidP="00711D9A">
      <w:pPr>
        <w:rPr>
          <w:rFonts w:cs="Arial"/>
          <w:b/>
          <w:color w:val="1F4E79" w:themeColor="accent1" w:themeShade="80"/>
          <w:szCs w:val="18"/>
          <w:lang w:val="en-US"/>
        </w:rPr>
      </w:pPr>
    </w:p>
    <w:p w14:paraId="2C267F12" w14:textId="77777777" w:rsidR="00711D9A" w:rsidRPr="00B84B0C" w:rsidRDefault="00711D9A" w:rsidP="00711D9A">
      <w:pPr>
        <w:spacing w:after="0"/>
        <w:jc w:val="right"/>
        <w:rPr>
          <w:rFonts w:cs="Arial"/>
          <w:b/>
          <w:sz w:val="14"/>
          <w:szCs w:val="18"/>
          <w:lang w:val="en-US"/>
        </w:rPr>
        <w:sectPr w:rsidR="00711D9A" w:rsidRPr="00B84B0C" w:rsidSect="00C91206">
          <w:pgSz w:w="11906" w:h="16838" w:code="9"/>
          <w:pgMar w:top="851" w:right="1134" w:bottom="1134" w:left="1134" w:header="851" w:footer="284" w:gutter="0"/>
          <w:cols w:space="708"/>
          <w:docGrid w:linePitch="360"/>
        </w:sectPr>
      </w:pPr>
    </w:p>
    <w:p w14:paraId="5BE5AD94" w14:textId="77777777" w:rsidR="00711D9A" w:rsidRPr="00B84B0C" w:rsidRDefault="00711D9A" w:rsidP="00711D9A">
      <w:pPr>
        <w:spacing w:after="0"/>
        <w:jc w:val="right"/>
        <w:rPr>
          <w:rFonts w:cs="Arial"/>
          <w:b/>
          <w:sz w:val="14"/>
          <w:szCs w:val="18"/>
        </w:rPr>
      </w:pPr>
      <w:r w:rsidRPr="00B84B0C">
        <w:rPr>
          <w:rFonts w:cs="Arial"/>
          <w:b/>
          <w:sz w:val="14"/>
          <w:szCs w:val="18"/>
        </w:rPr>
        <w:lastRenderedPageBreak/>
        <w:t xml:space="preserve">R$ </w:t>
      </w:r>
      <w:proofErr w:type="spellStart"/>
      <w:r w:rsidRPr="00B84B0C">
        <w:rPr>
          <w:rFonts w:cs="Arial"/>
          <w:b/>
          <w:sz w:val="14"/>
          <w:szCs w:val="18"/>
        </w:rPr>
        <w:t>thousand</w:t>
      </w:r>
      <w:proofErr w:type="spellEnd"/>
    </w:p>
    <w:tbl>
      <w:tblPr>
        <w:tblStyle w:val="TabeladeLista6Colorida-nfase510"/>
        <w:tblW w:w="9639" w:type="dxa"/>
        <w:tblInd w:w="108" w:type="dxa"/>
        <w:shd w:val="clear" w:color="auto" w:fill="D9E2F3"/>
        <w:tblLayout w:type="fixed"/>
        <w:tblLook w:val="04A0" w:firstRow="1" w:lastRow="0" w:firstColumn="1" w:lastColumn="0" w:noHBand="0" w:noVBand="1"/>
      </w:tblPr>
      <w:tblGrid>
        <w:gridCol w:w="3578"/>
        <w:gridCol w:w="1190"/>
        <w:gridCol w:w="1191"/>
        <w:gridCol w:w="1190"/>
        <w:gridCol w:w="1191"/>
        <w:gridCol w:w="1299"/>
      </w:tblGrid>
      <w:tr w:rsidR="00711D9A" w:rsidRPr="00B84B0C" w14:paraId="5C78EBA0" w14:textId="77777777" w:rsidTr="00AC568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578" w:type="dxa"/>
            <w:tcBorders>
              <w:top w:val="single" w:sz="2" w:space="0" w:color="8EAADB" w:themeColor="accent5" w:themeTint="99"/>
              <w:bottom w:val="nil"/>
            </w:tcBorders>
            <w:shd w:val="clear" w:color="auto" w:fill="D9E2F3"/>
            <w:vAlign w:val="center"/>
          </w:tcPr>
          <w:p w14:paraId="1540F104" w14:textId="77777777" w:rsidR="00711D9A" w:rsidRPr="00B84B0C" w:rsidRDefault="00711D9A" w:rsidP="00711D9A">
            <w:pPr>
              <w:jc w:val="center"/>
              <w:rPr>
                <w:rFonts w:cs="Arial"/>
                <w:b w:val="0"/>
                <w:szCs w:val="18"/>
              </w:rPr>
            </w:pPr>
          </w:p>
        </w:tc>
        <w:tc>
          <w:tcPr>
            <w:tcW w:w="6061" w:type="dxa"/>
            <w:gridSpan w:val="5"/>
            <w:tcBorders>
              <w:top w:val="single" w:sz="2" w:space="0" w:color="8EAADB" w:themeColor="accent5" w:themeTint="99"/>
              <w:bottom w:val="single" w:sz="2" w:space="0" w:color="8EAADB" w:themeColor="accent5" w:themeTint="99"/>
            </w:tcBorders>
            <w:shd w:val="clear" w:color="auto" w:fill="D9E2F3"/>
            <w:vAlign w:val="center"/>
          </w:tcPr>
          <w:p w14:paraId="776AEFA8" w14:textId="77777777" w:rsidR="00711D9A" w:rsidRPr="00B84B0C" w:rsidRDefault="00711D9A" w:rsidP="00711D9A">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84B0C">
              <w:rPr>
                <w:rFonts w:cs="Arial"/>
                <w:sz w:val="14"/>
                <w:szCs w:val="18"/>
              </w:rPr>
              <w:t xml:space="preserve">1st </w:t>
            </w:r>
            <w:proofErr w:type="spellStart"/>
            <w:r w:rsidRPr="00B84B0C">
              <w:rPr>
                <w:rFonts w:cs="Arial"/>
                <w:sz w:val="14"/>
                <w:szCs w:val="18"/>
              </w:rPr>
              <w:t>Quarter</w:t>
            </w:r>
            <w:proofErr w:type="spellEnd"/>
            <w:r w:rsidRPr="00B84B0C">
              <w:rPr>
                <w:rFonts w:cs="Arial"/>
                <w:sz w:val="14"/>
                <w:szCs w:val="18"/>
              </w:rPr>
              <w:t xml:space="preserve"> 2019</w:t>
            </w:r>
          </w:p>
        </w:tc>
      </w:tr>
      <w:tr w:rsidR="00711D9A" w:rsidRPr="00B84B0C" w14:paraId="5F1BD46B" w14:textId="77777777" w:rsidTr="00AC5680">
        <w:trPr>
          <w:cnfStyle w:val="000000100000" w:firstRow="0" w:lastRow="0" w:firstColumn="0" w:lastColumn="0" w:oddVBand="0" w:evenVBand="0" w:oddHBand="1" w:evenHBand="0" w:firstRowFirstColumn="0" w:firstRowLastColumn="0" w:lastRowFirstColumn="0" w:lastRowLastColumn="0"/>
          <w:trHeight w:hRule="exact" w:val="636"/>
        </w:trPr>
        <w:tc>
          <w:tcPr>
            <w:cnfStyle w:val="001000000000" w:firstRow="0" w:lastRow="0" w:firstColumn="1" w:lastColumn="0" w:oddVBand="0" w:evenVBand="0" w:oddHBand="0" w:evenHBand="0" w:firstRowFirstColumn="0" w:firstRowLastColumn="0" w:lastRowFirstColumn="0" w:lastRowLastColumn="0"/>
            <w:tcW w:w="3578" w:type="dxa"/>
            <w:tcBorders>
              <w:top w:val="nil"/>
              <w:bottom w:val="single" w:sz="2" w:space="0" w:color="8EAADB" w:themeColor="accent5" w:themeTint="99"/>
            </w:tcBorders>
            <w:shd w:val="clear" w:color="auto" w:fill="D9E2F3"/>
          </w:tcPr>
          <w:p w14:paraId="25F45309" w14:textId="77777777" w:rsidR="00711D9A" w:rsidRPr="00B84B0C" w:rsidRDefault="00711D9A" w:rsidP="00711D9A">
            <w:pPr>
              <w:pStyle w:val="08-Tabelageral"/>
              <w:jc w:val="left"/>
              <w:rPr>
                <w:rFonts w:cs="Arial"/>
                <w:b w:val="0"/>
              </w:rPr>
            </w:pPr>
          </w:p>
        </w:tc>
        <w:tc>
          <w:tcPr>
            <w:tcW w:w="1190" w:type="dxa"/>
            <w:tcBorders>
              <w:top w:val="single" w:sz="2" w:space="0" w:color="8EAADB" w:themeColor="accent5" w:themeTint="99"/>
              <w:bottom w:val="single" w:sz="2" w:space="0" w:color="8EAADB" w:themeColor="accent5" w:themeTint="99"/>
            </w:tcBorders>
            <w:shd w:val="clear" w:color="auto" w:fill="D9E2F3"/>
            <w:vAlign w:val="center"/>
          </w:tcPr>
          <w:p w14:paraId="2922480D"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 w:val="12"/>
                <w:lang w:val="en-US"/>
              </w:rPr>
            </w:pPr>
            <w:r w:rsidRPr="00B84B0C">
              <w:rPr>
                <w:rFonts w:cs="Arial"/>
                <w:b/>
                <w:sz w:val="12"/>
                <w:lang w:val="en-US"/>
              </w:rPr>
              <w:t>Life, Mortgage, Rural and Property</w:t>
            </w:r>
          </w:p>
        </w:tc>
        <w:tc>
          <w:tcPr>
            <w:tcW w:w="1191" w:type="dxa"/>
            <w:tcBorders>
              <w:top w:val="single" w:sz="2" w:space="0" w:color="8EAADB" w:themeColor="accent5" w:themeTint="99"/>
              <w:bottom w:val="single" w:sz="2" w:space="0" w:color="8EAADB" w:themeColor="accent5" w:themeTint="99"/>
            </w:tcBorders>
            <w:shd w:val="clear" w:color="auto" w:fill="D9E2F3"/>
            <w:vAlign w:val="center"/>
          </w:tcPr>
          <w:p w14:paraId="2332F503"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 w:val="12"/>
                <w:lang w:val="en-US"/>
              </w:rPr>
            </w:pPr>
            <w:r w:rsidRPr="00B84B0C">
              <w:rPr>
                <w:rFonts w:cs="Arial"/>
                <w:b/>
                <w:sz w:val="12"/>
                <w:lang w:val="en-US"/>
              </w:rPr>
              <w:t xml:space="preserve">Reinsurances </w:t>
            </w:r>
            <w:r w:rsidRPr="00B84B0C">
              <w:rPr>
                <w:rFonts w:cs="Arial"/>
                <w:b/>
                <w:sz w:val="12"/>
                <w:vertAlign w:val="superscript"/>
                <w:lang w:val="en-US"/>
              </w:rPr>
              <w:t>(1)</w:t>
            </w:r>
          </w:p>
        </w:tc>
        <w:tc>
          <w:tcPr>
            <w:tcW w:w="1190" w:type="dxa"/>
            <w:tcBorders>
              <w:top w:val="single" w:sz="2" w:space="0" w:color="8EAADB" w:themeColor="accent5" w:themeTint="99"/>
              <w:bottom w:val="single" w:sz="2" w:space="0" w:color="8EAADB" w:themeColor="accent5" w:themeTint="99"/>
            </w:tcBorders>
            <w:shd w:val="clear" w:color="auto" w:fill="D9E2F3"/>
            <w:vAlign w:val="center"/>
          </w:tcPr>
          <w:p w14:paraId="74EE4935"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 xml:space="preserve">Private </w:t>
            </w:r>
            <w:proofErr w:type="spellStart"/>
            <w:r w:rsidRPr="00B84B0C">
              <w:rPr>
                <w:rFonts w:cs="Arial"/>
                <w:b/>
                <w:sz w:val="12"/>
              </w:rPr>
              <w:t>Pension</w:t>
            </w:r>
            <w:proofErr w:type="spellEnd"/>
            <w:r w:rsidRPr="00B84B0C">
              <w:rPr>
                <w:rFonts w:cs="Arial"/>
                <w:b/>
                <w:sz w:val="12"/>
              </w:rPr>
              <w:t xml:space="preserve"> </w:t>
            </w:r>
            <w:proofErr w:type="spellStart"/>
            <w:r w:rsidRPr="00B84B0C">
              <w:rPr>
                <w:rFonts w:cs="Arial"/>
                <w:b/>
                <w:sz w:val="12"/>
              </w:rPr>
              <w:t>Plans</w:t>
            </w:r>
            <w:proofErr w:type="spellEnd"/>
          </w:p>
        </w:tc>
        <w:tc>
          <w:tcPr>
            <w:tcW w:w="1191" w:type="dxa"/>
            <w:tcBorders>
              <w:top w:val="single" w:sz="2" w:space="0" w:color="8EAADB" w:themeColor="accent5" w:themeTint="99"/>
              <w:bottom w:val="single" w:sz="2" w:space="0" w:color="8EAADB" w:themeColor="accent5" w:themeTint="99"/>
            </w:tcBorders>
            <w:shd w:val="clear" w:color="auto" w:fill="D9E2F3"/>
            <w:vAlign w:val="center"/>
          </w:tcPr>
          <w:p w14:paraId="747B5D47"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 w:val="12"/>
              </w:rPr>
            </w:pPr>
            <w:proofErr w:type="spellStart"/>
            <w:r w:rsidRPr="00B84B0C">
              <w:rPr>
                <w:rFonts w:cs="Arial"/>
                <w:b/>
                <w:sz w:val="12"/>
              </w:rPr>
              <w:t>Capitalization</w:t>
            </w:r>
            <w:proofErr w:type="spellEnd"/>
            <w:r w:rsidRPr="00B84B0C">
              <w:rPr>
                <w:rFonts w:cs="Arial"/>
                <w:b/>
                <w:sz w:val="12"/>
              </w:rPr>
              <w:t xml:space="preserve"> </w:t>
            </w:r>
            <w:proofErr w:type="spellStart"/>
            <w:r w:rsidRPr="00B84B0C">
              <w:rPr>
                <w:rFonts w:cs="Arial"/>
                <w:b/>
                <w:sz w:val="12"/>
              </w:rPr>
              <w:t>Plans</w:t>
            </w:r>
            <w:proofErr w:type="spellEnd"/>
          </w:p>
        </w:tc>
        <w:tc>
          <w:tcPr>
            <w:tcW w:w="1299" w:type="dxa"/>
            <w:tcBorders>
              <w:top w:val="single" w:sz="2" w:space="0" w:color="8EAADB" w:themeColor="accent5" w:themeTint="99"/>
              <w:bottom w:val="single" w:sz="2" w:space="0" w:color="8EAADB" w:themeColor="accent5" w:themeTint="99"/>
            </w:tcBorders>
            <w:shd w:val="clear" w:color="auto" w:fill="D9E2F3"/>
            <w:vAlign w:val="center"/>
          </w:tcPr>
          <w:p w14:paraId="3BB663B4" w14:textId="77777777" w:rsidR="00711D9A" w:rsidRPr="00B84B0C" w:rsidRDefault="00711D9A" w:rsidP="00711D9A">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 w:val="12"/>
              </w:rPr>
            </w:pPr>
            <w:r w:rsidRPr="00B84B0C">
              <w:rPr>
                <w:rFonts w:cs="Arial"/>
                <w:b/>
                <w:sz w:val="12"/>
              </w:rPr>
              <w:t>Health</w:t>
            </w:r>
          </w:p>
        </w:tc>
      </w:tr>
      <w:tr w:rsidR="00711D9A" w:rsidRPr="00B84B0C" w14:paraId="2B73D6CA"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single" w:sz="2" w:space="0" w:color="8EAADB" w:themeColor="accent5" w:themeTint="99"/>
              <w:bottom w:val="nil"/>
            </w:tcBorders>
            <w:shd w:val="clear" w:color="auto" w:fill="FFFFFF" w:themeFill="background1"/>
            <w:vAlign w:val="center"/>
          </w:tcPr>
          <w:p w14:paraId="49B0F984" w14:textId="77777777" w:rsidR="00711D9A" w:rsidRPr="00B84B0C" w:rsidRDefault="00711D9A" w:rsidP="00711D9A">
            <w:pPr>
              <w:pStyle w:val="08-Tabelageral"/>
              <w:jc w:val="left"/>
              <w:rPr>
                <w:rFonts w:cs="Arial"/>
                <w:b w:val="0"/>
                <w:bCs w:val="0"/>
                <w:szCs w:val="14"/>
              </w:rPr>
            </w:pPr>
            <w:proofErr w:type="spellStart"/>
            <w:r w:rsidRPr="00B84B0C">
              <w:rPr>
                <w:rFonts w:cs="Arial"/>
                <w:b w:val="0"/>
                <w:bCs w:val="0"/>
                <w:szCs w:val="14"/>
              </w:rPr>
              <w:t>Insurance</w:t>
            </w:r>
            <w:proofErr w:type="spellEnd"/>
            <w:r w:rsidRPr="00B84B0C">
              <w:rPr>
                <w:rFonts w:cs="Arial"/>
                <w:b w:val="0"/>
                <w:bCs w:val="0"/>
                <w:szCs w:val="14"/>
              </w:rPr>
              <w:t xml:space="preserve"> income</w:t>
            </w:r>
          </w:p>
        </w:tc>
        <w:tc>
          <w:tcPr>
            <w:tcW w:w="1190" w:type="dxa"/>
            <w:tcBorders>
              <w:top w:val="single" w:sz="2" w:space="0" w:color="8EAADB" w:themeColor="accent5" w:themeTint="99"/>
              <w:bottom w:val="nil"/>
            </w:tcBorders>
            <w:shd w:val="clear" w:color="auto" w:fill="FFFFFF" w:themeFill="background1"/>
          </w:tcPr>
          <w:p w14:paraId="2561255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1,988,185 </w:t>
            </w:r>
          </w:p>
        </w:tc>
        <w:tc>
          <w:tcPr>
            <w:tcW w:w="1191" w:type="dxa"/>
            <w:tcBorders>
              <w:top w:val="single" w:sz="2" w:space="0" w:color="8EAADB" w:themeColor="accent5" w:themeTint="99"/>
              <w:bottom w:val="nil"/>
            </w:tcBorders>
            <w:shd w:val="clear" w:color="auto" w:fill="FFFFFF" w:themeFill="background1"/>
          </w:tcPr>
          <w:p w14:paraId="1AE1E25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 xml:space="preserve"> 1,990,024 </w:t>
            </w:r>
          </w:p>
        </w:tc>
        <w:tc>
          <w:tcPr>
            <w:tcW w:w="1190" w:type="dxa"/>
            <w:tcBorders>
              <w:top w:val="single" w:sz="2" w:space="0" w:color="8EAADB" w:themeColor="accent5" w:themeTint="99"/>
              <w:bottom w:val="nil"/>
            </w:tcBorders>
            <w:shd w:val="clear" w:color="auto" w:fill="FFFFFF" w:themeFill="background1"/>
            <w:vAlign w:val="center"/>
          </w:tcPr>
          <w:p w14:paraId="66B4900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1" w:type="dxa"/>
            <w:tcBorders>
              <w:top w:val="single" w:sz="2" w:space="0" w:color="8EAADB" w:themeColor="accent5" w:themeTint="99"/>
              <w:bottom w:val="nil"/>
            </w:tcBorders>
            <w:shd w:val="clear" w:color="auto" w:fill="FFFFFF" w:themeFill="background1"/>
            <w:vAlign w:val="center"/>
          </w:tcPr>
          <w:p w14:paraId="38070CE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299" w:type="dxa"/>
            <w:tcBorders>
              <w:top w:val="single" w:sz="2" w:space="0" w:color="8EAADB" w:themeColor="accent5" w:themeTint="99"/>
              <w:bottom w:val="nil"/>
            </w:tcBorders>
            <w:shd w:val="clear" w:color="auto" w:fill="FFFFFF" w:themeFill="background1"/>
            <w:vAlign w:val="center"/>
          </w:tcPr>
          <w:p w14:paraId="0186CD0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r>
      <w:tr w:rsidR="00711D9A" w:rsidRPr="00B84B0C" w14:paraId="6478C0E5"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vAlign w:val="center"/>
          </w:tcPr>
          <w:p w14:paraId="1603D00A" w14:textId="77777777" w:rsidR="00711D9A" w:rsidRPr="00B84B0C" w:rsidRDefault="00711D9A" w:rsidP="00711D9A">
            <w:pPr>
              <w:pStyle w:val="08-Tabelageral"/>
              <w:jc w:val="left"/>
              <w:rPr>
                <w:rFonts w:cs="Arial"/>
                <w:b w:val="0"/>
                <w:bCs w:val="0"/>
                <w:color w:val="000000"/>
                <w:szCs w:val="14"/>
              </w:rPr>
            </w:pPr>
            <w:proofErr w:type="spellStart"/>
            <w:r w:rsidRPr="00B84B0C">
              <w:rPr>
                <w:rFonts w:cs="Arial"/>
                <w:b w:val="0"/>
                <w:bCs w:val="0"/>
                <w:color w:val="000000"/>
                <w:szCs w:val="14"/>
              </w:rPr>
              <w:t>Result</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from</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reinsurance</w:t>
            </w:r>
            <w:proofErr w:type="spellEnd"/>
            <w:r w:rsidRPr="00B84B0C">
              <w:rPr>
                <w:rFonts w:cs="Arial"/>
                <w:b w:val="0"/>
                <w:bCs w:val="0"/>
                <w:color w:val="000000"/>
                <w:szCs w:val="14"/>
              </w:rPr>
              <w:t xml:space="preserve"> income</w:t>
            </w:r>
          </w:p>
        </w:tc>
        <w:tc>
          <w:tcPr>
            <w:tcW w:w="1190" w:type="dxa"/>
            <w:tcBorders>
              <w:top w:val="nil"/>
              <w:bottom w:val="nil"/>
            </w:tcBorders>
            <w:shd w:val="clear" w:color="auto" w:fill="D9E2F3"/>
          </w:tcPr>
          <w:p w14:paraId="2B50C7A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466,720 </w:t>
            </w:r>
          </w:p>
        </w:tc>
        <w:tc>
          <w:tcPr>
            <w:tcW w:w="1191" w:type="dxa"/>
            <w:tcBorders>
              <w:top w:val="nil"/>
              <w:bottom w:val="nil"/>
            </w:tcBorders>
            <w:shd w:val="clear" w:color="auto" w:fill="D9E2F3"/>
          </w:tcPr>
          <w:p w14:paraId="5507C30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(174,837) </w:t>
            </w:r>
          </w:p>
        </w:tc>
        <w:tc>
          <w:tcPr>
            <w:tcW w:w="1190" w:type="dxa"/>
            <w:tcBorders>
              <w:top w:val="nil"/>
              <w:bottom w:val="nil"/>
            </w:tcBorders>
            <w:shd w:val="clear" w:color="auto" w:fill="D9E2F3"/>
            <w:vAlign w:val="center"/>
          </w:tcPr>
          <w:p w14:paraId="25D1703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6ECBDF6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299" w:type="dxa"/>
            <w:tcBorders>
              <w:top w:val="nil"/>
              <w:bottom w:val="nil"/>
            </w:tcBorders>
            <w:shd w:val="clear" w:color="auto" w:fill="D9E2F3"/>
            <w:vAlign w:val="center"/>
          </w:tcPr>
          <w:p w14:paraId="1E45527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4AC154E5"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vAlign w:val="center"/>
          </w:tcPr>
          <w:p w14:paraId="078CF719" w14:textId="77777777" w:rsidR="00711D9A" w:rsidRPr="00B84B0C" w:rsidRDefault="00711D9A" w:rsidP="00711D9A">
            <w:pPr>
              <w:pStyle w:val="08-Tabelageral"/>
              <w:jc w:val="left"/>
              <w:rPr>
                <w:rFonts w:cs="Arial"/>
                <w:b w:val="0"/>
                <w:bCs w:val="0"/>
                <w:szCs w:val="14"/>
              </w:rPr>
            </w:pPr>
            <w:r w:rsidRPr="00B84B0C">
              <w:rPr>
                <w:rFonts w:cs="Arial"/>
                <w:b w:val="0"/>
                <w:bCs w:val="0"/>
                <w:color w:val="000000"/>
                <w:szCs w:val="14"/>
              </w:rPr>
              <w:t xml:space="preserve">Private </w:t>
            </w:r>
            <w:proofErr w:type="spellStart"/>
            <w:r w:rsidRPr="00B84B0C">
              <w:rPr>
                <w:rFonts w:cs="Arial"/>
                <w:b w:val="0"/>
                <w:bCs w:val="0"/>
                <w:color w:val="000000"/>
                <w:szCs w:val="14"/>
              </w:rPr>
              <w:t>pension</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plans</w:t>
            </w:r>
            <w:proofErr w:type="spellEnd"/>
            <w:r w:rsidRPr="00B84B0C">
              <w:rPr>
                <w:rFonts w:cs="Arial"/>
                <w:b w:val="0"/>
                <w:bCs w:val="0"/>
                <w:color w:val="000000"/>
                <w:szCs w:val="14"/>
              </w:rPr>
              <w:t xml:space="preserve"> income</w:t>
            </w:r>
          </w:p>
        </w:tc>
        <w:tc>
          <w:tcPr>
            <w:tcW w:w="1190" w:type="dxa"/>
            <w:tcBorders>
              <w:top w:val="nil"/>
              <w:bottom w:val="nil"/>
            </w:tcBorders>
            <w:shd w:val="clear" w:color="auto" w:fill="FFFFFF" w:themeFill="background1"/>
            <w:vAlign w:val="center"/>
          </w:tcPr>
          <w:p w14:paraId="45F02EC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FFFFFF" w:themeFill="background1"/>
            <w:vAlign w:val="center"/>
          </w:tcPr>
          <w:p w14:paraId="2A3E968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0" w:type="dxa"/>
            <w:tcBorders>
              <w:top w:val="nil"/>
              <w:bottom w:val="nil"/>
            </w:tcBorders>
            <w:shd w:val="clear" w:color="auto" w:fill="FFFFFF" w:themeFill="background1"/>
            <w:vAlign w:val="center"/>
          </w:tcPr>
          <w:p w14:paraId="3E22836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535,800</w:t>
            </w:r>
          </w:p>
        </w:tc>
        <w:tc>
          <w:tcPr>
            <w:tcW w:w="1191" w:type="dxa"/>
            <w:tcBorders>
              <w:top w:val="nil"/>
              <w:bottom w:val="nil"/>
            </w:tcBorders>
            <w:shd w:val="clear" w:color="auto" w:fill="FFFFFF" w:themeFill="background1"/>
            <w:vAlign w:val="center"/>
          </w:tcPr>
          <w:p w14:paraId="4D17DAA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299" w:type="dxa"/>
            <w:tcBorders>
              <w:top w:val="nil"/>
              <w:bottom w:val="nil"/>
            </w:tcBorders>
            <w:shd w:val="clear" w:color="auto" w:fill="FFFFFF" w:themeFill="background1"/>
            <w:vAlign w:val="center"/>
          </w:tcPr>
          <w:p w14:paraId="272B7F5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r>
      <w:tr w:rsidR="00711D9A" w:rsidRPr="00B84B0C" w14:paraId="04DF1D40"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vAlign w:val="center"/>
          </w:tcPr>
          <w:p w14:paraId="75E2ADAE" w14:textId="77777777" w:rsidR="00711D9A" w:rsidRPr="00B84B0C" w:rsidRDefault="00711D9A" w:rsidP="00711D9A">
            <w:pPr>
              <w:pStyle w:val="08-Tabelageral"/>
              <w:jc w:val="left"/>
              <w:rPr>
                <w:rFonts w:cs="Arial"/>
                <w:b w:val="0"/>
                <w:bCs w:val="0"/>
                <w:szCs w:val="14"/>
              </w:rPr>
            </w:pPr>
            <w:proofErr w:type="spellStart"/>
            <w:r w:rsidRPr="00B84B0C">
              <w:rPr>
                <w:rFonts w:cs="Arial"/>
                <w:b w:val="0"/>
                <w:bCs w:val="0"/>
                <w:color w:val="000000"/>
                <w:szCs w:val="14"/>
              </w:rPr>
              <w:t>Capitalization</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plans</w:t>
            </w:r>
            <w:proofErr w:type="spellEnd"/>
            <w:r w:rsidRPr="00B84B0C">
              <w:rPr>
                <w:rFonts w:cs="Arial"/>
                <w:b w:val="0"/>
                <w:bCs w:val="0"/>
                <w:color w:val="000000"/>
                <w:szCs w:val="14"/>
              </w:rPr>
              <w:t xml:space="preserve"> income</w:t>
            </w:r>
          </w:p>
        </w:tc>
        <w:tc>
          <w:tcPr>
            <w:tcW w:w="1190" w:type="dxa"/>
            <w:tcBorders>
              <w:top w:val="nil"/>
              <w:bottom w:val="nil"/>
            </w:tcBorders>
            <w:shd w:val="clear" w:color="auto" w:fill="D9E2F3"/>
            <w:vAlign w:val="center"/>
          </w:tcPr>
          <w:p w14:paraId="142DD9E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3E0D7020"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0" w:type="dxa"/>
            <w:tcBorders>
              <w:top w:val="nil"/>
              <w:bottom w:val="nil"/>
            </w:tcBorders>
            <w:shd w:val="clear" w:color="auto" w:fill="D9E2F3"/>
            <w:vAlign w:val="center"/>
          </w:tcPr>
          <w:p w14:paraId="2493431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4082479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211,363</w:t>
            </w:r>
          </w:p>
        </w:tc>
        <w:tc>
          <w:tcPr>
            <w:tcW w:w="1299" w:type="dxa"/>
            <w:tcBorders>
              <w:top w:val="nil"/>
              <w:bottom w:val="nil"/>
            </w:tcBorders>
            <w:shd w:val="clear" w:color="auto" w:fill="D9E2F3"/>
            <w:vAlign w:val="center"/>
          </w:tcPr>
          <w:p w14:paraId="61012B1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0CA246CA"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vAlign w:val="center"/>
          </w:tcPr>
          <w:p w14:paraId="7E71D871" w14:textId="77777777" w:rsidR="00711D9A" w:rsidRPr="00B84B0C" w:rsidRDefault="00711D9A" w:rsidP="00711D9A">
            <w:pPr>
              <w:pStyle w:val="08-Tabelageral"/>
              <w:jc w:val="left"/>
              <w:rPr>
                <w:rFonts w:cs="Arial"/>
                <w:b w:val="0"/>
                <w:bCs w:val="0"/>
                <w:color w:val="000000"/>
                <w:szCs w:val="14"/>
              </w:rPr>
            </w:pPr>
            <w:r w:rsidRPr="00B84B0C">
              <w:rPr>
                <w:rFonts w:cs="Arial"/>
                <w:b w:val="0"/>
                <w:bCs w:val="0"/>
                <w:color w:val="000000"/>
                <w:szCs w:val="14"/>
              </w:rPr>
              <w:t>Health income</w:t>
            </w:r>
          </w:p>
        </w:tc>
        <w:tc>
          <w:tcPr>
            <w:tcW w:w="1190" w:type="dxa"/>
            <w:tcBorders>
              <w:top w:val="nil"/>
              <w:bottom w:val="nil"/>
            </w:tcBorders>
            <w:shd w:val="clear" w:color="auto" w:fill="FFFFFF" w:themeFill="background1"/>
            <w:vAlign w:val="center"/>
          </w:tcPr>
          <w:p w14:paraId="7089701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FFFFFF" w:themeFill="background1"/>
            <w:vAlign w:val="center"/>
          </w:tcPr>
          <w:p w14:paraId="639E2B1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0" w:type="dxa"/>
            <w:tcBorders>
              <w:top w:val="nil"/>
              <w:bottom w:val="nil"/>
            </w:tcBorders>
            <w:shd w:val="clear" w:color="auto" w:fill="FFFFFF" w:themeFill="background1"/>
            <w:vAlign w:val="center"/>
          </w:tcPr>
          <w:p w14:paraId="45E84AF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FFFFFF" w:themeFill="background1"/>
            <w:vAlign w:val="center"/>
          </w:tcPr>
          <w:p w14:paraId="7B90498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299" w:type="dxa"/>
            <w:tcBorders>
              <w:top w:val="nil"/>
              <w:bottom w:val="nil"/>
            </w:tcBorders>
            <w:shd w:val="clear" w:color="auto" w:fill="FFFFFF" w:themeFill="background1"/>
            <w:vAlign w:val="center"/>
          </w:tcPr>
          <w:p w14:paraId="6962C16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17,226</w:t>
            </w:r>
          </w:p>
        </w:tc>
      </w:tr>
      <w:tr w:rsidR="00711D9A" w:rsidRPr="00B84B0C" w14:paraId="7C5FB078"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488279F7" w14:textId="77777777" w:rsidR="00711D9A" w:rsidRPr="00B84B0C" w:rsidRDefault="00711D9A" w:rsidP="00711D9A">
            <w:pPr>
              <w:pStyle w:val="08-Tabelageral"/>
              <w:jc w:val="left"/>
              <w:rPr>
                <w:rFonts w:cs="Arial"/>
                <w:b w:val="0"/>
                <w:bCs w:val="0"/>
                <w:color w:val="000000"/>
                <w:szCs w:val="14"/>
              </w:rPr>
            </w:pPr>
            <w:r w:rsidRPr="00B84B0C">
              <w:rPr>
                <w:rFonts w:cs="Arial"/>
                <w:b w:val="0"/>
                <w:bCs w:val="0"/>
                <w:color w:val="000000"/>
                <w:szCs w:val="14"/>
              </w:rPr>
              <w:t xml:space="preserve">Other </w:t>
            </w:r>
            <w:proofErr w:type="spellStart"/>
            <w:r w:rsidRPr="00B84B0C">
              <w:rPr>
                <w:rFonts w:cs="Arial"/>
                <w:b w:val="0"/>
                <w:bCs w:val="0"/>
                <w:color w:val="000000"/>
                <w:szCs w:val="14"/>
              </w:rPr>
              <w:t>operation</w:t>
            </w:r>
            <w:proofErr w:type="spellEnd"/>
            <w:r w:rsidRPr="00B84B0C">
              <w:rPr>
                <w:rFonts w:cs="Arial"/>
                <w:b w:val="0"/>
                <w:bCs w:val="0"/>
                <w:color w:val="000000"/>
                <w:szCs w:val="14"/>
              </w:rPr>
              <w:t xml:space="preserve"> income (</w:t>
            </w:r>
            <w:proofErr w:type="spellStart"/>
            <w:r w:rsidRPr="00B84B0C">
              <w:rPr>
                <w:rFonts w:cs="Arial"/>
                <w:b w:val="0"/>
                <w:bCs w:val="0"/>
                <w:color w:val="000000"/>
                <w:szCs w:val="14"/>
              </w:rPr>
              <w:t>expenses</w:t>
            </w:r>
            <w:proofErr w:type="spellEnd"/>
            <w:r w:rsidRPr="00B84B0C">
              <w:rPr>
                <w:rFonts w:cs="Arial"/>
                <w:b w:val="0"/>
                <w:bCs w:val="0"/>
                <w:color w:val="000000"/>
                <w:szCs w:val="14"/>
              </w:rPr>
              <w:t>)</w:t>
            </w:r>
          </w:p>
        </w:tc>
        <w:tc>
          <w:tcPr>
            <w:tcW w:w="1190" w:type="dxa"/>
            <w:tcBorders>
              <w:top w:val="nil"/>
              <w:bottom w:val="nil"/>
            </w:tcBorders>
            <w:shd w:val="clear" w:color="auto" w:fill="D9E2F3"/>
          </w:tcPr>
          <w:p w14:paraId="508DD69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(246,021) </w:t>
            </w:r>
          </w:p>
        </w:tc>
        <w:tc>
          <w:tcPr>
            <w:tcW w:w="1191" w:type="dxa"/>
            <w:tcBorders>
              <w:top w:val="nil"/>
              <w:bottom w:val="nil"/>
            </w:tcBorders>
            <w:shd w:val="clear" w:color="auto" w:fill="D9E2F3"/>
          </w:tcPr>
          <w:p w14:paraId="6C6F35B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(102,166) </w:t>
            </w:r>
          </w:p>
        </w:tc>
        <w:tc>
          <w:tcPr>
            <w:tcW w:w="1190" w:type="dxa"/>
            <w:tcBorders>
              <w:top w:val="nil"/>
              <w:bottom w:val="nil"/>
            </w:tcBorders>
            <w:shd w:val="clear" w:color="auto" w:fill="D9E2F3"/>
          </w:tcPr>
          <w:p w14:paraId="016D019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(171,383) </w:t>
            </w:r>
          </w:p>
        </w:tc>
        <w:tc>
          <w:tcPr>
            <w:tcW w:w="1191" w:type="dxa"/>
            <w:tcBorders>
              <w:top w:val="nil"/>
              <w:bottom w:val="nil"/>
            </w:tcBorders>
            <w:shd w:val="clear" w:color="auto" w:fill="D9E2F3"/>
          </w:tcPr>
          <w:p w14:paraId="4DE3537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(27,836) </w:t>
            </w:r>
          </w:p>
        </w:tc>
        <w:tc>
          <w:tcPr>
            <w:tcW w:w="1299" w:type="dxa"/>
            <w:tcBorders>
              <w:top w:val="nil"/>
              <w:bottom w:val="nil"/>
            </w:tcBorders>
            <w:shd w:val="clear" w:color="auto" w:fill="D9E2F3"/>
          </w:tcPr>
          <w:p w14:paraId="250643B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(7,849) </w:t>
            </w:r>
          </w:p>
        </w:tc>
      </w:tr>
      <w:tr w:rsidR="00711D9A" w:rsidRPr="00B84B0C" w14:paraId="23E24B7B"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7E01DD42" w14:textId="77777777" w:rsidR="00711D9A" w:rsidRPr="00B84B0C" w:rsidRDefault="00711D9A" w:rsidP="00711D9A">
            <w:pPr>
              <w:pStyle w:val="08-Tabelageral"/>
              <w:jc w:val="left"/>
              <w:rPr>
                <w:rFonts w:cs="Arial"/>
                <w:b w:val="0"/>
                <w:bCs w:val="0"/>
                <w:color w:val="000000"/>
                <w:szCs w:val="14"/>
              </w:rPr>
            </w:pPr>
            <w:proofErr w:type="spellStart"/>
            <w:r w:rsidRPr="00B84B0C">
              <w:rPr>
                <w:rFonts w:cs="Arial"/>
                <w:b w:val="0"/>
                <w:bCs w:val="0"/>
                <w:color w:val="000000"/>
                <w:szCs w:val="14"/>
              </w:rPr>
              <w:t>Result</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from</w:t>
            </w:r>
            <w:proofErr w:type="spellEnd"/>
            <w:r w:rsidRPr="00B84B0C">
              <w:rPr>
                <w:rFonts w:cs="Arial"/>
                <w:b w:val="0"/>
                <w:bCs w:val="0"/>
                <w:color w:val="000000"/>
                <w:szCs w:val="14"/>
              </w:rPr>
              <w:t xml:space="preserve"> </w:t>
            </w:r>
            <w:proofErr w:type="spellStart"/>
            <w:r w:rsidRPr="00B84B0C">
              <w:rPr>
                <w:rFonts w:cs="Arial"/>
                <w:b w:val="0"/>
                <w:bCs w:val="0"/>
                <w:color w:val="000000"/>
                <w:szCs w:val="14"/>
              </w:rPr>
              <w:t>interest</w:t>
            </w:r>
            <w:proofErr w:type="spellEnd"/>
            <w:r w:rsidRPr="00B84B0C">
              <w:rPr>
                <w:rFonts w:cs="Arial"/>
                <w:b w:val="0"/>
                <w:bCs w:val="0"/>
                <w:color w:val="000000"/>
                <w:szCs w:val="14"/>
              </w:rPr>
              <w:t xml:space="preserve"> income</w:t>
            </w:r>
          </w:p>
        </w:tc>
        <w:tc>
          <w:tcPr>
            <w:tcW w:w="1190" w:type="dxa"/>
            <w:tcBorders>
              <w:top w:val="nil"/>
              <w:bottom w:val="nil"/>
            </w:tcBorders>
            <w:shd w:val="clear" w:color="auto" w:fill="FFFFFF" w:themeFill="background1"/>
            <w:vAlign w:val="center"/>
          </w:tcPr>
          <w:p w14:paraId="28921BF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198,776</w:t>
            </w:r>
          </w:p>
        </w:tc>
        <w:tc>
          <w:tcPr>
            <w:tcW w:w="1191" w:type="dxa"/>
            <w:tcBorders>
              <w:top w:val="nil"/>
              <w:bottom w:val="nil"/>
            </w:tcBorders>
            <w:shd w:val="clear" w:color="auto" w:fill="FFFFFF" w:themeFill="background1"/>
            <w:vAlign w:val="center"/>
          </w:tcPr>
          <w:p w14:paraId="0846ED3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184,477</w:t>
            </w:r>
          </w:p>
        </w:tc>
        <w:tc>
          <w:tcPr>
            <w:tcW w:w="1190" w:type="dxa"/>
            <w:tcBorders>
              <w:top w:val="nil"/>
              <w:bottom w:val="nil"/>
            </w:tcBorders>
            <w:shd w:val="clear" w:color="auto" w:fill="FFFFFF" w:themeFill="background1"/>
            <w:vAlign w:val="center"/>
          </w:tcPr>
          <w:p w14:paraId="2406B90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274,599</w:t>
            </w:r>
          </w:p>
        </w:tc>
        <w:tc>
          <w:tcPr>
            <w:tcW w:w="1191" w:type="dxa"/>
            <w:tcBorders>
              <w:top w:val="nil"/>
              <w:bottom w:val="nil"/>
            </w:tcBorders>
            <w:shd w:val="clear" w:color="auto" w:fill="FFFFFF" w:themeFill="background1"/>
            <w:vAlign w:val="center"/>
          </w:tcPr>
          <w:p w14:paraId="30F468C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43,313</w:t>
            </w:r>
          </w:p>
        </w:tc>
        <w:tc>
          <w:tcPr>
            <w:tcW w:w="1299" w:type="dxa"/>
            <w:tcBorders>
              <w:top w:val="nil"/>
              <w:bottom w:val="nil"/>
            </w:tcBorders>
            <w:shd w:val="clear" w:color="auto" w:fill="FFFFFF" w:themeFill="background1"/>
            <w:vAlign w:val="center"/>
          </w:tcPr>
          <w:p w14:paraId="2B63849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25</w:t>
            </w:r>
          </w:p>
        </w:tc>
      </w:tr>
      <w:tr w:rsidR="00711D9A" w:rsidRPr="00B84B0C" w14:paraId="262B200B"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3B76711F" w14:textId="77777777" w:rsidR="00711D9A" w:rsidRPr="00B84B0C" w:rsidRDefault="00711D9A" w:rsidP="00711D9A">
            <w:pPr>
              <w:pStyle w:val="08-Tabelageral"/>
              <w:jc w:val="left"/>
              <w:rPr>
                <w:rFonts w:cs="Arial"/>
                <w:b w:val="0"/>
                <w:bCs w:val="0"/>
                <w:color w:val="000000"/>
                <w:szCs w:val="14"/>
              </w:rPr>
            </w:pPr>
            <w:proofErr w:type="spellStart"/>
            <w:r w:rsidRPr="00B84B0C">
              <w:rPr>
                <w:rFonts w:cs="Arial"/>
                <w:b w:val="0"/>
                <w:bCs w:val="0"/>
                <w:color w:val="000000"/>
                <w:szCs w:val="14"/>
              </w:rPr>
              <w:t>Equity</w:t>
            </w:r>
            <w:proofErr w:type="spellEnd"/>
            <w:r w:rsidRPr="00B84B0C">
              <w:rPr>
                <w:rFonts w:cs="Arial"/>
                <w:b w:val="0"/>
                <w:bCs w:val="0"/>
                <w:color w:val="000000"/>
                <w:szCs w:val="14"/>
              </w:rPr>
              <w:t xml:space="preserve"> in </w:t>
            </w:r>
            <w:proofErr w:type="spellStart"/>
            <w:r w:rsidRPr="00B84B0C">
              <w:rPr>
                <w:rFonts w:cs="Arial"/>
                <w:b w:val="0"/>
                <w:bCs w:val="0"/>
                <w:color w:val="000000"/>
                <w:szCs w:val="14"/>
              </w:rPr>
              <w:t>earnings</w:t>
            </w:r>
            <w:proofErr w:type="spellEnd"/>
          </w:p>
        </w:tc>
        <w:tc>
          <w:tcPr>
            <w:tcW w:w="1190" w:type="dxa"/>
            <w:tcBorders>
              <w:top w:val="nil"/>
              <w:bottom w:val="nil"/>
            </w:tcBorders>
            <w:shd w:val="clear" w:color="auto" w:fill="D9E2F3"/>
            <w:vAlign w:val="center"/>
          </w:tcPr>
          <w:p w14:paraId="49DE780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76AF35C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23,984</w:t>
            </w:r>
          </w:p>
        </w:tc>
        <w:tc>
          <w:tcPr>
            <w:tcW w:w="1190" w:type="dxa"/>
            <w:tcBorders>
              <w:top w:val="nil"/>
              <w:bottom w:val="nil"/>
            </w:tcBorders>
            <w:shd w:val="clear" w:color="auto" w:fill="D9E2F3"/>
            <w:vAlign w:val="center"/>
          </w:tcPr>
          <w:p w14:paraId="3AAEE49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628451D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w:t>
            </w:r>
          </w:p>
        </w:tc>
        <w:tc>
          <w:tcPr>
            <w:tcW w:w="1299" w:type="dxa"/>
            <w:tcBorders>
              <w:top w:val="nil"/>
              <w:bottom w:val="nil"/>
            </w:tcBorders>
            <w:shd w:val="clear" w:color="auto" w:fill="D9E2F3"/>
            <w:vAlign w:val="center"/>
          </w:tcPr>
          <w:p w14:paraId="09448EE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42A7FDA2"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5F78FD97" w14:textId="77777777" w:rsidR="00711D9A" w:rsidRPr="00B84B0C" w:rsidRDefault="00711D9A" w:rsidP="00711D9A">
            <w:pPr>
              <w:pStyle w:val="08-Tabelageral"/>
              <w:jc w:val="left"/>
              <w:rPr>
                <w:rFonts w:cs="Arial"/>
                <w:color w:val="000000"/>
                <w:szCs w:val="14"/>
              </w:rPr>
            </w:pPr>
            <w:proofErr w:type="spellStart"/>
            <w:r w:rsidRPr="00B84B0C">
              <w:rPr>
                <w:rFonts w:cs="Arial"/>
                <w:color w:val="000000"/>
                <w:szCs w:val="14"/>
              </w:rPr>
              <w:t>Operating</w:t>
            </w:r>
            <w:proofErr w:type="spellEnd"/>
            <w:r w:rsidRPr="00B84B0C">
              <w:rPr>
                <w:rFonts w:cs="Arial"/>
                <w:color w:val="000000"/>
                <w:szCs w:val="14"/>
              </w:rPr>
              <w:t xml:space="preserve"> </w:t>
            </w:r>
            <w:proofErr w:type="spellStart"/>
            <w:r w:rsidRPr="00B84B0C">
              <w:rPr>
                <w:rFonts w:cs="Arial"/>
                <w:color w:val="000000"/>
                <w:szCs w:val="14"/>
              </w:rPr>
              <w:t>results</w:t>
            </w:r>
            <w:proofErr w:type="spellEnd"/>
          </w:p>
        </w:tc>
        <w:tc>
          <w:tcPr>
            <w:tcW w:w="1190" w:type="dxa"/>
            <w:tcBorders>
              <w:top w:val="nil"/>
              <w:bottom w:val="nil"/>
            </w:tcBorders>
            <w:shd w:val="clear" w:color="auto" w:fill="FFFFFF" w:themeFill="background1"/>
            <w:vAlign w:val="center"/>
          </w:tcPr>
          <w:p w14:paraId="3FA5818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rPr>
              <w:t>462,962</w:t>
            </w:r>
          </w:p>
        </w:tc>
        <w:tc>
          <w:tcPr>
            <w:tcW w:w="1191" w:type="dxa"/>
            <w:tcBorders>
              <w:top w:val="nil"/>
              <w:bottom w:val="nil"/>
            </w:tcBorders>
            <w:shd w:val="clear" w:color="auto" w:fill="FFFFFF" w:themeFill="background1"/>
            <w:vAlign w:val="center"/>
          </w:tcPr>
          <w:p w14:paraId="4B6681D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rPr>
              <w:t>424,698</w:t>
            </w:r>
          </w:p>
        </w:tc>
        <w:tc>
          <w:tcPr>
            <w:tcW w:w="1190" w:type="dxa"/>
            <w:tcBorders>
              <w:top w:val="nil"/>
              <w:bottom w:val="nil"/>
            </w:tcBorders>
            <w:shd w:val="clear" w:color="auto" w:fill="FFFFFF" w:themeFill="background1"/>
            <w:vAlign w:val="center"/>
          </w:tcPr>
          <w:p w14:paraId="3690DE1E"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rPr>
              <w:t>639,016</w:t>
            </w:r>
          </w:p>
        </w:tc>
        <w:tc>
          <w:tcPr>
            <w:tcW w:w="1191" w:type="dxa"/>
            <w:tcBorders>
              <w:top w:val="nil"/>
              <w:bottom w:val="nil"/>
            </w:tcBorders>
            <w:shd w:val="clear" w:color="auto" w:fill="FFFFFF" w:themeFill="background1"/>
            <w:vAlign w:val="center"/>
          </w:tcPr>
          <w:p w14:paraId="6EA5EEC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rPr>
              <w:t>55,420</w:t>
            </w:r>
          </w:p>
        </w:tc>
        <w:tc>
          <w:tcPr>
            <w:tcW w:w="1299" w:type="dxa"/>
            <w:tcBorders>
              <w:top w:val="nil"/>
              <w:bottom w:val="nil"/>
            </w:tcBorders>
            <w:shd w:val="clear" w:color="auto" w:fill="FFFFFF" w:themeFill="background1"/>
            <w:vAlign w:val="center"/>
          </w:tcPr>
          <w:p w14:paraId="6EC625E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rPr>
              <w:t>9,402</w:t>
            </w:r>
          </w:p>
        </w:tc>
      </w:tr>
      <w:tr w:rsidR="00711D9A" w:rsidRPr="00B84B0C" w14:paraId="49911AA6"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41BA020C" w14:textId="77777777" w:rsidR="00711D9A" w:rsidRPr="00B84B0C" w:rsidRDefault="00711D9A" w:rsidP="00711D9A">
            <w:pPr>
              <w:pStyle w:val="08-Tabelageral"/>
              <w:jc w:val="left"/>
              <w:rPr>
                <w:rFonts w:cs="Arial"/>
                <w:b w:val="0"/>
                <w:bCs w:val="0"/>
                <w:color w:val="000000"/>
                <w:szCs w:val="14"/>
                <w:lang w:val="en-US"/>
              </w:rPr>
            </w:pPr>
            <w:r w:rsidRPr="00B84B0C">
              <w:rPr>
                <w:rFonts w:cs="Arial"/>
                <w:b w:val="0"/>
                <w:bCs w:val="0"/>
                <w:color w:val="000000"/>
                <w:szCs w:val="14"/>
                <w:lang w:val="en-US"/>
              </w:rPr>
              <w:t>Gains or losses on non-current assets</w:t>
            </w:r>
          </w:p>
        </w:tc>
        <w:tc>
          <w:tcPr>
            <w:tcW w:w="1190" w:type="dxa"/>
            <w:tcBorders>
              <w:top w:val="nil"/>
              <w:bottom w:val="nil"/>
            </w:tcBorders>
            <w:shd w:val="clear" w:color="auto" w:fill="D9E2F3"/>
            <w:vAlign w:val="center"/>
          </w:tcPr>
          <w:p w14:paraId="17ED6A2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(6)</w:t>
            </w:r>
          </w:p>
        </w:tc>
        <w:tc>
          <w:tcPr>
            <w:tcW w:w="1191" w:type="dxa"/>
            <w:tcBorders>
              <w:top w:val="nil"/>
              <w:bottom w:val="nil"/>
            </w:tcBorders>
            <w:shd w:val="clear" w:color="auto" w:fill="D9E2F3"/>
            <w:vAlign w:val="center"/>
          </w:tcPr>
          <w:p w14:paraId="0A0EA50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7,136</w:t>
            </w:r>
          </w:p>
        </w:tc>
        <w:tc>
          <w:tcPr>
            <w:tcW w:w="1190" w:type="dxa"/>
            <w:tcBorders>
              <w:top w:val="nil"/>
              <w:bottom w:val="nil"/>
            </w:tcBorders>
            <w:shd w:val="clear" w:color="auto" w:fill="D9E2F3"/>
            <w:vAlign w:val="center"/>
          </w:tcPr>
          <w:p w14:paraId="6EDCBF5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(10)</w:t>
            </w:r>
          </w:p>
        </w:tc>
        <w:tc>
          <w:tcPr>
            <w:tcW w:w="1191" w:type="dxa"/>
            <w:tcBorders>
              <w:top w:val="nil"/>
              <w:bottom w:val="nil"/>
            </w:tcBorders>
            <w:shd w:val="clear" w:color="auto" w:fill="D9E2F3"/>
            <w:vAlign w:val="center"/>
          </w:tcPr>
          <w:p w14:paraId="25A69F9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(2)</w:t>
            </w:r>
          </w:p>
        </w:tc>
        <w:tc>
          <w:tcPr>
            <w:tcW w:w="1299" w:type="dxa"/>
            <w:tcBorders>
              <w:top w:val="nil"/>
              <w:bottom w:val="nil"/>
            </w:tcBorders>
            <w:shd w:val="clear" w:color="auto" w:fill="D9E2F3"/>
            <w:vAlign w:val="center"/>
          </w:tcPr>
          <w:p w14:paraId="0444417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Fonts w:cs="Arial"/>
              </w:rPr>
              <w:t>--</w:t>
            </w:r>
          </w:p>
        </w:tc>
      </w:tr>
      <w:tr w:rsidR="00711D9A" w:rsidRPr="00B84B0C" w14:paraId="35114607"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5EB81BA8"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Income </w:t>
            </w:r>
            <w:proofErr w:type="spellStart"/>
            <w:r w:rsidRPr="00B84B0C">
              <w:rPr>
                <w:rFonts w:cs="Arial"/>
                <w:color w:val="000000"/>
                <w:szCs w:val="14"/>
              </w:rPr>
              <w:t>before</w:t>
            </w:r>
            <w:proofErr w:type="spellEnd"/>
            <w:r w:rsidRPr="00B84B0C">
              <w:rPr>
                <w:rFonts w:cs="Arial"/>
                <w:color w:val="000000"/>
                <w:szCs w:val="14"/>
              </w:rPr>
              <w:t xml:space="preserve"> taxes</w:t>
            </w:r>
          </w:p>
        </w:tc>
        <w:tc>
          <w:tcPr>
            <w:tcW w:w="1190" w:type="dxa"/>
            <w:tcBorders>
              <w:top w:val="nil"/>
              <w:bottom w:val="nil"/>
            </w:tcBorders>
            <w:shd w:val="clear" w:color="auto" w:fill="FFFFFF" w:themeFill="background1"/>
            <w:vAlign w:val="center"/>
          </w:tcPr>
          <w:p w14:paraId="5809F59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462,956</w:t>
            </w:r>
          </w:p>
        </w:tc>
        <w:tc>
          <w:tcPr>
            <w:tcW w:w="1191" w:type="dxa"/>
            <w:tcBorders>
              <w:top w:val="nil"/>
              <w:bottom w:val="nil"/>
            </w:tcBorders>
            <w:shd w:val="clear" w:color="auto" w:fill="FFFFFF" w:themeFill="background1"/>
            <w:vAlign w:val="center"/>
          </w:tcPr>
          <w:p w14:paraId="111E86F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431,834</w:t>
            </w:r>
          </w:p>
        </w:tc>
        <w:tc>
          <w:tcPr>
            <w:tcW w:w="1190" w:type="dxa"/>
            <w:tcBorders>
              <w:top w:val="nil"/>
              <w:bottom w:val="nil"/>
            </w:tcBorders>
            <w:shd w:val="clear" w:color="auto" w:fill="FFFFFF" w:themeFill="background1"/>
            <w:vAlign w:val="center"/>
          </w:tcPr>
          <w:p w14:paraId="5B2D13B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639,006</w:t>
            </w:r>
          </w:p>
        </w:tc>
        <w:tc>
          <w:tcPr>
            <w:tcW w:w="1191" w:type="dxa"/>
            <w:tcBorders>
              <w:top w:val="nil"/>
              <w:bottom w:val="nil"/>
            </w:tcBorders>
            <w:shd w:val="clear" w:color="auto" w:fill="FFFFFF" w:themeFill="background1"/>
            <w:vAlign w:val="center"/>
          </w:tcPr>
          <w:p w14:paraId="6B5A26B9"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55,418</w:t>
            </w:r>
          </w:p>
        </w:tc>
        <w:tc>
          <w:tcPr>
            <w:tcW w:w="1299" w:type="dxa"/>
            <w:tcBorders>
              <w:top w:val="nil"/>
              <w:bottom w:val="nil"/>
            </w:tcBorders>
            <w:shd w:val="clear" w:color="auto" w:fill="FFFFFF" w:themeFill="background1"/>
            <w:vAlign w:val="center"/>
          </w:tcPr>
          <w:p w14:paraId="7C8C7FD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B84B0C">
              <w:rPr>
                <w:rFonts w:cs="Arial"/>
                <w:b/>
                <w:bCs/>
              </w:rPr>
              <w:t>9,402</w:t>
            </w:r>
          </w:p>
        </w:tc>
      </w:tr>
      <w:tr w:rsidR="00711D9A" w:rsidRPr="00B84B0C" w14:paraId="20FCA49F"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72B85C2C" w14:textId="77777777" w:rsidR="00711D9A" w:rsidRPr="00B84B0C" w:rsidRDefault="00711D9A" w:rsidP="00711D9A">
            <w:pPr>
              <w:pStyle w:val="08-Tabelageral"/>
              <w:jc w:val="left"/>
              <w:rPr>
                <w:rFonts w:cs="Arial"/>
                <w:color w:val="000000"/>
                <w:szCs w:val="14"/>
              </w:rPr>
            </w:pPr>
            <w:r w:rsidRPr="00B84B0C">
              <w:rPr>
                <w:rFonts w:cs="Arial"/>
                <w:color w:val="000000"/>
                <w:szCs w:val="14"/>
              </w:rPr>
              <w:t>Net income</w:t>
            </w:r>
          </w:p>
        </w:tc>
        <w:tc>
          <w:tcPr>
            <w:tcW w:w="1190" w:type="dxa"/>
            <w:tcBorders>
              <w:top w:val="nil"/>
              <w:bottom w:val="nil"/>
            </w:tcBorders>
            <w:shd w:val="clear" w:color="auto" w:fill="D9E2F3"/>
            <w:vAlign w:val="center"/>
          </w:tcPr>
          <w:p w14:paraId="25B4F7D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4B0C">
              <w:rPr>
                <w:rFonts w:cs="Arial"/>
                <w:b/>
                <w:bCs/>
              </w:rPr>
              <w:t>306,111</w:t>
            </w:r>
          </w:p>
        </w:tc>
        <w:tc>
          <w:tcPr>
            <w:tcW w:w="1191" w:type="dxa"/>
            <w:tcBorders>
              <w:top w:val="nil"/>
              <w:bottom w:val="nil"/>
            </w:tcBorders>
            <w:shd w:val="clear" w:color="auto" w:fill="D9E2F3"/>
            <w:vAlign w:val="center"/>
          </w:tcPr>
          <w:p w14:paraId="2A942C9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4B0C">
              <w:rPr>
                <w:rFonts w:cs="Arial"/>
                <w:b/>
                <w:bCs/>
              </w:rPr>
              <w:t>350,206</w:t>
            </w:r>
          </w:p>
        </w:tc>
        <w:tc>
          <w:tcPr>
            <w:tcW w:w="1190" w:type="dxa"/>
            <w:tcBorders>
              <w:top w:val="nil"/>
              <w:bottom w:val="nil"/>
            </w:tcBorders>
            <w:shd w:val="clear" w:color="auto" w:fill="D9E2F3"/>
            <w:vAlign w:val="center"/>
          </w:tcPr>
          <w:p w14:paraId="117FC65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4B0C">
              <w:rPr>
                <w:rFonts w:cs="Arial"/>
                <w:b/>
                <w:bCs/>
              </w:rPr>
              <w:t>382,071</w:t>
            </w:r>
          </w:p>
        </w:tc>
        <w:tc>
          <w:tcPr>
            <w:tcW w:w="1191" w:type="dxa"/>
            <w:tcBorders>
              <w:top w:val="nil"/>
              <w:bottom w:val="nil"/>
            </w:tcBorders>
            <w:shd w:val="clear" w:color="auto" w:fill="D9E2F3"/>
            <w:vAlign w:val="center"/>
          </w:tcPr>
          <w:p w14:paraId="6DE8F2DC"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4B0C">
              <w:rPr>
                <w:rFonts w:cs="Arial"/>
                <w:b/>
                <w:bCs/>
              </w:rPr>
              <w:t>32,120</w:t>
            </w:r>
          </w:p>
        </w:tc>
        <w:tc>
          <w:tcPr>
            <w:tcW w:w="1299" w:type="dxa"/>
            <w:tcBorders>
              <w:top w:val="nil"/>
              <w:bottom w:val="nil"/>
            </w:tcBorders>
            <w:shd w:val="clear" w:color="auto" w:fill="D9E2F3"/>
            <w:vAlign w:val="center"/>
          </w:tcPr>
          <w:p w14:paraId="1CB9DA6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4B0C">
              <w:rPr>
                <w:rFonts w:cs="Arial"/>
                <w:b/>
                <w:bCs/>
              </w:rPr>
              <w:t>6,146</w:t>
            </w:r>
          </w:p>
        </w:tc>
      </w:tr>
      <w:tr w:rsidR="00711D9A" w:rsidRPr="00B84B0C" w14:paraId="057C8574"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17441D43" w14:textId="77777777" w:rsidR="00711D9A" w:rsidRPr="00B84B0C" w:rsidRDefault="00711D9A" w:rsidP="00711D9A">
            <w:pPr>
              <w:pStyle w:val="08-Tabelageral"/>
              <w:jc w:val="left"/>
              <w:rPr>
                <w:rFonts w:cs="Arial"/>
                <w:color w:val="000000"/>
                <w:szCs w:val="14"/>
                <w:lang w:val="en-US"/>
              </w:rPr>
            </w:pPr>
            <w:r w:rsidRPr="00B84B0C">
              <w:rPr>
                <w:rFonts w:cs="Arial"/>
                <w:color w:val="000000"/>
                <w:szCs w:val="14"/>
                <w:lang w:val="en-US"/>
              </w:rPr>
              <w:t xml:space="preserve">Attributable to Group BB </w:t>
            </w:r>
            <w:proofErr w:type="spellStart"/>
            <w:r w:rsidRPr="00B84B0C">
              <w:rPr>
                <w:rFonts w:cs="Arial"/>
                <w:color w:val="000000"/>
                <w:szCs w:val="14"/>
                <w:lang w:val="en-US"/>
              </w:rPr>
              <w:t>Seguridade</w:t>
            </w:r>
            <w:proofErr w:type="spellEnd"/>
          </w:p>
        </w:tc>
        <w:tc>
          <w:tcPr>
            <w:tcW w:w="1190" w:type="dxa"/>
            <w:tcBorders>
              <w:top w:val="nil"/>
              <w:bottom w:val="nil"/>
            </w:tcBorders>
            <w:shd w:val="clear" w:color="auto" w:fill="FFFFFF" w:themeFill="background1"/>
            <w:vAlign w:val="center"/>
          </w:tcPr>
          <w:p w14:paraId="2B23615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r w:rsidRPr="00B84B0C">
              <w:rPr>
                <w:rFonts w:cs="Arial"/>
                <w:b/>
                <w:bCs/>
              </w:rPr>
              <w:t>229,553</w:t>
            </w:r>
          </w:p>
        </w:tc>
        <w:tc>
          <w:tcPr>
            <w:tcW w:w="1191" w:type="dxa"/>
            <w:tcBorders>
              <w:top w:val="nil"/>
              <w:bottom w:val="nil"/>
            </w:tcBorders>
            <w:shd w:val="clear" w:color="auto" w:fill="FFFFFF" w:themeFill="background1"/>
            <w:vAlign w:val="center"/>
          </w:tcPr>
          <w:p w14:paraId="075A23D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r w:rsidRPr="00B84B0C">
              <w:rPr>
                <w:rFonts w:cs="Arial"/>
                <w:b/>
                <w:bCs/>
              </w:rPr>
              <w:t>53,339</w:t>
            </w:r>
          </w:p>
        </w:tc>
        <w:tc>
          <w:tcPr>
            <w:tcW w:w="1190" w:type="dxa"/>
            <w:tcBorders>
              <w:top w:val="nil"/>
              <w:bottom w:val="nil"/>
            </w:tcBorders>
            <w:shd w:val="clear" w:color="auto" w:fill="FFFFFF" w:themeFill="background1"/>
            <w:vAlign w:val="center"/>
          </w:tcPr>
          <w:p w14:paraId="281CE14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r w:rsidRPr="00B84B0C">
              <w:rPr>
                <w:rFonts w:cs="Arial"/>
                <w:b/>
                <w:bCs/>
              </w:rPr>
              <w:t>286,534</w:t>
            </w:r>
          </w:p>
        </w:tc>
        <w:tc>
          <w:tcPr>
            <w:tcW w:w="1191" w:type="dxa"/>
            <w:tcBorders>
              <w:top w:val="nil"/>
              <w:bottom w:val="nil"/>
            </w:tcBorders>
            <w:shd w:val="clear" w:color="auto" w:fill="FFFFFF" w:themeFill="background1"/>
            <w:vAlign w:val="center"/>
          </w:tcPr>
          <w:p w14:paraId="76FACD7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r w:rsidRPr="00B84B0C">
              <w:rPr>
                <w:rFonts w:cs="Arial"/>
                <w:b/>
                <w:bCs/>
              </w:rPr>
              <w:t>21,411</w:t>
            </w:r>
          </w:p>
        </w:tc>
        <w:tc>
          <w:tcPr>
            <w:tcW w:w="1299" w:type="dxa"/>
            <w:tcBorders>
              <w:top w:val="nil"/>
              <w:bottom w:val="nil"/>
            </w:tcBorders>
            <w:shd w:val="clear" w:color="auto" w:fill="FFFFFF" w:themeFill="background1"/>
            <w:vAlign w:val="center"/>
          </w:tcPr>
          <w:p w14:paraId="0EA906F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lang w:val="en-US"/>
              </w:rPr>
            </w:pPr>
            <w:r w:rsidRPr="00B84B0C">
              <w:rPr>
                <w:rFonts w:cs="Arial"/>
                <w:b/>
                <w:bCs/>
              </w:rPr>
              <w:t>4,609</w:t>
            </w:r>
          </w:p>
        </w:tc>
      </w:tr>
      <w:tr w:rsidR="00711D9A" w:rsidRPr="00B84B0C" w14:paraId="25725BDE"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15185935" w14:textId="77777777" w:rsidR="00711D9A" w:rsidRPr="00B84B0C" w:rsidRDefault="00711D9A" w:rsidP="00711D9A">
            <w:pPr>
              <w:pStyle w:val="08-Tabelageral"/>
              <w:jc w:val="left"/>
              <w:rPr>
                <w:rFonts w:cs="Arial"/>
                <w:b w:val="0"/>
                <w:color w:val="000000"/>
                <w:szCs w:val="14"/>
              </w:rPr>
            </w:pPr>
            <w:r w:rsidRPr="00B84B0C">
              <w:rPr>
                <w:rFonts w:cs="Arial"/>
                <w:b w:val="0"/>
                <w:color w:val="000000"/>
                <w:szCs w:val="14"/>
              </w:rPr>
              <w:t xml:space="preserve">Other </w:t>
            </w:r>
            <w:proofErr w:type="spellStart"/>
            <w:r w:rsidRPr="00B84B0C">
              <w:rPr>
                <w:rFonts w:cs="Arial"/>
                <w:b w:val="0"/>
                <w:color w:val="000000"/>
                <w:szCs w:val="14"/>
              </w:rPr>
              <w:t>adjustements</w:t>
            </w:r>
            <w:proofErr w:type="spellEnd"/>
          </w:p>
        </w:tc>
        <w:tc>
          <w:tcPr>
            <w:tcW w:w="1190" w:type="dxa"/>
            <w:tcBorders>
              <w:top w:val="nil"/>
              <w:bottom w:val="nil"/>
            </w:tcBorders>
            <w:shd w:val="clear" w:color="auto" w:fill="D9E2F3"/>
            <w:vAlign w:val="center"/>
          </w:tcPr>
          <w:p w14:paraId="6223043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(3,343)</w:t>
            </w:r>
          </w:p>
        </w:tc>
        <w:tc>
          <w:tcPr>
            <w:tcW w:w="1191" w:type="dxa"/>
            <w:tcBorders>
              <w:top w:val="nil"/>
              <w:bottom w:val="nil"/>
            </w:tcBorders>
            <w:shd w:val="clear" w:color="auto" w:fill="D9E2F3"/>
            <w:vAlign w:val="center"/>
          </w:tcPr>
          <w:p w14:paraId="7465BA7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(3,897)</w:t>
            </w:r>
          </w:p>
        </w:tc>
        <w:tc>
          <w:tcPr>
            <w:tcW w:w="1190" w:type="dxa"/>
            <w:tcBorders>
              <w:top w:val="nil"/>
              <w:bottom w:val="nil"/>
            </w:tcBorders>
            <w:shd w:val="clear" w:color="auto" w:fill="D9E2F3"/>
            <w:vAlign w:val="center"/>
          </w:tcPr>
          <w:p w14:paraId="7DB0986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191" w:type="dxa"/>
            <w:tcBorders>
              <w:top w:val="nil"/>
              <w:bottom w:val="nil"/>
            </w:tcBorders>
            <w:shd w:val="clear" w:color="auto" w:fill="D9E2F3"/>
            <w:vAlign w:val="center"/>
          </w:tcPr>
          <w:p w14:paraId="7AD310B6"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299" w:type="dxa"/>
            <w:tcBorders>
              <w:top w:val="nil"/>
              <w:bottom w:val="nil"/>
            </w:tcBorders>
            <w:shd w:val="clear" w:color="auto" w:fill="D9E2F3"/>
            <w:vAlign w:val="center"/>
          </w:tcPr>
          <w:p w14:paraId="0E3514F9"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6D4C828E"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2F3B0B19" w14:textId="77777777" w:rsidR="00711D9A" w:rsidRPr="00B84B0C" w:rsidRDefault="00711D9A" w:rsidP="00711D9A">
            <w:pPr>
              <w:pStyle w:val="08-Tabelageral"/>
              <w:jc w:val="left"/>
              <w:rPr>
                <w:rFonts w:cs="Arial"/>
                <w:b w:val="0"/>
                <w:color w:val="000000"/>
                <w:szCs w:val="14"/>
              </w:rPr>
            </w:pPr>
            <w:proofErr w:type="spellStart"/>
            <w:r w:rsidRPr="00B84B0C">
              <w:rPr>
                <w:rFonts w:cs="Arial"/>
                <w:b w:val="0"/>
                <w:color w:val="000000"/>
                <w:szCs w:val="14"/>
              </w:rPr>
              <w:t>Equity</w:t>
            </w:r>
            <w:proofErr w:type="spellEnd"/>
            <w:r w:rsidRPr="00B84B0C">
              <w:rPr>
                <w:rFonts w:cs="Arial"/>
                <w:b w:val="0"/>
                <w:color w:val="000000"/>
                <w:szCs w:val="14"/>
              </w:rPr>
              <w:t xml:space="preserve"> income</w:t>
            </w:r>
          </w:p>
        </w:tc>
        <w:tc>
          <w:tcPr>
            <w:tcW w:w="1190" w:type="dxa"/>
            <w:tcBorders>
              <w:top w:val="nil"/>
              <w:bottom w:val="nil"/>
            </w:tcBorders>
            <w:shd w:val="clear" w:color="auto" w:fill="FFFFFF" w:themeFill="background1"/>
            <w:vAlign w:val="center"/>
          </w:tcPr>
          <w:p w14:paraId="07258172"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bCs/>
              </w:rPr>
              <w:t>226,210</w:t>
            </w:r>
          </w:p>
        </w:tc>
        <w:tc>
          <w:tcPr>
            <w:tcW w:w="1191" w:type="dxa"/>
            <w:tcBorders>
              <w:top w:val="nil"/>
              <w:bottom w:val="nil"/>
            </w:tcBorders>
            <w:shd w:val="clear" w:color="auto" w:fill="FFFFFF" w:themeFill="background1"/>
            <w:vAlign w:val="center"/>
          </w:tcPr>
          <w:p w14:paraId="44E3B13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bCs/>
              </w:rPr>
              <w:t>49,442</w:t>
            </w:r>
          </w:p>
        </w:tc>
        <w:tc>
          <w:tcPr>
            <w:tcW w:w="1190" w:type="dxa"/>
            <w:tcBorders>
              <w:top w:val="nil"/>
              <w:bottom w:val="nil"/>
            </w:tcBorders>
            <w:shd w:val="clear" w:color="auto" w:fill="FFFFFF" w:themeFill="background1"/>
            <w:vAlign w:val="center"/>
          </w:tcPr>
          <w:p w14:paraId="6E11F9F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bCs/>
              </w:rPr>
              <w:t>286,534</w:t>
            </w:r>
          </w:p>
        </w:tc>
        <w:tc>
          <w:tcPr>
            <w:tcW w:w="1191" w:type="dxa"/>
            <w:tcBorders>
              <w:top w:val="nil"/>
              <w:bottom w:val="nil"/>
            </w:tcBorders>
            <w:shd w:val="clear" w:color="auto" w:fill="FFFFFF" w:themeFill="background1"/>
            <w:vAlign w:val="center"/>
          </w:tcPr>
          <w:p w14:paraId="42AF966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bCs/>
              </w:rPr>
              <w:t>21,411</w:t>
            </w:r>
          </w:p>
        </w:tc>
        <w:tc>
          <w:tcPr>
            <w:tcW w:w="1299" w:type="dxa"/>
            <w:tcBorders>
              <w:top w:val="nil"/>
              <w:bottom w:val="nil"/>
            </w:tcBorders>
            <w:shd w:val="clear" w:color="auto" w:fill="FFFFFF" w:themeFill="background1"/>
            <w:vAlign w:val="center"/>
          </w:tcPr>
          <w:p w14:paraId="6528E7A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bCs/>
              </w:rPr>
              <w:t>4,609</w:t>
            </w:r>
          </w:p>
        </w:tc>
      </w:tr>
      <w:tr w:rsidR="00711D9A" w:rsidRPr="00B84B0C" w14:paraId="4D38DD28"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2B396FF5" w14:textId="77777777" w:rsidR="00711D9A" w:rsidRPr="00B84B0C" w:rsidRDefault="00711D9A" w:rsidP="00711D9A">
            <w:pPr>
              <w:pStyle w:val="08-Tabelageral"/>
              <w:jc w:val="left"/>
              <w:rPr>
                <w:rFonts w:cs="Arial"/>
                <w:b w:val="0"/>
                <w:color w:val="000000"/>
                <w:szCs w:val="14"/>
              </w:rPr>
            </w:pPr>
            <w:proofErr w:type="spellStart"/>
            <w:r w:rsidRPr="00B84B0C">
              <w:rPr>
                <w:rFonts w:cs="Arial"/>
                <w:b w:val="0"/>
                <w:color w:val="000000"/>
                <w:szCs w:val="14"/>
              </w:rPr>
              <w:t>Attributable</w:t>
            </w:r>
            <w:proofErr w:type="spellEnd"/>
            <w:r w:rsidRPr="00B84B0C">
              <w:rPr>
                <w:rFonts w:cs="Arial"/>
                <w:b w:val="0"/>
                <w:color w:val="000000"/>
                <w:szCs w:val="14"/>
              </w:rPr>
              <w:t xml:space="preserve"> </w:t>
            </w:r>
            <w:proofErr w:type="spellStart"/>
            <w:r w:rsidRPr="00B84B0C">
              <w:rPr>
                <w:rFonts w:cs="Arial"/>
                <w:b w:val="0"/>
                <w:color w:val="000000"/>
                <w:szCs w:val="14"/>
              </w:rPr>
              <w:t>to</w:t>
            </w:r>
            <w:proofErr w:type="spellEnd"/>
            <w:r w:rsidRPr="00B84B0C">
              <w:rPr>
                <w:rFonts w:cs="Arial"/>
                <w:b w:val="0"/>
                <w:color w:val="000000"/>
                <w:szCs w:val="14"/>
              </w:rPr>
              <w:t xml:space="preserve"> </w:t>
            </w:r>
            <w:proofErr w:type="spellStart"/>
            <w:r w:rsidRPr="00B84B0C">
              <w:rPr>
                <w:rFonts w:cs="Arial"/>
                <w:b w:val="0"/>
                <w:color w:val="000000"/>
                <w:szCs w:val="14"/>
              </w:rPr>
              <w:t>other</w:t>
            </w:r>
            <w:proofErr w:type="spellEnd"/>
            <w:r w:rsidRPr="00B84B0C">
              <w:rPr>
                <w:rFonts w:cs="Arial"/>
                <w:b w:val="0"/>
                <w:color w:val="000000"/>
                <w:szCs w:val="14"/>
              </w:rPr>
              <w:t xml:space="preserve"> </w:t>
            </w:r>
            <w:proofErr w:type="spellStart"/>
            <w:r w:rsidRPr="00B84B0C">
              <w:rPr>
                <w:rFonts w:cs="Arial"/>
                <w:b w:val="0"/>
                <w:color w:val="000000"/>
                <w:szCs w:val="14"/>
              </w:rPr>
              <w:t>stockholders</w:t>
            </w:r>
            <w:proofErr w:type="spellEnd"/>
            <w:r w:rsidRPr="00B84B0C">
              <w:rPr>
                <w:rFonts w:cs="Arial"/>
                <w:b w:val="0"/>
                <w:color w:val="000000"/>
                <w:szCs w:val="14"/>
              </w:rPr>
              <w:t>’</w:t>
            </w:r>
          </w:p>
        </w:tc>
        <w:tc>
          <w:tcPr>
            <w:tcW w:w="1190" w:type="dxa"/>
            <w:tcBorders>
              <w:top w:val="nil"/>
              <w:bottom w:val="nil"/>
            </w:tcBorders>
            <w:shd w:val="clear" w:color="auto" w:fill="D9E2F3"/>
            <w:vAlign w:val="center"/>
          </w:tcPr>
          <w:p w14:paraId="5588D2E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76,558</w:t>
            </w:r>
          </w:p>
        </w:tc>
        <w:tc>
          <w:tcPr>
            <w:tcW w:w="1191" w:type="dxa"/>
            <w:tcBorders>
              <w:top w:val="nil"/>
              <w:bottom w:val="nil"/>
            </w:tcBorders>
            <w:shd w:val="clear" w:color="auto" w:fill="D9E2F3"/>
            <w:vAlign w:val="center"/>
          </w:tcPr>
          <w:p w14:paraId="7D10045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296,867</w:t>
            </w:r>
          </w:p>
        </w:tc>
        <w:tc>
          <w:tcPr>
            <w:tcW w:w="1190" w:type="dxa"/>
            <w:tcBorders>
              <w:top w:val="nil"/>
              <w:bottom w:val="nil"/>
            </w:tcBorders>
            <w:shd w:val="clear" w:color="auto" w:fill="D9E2F3"/>
            <w:vAlign w:val="center"/>
          </w:tcPr>
          <w:p w14:paraId="6A846E2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95,537</w:t>
            </w:r>
          </w:p>
        </w:tc>
        <w:tc>
          <w:tcPr>
            <w:tcW w:w="1191" w:type="dxa"/>
            <w:tcBorders>
              <w:top w:val="nil"/>
              <w:bottom w:val="nil"/>
            </w:tcBorders>
            <w:shd w:val="clear" w:color="auto" w:fill="D9E2F3"/>
            <w:vAlign w:val="center"/>
          </w:tcPr>
          <w:p w14:paraId="7583A111"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10,709</w:t>
            </w:r>
          </w:p>
        </w:tc>
        <w:tc>
          <w:tcPr>
            <w:tcW w:w="1299" w:type="dxa"/>
            <w:tcBorders>
              <w:top w:val="nil"/>
              <w:bottom w:val="nil"/>
            </w:tcBorders>
            <w:shd w:val="clear" w:color="auto" w:fill="D9E2F3"/>
            <w:vAlign w:val="center"/>
          </w:tcPr>
          <w:p w14:paraId="55C6F88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1,537</w:t>
            </w:r>
          </w:p>
        </w:tc>
      </w:tr>
      <w:tr w:rsidR="00711D9A" w:rsidRPr="00B84B0C" w14:paraId="7E53E3C2"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19893561" w14:textId="77777777" w:rsidR="00711D9A" w:rsidRPr="00B84B0C" w:rsidRDefault="00711D9A" w:rsidP="00711D9A">
            <w:pPr>
              <w:pStyle w:val="08-Tabelageral"/>
              <w:jc w:val="left"/>
              <w:rPr>
                <w:rFonts w:cs="Arial"/>
                <w:b w:val="0"/>
                <w:color w:val="000000"/>
                <w:szCs w:val="14"/>
              </w:rPr>
            </w:pPr>
          </w:p>
        </w:tc>
        <w:tc>
          <w:tcPr>
            <w:tcW w:w="1190" w:type="dxa"/>
            <w:tcBorders>
              <w:top w:val="nil"/>
              <w:bottom w:val="nil"/>
            </w:tcBorders>
            <w:shd w:val="clear" w:color="auto" w:fill="FFFFFF" w:themeFill="background1"/>
            <w:vAlign w:val="center"/>
          </w:tcPr>
          <w:p w14:paraId="3FD188A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91" w:type="dxa"/>
            <w:tcBorders>
              <w:top w:val="nil"/>
              <w:bottom w:val="nil"/>
            </w:tcBorders>
            <w:shd w:val="clear" w:color="auto" w:fill="FFFFFF" w:themeFill="background1"/>
            <w:vAlign w:val="center"/>
          </w:tcPr>
          <w:p w14:paraId="64745445"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90" w:type="dxa"/>
            <w:tcBorders>
              <w:top w:val="nil"/>
              <w:bottom w:val="nil"/>
            </w:tcBorders>
            <w:shd w:val="clear" w:color="auto" w:fill="FFFFFF" w:themeFill="background1"/>
            <w:vAlign w:val="center"/>
          </w:tcPr>
          <w:p w14:paraId="5DD1C09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91" w:type="dxa"/>
            <w:tcBorders>
              <w:top w:val="nil"/>
              <w:bottom w:val="nil"/>
            </w:tcBorders>
            <w:shd w:val="clear" w:color="auto" w:fill="FFFFFF" w:themeFill="background1"/>
            <w:vAlign w:val="center"/>
          </w:tcPr>
          <w:p w14:paraId="52D665C7"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299" w:type="dxa"/>
            <w:tcBorders>
              <w:top w:val="nil"/>
              <w:bottom w:val="nil"/>
            </w:tcBorders>
            <w:shd w:val="clear" w:color="auto" w:fill="FFFFFF" w:themeFill="background1"/>
            <w:vAlign w:val="center"/>
          </w:tcPr>
          <w:p w14:paraId="060B65F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711D9A" w:rsidRPr="00B84B0C" w14:paraId="5A700D3A"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735595AA"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Total </w:t>
            </w:r>
            <w:proofErr w:type="spellStart"/>
            <w:r w:rsidRPr="00B84B0C">
              <w:rPr>
                <w:rFonts w:cs="Arial"/>
                <w:color w:val="000000"/>
                <w:szCs w:val="14"/>
              </w:rPr>
              <w:t>assets</w:t>
            </w:r>
            <w:proofErr w:type="spellEnd"/>
          </w:p>
        </w:tc>
        <w:tc>
          <w:tcPr>
            <w:tcW w:w="1190" w:type="dxa"/>
            <w:tcBorders>
              <w:top w:val="nil"/>
              <w:bottom w:val="nil"/>
            </w:tcBorders>
            <w:shd w:val="clear" w:color="auto" w:fill="D9E2F3"/>
            <w:vAlign w:val="center"/>
          </w:tcPr>
          <w:p w14:paraId="355B9544"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13,999,797</w:t>
            </w:r>
          </w:p>
        </w:tc>
        <w:tc>
          <w:tcPr>
            <w:tcW w:w="1191" w:type="dxa"/>
            <w:tcBorders>
              <w:top w:val="nil"/>
              <w:bottom w:val="nil"/>
            </w:tcBorders>
            <w:shd w:val="clear" w:color="auto" w:fill="D9E2F3"/>
            <w:vAlign w:val="center"/>
          </w:tcPr>
          <w:p w14:paraId="157A2AF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16,100,124</w:t>
            </w:r>
          </w:p>
        </w:tc>
        <w:tc>
          <w:tcPr>
            <w:tcW w:w="1190" w:type="dxa"/>
            <w:tcBorders>
              <w:top w:val="nil"/>
              <w:bottom w:val="nil"/>
            </w:tcBorders>
            <w:shd w:val="clear" w:color="auto" w:fill="D9E2F3"/>
            <w:vAlign w:val="center"/>
          </w:tcPr>
          <w:p w14:paraId="0ACE463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267,448,435</w:t>
            </w:r>
          </w:p>
        </w:tc>
        <w:tc>
          <w:tcPr>
            <w:tcW w:w="1191" w:type="dxa"/>
            <w:tcBorders>
              <w:top w:val="nil"/>
              <w:bottom w:val="nil"/>
            </w:tcBorders>
            <w:shd w:val="clear" w:color="auto" w:fill="D9E2F3"/>
            <w:vAlign w:val="center"/>
          </w:tcPr>
          <w:p w14:paraId="26680CE3"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10,399,538</w:t>
            </w:r>
          </w:p>
        </w:tc>
        <w:tc>
          <w:tcPr>
            <w:tcW w:w="1299" w:type="dxa"/>
            <w:tcBorders>
              <w:top w:val="nil"/>
              <w:bottom w:val="nil"/>
            </w:tcBorders>
            <w:shd w:val="clear" w:color="auto" w:fill="D9E2F3"/>
            <w:vAlign w:val="center"/>
          </w:tcPr>
          <w:p w14:paraId="00C32BB2"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45,831</w:t>
            </w:r>
          </w:p>
        </w:tc>
      </w:tr>
      <w:tr w:rsidR="00711D9A" w:rsidRPr="00B84B0C" w14:paraId="12EFA9E3"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17B84171"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Total </w:t>
            </w:r>
            <w:proofErr w:type="spellStart"/>
            <w:r w:rsidRPr="00B84B0C">
              <w:rPr>
                <w:rFonts w:cs="Arial"/>
                <w:color w:val="000000"/>
                <w:szCs w:val="14"/>
              </w:rPr>
              <w:t>liabilities</w:t>
            </w:r>
            <w:proofErr w:type="spellEnd"/>
          </w:p>
        </w:tc>
        <w:tc>
          <w:tcPr>
            <w:tcW w:w="1190" w:type="dxa"/>
            <w:tcBorders>
              <w:top w:val="nil"/>
              <w:bottom w:val="nil"/>
            </w:tcBorders>
            <w:shd w:val="clear" w:color="auto" w:fill="FFFFFF" w:themeFill="background1"/>
            <w:vAlign w:val="center"/>
          </w:tcPr>
          <w:p w14:paraId="12B3430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11,936,113</w:t>
            </w:r>
          </w:p>
        </w:tc>
        <w:tc>
          <w:tcPr>
            <w:tcW w:w="1191" w:type="dxa"/>
            <w:tcBorders>
              <w:top w:val="nil"/>
              <w:bottom w:val="nil"/>
            </w:tcBorders>
            <w:shd w:val="clear" w:color="auto" w:fill="FFFFFF" w:themeFill="background1"/>
            <w:vAlign w:val="center"/>
          </w:tcPr>
          <w:p w14:paraId="022009A4"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12,439,186</w:t>
            </w:r>
          </w:p>
        </w:tc>
        <w:tc>
          <w:tcPr>
            <w:tcW w:w="1190" w:type="dxa"/>
            <w:tcBorders>
              <w:top w:val="nil"/>
              <w:bottom w:val="nil"/>
            </w:tcBorders>
            <w:shd w:val="clear" w:color="auto" w:fill="FFFFFF" w:themeFill="background1"/>
            <w:vAlign w:val="center"/>
          </w:tcPr>
          <w:p w14:paraId="221E89B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264,480,893</w:t>
            </w:r>
          </w:p>
        </w:tc>
        <w:tc>
          <w:tcPr>
            <w:tcW w:w="1191" w:type="dxa"/>
            <w:tcBorders>
              <w:top w:val="nil"/>
              <w:bottom w:val="nil"/>
            </w:tcBorders>
            <w:shd w:val="clear" w:color="auto" w:fill="FFFFFF" w:themeFill="background1"/>
            <w:vAlign w:val="center"/>
          </w:tcPr>
          <w:p w14:paraId="0896AAC6"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9,997,701</w:t>
            </w:r>
          </w:p>
        </w:tc>
        <w:tc>
          <w:tcPr>
            <w:tcW w:w="1299" w:type="dxa"/>
            <w:tcBorders>
              <w:top w:val="nil"/>
              <w:bottom w:val="nil"/>
            </w:tcBorders>
            <w:shd w:val="clear" w:color="auto" w:fill="FFFFFF" w:themeFill="background1"/>
            <w:vAlign w:val="center"/>
          </w:tcPr>
          <w:p w14:paraId="17221E43"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25,825</w:t>
            </w:r>
          </w:p>
        </w:tc>
      </w:tr>
      <w:tr w:rsidR="00711D9A" w:rsidRPr="00B84B0C" w14:paraId="7C9BD352"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0F553020"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Total </w:t>
            </w:r>
            <w:proofErr w:type="spellStart"/>
            <w:r w:rsidRPr="00B84B0C">
              <w:rPr>
                <w:rFonts w:cs="Arial"/>
                <w:color w:val="000000"/>
                <w:szCs w:val="14"/>
              </w:rPr>
              <w:t>Equity</w:t>
            </w:r>
            <w:proofErr w:type="spellEnd"/>
          </w:p>
        </w:tc>
        <w:tc>
          <w:tcPr>
            <w:tcW w:w="1190" w:type="dxa"/>
            <w:tcBorders>
              <w:top w:val="nil"/>
              <w:bottom w:val="nil"/>
            </w:tcBorders>
            <w:shd w:val="clear" w:color="auto" w:fill="D9E2F3"/>
            <w:vAlign w:val="center"/>
          </w:tcPr>
          <w:p w14:paraId="5223FA1D"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2,063,684</w:t>
            </w:r>
          </w:p>
        </w:tc>
        <w:tc>
          <w:tcPr>
            <w:tcW w:w="1191" w:type="dxa"/>
            <w:tcBorders>
              <w:top w:val="nil"/>
              <w:bottom w:val="nil"/>
            </w:tcBorders>
            <w:shd w:val="clear" w:color="auto" w:fill="D9E2F3"/>
            <w:vAlign w:val="center"/>
          </w:tcPr>
          <w:p w14:paraId="493F171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3,660,938</w:t>
            </w:r>
          </w:p>
        </w:tc>
        <w:tc>
          <w:tcPr>
            <w:tcW w:w="1190" w:type="dxa"/>
            <w:tcBorders>
              <w:top w:val="nil"/>
              <w:bottom w:val="nil"/>
            </w:tcBorders>
            <w:shd w:val="clear" w:color="auto" w:fill="D9E2F3"/>
            <w:vAlign w:val="center"/>
          </w:tcPr>
          <w:p w14:paraId="14664838"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2,967,542</w:t>
            </w:r>
          </w:p>
        </w:tc>
        <w:tc>
          <w:tcPr>
            <w:tcW w:w="1191" w:type="dxa"/>
            <w:tcBorders>
              <w:top w:val="nil"/>
              <w:bottom w:val="nil"/>
            </w:tcBorders>
            <w:shd w:val="clear" w:color="auto" w:fill="D9E2F3"/>
            <w:vAlign w:val="center"/>
          </w:tcPr>
          <w:p w14:paraId="32ED44E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401,837</w:t>
            </w:r>
          </w:p>
        </w:tc>
        <w:tc>
          <w:tcPr>
            <w:tcW w:w="1299" w:type="dxa"/>
            <w:tcBorders>
              <w:top w:val="nil"/>
              <w:bottom w:val="nil"/>
            </w:tcBorders>
            <w:shd w:val="clear" w:color="auto" w:fill="D9E2F3"/>
            <w:vAlign w:val="center"/>
          </w:tcPr>
          <w:p w14:paraId="5379A42A"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20,006</w:t>
            </w:r>
          </w:p>
        </w:tc>
      </w:tr>
      <w:tr w:rsidR="00711D9A" w:rsidRPr="00B84B0C" w14:paraId="49ABBDC5"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FFFFFF" w:themeFill="background1"/>
          </w:tcPr>
          <w:p w14:paraId="0106D87E" w14:textId="77777777" w:rsidR="00711D9A" w:rsidRPr="00B84B0C" w:rsidRDefault="00711D9A" w:rsidP="00711D9A">
            <w:pPr>
              <w:pStyle w:val="08-Tabelageral"/>
              <w:jc w:val="left"/>
              <w:rPr>
                <w:rFonts w:cs="Arial"/>
                <w:b w:val="0"/>
                <w:color w:val="000000"/>
                <w:szCs w:val="14"/>
                <w:lang w:val="en-US"/>
              </w:rPr>
            </w:pPr>
            <w:r w:rsidRPr="00B84B0C">
              <w:rPr>
                <w:rFonts w:cs="Arial"/>
                <w:b w:val="0"/>
                <w:color w:val="000000"/>
                <w:szCs w:val="14"/>
                <w:lang w:val="en-US"/>
              </w:rPr>
              <w:t xml:space="preserve">Attributable to Group BB </w:t>
            </w:r>
            <w:proofErr w:type="spellStart"/>
            <w:r w:rsidRPr="00B84B0C">
              <w:rPr>
                <w:rFonts w:cs="Arial"/>
                <w:b w:val="0"/>
                <w:color w:val="000000"/>
                <w:szCs w:val="14"/>
                <w:lang w:val="en-US"/>
              </w:rPr>
              <w:t>Seguridade</w:t>
            </w:r>
            <w:proofErr w:type="spellEnd"/>
          </w:p>
        </w:tc>
        <w:tc>
          <w:tcPr>
            <w:tcW w:w="1190" w:type="dxa"/>
            <w:tcBorders>
              <w:top w:val="nil"/>
              <w:bottom w:val="nil"/>
            </w:tcBorders>
            <w:shd w:val="clear" w:color="auto" w:fill="FFFFFF" w:themeFill="background1"/>
            <w:vAlign w:val="center"/>
          </w:tcPr>
          <w:p w14:paraId="7EAC1C3B"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rPr>
              <w:t>1,547,557</w:t>
            </w:r>
          </w:p>
        </w:tc>
        <w:tc>
          <w:tcPr>
            <w:tcW w:w="1191" w:type="dxa"/>
            <w:tcBorders>
              <w:top w:val="nil"/>
              <w:bottom w:val="nil"/>
            </w:tcBorders>
            <w:shd w:val="clear" w:color="auto" w:fill="FFFFFF" w:themeFill="background1"/>
            <w:vAlign w:val="center"/>
          </w:tcPr>
          <w:p w14:paraId="2BC4080F"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rPr>
              <w:t>557,592</w:t>
            </w:r>
          </w:p>
        </w:tc>
        <w:tc>
          <w:tcPr>
            <w:tcW w:w="1190" w:type="dxa"/>
            <w:tcBorders>
              <w:top w:val="nil"/>
              <w:bottom w:val="nil"/>
            </w:tcBorders>
            <w:shd w:val="clear" w:color="auto" w:fill="FFFFFF" w:themeFill="background1"/>
            <w:vAlign w:val="center"/>
          </w:tcPr>
          <w:p w14:paraId="1A75F9C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rPr>
              <w:t>2,225,508</w:t>
            </w:r>
          </w:p>
        </w:tc>
        <w:tc>
          <w:tcPr>
            <w:tcW w:w="1191" w:type="dxa"/>
            <w:tcBorders>
              <w:top w:val="nil"/>
              <w:bottom w:val="nil"/>
            </w:tcBorders>
            <w:shd w:val="clear" w:color="auto" w:fill="FFFFFF" w:themeFill="background1"/>
            <w:vAlign w:val="center"/>
          </w:tcPr>
          <w:p w14:paraId="3AFCD27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rPr>
              <w:t>267,865</w:t>
            </w:r>
          </w:p>
        </w:tc>
        <w:tc>
          <w:tcPr>
            <w:tcW w:w="1299" w:type="dxa"/>
            <w:tcBorders>
              <w:top w:val="nil"/>
              <w:bottom w:val="nil"/>
            </w:tcBorders>
            <w:shd w:val="clear" w:color="auto" w:fill="FFFFFF" w:themeFill="background1"/>
            <w:vAlign w:val="center"/>
          </w:tcPr>
          <w:p w14:paraId="1023D4EA"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rPr>
              <w:t>15,004</w:t>
            </w:r>
          </w:p>
        </w:tc>
      </w:tr>
      <w:tr w:rsidR="00711D9A" w:rsidRPr="00B84B0C" w14:paraId="14244B94"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nil"/>
            </w:tcBorders>
            <w:shd w:val="clear" w:color="auto" w:fill="D9E2F3"/>
          </w:tcPr>
          <w:p w14:paraId="5C9C0136" w14:textId="77777777" w:rsidR="00711D9A" w:rsidRPr="00B84B0C" w:rsidRDefault="00711D9A" w:rsidP="00711D9A">
            <w:pPr>
              <w:pStyle w:val="08-Tabelageral"/>
              <w:jc w:val="left"/>
              <w:rPr>
                <w:rFonts w:cs="Arial"/>
                <w:b w:val="0"/>
                <w:color w:val="000000"/>
                <w:szCs w:val="14"/>
              </w:rPr>
            </w:pPr>
            <w:r w:rsidRPr="00B84B0C">
              <w:rPr>
                <w:rFonts w:cs="Arial"/>
                <w:b w:val="0"/>
                <w:color w:val="000000"/>
                <w:szCs w:val="14"/>
              </w:rPr>
              <w:t xml:space="preserve">Other </w:t>
            </w:r>
            <w:proofErr w:type="spellStart"/>
            <w:r w:rsidRPr="00B84B0C">
              <w:rPr>
                <w:rFonts w:cs="Arial"/>
                <w:b w:val="0"/>
                <w:color w:val="000000"/>
                <w:szCs w:val="14"/>
              </w:rPr>
              <w:t>adjustements</w:t>
            </w:r>
            <w:proofErr w:type="spellEnd"/>
          </w:p>
        </w:tc>
        <w:tc>
          <w:tcPr>
            <w:tcW w:w="1190" w:type="dxa"/>
            <w:tcBorders>
              <w:top w:val="nil"/>
              <w:bottom w:val="nil"/>
            </w:tcBorders>
            <w:shd w:val="clear" w:color="auto" w:fill="D9E2F3"/>
            <w:vAlign w:val="center"/>
          </w:tcPr>
          <w:p w14:paraId="67E75BDE"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548,926</w:t>
            </w:r>
          </w:p>
        </w:tc>
        <w:tc>
          <w:tcPr>
            <w:tcW w:w="1191" w:type="dxa"/>
            <w:tcBorders>
              <w:top w:val="nil"/>
              <w:bottom w:val="nil"/>
            </w:tcBorders>
            <w:shd w:val="clear" w:color="auto" w:fill="D9E2F3"/>
            <w:vAlign w:val="center"/>
          </w:tcPr>
          <w:p w14:paraId="31BC3907"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10,137</w:t>
            </w:r>
          </w:p>
        </w:tc>
        <w:tc>
          <w:tcPr>
            <w:tcW w:w="1190" w:type="dxa"/>
            <w:tcBorders>
              <w:top w:val="nil"/>
              <w:bottom w:val="nil"/>
            </w:tcBorders>
            <w:shd w:val="clear" w:color="auto" w:fill="D9E2F3"/>
            <w:vAlign w:val="center"/>
          </w:tcPr>
          <w:p w14:paraId="1CE4922B"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(22,831)</w:t>
            </w:r>
          </w:p>
        </w:tc>
        <w:tc>
          <w:tcPr>
            <w:tcW w:w="1191" w:type="dxa"/>
            <w:tcBorders>
              <w:top w:val="nil"/>
              <w:bottom w:val="nil"/>
            </w:tcBorders>
            <w:shd w:val="clear" w:color="auto" w:fill="D9E2F3"/>
            <w:vAlign w:val="center"/>
          </w:tcPr>
          <w:p w14:paraId="07C8402F"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110,748</w:t>
            </w:r>
          </w:p>
        </w:tc>
        <w:tc>
          <w:tcPr>
            <w:tcW w:w="1299" w:type="dxa"/>
            <w:tcBorders>
              <w:top w:val="nil"/>
              <w:bottom w:val="nil"/>
            </w:tcBorders>
            <w:shd w:val="clear" w:color="auto" w:fill="D9E2F3"/>
            <w:vAlign w:val="center"/>
          </w:tcPr>
          <w:p w14:paraId="28530645" w14:textId="77777777" w:rsidR="00711D9A" w:rsidRPr="00B84B0C" w:rsidRDefault="00711D9A" w:rsidP="00711D9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711D9A" w:rsidRPr="00B84B0C" w14:paraId="1EAFB22B" w14:textId="77777777" w:rsidTr="00AC568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578" w:type="dxa"/>
            <w:tcBorders>
              <w:top w:val="nil"/>
              <w:bottom w:val="single" w:sz="2" w:space="0" w:color="8EAADB" w:themeColor="accent5" w:themeTint="99"/>
            </w:tcBorders>
            <w:shd w:val="clear" w:color="auto" w:fill="FFFFFF" w:themeFill="background1"/>
          </w:tcPr>
          <w:p w14:paraId="4F741D52" w14:textId="77777777" w:rsidR="00711D9A" w:rsidRPr="00B84B0C" w:rsidRDefault="00711D9A" w:rsidP="00711D9A">
            <w:pPr>
              <w:pStyle w:val="08-Tabelageral"/>
              <w:jc w:val="left"/>
              <w:rPr>
                <w:rFonts w:cs="Arial"/>
                <w:color w:val="000000"/>
                <w:szCs w:val="14"/>
              </w:rPr>
            </w:pPr>
            <w:r w:rsidRPr="00B84B0C">
              <w:rPr>
                <w:rFonts w:cs="Arial"/>
                <w:color w:val="000000"/>
                <w:szCs w:val="14"/>
              </w:rPr>
              <w:t xml:space="preserve">Book balance </w:t>
            </w:r>
            <w:proofErr w:type="spellStart"/>
            <w:r w:rsidRPr="00B84B0C">
              <w:rPr>
                <w:rFonts w:cs="Arial"/>
                <w:color w:val="000000"/>
                <w:szCs w:val="14"/>
              </w:rPr>
              <w:t>of</w:t>
            </w:r>
            <w:proofErr w:type="spellEnd"/>
            <w:r w:rsidRPr="00B84B0C">
              <w:rPr>
                <w:rFonts w:cs="Arial"/>
                <w:color w:val="000000"/>
                <w:szCs w:val="14"/>
              </w:rPr>
              <w:t xml:space="preserve"> </w:t>
            </w:r>
            <w:proofErr w:type="spellStart"/>
            <w:r w:rsidRPr="00B84B0C">
              <w:rPr>
                <w:rFonts w:cs="Arial"/>
                <w:color w:val="000000"/>
                <w:szCs w:val="14"/>
              </w:rPr>
              <w:t>investment</w:t>
            </w:r>
            <w:proofErr w:type="spellEnd"/>
          </w:p>
        </w:tc>
        <w:tc>
          <w:tcPr>
            <w:tcW w:w="1190" w:type="dxa"/>
            <w:tcBorders>
              <w:top w:val="nil"/>
              <w:bottom w:val="single" w:sz="2" w:space="0" w:color="8EAADB" w:themeColor="accent5" w:themeTint="99"/>
            </w:tcBorders>
            <w:shd w:val="clear" w:color="auto" w:fill="FFFFFF" w:themeFill="background1"/>
            <w:vAlign w:val="center"/>
          </w:tcPr>
          <w:p w14:paraId="3495A13D"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2,096,483</w:t>
            </w:r>
          </w:p>
        </w:tc>
        <w:tc>
          <w:tcPr>
            <w:tcW w:w="1191" w:type="dxa"/>
            <w:tcBorders>
              <w:top w:val="nil"/>
              <w:bottom w:val="single" w:sz="2" w:space="0" w:color="8EAADB" w:themeColor="accent5" w:themeTint="99"/>
            </w:tcBorders>
            <w:shd w:val="clear" w:color="auto" w:fill="FFFFFF" w:themeFill="background1"/>
            <w:vAlign w:val="center"/>
          </w:tcPr>
          <w:p w14:paraId="6B5781D1"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567,729</w:t>
            </w:r>
          </w:p>
        </w:tc>
        <w:tc>
          <w:tcPr>
            <w:tcW w:w="1190" w:type="dxa"/>
            <w:tcBorders>
              <w:top w:val="nil"/>
              <w:bottom w:val="single" w:sz="2" w:space="0" w:color="8EAADB" w:themeColor="accent5" w:themeTint="99"/>
            </w:tcBorders>
            <w:shd w:val="clear" w:color="auto" w:fill="FFFFFF" w:themeFill="background1"/>
            <w:vAlign w:val="center"/>
          </w:tcPr>
          <w:p w14:paraId="171C14E8"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color w:val="000000"/>
              </w:rPr>
              <w:t>2,202,677</w:t>
            </w:r>
          </w:p>
        </w:tc>
        <w:tc>
          <w:tcPr>
            <w:tcW w:w="1191" w:type="dxa"/>
            <w:tcBorders>
              <w:top w:val="nil"/>
              <w:bottom w:val="single" w:sz="2" w:space="0" w:color="8EAADB" w:themeColor="accent5" w:themeTint="99"/>
            </w:tcBorders>
            <w:shd w:val="clear" w:color="auto" w:fill="FFFFFF" w:themeFill="background1"/>
            <w:vAlign w:val="center"/>
          </w:tcPr>
          <w:p w14:paraId="2B5AC400"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378,613</w:t>
            </w:r>
          </w:p>
        </w:tc>
        <w:tc>
          <w:tcPr>
            <w:tcW w:w="1299" w:type="dxa"/>
            <w:tcBorders>
              <w:top w:val="nil"/>
              <w:bottom w:val="single" w:sz="2" w:space="0" w:color="8EAADB" w:themeColor="accent5" w:themeTint="99"/>
            </w:tcBorders>
            <w:shd w:val="clear" w:color="auto" w:fill="FFFFFF" w:themeFill="background1"/>
            <w:vAlign w:val="center"/>
          </w:tcPr>
          <w:p w14:paraId="541E04EC" w14:textId="77777777" w:rsidR="00711D9A" w:rsidRPr="00B84B0C" w:rsidRDefault="00711D9A" w:rsidP="00711D9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color w:val="000000"/>
              </w:rPr>
              <w:t>15,004</w:t>
            </w:r>
          </w:p>
        </w:tc>
      </w:tr>
    </w:tbl>
    <w:p w14:paraId="5552ECB1" w14:textId="77777777" w:rsidR="00711D9A" w:rsidRPr="00B84B0C" w:rsidRDefault="00711D9A" w:rsidP="00711D9A">
      <w:pPr>
        <w:pStyle w:val="07-Legenda"/>
        <w:rPr>
          <w:rFonts w:cs="Arial"/>
          <w:lang w:val="en-US"/>
        </w:rPr>
      </w:pPr>
      <w:r w:rsidRPr="00B84B0C">
        <w:rPr>
          <w:rFonts w:cs="Arial"/>
          <w:lang w:val="en-US"/>
        </w:rPr>
        <w:t xml:space="preserve">(1) On July 23, 2019, BB </w:t>
      </w:r>
      <w:proofErr w:type="spellStart"/>
      <w:r w:rsidRPr="00B84B0C">
        <w:rPr>
          <w:rFonts w:cs="Arial"/>
          <w:lang w:val="en-US"/>
        </w:rPr>
        <w:t>Seguros</w:t>
      </w:r>
      <w:proofErr w:type="spellEnd"/>
      <w:r w:rsidRPr="00B84B0C">
        <w:rPr>
          <w:rFonts w:cs="Arial"/>
          <w:lang w:val="en-US"/>
        </w:rPr>
        <w:t xml:space="preserve"> sold all the shares held in IRB-</w:t>
      </w:r>
      <w:proofErr w:type="spellStart"/>
      <w:r w:rsidRPr="00B84B0C">
        <w:rPr>
          <w:rFonts w:cs="Arial"/>
          <w:lang w:val="en-US"/>
        </w:rPr>
        <w:t>Brasil</w:t>
      </w:r>
      <w:proofErr w:type="spellEnd"/>
      <w:r w:rsidRPr="00B84B0C">
        <w:rPr>
          <w:rFonts w:cs="Arial"/>
          <w:lang w:val="en-US"/>
        </w:rPr>
        <w:t xml:space="preserve"> </w:t>
      </w:r>
      <w:proofErr w:type="spellStart"/>
      <w:r w:rsidRPr="00B84B0C">
        <w:rPr>
          <w:rFonts w:cs="Arial"/>
          <w:lang w:val="en-US"/>
        </w:rPr>
        <w:t>Resseguros</w:t>
      </w:r>
      <w:proofErr w:type="spellEnd"/>
      <w:r w:rsidRPr="00B84B0C">
        <w:rPr>
          <w:rFonts w:cs="Arial"/>
          <w:lang w:val="en-US"/>
        </w:rPr>
        <w:t xml:space="preserve"> S.A, as explained in Note 2.</w:t>
      </w:r>
    </w:p>
    <w:p w14:paraId="694F30AB" w14:textId="77777777" w:rsidR="00711D9A" w:rsidRPr="00B84B0C" w:rsidRDefault="00711D9A" w:rsidP="00711D9A">
      <w:pPr>
        <w:rPr>
          <w:rFonts w:cs="Arial"/>
          <w:b/>
          <w:color w:val="1F4E79" w:themeColor="accent1" w:themeShade="80"/>
          <w:szCs w:val="18"/>
          <w:lang w:val="en-US"/>
        </w:rPr>
      </w:pPr>
    </w:p>
    <w:p w14:paraId="772A8580" w14:textId="2132F984" w:rsidR="00AC5680" w:rsidRPr="00B84B0C" w:rsidRDefault="00AC5680" w:rsidP="00AC5680">
      <w:pPr>
        <w:pStyle w:val="02-TtulodeNota"/>
        <w:rPr>
          <w:rFonts w:cs="Arial"/>
          <w:color w:val="1F4E79" w:themeColor="accent1" w:themeShade="80"/>
        </w:rPr>
      </w:pPr>
      <w:bookmarkStart w:id="20" w:name="_Toc39131491"/>
      <w:r w:rsidRPr="00B84B0C">
        <w:rPr>
          <w:rFonts w:cs="Arial"/>
          <w:color w:val="1F4E79" w:themeColor="accent1" w:themeShade="80"/>
        </w:rPr>
        <w:t>7 – CASH AND CASH EQUIVALENTS</w:t>
      </w:r>
      <w:bookmarkEnd w:id="20"/>
    </w:p>
    <w:p w14:paraId="355084CC" w14:textId="77777777" w:rsidR="00AC5680" w:rsidRPr="00B84B0C" w:rsidRDefault="00AC5680" w:rsidP="00736E78">
      <w:pPr>
        <w:spacing w:after="0"/>
        <w:jc w:val="right"/>
        <w:rPr>
          <w:rFonts w:cs="Arial"/>
          <w:b/>
          <w:sz w:val="14"/>
          <w:szCs w:val="14"/>
          <w:lang w:eastAsia="pt-BR"/>
        </w:rPr>
      </w:pPr>
      <w:r w:rsidRPr="00B84B0C">
        <w:rPr>
          <w:rFonts w:cs="Arial"/>
          <w:b/>
          <w:sz w:val="14"/>
          <w:szCs w:val="14"/>
          <w:lang w:eastAsia="pt-BR"/>
        </w:rPr>
        <w:t xml:space="preserve">R$ </w:t>
      </w:r>
      <w:proofErr w:type="spellStart"/>
      <w:r w:rsidRPr="00B84B0C">
        <w:rPr>
          <w:rFonts w:cs="Arial"/>
          <w:b/>
          <w:sz w:val="14"/>
          <w:szCs w:val="14"/>
          <w:lang w:eastAsia="pt-BR"/>
        </w:rPr>
        <w:t>thousand</w:t>
      </w:r>
      <w:proofErr w:type="spellEnd"/>
    </w:p>
    <w:tbl>
      <w:tblPr>
        <w:tblStyle w:val="TabeladeLista6Colorida-nfase53"/>
        <w:tblW w:w="9639" w:type="dxa"/>
        <w:tblInd w:w="108" w:type="dxa"/>
        <w:tblLayout w:type="fixed"/>
        <w:tblLook w:val="04A0" w:firstRow="1" w:lastRow="0" w:firstColumn="1" w:lastColumn="0" w:noHBand="0" w:noVBand="1"/>
      </w:tblPr>
      <w:tblGrid>
        <w:gridCol w:w="4287"/>
        <w:gridCol w:w="567"/>
        <w:gridCol w:w="1134"/>
        <w:gridCol w:w="1134"/>
        <w:gridCol w:w="283"/>
        <w:gridCol w:w="1063"/>
        <w:gridCol w:w="1171"/>
      </w:tblGrid>
      <w:tr w:rsidR="00AC5680" w:rsidRPr="00B84B0C" w14:paraId="1177AEA5" w14:textId="77777777" w:rsidTr="00AC568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287" w:type="dxa"/>
            <w:tcBorders>
              <w:top w:val="single" w:sz="2" w:space="0" w:color="8EAADB" w:themeColor="accent5" w:themeTint="99"/>
              <w:bottom w:val="nil"/>
            </w:tcBorders>
            <w:shd w:val="clear" w:color="auto" w:fill="D9E2F3" w:themeFill="accent5" w:themeFillTint="33"/>
            <w:vAlign w:val="center"/>
          </w:tcPr>
          <w:p w14:paraId="6D036557" w14:textId="77777777" w:rsidR="00AC5680" w:rsidRPr="00B84B0C" w:rsidRDefault="00AC5680" w:rsidP="00736E78">
            <w:pPr>
              <w:jc w:val="center"/>
              <w:rPr>
                <w:rFonts w:cs="Arial"/>
                <w:b w:val="0"/>
                <w:szCs w:val="18"/>
              </w:rPr>
            </w:pPr>
          </w:p>
        </w:tc>
        <w:tc>
          <w:tcPr>
            <w:tcW w:w="567" w:type="dxa"/>
            <w:tcBorders>
              <w:top w:val="single" w:sz="2" w:space="0" w:color="8EAADB" w:themeColor="accent5" w:themeTint="99"/>
              <w:bottom w:val="single" w:sz="2" w:space="0" w:color="8EAADB" w:themeColor="accent5" w:themeTint="99"/>
            </w:tcBorders>
            <w:shd w:val="clear" w:color="auto" w:fill="D9E2F3" w:themeFill="accent5" w:themeFillTint="33"/>
          </w:tcPr>
          <w:p w14:paraId="3653B5A3" w14:textId="77777777" w:rsidR="00AC5680" w:rsidRPr="00B84B0C" w:rsidRDefault="00AC5680" w:rsidP="00736E7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268"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46C11F2" w14:textId="77777777" w:rsidR="00AC5680" w:rsidRPr="00B84B0C" w:rsidRDefault="00AC5680"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00F941B1" w14:textId="77777777" w:rsidR="00AC5680" w:rsidRPr="00B84B0C" w:rsidRDefault="00AC5680" w:rsidP="00736E7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234"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7559CF6E" w14:textId="77777777" w:rsidR="00AC5680" w:rsidRPr="00B84B0C" w:rsidRDefault="00AC5680" w:rsidP="00736E78">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AC5680" w:rsidRPr="00B84B0C" w14:paraId="5E991B69" w14:textId="77777777" w:rsidTr="00AC568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single" w:sz="2" w:space="0" w:color="8EAADB" w:themeColor="accent5" w:themeTint="99"/>
            </w:tcBorders>
          </w:tcPr>
          <w:p w14:paraId="37739C60" w14:textId="77777777" w:rsidR="00AC5680" w:rsidRPr="00B84B0C" w:rsidRDefault="00AC5680" w:rsidP="00736E78">
            <w:pPr>
              <w:pStyle w:val="08-Tabelageral"/>
              <w:jc w:val="left"/>
              <w:rPr>
                <w:rFonts w:cs="Arial"/>
                <w:b w:val="0"/>
              </w:rPr>
            </w:pPr>
          </w:p>
        </w:tc>
        <w:tc>
          <w:tcPr>
            <w:tcW w:w="567" w:type="dxa"/>
            <w:tcBorders>
              <w:top w:val="single" w:sz="2" w:space="0" w:color="8EAADB" w:themeColor="accent5" w:themeTint="99"/>
              <w:bottom w:val="single" w:sz="2" w:space="0" w:color="8EAADB" w:themeColor="accent5" w:themeTint="99"/>
            </w:tcBorders>
          </w:tcPr>
          <w:p w14:paraId="6942DDB3" w14:textId="77777777" w:rsidR="00AC5680" w:rsidRPr="00B84B0C" w:rsidRDefault="00AC5680"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single" w:sz="2" w:space="0" w:color="8EAADB" w:themeColor="accent5" w:themeTint="99"/>
              <w:bottom w:val="single" w:sz="2" w:space="0" w:color="8EAADB" w:themeColor="accent5" w:themeTint="99"/>
            </w:tcBorders>
            <w:vAlign w:val="center"/>
          </w:tcPr>
          <w:p w14:paraId="453FF92A" w14:textId="77777777" w:rsidR="00AC5680" w:rsidRPr="00B84B0C" w:rsidRDefault="00AC5680" w:rsidP="00736E78">
            <w:pPr>
              <w:pStyle w:val="08-Tabelageral"/>
              <w:ind w:right="40"/>
              <w:cnfStyle w:val="000000100000" w:firstRow="0" w:lastRow="0" w:firstColumn="0" w:lastColumn="0" w:oddVBand="0" w:evenVBand="0" w:oddHBand="1" w:evenHBand="0" w:firstRowFirstColumn="0" w:firstRowLastColumn="0" w:lastRowFirstColumn="0" w:lastRowLastColumn="0"/>
              <w:rPr>
                <w:rFonts w:cs="Arial"/>
                <w:b/>
                <w:snapToGrid w:val="0"/>
                <w:highlight w:val="yellow"/>
                <w:lang w:val="en-US"/>
              </w:rPr>
            </w:pPr>
            <w:r w:rsidRPr="00B84B0C">
              <w:rPr>
                <w:rFonts w:cs="Arial"/>
                <w:b/>
                <w:snapToGrid w:val="0"/>
                <w:lang w:val="en-US"/>
              </w:rPr>
              <w:t>Mar 31, 2020</w:t>
            </w:r>
          </w:p>
        </w:tc>
        <w:tc>
          <w:tcPr>
            <w:tcW w:w="1134" w:type="dxa"/>
            <w:tcBorders>
              <w:top w:val="single" w:sz="2" w:space="0" w:color="8EAADB" w:themeColor="accent5" w:themeTint="99"/>
              <w:bottom w:val="single" w:sz="2" w:space="0" w:color="8EAADB" w:themeColor="accent5" w:themeTint="99"/>
            </w:tcBorders>
            <w:vAlign w:val="center"/>
          </w:tcPr>
          <w:p w14:paraId="424691A1" w14:textId="77777777" w:rsidR="00AC5680" w:rsidRPr="00B84B0C" w:rsidRDefault="00AC5680" w:rsidP="00736E78">
            <w:pPr>
              <w:pStyle w:val="08-Tabelageral"/>
              <w:ind w:right="40"/>
              <w:cnfStyle w:val="000000100000" w:firstRow="0" w:lastRow="0" w:firstColumn="0" w:lastColumn="0" w:oddVBand="0" w:evenVBand="0" w:oddHBand="1" w:evenHBand="0" w:firstRowFirstColumn="0" w:firstRowLastColumn="0" w:lastRowFirstColumn="0" w:lastRowLastColumn="0"/>
              <w:rPr>
                <w:rFonts w:cs="Arial"/>
                <w:b/>
                <w:snapToGrid w:val="0"/>
                <w:highlight w:val="yellow"/>
                <w:lang w:val="en-US"/>
              </w:rPr>
            </w:pPr>
            <w:r w:rsidRPr="00B84B0C">
              <w:rPr>
                <w:rFonts w:cs="Arial"/>
                <w:b/>
                <w:snapToGrid w:val="0"/>
                <w:lang w:val="en-US"/>
              </w:rPr>
              <w:t>Dec 31, 2019</w:t>
            </w:r>
          </w:p>
        </w:tc>
        <w:tc>
          <w:tcPr>
            <w:tcW w:w="283" w:type="dxa"/>
            <w:tcBorders>
              <w:top w:val="nil"/>
              <w:bottom w:val="single" w:sz="2" w:space="0" w:color="8EAADB" w:themeColor="accent5" w:themeTint="99"/>
            </w:tcBorders>
          </w:tcPr>
          <w:p w14:paraId="284DB15F" w14:textId="77777777" w:rsidR="00AC5680" w:rsidRPr="00B84B0C" w:rsidRDefault="00AC5680"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063" w:type="dxa"/>
            <w:tcBorders>
              <w:top w:val="single" w:sz="2" w:space="0" w:color="8EAADB" w:themeColor="accent5" w:themeTint="99"/>
              <w:bottom w:val="single" w:sz="2" w:space="0" w:color="8EAADB" w:themeColor="accent5" w:themeTint="99"/>
            </w:tcBorders>
          </w:tcPr>
          <w:p w14:paraId="479A41DC"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171" w:type="dxa"/>
            <w:tcBorders>
              <w:top w:val="single" w:sz="2" w:space="0" w:color="8EAADB" w:themeColor="accent5" w:themeTint="99"/>
              <w:bottom w:val="single" w:sz="2" w:space="0" w:color="8EAADB" w:themeColor="accent5" w:themeTint="99"/>
            </w:tcBorders>
          </w:tcPr>
          <w:p w14:paraId="03DD5F2E"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AC5680" w:rsidRPr="00B84B0C" w14:paraId="2EA4AF6A" w14:textId="77777777" w:rsidTr="00AC5680">
        <w:trPr>
          <w:trHeight w:hRule="exact" w:val="238"/>
        </w:trPr>
        <w:tc>
          <w:tcPr>
            <w:cnfStyle w:val="001000000000" w:firstRow="0" w:lastRow="0" w:firstColumn="1" w:lastColumn="0" w:oddVBand="0" w:evenVBand="0" w:oddHBand="0" w:evenHBand="0" w:firstRowFirstColumn="0" w:firstRowLastColumn="0" w:lastRowFirstColumn="0" w:lastRowLastColumn="0"/>
            <w:tcW w:w="4287" w:type="dxa"/>
            <w:tcBorders>
              <w:top w:val="single" w:sz="2" w:space="0" w:color="8EAADB" w:themeColor="accent5" w:themeTint="99"/>
              <w:bottom w:val="nil"/>
            </w:tcBorders>
          </w:tcPr>
          <w:p w14:paraId="32BD71B9" w14:textId="77777777" w:rsidR="00AC5680" w:rsidRPr="00B84B0C" w:rsidRDefault="00AC5680" w:rsidP="00736E78">
            <w:pPr>
              <w:pStyle w:val="08-Tabelageral"/>
              <w:jc w:val="left"/>
              <w:rPr>
                <w:rFonts w:cs="Arial"/>
                <w:b w:val="0"/>
              </w:rPr>
            </w:pPr>
            <w:r w:rsidRPr="00B84B0C">
              <w:rPr>
                <w:rFonts w:cs="Arial"/>
                <w:b w:val="0"/>
              </w:rPr>
              <w:t>Cash</w:t>
            </w:r>
          </w:p>
        </w:tc>
        <w:tc>
          <w:tcPr>
            <w:tcW w:w="567" w:type="dxa"/>
            <w:tcBorders>
              <w:top w:val="single" w:sz="2" w:space="0" w:color="8EAADB" w:themeColor="accent5" w:themeTint="99"/>
              <w:bottom w:val="nil"/>
            </w:tcBorders>
            <w:vAlign w:val="center"/>
          </w:tcPr>
          <w:p w14:paraId="28C0933C" w14:textId="77777777" w:rsidR="00AC5680" w:rsidRPr="00B84B0C" w:rsidRDefault="00AC5680"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single" w:sz="2" w:space="0" w:color="8EAADB" w:themeColor="accent5" w:themeTint="99"/>
              <w:bottom w:val="nil"/>
            </w:tcBorders>
          </w:tcPr>
          <w:p w14:paraId="7EDD3424"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134" w:type="dxa"/>
            <w:tcBorders>
              <w:top w:val="single" w:sz="2" w:space="0" w:color="8EAADB" w:themeColor="accent5" w:themeTint="99"/>
              <w:bottom w:val="nil"/>
            </w:tcBorders>
          </w:tcPr>
          <w:p w14:paraId="072656FF"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283" w:type="dxa"/>
            <w:tcBorders>
              <w:top w:val="single" w:sz="2" w:space="0" w:color="8EAADB" w:themeColor="accent5" w:themeTint="99"/>
              <w:bottom w:val="nil"/>
            </w:tcBorders>
            <w:vAlign w:val="center"/>
          </w:tcPr>
          <w:p w14:paraId="64E4294F"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063" w:type="dxa"/>
            <w:tcBorders>
              <w:top w:val="single" w:sz="2" w:space="0" w:color="8EAADB" w:themeColor="accent5" w:themeTint="99"/>
              <w:bottom w:val="nil"/>
            </w:tcBorders>
          </w:tcPr>
          <w:p w14:paraId="2011B024"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171" w:type="dxa"/>
            <w:tcBorders>
              <w:top w:val="single" w:sz="2" w:space="0" w:color="8EAADB" w:themeColor="accent5" w:themeTint="99"/>
              <w:bottom w:val="nil"/>
            </w:tcBorders>
          </w:tcPr>
          <w:p w14:paraId="619F12E4"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w:t>
            </w:r>
          </w:p>
        </w:tc>
      </w:tr>
      <w:tr w:rsidR="00AC5680" w:rsidRPr="00B84B0C" w14:paraId="74EA3C94" w14:textId="77777777" w:rsidTr="00AC568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7EEA2F46" w14:textId="77777777" w:rsidR="00AC5680" w:rsidRPr="00B84B0C" w:rsidRDefault="00AC5680" w:rsidP="00736E78">
            <w:pPr>
              <w:pStyle w:val="08-Tabelageral"/>
              <w:jc w:val="left"/>
              <w:rPr>
                <w:rFonts w:cs="Arial"/>
                <w:b w:val="0"/>
              </w:rPr>
            </w:pPr>
            <w:r w:rsidRPr="00B84B0C">
              <w:rPr>
                <w:rFonts w:cs="Arial"/>
                <w:b w:val="0"/>
              </w:rPr>
              <w:t>Short-</w:t>
            </w:r>
            <w:proofErr w:type="spellStart"/>
            <w:r w:rsidRPr="00B84B0C">
              <w:rPr>
                <w:rFonts w:cs="Arial"/>
                <w:b w:val="0"/>
              </w:rPr>
              <w:t>term</w:t>
            </w:r>
            <w:proofErr w:type="spellEnd"/>
            <w:r w:rsidRPr="00B84B0C">
              <w:rPr>
                <w:rFonts w:cs="Arial"/>
                <w:b w:val="0"/>
              </w:rPr>
              <w:t xml:space="preserve"> </w:t>
            </w:r>
            <w:proofErr w:type="spellStart"/>
            <w:r w:rsidRPr="00B84B0C">
              <w:rPr>
                <w:rFonts w:cs="Arial"/>
                <w:b w:val="0"/>
              </w:rPr>
              <w:t>fund</w:t>
            </w:r>
            <w:proofErr w:type="spellEnd"/>
          </w:p>
        </w:tc>
        <w:tc>
          <w:tcPr>
            <w:tcW w:w="567" w:type="dxa"/>
            <w:tcBorders>
              <w:top w:val="nil"/>
              <w:bottom w:val="nil"/>
            </w:tcBorders>
            <w:vAlign w:val="center"/>
          </w:tcPr>
          <w:p w14:paraId="7924925A" w14:textId="77777777" w:rsidR="00AC5680" w:rsidRPr="00B84B0C" w:rsidRDefault="00AC5680"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tcPr>
          <w:p w14:paraId="0B0F85B4"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328</w:t>
            </w:r>
          </w:p>
        </w:tc>
        <w:tc>
          <w:tcPr>
            <w:tcW w:w="1134" w:type="dxa"/>
            <w:tcBorders>
              <w:top w:val="nil"/>
              <w:bottom w:val="nil"/>
            </w:tcBorders>
          </w:tcPr>
          <w:p w14:paraId="6D88F95E"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377</w:t>
            </w:r>
          </w:p>
        </w:tc>
        <w:tc>
          <w:tcPr>
            <w:tcW w:w="283" w:type="dxa"/>
            <w:tcBorders>
              <w:top w:val="nil"/>
              <w:bottom w:val="nil"/>
            </w:tcBorders>
            <w:vAlign w:val="center"/>
          </w:tcPr>
          <w:p w14:paraId="3AD38715" w14:textId="77777777" w:rsidR="00AC5680" w:rsidRPr="00B84B0C" w:rsidRDefault="00AC5680" w:rsidP="00736E78">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tcPr>
          <w:p w14:paraId="5FF1F4E3"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10,374</w:t>
            </w:r>
          </w:p>
        </w:tc>
        <w:tc>
          <w:tcPr>
            <w:tcW w:w="1171" w:type="dxa"/>
            <w:tcBorders>
              <w:top w:val="nil"/>
              <w:bottom w:val="nil"/>
            </w:tcBorders>
          </w:tcPr>
          <w:p w14:paraId="604C9483"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10,812</w:t>
            </w:r>
          </w:p>
        </w:tc>
      </w:tr>
      <w:tr w:rsidR="00AC5680" w:rsidRPr="00B84B0C" w14:paraId="5C583C28" w14:textId="77777777" w:rsidTr="00AC568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5922F58C" w14:textId="77777777" w:rsidR="00AC5680" w:rsidRPr="00B84B0C" w:rsidRDefault="00AC5680" w:rsidP="00736E78">
            <w:pPr>
              <w:pStyle w:val="08-Tabelageral"/>
              <w:jc w:val="left"/>
              <w:rPr>
                <w:rFonts w:cs="Arial"/>
                <w:b w:val="0"/>
              </w:rPr>
            </w:pPr>
            <w:proofErr w:type="spellStart"/>
            <w:r w:rsidRPr="00B84B0C">
              <w:rPr>
                <w:rFonts w:cs="Arial"/>
                <w:b w:val="0"/>
              </w:rPr>
              <w:t>Repurchase</w:t>
            </w:r>
            <w:proofErr w:type="spellEnd"/>
            <w:r w:rsidRPr="00B84B0C">
              <w:rPr>
                <w:rFonts w:cs="Arial"/>
                <w:b w:val="0"/>
              </w:rPr>
              <w:t xml:space="preserve"> </w:t>
            </w:r>
            <w:proofErr w:type="spellStart"/>
            <w:proofErr w:type="gramStart"/>
            <w:r w:rsidRPr="00B84B0C">
              <w:rPr>
                <w:rFonts w:cs="Arial"/>
                <w:b w:val="0"/>
              </w:rPr>
              <w:t>agreements</w:t>
            </w:r>
            <w:proofErr w:type="spellEnd"/>
            <w:r w:rsidRPr="00B84B0C">
              <w:rPr>
                <w:rFonts w:cs="Arial"/>
                <w:b w:val="0"/>
                <w:vertAlign w:val="superscript"/>
              </w:rPr>
              <w:t>(</w:t>
            </w:r>
            <w:proofErr w:type="gramEnd"/>
            <w:r w:rsidRPr="00B84B0C">
              <w:rPr>
                <w:rFonts w:cs="Arial"/>
                <w:b w:val="0"/>
                <w:vertAlign w:val="superscript"/>
              </w:rPr>
              <w:t>1)</w:t>
            </w:r>
          </w:p>
        </w:tc>
        <w:tc>
          <w:tcPr>
            <w:tcW w:w="567" w:type="dxa"/>
            <w:tcBorders>
              <w:top w:val="nil"/>
              <w:bottom w:val="nil"/>
            </w:tcBorders>
            <w:vAlign w:val="center"/>
          </w:tcPr>
          <w:p w14:paraId="2D32D866" w14:textId="77777777" w:rsidR="00AC5680" w:rsidRPr="00B84B0C" w:rsidRDefault="00AC5680"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134" w:type="dxa"/>
            <w:tcBorders>
              <w:top w:val="nil"/>
              <w:bottom w:val="nil"/>
            </w:tcBorders>
          </w:tcPr>
          <w:p w14:paraId="12A4810C"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2,402,379</w:t>
            </w:r>
          </w:p>
        </w:tc>
        <w:tc>
          <w:tcPr>
            <w:tcW w:w="1134" w:type="dxa"/>
            <w:tcBorders>
              <w:top w:val="nil"/>
              <w:bottom w:val="nil"/>
            </w:tcBorders>
          </w:tcPr>
          <w:p w14:paraId="4BF7617B"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4,230,818</w:t>
            </w:r>
          </w:p>
        </w:tc>
        <w:tc>
          <w:tcPr>
            <w:tcW w:w="283" w:type="dxa"/>
            <w:tcBorders>
              <w:top w:val="nil"/>
              <w:bottom w:val="nil"/>
            </w:tcBorders>
            <w:vAlign w:val="center"/>
          </w:tcPr>
          <w:p w14:paraId="6C638765" w14:textId="77777777" w:rsidR="00AC5680" w:rsidRPr="00B84B0C" w:rsidRDefault="00AC5680" w:rsidP="00736E78">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tcPr>
          <w:p w14:paraId="414E141E"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4,099,659</w:t>
            </w:r>
          </w:p>
        </w:tc>
        <w:tc>
          <w:tcPr>
            <w:tcW w:w="1171" w:type="dxa"/>
            <w:tcBorders>
              <w:top w:val="nil"/>
              <w:bottom w:val="nil"/>
            </w:tcBorders>
          </w:tcPr>
          <w:p w14:paraId="6B66A86D" w14:textId="77777777" w:rsidR="00AC5680" w:rsidRPr="00B84B0C" w:rsidRDefault="00AC5680" w:rsidP="00736E78">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7,370,478</w:t>
            </w:r>
          </w:p>
        </w:tc>
      </w:tr>
      <w:tr w:rsidR="00AC5680" w:rsidRPr="00B84B0C" w14:paraId="5B3808F8" w14:textId="77777777" w:rsidTr="00AC568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single" w:sz="2" w:space="0" w:color="8EAADB" w:themeColor="accent5" w:themeTint="99"/>
            </w:tcBorders>
          </w:tcPr>
          <w:p w14:paraId="4008AD5D" w14:textId="77777777" w:rsidR="00AC5680" w:rsidRPr="00B84B0C" w:rsidRDefault="00AC5680" w:rsidP="00736E78">
            <w:pPr>
              <w:pStyle w:val="08-Tabelageral"/>
              <w:jc w:val="left"/>
              <w:rPr>
                <w:rFonts w:cs="Arial"/>
              </w:rPr>
            </w:pPr>
            <w:r w:rsidRPr="00B84B0C">
              <w:rPr>
                <w:rFonts w:cs="Arial"/>
              </w:rPr>
              <w:t xml:space="preserve">Total </w:t>
            </w:r>
          </w:p>
        </w:tc>
        <w:tc>
          <w:tcPr>
            <w:tcW w:w="567" w:type="dxa"/>
            <w:tcBorders>
              <w:top w:val="nil"/>
              <w:bottom w:val="single" w:sz="2" w:space="0" w:color="8EAADB" w:themeColor="accent5" w:themeTint="99"/>
            </w:tcBorders>
            <w:vAlign w:val="center"/>
          </w:tcPr>
          <w:p w14:paraId="27EF92AB" w14:textId="77777777" w:rsidR="00AC5680" w:rsidRPr="00B84B0C" w:rsidRDefault="00AC5680"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nil"/>
              <w:bottom w:val="single" w:sz="4" w:space="0" w:color="8EAADB" w:themeColor="accent5" w:themeTint="99"/>
            </w:tcBorders>
          </w:tcPr>
          <w:p w14:paraId="2CDA6158"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2,402,707</w:t>
            </w:r>
          </w:p>
        </w:tc>
        <w:tc>
          <w:tcPr>
            <w:tcW w:w="1134" w:type="dxa"/>
            <w:tcBorders>
              <w:top w:val="nil"/>
              <w:bottom w:val="single" w:sz="4" w:space="0" w:color="8EAADB" w:themeColor="accent5" w:themeTint="99"/>
            </w:tcBorders>
          </w:tcPr>
          <w:p w14:paraId="50D541C9"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4,231,195</w:t>
            </w:r>
          </w:p>
        </w:tc>
        <w:tc>
          <w:tcPr>
            <w:tcW w:w="283" w:type="dxa"/>
            <w:tcBorders>
              <w:top w:val="nil"/>
              <w:bottom w:val="single" w:sz="4" w:space="0" w:color="8EAADB" w:themeColor="accent5" w:themeTint="99"/>
            </w:tcBorders>
            <w:vAlign w:val="center"/>
          </w:tcPr>
          <w:p w14:paraId="2049AD8A"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63" w:type="dxa"/>
            <w:tcBorders>
              <w:top w:val="nil"/>
              <w:bottom w:val="single" w:sz="4" w:space="0" w:color="8EAADB" w:themeColor="accent5" w:themeTint="99"/>
            </w:tcBorders>
          </w:tcPr>
          <w:p w14:paraId="459341BA"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4,110,033</w:t>
            </w:r>
          </w:p>
        </w:tc>
        <w:tc>
          <w:tcPr>
            <w:tcW w:w="1171" w:type="dxa"/>
            <w:tcBorders>
              <w:top w:val="nil"/>
              <w:bottom w:val="single" w:sz="4" w:space="0" w:color="8EAADB" w:themeColor="accent5" w:themeTint="99"/>
            </w:tcBorders>
          </w:tcPr>
          <w:p w14:paraId="3D4D580F" w14:textId="77777777" w:rsidR="00AC5680" w:rsidRPr="00B84B0C" w:rsidRDefault="00AC5680"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7,381,292</w:t>
            </w:r>
          </w:p>
        </w:tc>
      </w:tr>
    </w:tbl>
    <w:p w14:paraId="0FBD03EA" w14:textId="77777777" w:rsidR="00AC5680" w:rsidRPr="00B84B0C" w:rsidRDefault="00AC5680" w:rsidP="00AC5680">
      <w:pPr>
        <w:pStyle w:val="07-Legenda"/>
        <w:numPr>
          <w:ilvl w:val="0"/>
          <w:numId w:val="2"/>
        </w:numPr>
        <w:tabs>
          <w:tab w:val="left" w:pos="0"/>
        </w:tabs>
        <w:ind w:left="284" w:hanging="284"/>
        <w:rPr>
          <w:rFonts w:cs="Arial"/>
          <w:snapToGrid w:val="0"/>
        </w:rPr>
      </w:pPr>
      <w:proofErr w:type="spellStart"/>
      <w:r w:rsidRPr="00B84B0C">
        <w:rPr>
          <w:rFonts w:cs="Arial"/>
          <w:snapToGrid w:val="0"/>
        </w:rPr>
        <w:t>Refers</w:t>
      </w:r>
      <w:proofErr w:type="spellEnd"/>
      <w:r w:rsidRPr="00B84B0C">
        <w:rPr>
          <w:rFonts w:cs="Arial"/>
          <w:snapToGrid w:val="0"/>
        </w:rPr>
        <w:t xml:space="preserve"> </w:t>
      </w:r>
      <w:proofErr w:type="spellStart"/>
      <w:r w:rsidRPr="00B84B0C">
        <w:rPr>
          <w:rFonts w:cs="Arial"/>
          <w:snapToGrid w:val="0"/>
        </w:rPr>
        <w:t>to</w:t>
      </w:r>
      <w:proofErr w:type="spellEnd"/>
      <w:r w:rsidRPr="00B84B0C">
        <w:rPr>
          <w:rFonts w:cs="Arial"/>
          <w:snapToGrid w:val="0"/>
        </w:rPr>
        <w:t xml:space="preserve"> </w:t>
      </w:r>
      <w:proofErr w:type="spellStart"/>
      <w:r w:rsidRPr="00B84B0C">
        <w:rPr>
          <w:rFonts w:cs="Arial"/>
          <w:snapToGrid w:val="0"/>
        </w:rPr>
        <w:t>investments</w:t>
      </w:r>
      <w:proofErr w:type="spellEnd"/>
      <w:r w:rsidRPr="00B84B0C">
        <w:rPr>
          <w:rFonts w:cs="Arial"/>
          <w:snapToGrid w:val="0"/>
        </w:rPr>
        <w:t xml:space="preserve"> in </w:t>
      </w:r>
      <w:proofErr w:type="spellStart"/>
      <w:r w:rsidRPr="00B84B0C">
        <w:rPr>
          <w:rFonts w:cs="Arial"/>
          <w:snapToGrid w:val="0"/>
        </w:rPr>
        <w:t>repurchase</w:t>
      </w:r>
      <w:proofErr w:type="spellEnd"/>
      <w:r w:rsidRPr="00B84B0C">
        <w:rPr>
          <w:rFonts w:cs="Arial"/>
          <w:snapToGrid w:val="0"/>
        </w:rPr>
        <w:t xml:space="preserve"> agréments </w:t>
      </w:r>
      <w:proofErr w:type="spellStart"/>
      <w:r w:rsidRPr="00B84B0C">
        <w:rPr>
          <w:rFonts w:cs="Arial"/>
          <w:snapToGrid w:val="0"/>
        </w:rPr>
        <w:t>with</w:t>
      </w:r>
      <w:proofErr w:type="spellEnd"/>
      <w:r w:rsidRPr="00B84B0C">
        <w:rPr>
          <w:rFonts w:cs="Arial"/>
          <w:snapToGrid w:val="0"/>
        </w:rPr>
        <w:t xml:space="preserve"> Banco do Brasil S.A., </w:t>
      </w:r>
      <w:proofErr w:type="spellStart"/>
      <w:r w:rsidRPr="00B84B0C">
        <w:rPr>
          <w:rFonts w:cs="Arial"/>
          <w:snapToGrid w:val="0"/>
        </w:rPr>
        <w:t>backed</w:t>
      </w:r>
      <w:proofErr w:type="spellEnd"/>
      <w:r w:rsidRPr="00B84B0C">
        <w:rPr>
          <w:rFonts w:cs="Arial"/>
          <w:snapToGrid w:val="0"/>
        </w:rPr>
        <w:t xml:space="preserve"> </w:t>
      </w:r>
      <w:proofErr w:type="spellStart"/>
      <w:r w:rsidRPr="00B84B0C">
        <w:rPr>
          <w:rFonts w:cs="Arial"/>
          <w:snapToGrid w:val="0"/>
        </w:rPr>
        <w:t>by</w:t>
      </w:r>
      <w:proofErr w:type="spellEnd"/>
      <w:r w:rsidRPr="00B84B0C">
        <w:rPr>
          <w:rFonts w:cs="Arial"/>
          <w:snapToGrid w:val="0"/>
        </w:rPr>
        <w:t xml:space="preserve"> federal </w:t>
      </w:r>
      <w:proofErr w:type="spellStart"/>
      <w:r w:rsidRPr="00B84B0C">
        <w:rPr>
          <w:rFonts w:cs="Arial"/>
          <w:snapToGrid w:val="0"/>
        </w:rPr>
        <w:t>govermment</w:t>
      </w:r>
      <w:proofErr w:type="spellEnd"/>
      <w:r w:rsidRPr="00B84B0C">
        <w:rPr>
          <w:rFonts w:cs="Arial"/>
          <w:snapToGrid w:val="0"/>
        </w:rPr>
        <w:t xml:space="preserve"> </w:t>
      </w:r>
      <w:proofErr w:type="spellStart"/>
      <w:r w:rsidRPr="00B84B0C">
        <w:rPr>
          <w:rFonts w:cs="Arial"/>
          <w:snapToGrid w:val="0"/>
        </w:rPr>
        <w:t>securities</w:t>
      </w:r>
      <w:proofErr w:type="spellEnd"/>
      <w:r w:rsidRPr="00B84B0C">
        <w:rPr>
          <w:rFonts w:cs="Arial"/>
          <w:snapToGrid w:val="0"/>
        </w:rPr>
        <w:t xml:space="preserve"> </w:t>
      </w:r>
      <w:proofErr w:type="spellStart"/>
      <w:r w:rsidRPr="00B84B0C">
        <w:rPr>
          <w:rFonts w:cs="Arial"/>
          <w:snapToGrid w:val="0"/>
        </w:rPr>
        <w:t>with</w:t>
      </w:r>
      <w:proofErr w:type="spellEnd"/>
      <w:r w:rsidRPr="00B84B0C">
        <w:rPr>
          <w:rFonts w:cs="Arial"/>
          <w:snapToGrid w:val="0"/>
        </w:rPr>
        <w:t xml:space="preserve"> </w:t>
      </w:r>
      <w:proofErr w:type="spellStart"/>
      <w:r w:rsidRPr="00B84B0C">
        <w:rPr>
          <w:rFonts w:cs="Arial"/>
          <w:snapToGrid w:val="0"/>
        </w:rPr>
        <w:t>daily</w:t>
      </w:r>
      <w:proofErr w:type="spellEnd"/>
      <w:r w:rsidRPr="00B84B0C">
        <w:rPr>
          <w:rFonts w:cs="Arial"/>
          <w:snapToGrid w:val="0"/>
        </w:rPr>
        <w:t xml:space="preserve"> </w:t>
      </w:r>
      <w:proofErr w:type="spellStart"/>
      <w:r w:rsidRPr="00B84B0C">
        <w:rPr>
          <w:rFonts w:cs="Arial"/>
          <w:snapToGrid w:val="0"/>
        </w:rPr>
        <w:t>liquidity</w:t>
      </w:r>
      <w:proofErr w:type="spellEnd"/>
      <w:r w:rsidRPr="00B84B0C">
        <w:rPr>
          <w:rFonts w:cs="Arial"/>
          <w:snapToGrid w:val="0"/>
        </w:rPr>
        <w:t xml:space="preserve"> </w:t>
      </w:r>
      <w:proofErr w:type="spellStart"/>
      <w:r w:rsidRPr="00B84B0C">
        <w:rPr>
          <w:rFonts w:cs="Arial"/>
          <w:snapToGrid w:val="0"/>
        </w:rPr>
        <w:t>and</w:t>
      </w:r>
      <w:proofErr w:type="spellEnd"/>
      <w:r w:rsidRPr="00B84B0C">
        <w:rPr>
          <w:rFonts w:cs="Arial"/>
          <w:snapToGrid w:val="0"/>
        </w:rPr>
        <w:t xml:space="preserve"> insignificante </w:t>
      </w:r>
      <w:proofErr w:type="spellStart"/>
      <w:r w:rsidRPr="00B84B0C">
        <w:rPr>
          <w:rFonts w:cs="Arial"/>
          <w:snapToGrid w:val="0"/>
        </w:rPr>
        <w:t>risk</w:t>
      </w:r>
      <w:proofErr w:type="spellEnd"/>
      <w:r w:rsidRPr="00B84B0C">
        <w:rPr>
          <w:rFonts w:cs="Arial"/>
          <w:snapToGrid w:val="0"/>
        </w:rPr>
        <w:t xml:space="preserve"> </w:t>
      </w:r>
      <w:proofErr w:type="spellStart"/>
      <w:r w:rsidRPr="00B84B0C">
        <w:rPr>
          <w:rFonts w:cs="Arial"/>
          <w:snapToGrid w:val="0"/>
        </w:rPr>
        <w:t>of</w:t>
      </w:r>
      <w:proofErr w:type="spellEnd"/>
      <w:r w:rsidRPr="00B84B0C">
        <w:rPr>
          <w:rFonts w:cs="Arial"/>
          <w:snapToGrid w:val="0"/>
        </w:rPr>
        <w:t xml:space="preserve"> </w:t>
      </w:r>
      <w:proofErr w:type="spellStart"/>
      <w:r w:rsidRPr="00B84B0C">
        <w:rPr>
          <w:rFonts w:cs="Arial"/>
          <w:snapToGrid w:val="0"/>
        </w:rPr>
        <w:t>change</w:t>
      </w:r>
      <w:proofErr w:type="spellEnd"/>
      <w:r w:rsidRPr="00B84B0C">
        <w:rPr>
          <w:rFonts w:cs="Arial"/>
          <w:snapToGrid w:val="0"/>
        </w:rPr>
        <w:t xml:space="preserve"> in fair </w:t>
      </w:r>
      <w:proofErr w:type="spellStart"/>
      <w:r w:rsidRPr="00B84B0C">
        <w:rPr>
          <w:rFonts w:cs="Arial"/>
          <w:snapToGrid w:val="0"/>
        </w:rPr>
        <w:t>value</w:t>
      </w:r>
      <w:proofErr w:type="spellEnd"/>
      <w:r w:rsidRPr="00B84B0C">
        <w:rPr>
          <w:rFonts w:cs="Arial"/>
          <w:snapToGrid w:val="0"/>
        </w:rPr>
        <w:t xml:space="preserve">. </w:t>
      </w:r>
    </w:p>
    <w:p w14:paraId="614BD81C" w14:textId="77777777" w:rsidR="00AC5680" w:rsidRPr="00B84B0C" w:rsidRDefault="00AC5680" w:rsidP="00904B54">
      <w:pPr>
        <w:pStyle w:val="01-Textonormal"/>
        <w:rPr>
          <w:rFonts w:cs="Arial"/>
        </w:rPr>
      </w:pPr>
      <w:r w:rsidRPr="00B84B0C">
        <w:rPr>
          <w:rFonts w:cs="Arial"/>
        </w:rPr>
        <w:t xml:space="preserve">Financial </w:t>
      </w:r>
      <w:proofErr w:type="spellStart"/>
      <w:r w:rsidRPr="00B84B0C">
        <w:rPr>
          <w:rFonts w:cs="Arial"/>
        </w:rPr>
        <w:t>investments</w:t>
      </w:r>
      <w:proofErr w:type="spellEnd"/>
      <w:r w:rsidRPr="00B84B0C">
        <w:rPr>
          <w:rFonts w:cs="Arial"/>
        </w:rPr>
        <w:t xml:space="preserve"> in short-</w:t>
      </w:r>
      <w:proofErr w:type="spellStart"/>
      <w:r w:rsidRPr="00B84B0C">
        <w:rPr>
          <w:rFonts w:cs="Arial"/>
        </w:rPr>
        <w:t>term</w:t>
      </w:r>
      <w:proofErr w:type="spellEnd"/>
      <w:r w:rsidRPr="00B84B0C">
        <w:rPr>
          <w:rFonts w:cs="Arial"/>
        </w:rPr>
        <w:t xml:space="preserve"> </w:t>
      </w:r>
      <w:proofErr w:type="spellStart"/>
      <w:r w:rsidRPr="00B84B0C">
        <w:rPr>
          <w:rFonts w:cs="Arial"/>
        </w:rPr>
        <w:t>funds</w:t>
      </w:r>
      <w:proofErr w:type="spellEnd"/>
      <w:r w:rsidRPr="00B84B0C">
        <w:rPr>
          <w:rFonts w:cs="Arial"/>
        </w:rPr>
        <w:t xml:space="preserve"> </w:t>
      </w:r>
      <w:proofErr w:type="spellStart"/>
      <w:r w:rsidRPr="00B84B0C">
        <w:rPr>
          <w:rFonts w:cs="Arial"/>
        </w:rPr>
        <w:t>and</w:t>
      </w:r>
      <w:proofErr w:type="spellEnd"/>
      <w:r w:rsidRPr="00B84B0C">
        <w:rPr>
          <w:rFonts w:cs="Arial"/>
        </w:rPr>
        <w:t xml:space="preserve"> cash </w:t>
      </w:r>
      <w:proofErr w:type="spellStart"/>
      <w:r w:rsidRPr="00B84B0C">
        <w:rPr>
          <w:rFonts w:cs="Arial"/>
        </w:rPr>
        <w:t>equivalents</w:t>
      </w:r>
      <w:proofErr w:type="spellEnd"/>
      <w:r w:rsidRPr="00B84B0C">
        <w:rPr>
          <w:rFonts w:cs="Arial"/>
        </w:rPr>
        <w:t xml:space="preserve"> are </w:t>
      </w:r>
      <w:proofErr w:type="spellStart"/>
      <w:r w:rsidRPr="00B84B0C">
        <w:rPr>
          <w:rFonts w:cs="Arial"/>
        </w:rPr>
        <w:t>classified</w:t>
      </w:r>
      <w:proofErr w:type="spellEnd"/>
      <w:r w:rsidRPr="00B84B0C">
        <w:rPr>
          <w:rFonts w:cs="Arial"/>
        </w:rPr>
        <w:t xml:space="preserve"> </w:t>
      </w:r>
      <w:proofErr w:type="gramStart"/>
      <w:r w:rsidRPr="00B84B0C">
        <w:rPr>
          <w:rFonts w:cs="Arial"/>
        </w:rPr>
        <w:t>as financial</w:t>
      </w:r>
      <w:proofErr w:type="gramEnd"/>
      <w:r w:rsidRPr="00B84B0C">
        <w:rPr>
          <w:rFonts w:cs="Arial"/>
        </w:rPr>
        <w:t xml:space="preserve"> </w:t>
      </w:r>
      <w:proofErr w:type="spellStart"/>
      <w:r w:rsidRPr="00B84B0C">
        <w:rPr>
          <w:rFonts w:cs="Arial"/>
        </w:rPr>
        <w:t>assets</w:t>
      </w:r>
      <w:proofErr w:type="spellEnd"/>
      <w:r w:rsidRPr="00B84B0C">
        <w:rPr>
          <w:rFonts w:cs="Arial"/>
        </w:rPr>
        <w:t xml:space="preserve"> </w:t>
      </w:r>
      <w:proofErr w:type="spellStart"/>
      <w:r w:rsidRPr="00B84B0C">
        <w:rPr>
          <w:rFonts w:cs="Arial"/>
        </w:rPr>
        <w:t>at</w:t>
      </w:r>
      <w:proofErr w:type="spellEnd"/>
      <w:r w:rsidRPr="00B84B0C">
        <w:rPr>
          <w:rFonts w:cs="Arial"/>
        </w:rPr>
        <w:t xml:space="preserve"> fair </w:t>
      </w:r>
      <w:proofErr w:type="spellStart"/>
      <w:r w:rsidRPr="00B84B0C">
        <w:rPr>
          <w:rFonts w:cs="Arial"/>
        </w:rPr>
        <w:t>value</w:t>
      </w:r>
      <w:proofErr w:type="spellEnd"/>
      <w:r w:rsidRPr="00B84B0C">
        <w:rPr>
          <w:rFonts w:cs="Arial"/>
        </w:rPr>
        <w:t xml:space="preserve"> </w:t>
      </w:r>
      <w:proofErr w:type="spellStart"/>
      <w:r w:rsidRPr="00B84B0C">
        <w:rPr>
          <w:rFonts w:cs="Arial"/>
        </w:rPr>
        <w:t>through</w:t>
      </w:r>
      <w:proofErr w:type="spellEnd"/>
      <w:r w:rsidRPr="00B84B0C">
        <w:rPr>
          <w:rFonts w:cs="Arial"/>
        </w:rPr>
        <w:t xml:space="preserve"> </w:t>
      </w:r>
      <w:proofErr w:type="spellStart"/>
      <w:r w:rsidRPr="00B84B0C">
        <w:rPr>
          <w:rFonts w:cs="Arial"/>
        </w:rPr>
        <w:t>profit</w:t>
      </w:r>
      <w:proofErr w:type="spellEnd"/>
      <w:r w:rsidRPr="00B84B0C">
        <w:rPr>
          <w:rFonts w:cs="Arial"/>
        </w:rPr>
        <w:t xml:space="preserve"> </w:t>
      </w:r>
      <w:proofErr w:type="spellStart"/>
      <w:r w:rsidRPr="00B84B0C">
        <w:rPr>
          <w:rFonts w:cs="Arial"/>
        </w:rPr>
        <w:t>or</w:t>
      </w:r>
      <w:proofErr w:type="spellEnd"/>
      <w:r w:rsidRPr="00B84B0C">
        <w:rPr>
          <w:rFonts w:cs="Arial"/>
        </w:rPr>
        <w:t xml:space="preserve"> </w:t>
      </w:r>
      <w:proofErr w:type="spellStart"/>
      <w:r w:rsidRPr="00B84B0C">
        <w:rPr>
          <w:rFonts w:cs="Arial"/>
        </w:rPr>
        <w:t>loss</w:t>
      </w:r>
      <w:proofErr w:type="spellEnd"/>
      <w:r w:rsidRPr="00B84B0C">
        <w:rPr>
          <w:rFonts w:cs="Arial"/>
        </w:rPr>
        <w:t>.</w:t>
      </w:r>
    </w:p>
    <w:p w14:paraId="15FB23DE" w14:textId="2A8CE786" w:rsidR="008C2DEA" w:rsidRPr="00B84B0C" w:rsidRDefault="008C2DEA" w:rsidP="00AC5680">
      <w:pPr>
        <w:pStyle w:val="01-TtulodeNota"/>
        <w:rPr>
          <w:rFonts w:cs="Arial"/>
          <w:bCs/>
          <w:color w:val="000000" w:themeColor="text1"/>
          <w:szCs w:val="18"/>
        </w:rPr>
      </w:pPr>
    </w:p>
    <w:p w14:paraId="219541BD" w14:textId="4F4BD08F" w:rsidR="00AC5680" w:rsidRPr="00B84B0C" w:rsidRDefault="00AC5680" w:rsidP="00904B54">
      <w:pPr>
        <w:pStyle w:val="02-TtulodeNota"/>
        <w:keepNext/>
        <w:keepLines/>
        <w:pageBreakBefore/>
        <w:rPr>
          <w:rFonts w:cs="Arial"/>
          <w:color w:val="1F4E79" w:themeColor="accent1" w:themeShade="80"/>
        </w:rPr>
      </w:pPr>
      <w:bookmarkStart w:id="21" w:name="_Toc39131492"/>
      <w:r w:rsidRPr="00B84B0C">
        <w:rPr>
          <w:rFonts w:cs="Arial"/>
          <w:color w:val="1F4E79" w:themeColor="accent1" w:themeShade="80"/>
        </w:rPr>
        <w:lastRenderedPageBreak/>
        <w:t>8 – FINANCIAL INSTRUMENTS</w:t>
      </w:r>
      <w:bookmarkEnd w:id="21"/>
    </w:p>
    <w:p w14:paraId="7607A348" w14:textId="77777777" w:rsidR="00AC5680" w:rsidRPr="00B84B0C" w:rsidRDefault="00AC5680" w:rsidP="00736E78">
      <w:pPr>
        <w:pStyle w:val="01-TtulodeNota"/>
        <w:numPr>
          <w:ilvl w:val="0"/>
          <w:numId w:val="3"/>
        </w:numPr>
        <w:rPr>
          <w:rFonts w:cs="Arial"/>
          <w:color w:val="1F4E79" w:themeColor="accent1" w:themeShade="80"/>
        </w:rPr>
      </w:pPr>
      <w:r w:rsidRPr="00B84B0C">
        <w:rPr>
          <w:rFonts w:cs="Arial"/>
          <w:color w:val="1F4E79" w:themeColor="accent1" w:themeShade="80"/>
        </w:rPr>
        <w:t xml:space="preserve">Financial </w:t>
      </w:r>
      <w:proofErr w:type="spellStart"/>
      <w:r w:rsidRPr="00B84B0C">
        <w:rPr>
          <w:rFonts w:cs="Arial"/>
          <w:color w:val="1F4E79" w:themeColor="accent1" w:themeShade="80"/>
        </w:rPr>
        <w:t>Assets</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at</w:t>
      </w:r>
      <w:proofErr w:type="spellEnd"/>
      <w:r w:rsidRPr="00B84B0C">
        <w:rPr>
          <w:rFonts w:cs="Arial"/>
          <w:color w:val="1F4E79" w:themeColor="accent1" w:themeShade="80"/>
        </w:rPr>
        <w:t xml:space="preserve"> Fair </w:t>
      </w:r>
      <w:proofErr w:type="spellStart"/>
      <w:r w:rsidRPr="00B84B0C">
        <w:rPr>
          <w:rFonts w:cs="Arial"/>
          <w:color w:val="1F4E79" w:themeColor="accent1" w:themeShade="80"/>
        </w:rPr>
        <w:t>Value</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through</w:t>
      </w:r>
      <w:proofErr w:type="spellEnd"/>
      <w:r w:rsidRPr="00B84B0C">
        <w:rPr>
          <w:rFonts w:cs="Arial"/>
          <w:color w:val="1F4E79" w:themeColor="accent1" w:themeShade="80"/>
        </w:rPr>
        <w:t xml:space="preserve"> Profit </w:t>
      </w:r>
      <w:proofErr w:type="spellStart"/>
      <w:r w:rsidRPr="00B84B0C">
        <w:rPr>
          <w:rFonts w:cs="Arial"/>
          <w:color w:val="1F4E79" w:themeColor="accent1" w:themeShade="80"/>
        </w:rPr>
        <w:t>or</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Loss</w:t>
      </w:r>
      <w:proofErr w:type="spellEnd"/>
    </w:p>
    <w:p w14:paraId="1E100721" w14:textId="77777777" w:rsidR="00AC5680" w:rsidRPr="00B84B0C" w:rsidRDefault="00AC5680" w:rsidP="00736E78">
      <w:pPr>
        <w:spacing w:after="0"/>
        <w:jc w:val="right"/>
        <w:rPr>
          <w:rFonts w:cs="Arial"/>
          <w:b/>
          <w:sz w:val="14"/>
          <w:szCs w:val="14"/>
          <w:lang w:eastAsia="pt-BR"/>
        </w:rPr>
      </w:pPr>
      <w:r w:rsidRPr="00B84B0C">
        <w:rPr>
          <w:rFonts w:cs="Arial"/>
          <w:b/>
          <w:sz w:val="14"/>
          <w:szCs w:val="14"/>
        </w:rPr>
        <w:t xml:space="preserve">R$ </w:t>
      </w:r>
      <w:proofErr w:type="spellStart"/>
      <w:r w:rsidRPr="00B84B0C">
        <w:rPr>
          <w:rFonts w:cs="Arial"/>
          <w:b/>
          <w:sz w:val="14"/>
          <w:szCs w:val="14"/>
        </w:rPr>
        <w:t>thousand</w:t>
      </w:r>
      <w:proofErr w:type="spellEnd"/>
    </w:p>
    <w:tbl>
      <w:tblPr>
        <w:tblW w:w="9609" w:type="dxa"/>
        <w:tblInd w:w="70" w:type="dxa"/>
        <w:tblCellMar>
          <w:left w:w="70" w:type="dxa"/>
          <w:right w:w="70" w:type="dxa"/>
        </w:tblCellMar>
        <w:tblLook w:val="04A0" w:firstRow="1" w:lastRow="0" w:firstColumn="1" w:lastColumn="0" w:noHBand="0" w:noVBand="1"/>
      </w:tblPr>
      <w:tblGrid>
        <w:gridCol w:w="2198"/>
        <w:gridCol w:w="1041"/>
        <w:gridCol w:w="1043"/>
        <w:gridCol w:w="1042"/>
        <w:gridCol w:w="1041"/>
        <w:gridCol w:w="1326"/>
        <w:gridCol w:w="870"/>
        <w:gridCol w:w="1048"/>
      </w:tblGrid>
      <w:tr w:rsidR="00AC5680" w:rsidRPr="00B84B0C" w14:paraId="5A554202" w14:textId="77777777" w:rsidTr="00AC5680">
        <w:trPr>
          <w:trHeight w:val="194"/>
        </w:trPr>
        <w:tc>
          <w:tcPr>
            <w:tcW w:w="2198" w:type="dxa"/>
            <w:tcBorders>
              <w:top w:val="single" w:sz="4" w:space="0" w:color="8EAADB"/>
              <w:left w:val="nil"/>
              <w:bottom w:val="nil"/>
              <w:right w:val="nil"/>
            </w:tcBorders>
            <w:shd w:val="clear" w:color="000000" w:fill="D9E2F3"/>
            <w:noWrap/>
            <w:vAlign w:val="bottom"/>
            <w:hideMark/>
          </w:tcPr>
          <w:p w14:paraId="67EE4E22" w14:textId="77777777" w:rsidR="00AC5680" w:rsidRPr="00B84B0C" w:rsidRDefault="00AC5680" w:rsidP="00736E78">
            <w:pPr>
              <w:pStyle w:val="08-Tabelageral"/>
              <w:jc w:val="center"/>
              <w:rPr>
                <w:rFonts w:cs="Arial"/>
                <w:b/>
              </w:rPr>
            </w:pPr>
          </w:p>
        </w:tc>
        <w:tc>
          <w:tcPr>
            <w:tcW w:w="7411" w:type="dxa"/>
            <w:gridSpan w:val="7"/>
            <w:tcBorders>
              <w:top w:val="single" w:sz="4" w:space="0" w:color="8EAADB"/>
              <w:left w:val="nil"/>
              <w:bottom w:val="single" w:sz="4" w:space="0" w:color="8EAADB"/>
              <w:right w:val="nil"/>
            </w:tcBorders>
            <w:shd w:val="clear" w:color="000000" w:fill="D9E2F3"/>
            <w:noWrap/>
            <w:vAlign w:val="bottom"/>
            <w:hideMark/>
          </w:tcPr>
          <w:p w14:paraId="3C3863B1" w14:textId="77777777" w:rsidR="00AC5680" w:rsidRPr="00B84B0C" w:rsidRDefault="00AC5680" w:rsidP="00736E78">
            <w:pPr>
              <w:pStyle w:val="08-Tabelageral"/>
              <w:jc w:val="center"/>
              <w:rPr>
                <w:rFonts w:cs="Arial"/>
                <w:b/>
              </w:rPr>
            </w:pPr>
            <w:proofErr w:type="spellStart"/>
            <w:r w:rsidRPr="00B84B0C">
              <w:rPr>
                <w:rFonts w:cs="Arial"/>
                <w:b/>
              </w:rPr>
              <w:t>Parent</w:t>
            </w:r>
            <w:proofErr w:type="spellEnd"/>
          </w:p>
        </w:tc>
      </w:tr>
      <w:tr w:rsidR="00AC5680" w:rsidRPr="00B84B0C" w14:paraId="7E00EF79" w14:textId="77777777" w:rsidTr="00AC5680">
        <w:trPr>
          <w:trHeight w:val="194"/>
        </w:trPr>
        <w:tc>
          <w:tcPr>
            <w:tcW w:w="2198" w:type="dxa"/>
            <w:tcBorders>
              <w:top w:val="nil"/>
              <w:left w:val="nil"/>
              <w:bottom w:val="nil"/>
              <w:right w:val="nil"/>
            </w:tcBorders>
            <w:shd w:val="clear" w:color="000000" w:fill="D9E2F3"/>
            <w:noWrap/>
            <w:vAlign w:val="bottom"/>
            <w:hideMark/>
          </w:tcPr>
          <w:p w14:paraId="13D23639" w14:textId="77777777" w:rsidR="00AC5680" w:rsidRPr="00B84B0C" w:rsidRDefault="00AC5680" w:rsidP="00736E78">
            <w:pPr>
              <w:pStyle w:val="08-Tabelageral"/>
              <w:jc w:val="center"/>
              <w:rPr>
                <w:rFonts w:cs="Arial"/>
                <w:b/>
              </w:rPr>
            </w:pPr>
          </w:p>
        </w:tc>
        <w:tc>
          <w:tcPr>
            <w:tcW w:w="2084" w:type="dxa"/>
            <w:gridSpan w:val="2"/>
            <w:tcBorders>
              <w:top w:val="single" w:sz="4" w:space="0" w:color="8EAADB"/>
              <w:left w:val="nil"/>
              <w:bottom w:val="single" w:sz="4" w:space="0" w:color="8EAADB"/>
              <w:right w:val="nil"/>
            </w:tcBorders>
            <w:shd w:val="clear" w:color="000000" w:fill="D9E2F3"/>
            <w:noWrap/>
            <w:vAlign w:val="bottom"/>
            <w:hideMark/>
          </w:tcPr>
          <w:p w14:paraId="0276E6FA" w14:textId="77777777" w:rsidR="00AC5680" w:rsidRPr="00B84B0C" w:rsidRDefault="00AC5680" w:rsidP="00736E78">
            <w:pPr>
              <w:pStyle w:val="08-Tabelageral"/>
              <w:jc w:val="center"/>
              <w:rPr>
                <w:rFonts w:cs="Arial"/>
                <w:b/>
              </w:rPr>
            </w:pPr>
            <w:proofErr w:type="spellStart"/>
            <w:r w:rsidRPr="00B84B0C">
              <w:rPr>
                <w:rFonts w:cs="Arial"/>
                <w:b/>
              </w:rPr>
              <w:t>Dec</w:t>
            </w:r>
            <w:proofErr w:type="spellEnd"/>
            <w:r w:rsidRPr="00B84B0C">
              <w:rPr>
                <w:rFonts w:cs="Arial"/>
                <w:b/>
              </w:rPr>
              <w:t xml:space="preserve"> 31, 2019</w:t>
            </w:r>
          </w:p>
        </w:tc>
        <w:tc>
          <w:tcPr>
            <w:tcW w:w="1042" w:type="dxa"/>
            <w:tcBorders>
              <w:top w:val="nil"/>
              <w:left w:val="nil"/>
              <w:bottom w:val="nil"/>
              <w:right w:val="nil"/>
            </w:tcBorders>
            <w:shd w:val="clear" w:color="000000" w:fill="D9E2F3"/>
            <w:noWrap/>
            <w:vAlign w:val="bottom"/>
            <w:hideMark/>
          </w:tcPr>
          <w:p w14:paraId="2687B620" w14:textId="77777777" w:rsidR="00AC5680" w:rsidRPr="00B84B0C" w:rsidRDefault="00AC5680" w:rsidP="00736E78">
            <w:pPr>
              <w:pStyle w:val="08-Tabelageral"/>
              <w:jc w:val="center"/>
              <w:rPr>
                <w:rFonts w:cs="Arial"/>
                <w:b/>
              </w:rPr>
            </w:pPr>
          </w:p>
        </w:tc>
        <w:tc>
          <w:tcPr>
            <w:tcW w:w="1041" w:type="dxa"/>
            <w:tcBorders>
              <w:top w:val="nil"/>
              <w:left w:val="nil"/>
              <w:bottom w:val="nil"/>
              <w:right w:val="nil"/>
            </w:tcBorders>
            <w:shd w:val="clear" w:color="000000" w:fill="D9E2F3"/>
            <w:noWrap/>
            <w:vAlign w:val="bottom"/>
            <w:hideMark/>
          </w:tcPr>
          <w:p w14:paraId="3F62B109" w14:textId="77777777" w:rsidR="00AC5680" w:rsidRPr="00B84B0C" w:rsidRDefault="00AC5680" w:rsidP="00736E78">
            <w:pPr>
              <w:pStyle w:val="08-Tabelageral"/>
              <w:jc w:val="center"/>
              <w:rPr>
                <w:rFonts w:cs="Arial"/>
                <w:b/>
              </w:rPr>
            </w:pPr>
          </w:p>
        </w:tc>
        <w:tc>
          <w:tcPr>
            <w:tcW w:w="1326" w:type="dxa"/>
            <w:tcBorders>
              <w:top w:val="nil"/>
              <w:left w:val="nil"/>
              <w:bottom w:val="nil"/>
              <w:right w:val="nil"/>
            </w:tcBorders>
            <w:shd w:val="clear" w:color="000000" w:fill="D9E2F3"/>
            <w:noWrap/>
            <w:vAlign w:val="bottom"/>
            <w:hideMark/>
          </w:tcPr>
          <w:p w14:paraId="482E74B8" w14:textId="77777777" w:rsidR="00AC5680" w:rsidRPr="00B84B0C" w:rsidRDefault="00AC5680" w:rsidP="00736E78">
            <w:pPr>
              <w:pStyle w:val="08-Tabelageral"/>
              <w:jc w:val="center"/>
              <w:rPr>
                <w:rFonts w:cs="Arial"/>
                <w:b/>
              </w:rPr>
            </w:pPr>
          </w:p>
        </w:tc>
        <w:tc>
          <w:tcPr>
            <w:tcW w:w="1918" w:type="dxa"/>
            <w:gridSpan w:val="2"/>
            <w:tcBorders>
              <w:top w:val="single" w:sz="4" w:space="0" w:color="8EAADB"/>
              <w:left w:val="nil"/>
              <w:bottom w:val="single" w:sz="4" w:space="0" w:color="8EAADB"/>
              <w:right w:val="nil"/>
            </w:tcBorders>
            <w:shd w:val="clear" w:color="000000" w:fill="D9E2F3"/>
            <w:noWrap/>
            <w:vAlign w:val="bottom"/>
            <w:hideMark/>
          </w:tcPr>
          <w:p w14:paraId="39409781" w14:textId="77777777" w:rsidR="00AC5680" w:rsidRPr="00B84B0C" w:rsidRDefault="00AC5680" w:rsidP="00736E78">
            <w:pPr>
              <w:pStyle w:val="08-Tabelageral"/>
              <w:jc w:val="center"/>
              <w:rPr>
                <w:rFonts w:cs="Arial"/>
                <w:b/>
              </w:rPr>
            </w:pPr>
            <w:r w:rsidRPr="00B84B0C">
              <w:rPr>
                <w:rFonts w:cs="Arial"/>
                <w:b/>
              </w:rPr>
              <w:t>Mar 31, 2020</w:t>
            </w:r>
          </w:p>
        </w:tc>
      </w:tr>
      <w:tr w:rsidR="00AC5680" w:rsidRPr="00B84B0C" w14:paraId="119D632D" w14:textId="77777777" w:rsidTr="00AC5680">
        <w:trPr>
          <w:trHeight w:val="388"/>
        </w:trPr>
        <w:tc>
          <w:tcPr>
            <w:tcW w:w="2198" w:type="dxa"/>
            <w:tcBorders>
              <w:top w:val="nil"/>
              <w:left w:val="nil"/>
              <w:bottom w:val="single" w:sz="4" w:space="0" w:color="8EAADB"/>
              <w:right w:val="nil"/>
            </w:tcBorders>
            <w:shd w:val="clear" w:color="000000" w:fill="D9E2F3"/>
            <w:noWrap/>
            <w:vAlign w:val="bottom"/>
            <w:hideMark/>
          </w:tcPr>
          <w:p w14:paraId="04EFFD55" w14:textId="77777777" w:rsidR="00AC5680" w:rsidRPr="00B84B0C" w:rsidRDefault="00AC5680" w:rsidP="00736E78">
            <w:pPr>
              <w:pStyle w:val="08-Tabelageral"/>
              <w:jc w:val="center"/>
              <w:rPr>
                <w:rFonts w:cs="Arial"/>
                <w:b/>
              </w:rPr>
            </w:pPr>
          </w:p>
        </w:tc>
        <w:tc>
          <w:tcPr>
            <w:tcW w:w="1041" w:type="dxa"/>
            <w:tcBorders>
              <w:top w:val="nil"/>
              <w:left w:val="nil"/>
              <w:bottom w:val="single" w:sz="4" w:space="0" w:color="8EAADB"/>
              <w:right w:val="nil"/>
            </w:tcBorders>
            <w:shd w:val="clear" w:color="000000" w:fill="D9E2F3"/>
            <w:vAlign w:val="bottom"/>
            <w:hideMark/>
          </w:tcPr>
          <w:p w14:paraId="05D64979" w14:textId="77777777" w:rsidR="00AC5680" w:rsidRPr="00B84B0C" w:rsidRDefault="00AC5680" w:rsidP="00736E78">
            <w:pPr>
              <w:pStyle w:val="08-Tabelageral"/>
              <w:jc w:val="center"/>
              <w:rPr>
                <w:rFonts w:cs="Arial"/>
                <w:b/>
              </w:rPr>
            </w:pPr>
            <w:proofErr w:type="spellStart"/>
            <w:r w:rsidRPr="00B84B0C">
              <w:rPr>
                <w:rFonts w:cs="Arial"/>
                <w:b/>
              </w:rPr>
              <w:t>Cost</w:t>
            </w:r>
            <w:proofErr w:type="spellEnd"/>
            <w:r w:rsidRPr="00B84B0C">
              <w:rPr>
                <w:rFonts w:cs="Arial"/>
                <w:b/>
              </w:rPr>
              <w:t xml:space="preserve"> </w:t>
            </w:r>
            <w:proofErr w:type="spellStart"/>
            <w:r w:rsidRPr="00B84B0C">
              <w:rPr>
                <w:rFonts w:cs="Arial"/>
                <w:b/>
              </w:rPr>
              <w:t>Value</w:t>
            </w:r>
            <w:proofErr w:type="spellEnd"/>
          </w:p>
        </w:tc>
        <w:tc>
          <w:tcPr>
            <w:tcW w:w="1043" w:type="dxa"/>
            <w:tcBorders>
              <w:top w:val="nil"/>
              <w:left w:val="nil"/>
              <w:bottom w:val="single" w:sz="4" w:space="0" w:color="8EAADB"/>
              <w:right w:val="nil"/>
            </w:tcBorders>
            <w:shd w:val="clear" w:color="000000" w:fill="D9E2F3"/>
            <w:vAlign w:val="bottom"/>
            <w:hideMark/>
          </w:tcPr>
          <w:p w14:paraId="08CD6527" w14:textId="77777777" w:rsidR="00AC5680" w:rsidRPr="00B84B0C" w:rsidRDefault="00AC5680" w:rsidP="00736E78">
            <w:pPr>
              <w:pStyle w:val="08-Tabelageral"/>
              <w:jc w:val="center"/>
              <w:rPr>
                <w:rFonts w:cs="Arial"/>
                <w:b/>
              </w:rPr>
            </w:pPr>
            <w:r w:rsidRPr="00B84B0C">
              <w:rPr>
                <w:rFonts w:cs="Arial"/>
                <w:b/>
              </w:rPr>
              <w:t xml:space="preserve">Market </w:t>
            </w:r>
            <w:proofErr w:type="spellStart"/>
            <w:r w:rsidRPr="00B84B0C">
              <w:rPr>
                <w:rFonts w:cs="Arial"/>
                <w:b/>
              </w:rPr>
              <w:t>Value</w:t>
            </w:r>
            <w:proofErr w:type="spellEnd"/>
            <w:r w:rsidRPr="00B84B0C">
              <w:rPr>
                <w:rFonts w:cs="Arial"/>
                <w:b/>
              </w:rPr>
              <w:t xml:space="preserve">/ Book </w:t>
            </w:r>
            <w:proofErr w:type="spellStart"/>
            <w:r w:rsidRPr="00B84B0C">
              <w:rPr>
                <w:rFonts w:cs="Arial"/>
                <w:b/>
              </w:rPr>
              <w:t>Value</w:t>
            </w:r>
            <w:proofErr w:type="spellEnd"/>
          </w:p>
        </w:tc>
        <w:tc>
          <w:tcPr>
            <w:tcW w:w="1042" w:type="dxa"/>
            <w:tcBorders>
              <w:top w:val="nil"/>
              <w:left w:val="nil"/>
              <w:bottom w:val="single" w:sz="4" w:space="0" w:color="8EAADB"/>
              <w:right w:val="nil"/>
            </w:tcBorders>
            <w:shd w:val="clear" w:color="000000" w:fill="D9E2F3"/>
            <w:vAlign w:val="bottom"/>
            <w:hideMark/>
          </w:tcPr>
          <w:p w14:paraId="4AAE3381" w14:textId="77777777" w:rsidR="00AC5680" w:rsidRPr="00B84B0C" w:rsidRDefault="00AC5680" w:rsidP="00736E78">
            <w:pPr>
              <w:pStyle w:val="08-Tabelageral"/>
              <w:jc w:val="center"/>
              <w:rPr>
                <w:rFonts w:cs="Arial"/>
                <w:b/>
              </w:rPr>
            </w:pPr>
            <w:proofErr w:type="spellStart"/>
            <w:r w:rsidRPr="00B84B0C">
              <w:rPr>
                <w:rFonts w:cs="Arial"/>
                <w:b/>
              </w:rPr>
              <w:t>Applications</w:t>
            </w:r>
            <w:proofErr w:type="spellEnd"/>
          </w:p>
        </w:tc>
        <w:tc>
          <w:tcPr>
            <w:tcW w:w="1041" w:type="dxa"/>
            <w:tcBorders>
              <w:top w:val="nil"/>
              <w:left w:val="nil"/>
              <w:bottom w:val="single" w:sz="4" w:space="0" w:color="8EAADB"/>
              <w:right w:val="nil"/>
            </w:tcBorders>
            <w:shd w:val="clear" w:color="000000" w:fill="D9E2F3"/>
            <w:vAlign w:val="bottom"/>
            <w:hideMark/>
          </w:tcPr>
          <w:p w14:paraId="17FAA765" w14:textId="77777777" w:rsidR="00AC5680" w:rsidRPr="00B84B0C" w:rsidRDefault="00AC5680" w:rsidP="00736E78">
            <w:pPr>
              <w:pStyle w:val="08-Tabelageral"/>
              <w:jc w:val="center"/>
              <w:rPr>
                <w:rFonts w:cs="Arial"/>
                <w:b/>
              </w:rPr>
            </w:pPr>
            <w:proofErr w:type="spellStart"/>
            <w:r w:rsidRPr="00B84B0C">
              <w:rPr>
                <w:rFonts w:cs="Arial"/>
                <w:b/>
              </w:rPr>
              <w:t>Redemptions</w:t>
            </w:r>
            <w:proofErr w:type="spellEnd"/>
          </w:p>
        </w:tc>
        <w:tc>
          <w:tcPr>
            <w:tcW w:w="1326" w:type="dxa"/>
            <w:tcBorders>
              <w:top w:val="nil"/>
              <w:left w:val="nil"/>
              <w:bottom w:val="single" w:sz="4" w:space="0" w:color="8EAADB"/>
              <w:right w:val="nil"/>
            </w:tcBorders>
            <w:shd w:val="clear" w:color="000000" w:fill="D9E2F3"/>
            <w:vAlign w:val="bottom"/>
            <w:hideMark/>
          </w:tcPr>
          <w:p w14:paraId="05F484C4" w14:textId="77777777" w:rsidR="00AC5680" w:rsidRPr="00B84B0C" w:rsidRDefault="00AC5680" w:rsidP="00736E78">
            <w:pPr>
              <w:pStyle w:val="08-Tabelageral"/>
              <w:jc w:val="center"/>
              <w:rPr>
                <w:rFonts w:cs="Arial"/>
                <w:b/>
              </w:rPr>
            </w:pPr>
            <w:proofErr w:type="spellStart"/>
            <w:r w:rsidRPr="00B84B0C">
              <w:rPr>
                <w:rFonts w:cs="Arial"/>
                <w:b/>
              </w:rPr>
              <w:t>Yield</w:t>
            </w:r>
            <w:proofErr w:type="spellEnd"/>
          </w:p>
        </w:tc>
        <w:tc>
          <w:tcPr>
            <w:tcW w:w="870" w:type="dxa"/>
            <w:tcBorders>
              <w:top w:val="nil"/>
              <w:left w:val="nil"/>
              <w:bottom w:val="single" w:sz="4" w:space="0" w:color="8EAADB"/>
              <w:right w:val="nil"/>
            </w:tcBorders>
            <w:shd w:val="clear" w:color="000000" w:fill="D9E2F3"/>
            <w:vAlign w:val="bottom"/>
            <w:hideMark/>
          </w:tcPr>
          <w:p w14:paraId="10961A17" w14:textId="77777777" w:rsidR="00AC5680" w:rsidRPr="00B84B0C" w:rsidRDefault="00AC5680" w:rsidP="00736E78">
            <w:pPr>
              <w:pStyle w:val="08-Tabelageral"/>
              <w:jc w:val="center"/>
              <w:rPr>
                <w:rFonts w:cs="Arial"/>
                <w:b/>
              </w:rPr>
            </w:pPr>
            <w:proofErr w:type="spellStart"/>
            <w:r w:rsidRPr="00B84B0C">
              <w:rPr>
                <w:rFonts w:cs="Arial"/>
                <w:b/>
              </w:rPr>
              <w:t>Cost</w:t>
            </w:r>
            <w:proofErr w:type="spellEnd"/>
            <w:r w:rsidRPr="00B84B0C">
              <w:rPr>
                <w:rFonts w:cs="Arial"/>
                <w:b/>
              </w:rPr>
              <w:t xml:space="preserve"> </w:t>
            </w:r>
            <w:proofErr w:type="spellStart"/>
            <w:r w:rsidRPr="00B84B0C">
              <w:rPr>
                <w:rFonts w:cs="Arial"/>
                <w:b/>
              </w:rPr>
              <w:t>Value</w:t>
            </w:r>
            <w:proofErr w:type="spellEnd"/>
          </w:p>
        </w:tc>
        <w:tc>
          <w:tcPr>
            <w:tcW w:w="1048" w:type="dxa"/>
            <w:tcBorders>
              <w:top w:val="nil"/>
              <w:left w:val="nil"/>
              <w:bottom w:val="single" w:sz="4" w:space="0" w:color="8EAADB"/>
              <w:right w:val="nil"/>
            </w:tcBorders>
            <w:shd w:val="clear" w:color="000000" w:fill="D9E2F3"/>
            <w:vAlign w:val="bottom"/>
            <w:hideMark/>
          </w:tcPr>
          <w:p w14:paraId="69739163" w14:textId="77777777" w:rsidR="00AC5680" w:rsidRPr="00B84B0C" w:rsidRDefault="00AC5680" w:rsidP="00736E78">
            <w:pPr>
              <w:pStyle w:val="08-Tabelageral"/>
              <w:jc w:val="center"/>
              <w:rPr>
                <w:rFonts w:cs="Arial"/>
                <w:b/>
              </w:rPr>
            </w:pPr>
            <w:r w:rsidRPr="00B84B0C">
              <w:rPr>
                <w:rFonts w:cs="Arial"/>
                <w:b/>
              </w:rPr>
              <w:t xml:space="preserve">Market </w:t>
            </w:r>
            <w:proofErr w:type="spellStart"/>
            <w:r w:rsidRPr="00B84B0C">
              <w:rPr>
                <w:rFonts w:cs="Arial"/>
                <w:b/>
              </w:rPr>
              <w:t>Value</w:t>
            </w:r>
            <w:proofErr w:type="spellEnd"/>
            <w:r w:rsidRPr="00B84B0C">
              <w:rPr>
                <w:rFonts w:cs="Arial"/>
                <w:b/>
              </w:rPr>
              <w:t xml:space="preserve">/ Book </w:t>
            </w:r>
            <w:proofErr w:type="spellStart"/>
            <w:r w:rsidRPr="00B84B0C">
              <w:rPr>
                <w:rFonts w:cs="Arial"/>
                <w:b/>
              </w:rPr>
              <w:t>Value</w:t>
            </w:r>
            <w:proofErr w:type="spellEnd"/>
          </w:p>
        </w:tc>
      </w:tr>
      <w:tr w:rsidR="00AC5680" w:rsidRPr="00B84B0C" w14:paraId="1466B98C" w14:textId="77777777" w:rsidTr="00AC5680">
        <w:trPr>
          <w:trHeight w:val="228"/>
        </w:trPr>
        <w:tc>
          <w:tcPr>
            <w:tcW w:w="2198" w:type="dxa"/>
            <w:tcBorders>
              <w:top w:val="nil"/>
              <w:left w:val="nil"/>
              <w:right w:val="nil"/>
            </w:tcBorders>
            <w:shd w:val="clear" w:color="auto" w:fill="auto"/>
            <w:noWrap/>
            <w:vAlign w:val="bottom"/>
            <w:hideMark/>
          </w:tcPr>
          <w:p w14:paraId="5DF27183" w14:textId="77777777" w:rsidR="00AC5680" w:rsidRPr="00B84B0C" w:rsidRDefault="00AC5680" w:rsidP="00736E78">
            <w:pPr>
              <w:pStyle w:val="08-Tabelageral"/>
              <w:jc w:val="left"/>
              <w:rPr>
                <w:rFonts w:cs="Arial"/>
              </w:rPr>
            </w:pPr>
            <w:proofErr w:type="spellStart"/>
            <w:r w:rsidRPr="00B84B0C">
              <w:rPr>
                <w:rFonts w:cs="Arial"/>
              </w:rPr>
              <w:t>Long-term</w:t>
            </w:r>
            <w:proofErr w:type="spellEnd"/>
            <w:r w:rsidRPr="00B84B0C">
              <w:rPr>
                <w:rFonts w:cs="Arial"/>
              </w:rPr>
              <w:t xml:space="preserve"> </w:t>
            </w:r>
            <w:proofErr w:type="spellStart"/>
            <w:proofErr w:type="gramStart"/>
            <w:r w:rsidRPr="00B84B0C">
              <w:rPr>
                <w:rFonts w:cs="Arial"/>
              </w:rPr>
              <w:t>fund</w:t>
            </w:r>
            <w:proofErr w:type="spellEnd"/>
            <w:r w:rsidRPr="00B84B0C">
              <w:rPr>
                <w:rFonts w:cs="Arial"/>
                <w:vertAlign w:val="superscript"/>
              </w:rPr>
              <w:t>(</w:t>
            </w:r>
            <w:proofErr w:type="gramEnd"/>
            <w:r w:rsidRPr="00B84B0C">
              <w:rPr>
                <w:rFonts w:cs="Arial"/>
                <w:vertAlign w:val="superscript"/>
              </w:rPr>
              <w:t>1)</w:t>
            </w:r>
          </w:p>
        </w:tc>
        <w:tc>
          <w:tcPr>
            <w:tcW w:w="1041" w:type="dxa"/>
            <w:tcBorders>
              <w:top w:val="nil"/>
              <w:left w:val="nil"/>
              <w:right w:val="nil"/>
            </w:tcBorders>
            <w:shd w:val="clear" w:color="auto" w:fill="auto"/>
            <w:noWrap/>
            <w:vAlign w:val="bottom"/>
          </w:tcPr>
          <w:p w14:paraId="38F9A953" w14:textId="77777777" w:rsidR="00AC5680" w:rsidRPr="00B84B0C" w:rsidRDefault="00AC5680" w:rsidP="00736E78">
            <w:pPr>
              <w:pStyle w:val="08-Tabelageral"/>
              <w:rPr>
                <w:rFonts w:cs="Arial"/>
              </w:rPr>
            </w:pPr>
            <w:r w:rsidRPr="00B84B0C">
              <w:rPr>
                <w:rFonts w:cs="Arial"/>
              </w:rPr>
              <w:t>3,691</w:t>
            </w:r>
          </w:p>
        </w:tc>
        <w:tc>
          <w:tcPr>
            <w:tcW w:w="1043" w:type="dxa"/>
            <w:tcBorders>
              <w:top w:val="nil"/>
              <w:left w:val="nil"/>
              <w:right w:val="nil"/>
            </w:tcBorders>
            <w:shd w:val="clear" w:color="auto" w:fill="auto"/>
            <w:noWrap/>
            <w:vAlign w:val="bottom"/>
          </w:tcPr>
          <w:p w14:paraId="5CE19CDB" w14:textId="77777777" w:rsidR="00AC5680" w:rsidRPr="00B84B0C" w:rsidRDefault="00AC5680" w:rsidP="00736E78">
            <w:pPr>
              <w:pStyle w:val="08-Tabelageral"/>
              <w:rPr>
                <w:rFonts w:cs="Arial"/>
              </w:rPr>
            </w:pPr>
            <w:r w:rsidRPr="00B84B0C">
              <w:rPr>
                <w:rFonts w:cs="Arial"/>
              </w:rPr>
              <w:t>3,413</w:t>
            </w:r>
          </w:p>
        </w:tc>
        <w:tc>
          <w:tcPr>
            <w:tcW w:w="1042" w:type="dxa"/>
            <w:tcBorders>
              <w:top w:val="nil"/>
              <w:left w:val="nil"/>
              <w:right w:val="nil"/>
            </w:tcBorders>
            <w:shd w:val="clear" w:color="auto" w:fill="auto"/>
            <w:noWrap/>
            <w:vAlign w:val="bottom"/>
          </w:tcPr>
          <w:p w14:paraId="564B773E" w14:textId="77777777" w:rsidR="00AC5680" w:rsidRPr="00B84B0C" w:rsidRDefault="00AC5680" w:rsidP="00736E78">
            <w:pPr>
              <w:pStyle w:val="08-Tabelageral"/>
              <w:rPr>
                <w:rFonts w:cs="Arial"/>
              </w:rPr>
            </w:pPr>
            <w:r w:rsidRPr="00B84B0C">
              <w:rPr>
                <w:rFonts w:cs="Arial"/>
              </w:rPr>
              <w:t>--</w:t>
            </w:r>
          </w:p>
        </w:tc>
        <w:tc>
          <w:tcPr>
            <w:tcW w:w="1041" w:type="dxa"/>
            <w:tcBorders>
              <w:top w:val="nil"/>
              <w:left w:val="nil"/>
              <w:right w:val="nil"/>
            </w:tcBorders>
            <w:shd w:val="clear" w:color="auto" w:fill="auto"/>
            <w:noWrap/>
            <w:vAlign w:val="bottom"/>
          </w:tcPr>
          <w:p w14:paraId="282A5EC4" w14:textId="77777777" w:rsidR="00AC5680" w:rsidRPr="00B84B0C" w:rsidRDefault="00AC5680" w:rsidP="00736E78">
            <w:pPr>
              <w:pStyle w:val="08-Tabelageral"/>
              <w:rPr>
                <w:rFonts w:cs="Arial"/>
              </w:rPr>
            </w:pPr>
            <w:r w:rsidRPr="00B84B0C">
              <w:rPr>
                <w:rFonts w:cs="Arial"/>
              </w:rPr>
              <w:t>--</w:t>
            </w:r>
          </w:p>
        </w:tc>
        <w:tc>
          <w:tcPr>
            <w:tcW w:w="1326" w:type="dxa"/>
            <w:tcBorders>
              <w:top w:val="nil"/>
              <w:left w:val="nil"/>
              <w:right w:val="nil"/>
            </w:tcBorders>
            <w:shd w:val="clear" w:color="auto" w:fill="auto"/>
            <w:noWrap/>
            <w:vAlign w:val="bottom"/>
          </w:tcPr>
          <w:p w14:paraId="7C82457D" w14:textId="77777777" w:rsidR="00AC5680" w:rsidRPr="00B84B0C" w:rsidRDefault="00AC5680" w:rsidP="00736E78">
            <w:pPr>
              <w:pStyle w:val="08-Tabelageral"/>
              <w:rPr>
                <w:rFonts w:cs="Arial"/>
              </w:rPr>
            </w:pPr>
            <w:r w:rsidRPr="00B84B0C">
              <w:rPr>
                <w:rFonts w:cs="Arial"/>
              </w:rPr>
              <w:t>169</w:t>
            </w:r>
          </w:p>
        </w:tc>
        <w:tc>
          <w:tcPr>
            <w:tcW w:w="870" w:type="dxa"/>
            <w:tcBorders>
              <w:top w:val="nil"/>
              <w:left w:val="nil"/>
              <w:right w:val="nil"/>
            </w:tcBorders>
            <w:shd w:val="clear" w:color="auto" w:fill="auto"/>
            <w:noWrap/>
            <w:vAlign w:val="bottom"/>
          </w:tcPr>
          <w:p w14:paraId="2CB0C6C5" w14:textId="77777777" w:rsidR="00AC5680" w:rsidRPr="00B84B0C" w:rsidRDefault="00AC5680" w:rsidP="00736E78">
            <w:pPr>
              <w:pStyle w:val="08-Tabelageral"/>
              <w:rPr>
                <w:rFonts w:cs="Arial"/>
              </w:rPr>
            </w:pPr>
            <w:r w:rsidRPr="00B84B0C">
              <w:rPr>
                <w:rFonts w:cs="Arial"/>
              </w:rPr>
              <w:t>3,691</w:t>
            </w:r>
          </w:p>
        </w:tc>
        <w:tc>
          <w:tcPr>
            <w:tcW w:w="1048" w:type="dxa"/>
            <w:tcBorders>
              <w:top w:val="nil"/>
              <w:left w:val="nil"/>
              <w:right w:val="nil"/>
            </w:tcBorders>
            <w:shd w:val="clear" w:color="auto" w:fill="auto"/>
            <w:noWrap/>
            <w:vAlign w:val="bottom"/>
          </w:tcPr>
          <w:p w14:paraId="14C63EDF" w14:textId="77777777" w:rsidR="00AC5680" w:rsidRPr="00B84B0C" w:rsidRDefault="00AC5680" w:rsidP="00736E78">
            <w:pPr>
              <w:pStyle w:val="08-Tabelageral"/>
              <w:rPr>
                <w:rFonts w:cs="Arial"/>
              </w:rPr>
            </w:pPr>
            <w:r w:rsidRPr="00B84B0C">
              <w:rPr>
                <w:rFonts w:cs="Arial"/>
              </w:rPr>
              <w:t>3,582</w:t>
            </w:r>
          </w:p>
        </w:tc>
      </w:tr>
      <w:tr w:rsidR="00AC5680" w:rsidRPr="00B84B0C" w14:paraId="36494F4D" w14:textId="77777777" w:rsidTr="00AC5680">
        <w:trPr>
          <w:trHeight w:val="228"/>
        </w:trPr>
        <w:tc>
          <w:tcPr>
            <w:tcW w:w="2198" w:type="dxa"/>
            <w:tcBorders>
              <w:top w:val="nil"/>
              <w:left w:val="nil"/>
              <w:bottom w:val="single" w:sz="2" w:space="0" w:color="8EAADB" w:themeColor="accent5" w:themeTint="99"/>
              <w:right w:val="nil"/>
            </w:tcBorders>
            <w:shd w:val="clear" w:color="000000" w:fill="D9E2F3"/>
            <w:noWrap/>
            <w:vAlign w:val="bottom"/>
            <w:hideMark/>
          </w:tcPr>
          <w:p w14:paraId="43E8DCBE" w14:textId="77777777" w:rsidR="00AC5680" w:rsidRPr="00B84B0C" w:rsidRDefault="00AC5680" w:rsidP="00736E78">
            <w:pPr>
              <w:pStyle w:val="08-Tabelageral"/>
              <w:jc w:val="left"/>
              <w:rPr>
                <w:rFonts w:cs="Arial"/>
                <w:b/>
              </w:rPr>
            </w:pPr>
            <w:r w:rsidRPr="00B84B0C">
              <w:rPr>
                <w:rFonts w:cs="Arial"/>
                <w:b/>
              </w:rPr>
              <w:t>Total</w:t>
            </w:r>
          </w:p>
        </w:tc>
        <w:tc>
          <w:tcPr>
            <w:tcW w:w="1041" w:type="dxa"/>
            <w:tcBorders>
              <w:top w:val="nil"/>
              <w:left w:val="nil"/>
              <w:bottom w:val="single" w:sz="2" w:space="0" w:color="8EAADB" w:themeColor="accent5" w:themeTint="99"/>
              <w:right w:val="nil"/>
            </w:tcBorders>
            <w:shd w:val="clear" w:color="000000" w:fill="D9E2F3"/>
            <w:noWrap/>
            <w:vAlign w:val="bottom"/>
          </w:tcPr>
          <w:p w14:paraId="5769374B" w14:textId="77777777" w:rsidR="00AC5680" w:rsidRPr="00B84B0C" w:rsidRDefault="00AC5680" w:rsidP="00736E78">
            <w:pPr>
              <w:pStyle w:val="08-Tabelageral"/>
              <w:rPr>
                <w:rFonts w:cs="Arial"/>
                <w:b/>
              </w:rPr>
            </w:pPr>
            <w:r w:rsidRPr="00B84B0C">
              <w:rPr>
                <w:rFonts w:cs="Arial"/>
                <w:b/>
              </w:rPr>
              <w:t>3,691</w:t>
            </w:r>
          </w:p>
        </w:tc>
        <w:tc>
          <w:tcPr>
            <w:tcW w:w="1043" w:type="dxa"/>
            <w:tcBorders>
              <w:top w:val="nil"/>
              <w:left w:val="nil"/>
              <w:bottom w:val="single" w:sz="2" w:space="0" w:color="8EAADB" w:themeColor="accent5" w:themeTint="99"/>
              <w:right w:val="nil"/>
            </w:tcBorders>
            <w:shd w:val="clear" w:color="000000" w:fill="D9E2F3"/>
            <w:noWrap/>
            <w:vAlign w:val="bottom"/>
          </w:tcPr>
          <w:p w14:paraId="7A7B2304" w14:textId="77777777" w:rsidR="00AC5680" w:rsidRPr="00B84B0C" w:rsidRDefault="00AC5680" w:rsidP="00736E78">
            <w:pPr>
              <w:pStyle w:val="08-Tabelageral"/>
              <w:rPr>
                <w:rFonts w:cs="Arial"/>
                <w:b/>
              </w:rPr>
            </w:pPr>
            <w:r w:rsidRPr="00B84B0C">
              <w:rPr>
                <w:rFonts w:cs="Arial"/>
                <w:b/>
              </w:rPr>
              <w:t>3,413</w:t>
            </w:r>
          </w:p>
        </w:tc>
        <w:tc>
          <w:tcPr>
            <w:tcW w:w="1042" w:type="dxa"/>
            <w:tcBorders>
              <w:top w:val="nil"/>
              <w:left w:val="nil"/>
              <w:bottom w:val="single" w:sz="2" w:space="0" w:color="8EAADB" w:themeColor="accent5" w:themeTint="99"/>
              <w:right w:val="nil"/>
            </w:tcBorders>
            <w:shd w:val="clear" w:color="000000" w:fill="D9E2F3"/>
            <w:noWrap/>
            <w:vAlign w:val="bottom"/>
          </w:tcPr>
          <w:p w14:paraId="60FB4A6F" w14:textId="77777777" w:rsidR="00AC5680" w:rsidRPr="00B84B0C" w:rsidRDefault="00AC5680" w:rsidP="00736E78">
            <w:pPr>
              <w:pStyle w:val="08-Tabelageral"/>
              <w:rPr>
                <w:rFonts w:cs="Arial"/>
                <w:b/>
              </w:rPr>
            </w:pPr>
            <w:r w:rsidRPr="00B84B0C">
              <w:rPr>
                <w:rFonts w:cs="Arial"/>
                <w:b/>
              </w:rPr>
              <w:t>--</w:t>
            </w:r>
          </w:p>
        </w:tc>
        <w:tc>
          <w:tcPr>
            <w:tcW w:w="1041" w:type="dxa"/>
            <w:tcBorders>
              <w:top w:val="nil"/>
              <w:left w:val="nil"/>
              <w:bottom w:val="single" w:sz="2" w:space="0" w:color="8EAADB" w:themeColor="accent5" w:themeTint="99"/>
              <w:right w:val="nil"/>
            </w:tcBorders>
            <w:shd w:val="clear" w:color="000000" w:fill="D9E2F3"/>
            <w:noWrap/>
            <w:vAlign w:val="bottom"/>
          </w:tcPr>
          <w:p w14:paraId="23637970" w14:textId="77777777" w:rsidR="00AC5680" w:rsidRPr="00B84B0C" w:rsidRDefault="00AC5680" w:rsidP="00736E78">
            <w:pPr>
              <w:pStyle w:val="08-Tabelageral"/>
              <w:rPr>
                <w:rFonts w:cs="Arial"/>
                <w:b/>
              </w:rPr>
            </w:pPr>
            <w:r w:rsidRPr="00B84B0C">
              <w:rPr>
                <w:rFonts w:cs="Arial"/>
                <w:b/>
              </w:rPr>
              <w:t>--</w:t>
            </w:r>
          </w:p>
        </w:tc>
        <w:tc>
          <w:tcPr>
            <w:tcW w:w="1326" w:type="dxa"/>
            <w:tcBorders>
              <w:top w:val="nil"/>
              <w:left w:val="nil"/>
              <w:bottom w:val="single" w:sz="2" w:space="0" w:color="8EAADB" w:themeColor="accent5" w:themeTint="99"/>
              <w:right w:val="nil"/>
            </w:tcBorders>
            <w:shd w:val="clear" w:color="000000" w:fill="D9E2F3"/>
            <w:noWrap/>
            <w:vAlign w:val="bottom"/>
          </w:tcPr>
          <w:p w14:paraId="3A3693DB" w14:textId="77777777" w:rsidR="00AC5680" w:rsidRPr="00B84B0C" w:rsidRDefault="00AC5680" w:rsidP="00736E78">
            <w:pPr>
              <w:pStyle w:val="08-Tabelageral"/>
              <w:rPr>
                <w:rFonts w:cs="Arial"/>
                <w:b/>
              </w:rPr>
            </w:pPr>
            <w:r w:rsidRPr="00B84B0C">
              <w:rPr>
                <w:rFonts w:cs="Arial"/>
                <w:b/>
              </w:rPr>
              <w:t>169</w:t>
            </w:r>
          </w:p>
        </w:tc>
        <w:tc>
          <w:tcPr>
            <w:tcW w:w="870" w:type="dxa"/>
            <w:tcBorders>
              <w:top w:val="nil"/>
              <w:left w:val="nil"/>
              <w:bottom w:val="single" w:sz="2" w:space="0" w:color="8EAADB" w:themeColor="accent5" w:themeTint="99"/>
              <w:right w:val="nil"/>
            </w:tcBorders>
            <w:shd w:val="clear" w:color="000000" w:fill="D9E2F3"/>
            <w:noWrap/>
            <w:vAlign w:val="bottom"/>
          </w:tcPr>
          <w:p w14:paraId="5AD30E0D" w14:textId="77777777" w:rsidR="00AC5680" w:rsidRPr="00B84B0C" w:rsidRDefault="00AC5680" w:rsidP="00736E78">
            <w:pPr>
              <w:pStyle w:val="08-Tabelageral"/>
              <w:rPr>
                <w:rFonts w:cs="Arial"/>
                <w:b/>
              </w:rPr>
            </w:pPr>
            <w:r w:rsidRPr="00B84B0C">
              <w:rPr>
                <w:rFonts w:cs="Arial"/>
                <w:b/>
              </w:rPr>
              <w:t>3,691</w:t>
            </w:r>
          </w:p>
        </w:tc>
        <w:tc>
          <w:tcPr>
            <w:tcW w:w="1048" w:type="dxa"/>
            <w:tcBorders>
              <w:top w:val="nil"/>
              <w:left w:val="nil"/>
              <w:bottom w:val="single" w:sz="2" w:space="0" w:color="8EAADB" w:themeColor="accent5" w:themeTint="99"/>
              <w:right w:val="nil"/>
            </w:tcBorders>
            <w:shd w:val="clear" w:color="000000" w:fill="D9E2F3"/>
            <w:noWrap/>
            <w:vAlign w:val="bottom"/>
          </w:tcPr>
          <w:p w14:paraId="6DCEEC3A" w14:textId="77777777" w:rsidR="00AC5680" w:rsidRPr="00B84B0C" w:rsidRDefault="00AC5680" w:rsidP="00736E78">
            <w:pPr>
              <w:pStyle w:val="08-Tabelageral"/>
              <w:rPr>
                <w:rFonts w:cs="Arial"/>
                <w:b/>
              </w:rPr>
            </w:pPr>
            <w:r w:rsidRPr="00B84B0C">
              <w:rPr>
                <w:rFonts w:cs="Arial"/>
                <w:b/>
              </w:rPr>
              <w:t>3,582</w:t>
            </w:r>
          </w:p>
        </w:tc>
      </w:tr>
    </w:tbl>
    <w:p w14:paraId="35741BE8" w14:textId="77777777" w:rsidR="00AC5680" w:rsidRPr="00B84B0C" w:rsidRDefault="00AC5680" w:rsidP="00736E78">
      <w:pPr>
        <w:pStyle w:val="08-Tabelageral"/>
        <w:rPr>
          <w:rFonts w:cs="Arial"/>
        </w:rPr>
      </w:pPr>
    </w:p>
    <w:tbl>
      <w:tblPr>
        <w:tblW w:w="9650" w:type="dxa"/>
        <w:tblInd w:w="70" w:type="dxa"/>
        <w:tblCellMar>
          <w:left w:w="70" w:type="dxa"/>
          <w:right w:w="70" w:type="dxa"/>
        </w:tblCellMar>
        <w:tblLook w:val="04A0" w:firstRow="1" w:lastRow="0" w:firstColumn="1" w:lastColumn="0" w:noHBand="0" w:noVBand="1"/>
      </w:tblPr>
      <w:tblGrid>
        <w:gridCol w:w="2201"/>
        <w:gridCol w:w="1039"/>
        <w:gridCol w:w="1044"/>
        <w:gridCol w:w="1043"/>
        <w:gridCol w:w="1005"/>
        <w:gridCol w:w="1327"/>
        <w:gridCol w:w="947"/>
        <w:gridCol w:w="1044"/>
      </w:tblGrid>
      <w:tr w:rsidR="00AC5680" w:rsidRPr="00B84B0C" w14:paraId="00F97B74" w14:textId="77777777" w:rsidTr="00AC5680">
        <w:trPr>
          <w:trHeight w:val="178"/>
        </w:trPr>
        <w:tc>
          <w:tcPr>
            <w:tcW w:w="2201" w:type="dxa"/>
            <w:tcBorders>
              <w:top w:val="single" w:sz="4" w:space="0" w:color="8EAADB"/>
              <w:left w:val="nil"/>
              <w:bottom w:val="nil"/>
              <w:right w:val="nil"/>
            </w:tcBorders>
            <w:shd w:val="clear" w:color="000000" w:fill="D9E2F3"/>
            <w:noWrap/>
            <w:vAlign w:val="bottom"/>
            <w:hideMark/>
          </w:tcPr>
          <w:p w14:paraId="425F7271" w14:textId="77777777" w:rsidR="00AC5680" w:rsidRPr="00B84B0C" w:rsidRDefault="00AC5680" w:rsidP="00736E78">
            <w:pPr>
              <w:pStyle w:val="08-Tabelageral"/>
              <w:jc w:val="center"/>
              <w:rPr>
                <w:rFonts w:cs="Arial"/>
                <w:b/>
              </w:rPr>
            </w:pPr>
          </w:p>
        </w:tc>
        <w:tc>
          <w:tcPr>
            <w:tcW w:w="7449" w:type="dxa"/>
            <w:gridSpan w:val="7"/>
            <w:tcBorders>
              <w:top w:val="single" w:sz="4" w:space="0" w:color="8EAADB"/>
              <w:left w:val="nil"/>
              <w:bottom w:val="single" w:sz="4" w:space="0" w:color="8EAADB"/>
              <w:right w:val="nil"/>
            </w:tcBorders>
            <w:shd w:val="clear" w:color="000000" w:fill="D9E2F3"/>
            <w:noWrap/>
            <w:vAlign w:val="bottom"/>
            <w:hideMark/>
          </w:tcPr>
          <w:p w14:paraId="62B626C0" w14:textId="77777777" w:rsidR="00AC5680" w:rsidRPr="00B84B0C" w:rsidRDefault="00AC5680" w:rsidP="00736E78">
            <w:pPr>
              <w:pStyle w:val="08-Tabelageral"/>
              <w:jc w:val="center"/>
              <w:rPr>
                <w:rFonts w:cs="Arial"/>
                <w:b/>
              </w:rPr>
            </w:pPr>
            <w:proofErr w:type="spellStart"/>
            <w:r w:rsidRPr="00B84B0C">
              <w:rPr>
                <w:rFonts w:cs="Arial"/>
                <w:b/>
              </w:rPr>
              <w:t>Consolidated</w:t>
            </w:r>
            <w:proofErr w:type="spellEnd"/>
          </w:p>
        </w:tc>
      </w:tr>
      <w:tr w:rsidR="00AC5680" w:rsidRPr="00B84B0C" w14:paraId="203FC1C4" w14:textId="77777777" w:rsidTr="00AC5680">
        <w:trPr>
          <w:trHeight w:val="178"/>
        </w:trPr>
        <w:tc>
          <w:tcPr>
            <w:tcW w:w="2201" w:type="dxa"/>
            <w:tcBorders>
              <w:top w:val="nil"/>
              <w:left w:val="nil"/>
              <w:bottom w:val="nil"/>
              <w:right w:val="nil"/>
            </w:tcBorders>
            <w:shd w:val="clear" w:color="000000" w:fill="D9E2F3"/>
            <w:noWrap/>
            <w:vAlign w:val="bottom"/>
            <w:hideMark/>
          </w:tcPr>
          <w:p w14:paraId="7E01D399" w14:textId="77777777" w:rsidR="00AC5680" w:rsidRPr="00B84B0C" w:rsidRDefault="00AC5680" w:rsidP="00736E78">
            <w:pPr>
              <w:pStyle w:val="08-Tabelageral"/>
              <w:jc w:val="center"/>
              <w:rPr>
                <w:rFonts w:cs="Arial"/>
                <w:b/>
              </w:rPr>
            </w:pPr>
          </w:p>
        </w:tc>
        <w:tc>
          <w:tcPr>
            <w:tcW w:w="2083" w:type="dxa"/>
            <w:gridSpan w:val="2"/>
            <w:tcBorders>
              <w:top w:val="single" w:sz="4" w:space="0" w:color="8EAADB"/>
              <w:left w:val="nil"/>
              <w:bottom w:val="single" w:sz="4" w:space="0" w:color="8EAADB"/>
              <w:right w:val="nil"/>
            </w:tcBorders>
            <w:shd w:val="clear" w:color="000000" w:fill="D9E2F3"/>
            <w:noWrap/>
            <w:vAlign w:val="bottom"/>
            <w:hideMark/>
          </w:tcPr>
          <w:p w14:paraId="271F9935" w14:textId="77777777" w:rsidR="00AC5680" w:rsidRPr="00B84B0C" w:rsidRDefault="00AC5680" w:rsidP="00736E78">
            <w:pPr>
              <w:pStyle w:val="08-Tabelageral"/>
              <w:jc w:val="center"/>
              <w:rPr>
                <w:rFonts w:cs="Arial"/>
                <w:b/>
              </w:rPr>
            </w:pPr>
            <w:proofErr w:type="spellStart"/>
            <w:r w:rsidRPr="00B84B0C">
              <w:rPr>
                <w:rFonts w:cs="Arial"/>
                <w:b/>
              </w:rPr>
              <w:t>Dec</w:t>
            </w:r>
            <w:proofErr w:type="spellEnd"/>
            <w:r w:rsidRPr="00B84B0C">
              <w:rPr>
                <w:rFonts w:cs="Arial"/>
                <w:b/>
              </w:rPr>
              <w:t xml:space="preserve"> 31, 2019</w:t>
            </w:r>
          </w:p>
        </w:tc>
        <w:tc>
          <w:tcPr>
            <w:tcW w:w="1043" w:type="dxa"/>
            <w:tcBorders>
              <w:top w:val="nil"/>
              <w:left w:val="nil"/>
              <w:bottom w:val="nil"/>
              <w:right w:val="nil"/>
            </w:tcBorders>
            <w:shd w:val="clear" w:color="000000" w:fill="D9E2F3"/>
            <w:noWrap/>
            <w:vAlign w:val="bottom"/>
            <w:hideMark/>
          </w:tcPr>
          <w:p w14:paraId="0245589B" w14:textId="77777777" w:rsidR="00AC5680" w:rsidRPr="00B84B0C" w:rsidRDefault="00AC5680" w:rsidP="00736E78">
            <w:pPr>
              <w:pStyle w:val="08-Tabelageral"/>
              <w:jc w:val="center"/>
              <w:rPr>
                <w:rFonts w:cs="Arial"/>
                <w:b/>
              </w:rPr>
            </w:pPr>
          </w:p>
        </w:tc>
        <w:tc>
          <w:tcPr>
            <w:tcW w:w="1005" w:type="dxa"/>
            <w:tcBorders>
              <w:top w:val="nil"/>
              <w:left w:val="nil"/>
              <w:bottom w:val="nil"/>
              <w:right w:val="nil"/>
            </w:tcBorders>
            <w:shd w:val="clear" w:color="000000" w:fill="D9E2F3"/>
            <w:noWrap/>
            <w:vAlign w:val="bottom"/>
            <w:hideMark/>
          </w:tcPr>
          <w:p w14:paraId="3964D753" w14:textId="77777777" w:rsidR="00AC5680" w:rsidRPr="00B84B0C" w:rsidRDefault="00AC5680" w:rsidP="00736E78">
            <w:pPr>
              <w:pStyle w:val="08-Tabelageral"/>
              <w:jc w:val="center"/>
              <w:rPr>
                <w:rFonts w:cs="Arial"/>
                <w:b/>
              </w:rPr>
            </w:pPr>
          </w:p>
        </w:tc>
        <w:tc>
          <w:tcPr>
            <w:tcW w:w="1327" w:type="dxa"/>
            <w:tcBorders>
              <w:top w:val="nil"/>
              <w:left w:val="nil"/>
              <w:bottom w:val="nil"/>
              <w:right w:val="nil"/>
            </w:tcBorders>
            <w:shd w:val="clear" w:color="000000" w:fill="D9E2F3"/>
            <w:noWrap/>
            <w:vAlign w:val="bottom"/>
            <w:hideMark/>
          </w:tcPr>
          <w:p w14:paraId="6CA55AA7" w14:textId="77777777" w:rsidR="00AC5680" w:rsidRPr="00B84B0C" w:rsidRDefault="00AC5680" w:rsidP="00736E78">
            <w:pPr>
              <w:pStyle w:val="08-Tabelageral"/>
              <w:jc w:val="center"/>
              <w:rPr>
                <w:rFonts w:cs="Arial"/>
                <w:b/>
              </w:rPr>
            </w:pPr>
          </w:p>
        </w:tc>
        <w:tc>
          <w:tcPr>
            <w:tcW w:w="1991" w:type="dxa"/>
            <w:gridSpan w:val="2"/>
            <w:tcBorders>
              <w:top w:val="single" w:sz="4" w:space="0" w:color="8EAADB"/>
              <w:left w:val="nil"/>
              <w:bottom w:val="single" w:sz="4" w:space="0" w:color="8EAADB"/>
              <w:right w:val="nil"/>
            </w:tcBorders>
            <w:shd w:val="clear" w:color="000000" w:fill="D9E2F3"/>
            <w:noWrap/>
            <w:vAlign w:val="bottom"/>
            <w:hideMark/>
          </w:tcPr>
          <w:p w14:paraId="1E939ECC" w14:textId="77777777" w:rsidR="00AC5680" w:rsidRPr="00B84B0C" w:rsidRDefault="00AC5680" w:rsidP="00736E78">
            <w:pPr>
              <w:pStyle w:val="08-Tabelageral"/>
              <w:jc w:val="center"/>
              <w:rPr>
                <w:rFonts w:cs="Arial"/>
                <w:b/>
              </w:rPr>
            </w:pPr>
            <w:r w:rsidRPr="00B84B0C">
              <w:rPr>
                <w:rFonts w:cs="Arial"/>
                <w:b/>
              </w:rPr>
              <w:t>Mar 31, 2020</w:t>
            </w:r>
          </w:p>
        </w:tc>
      </w:tr>
      <w:tr w:rsidR="00AC5680" w:rsidRPr="00B84B0C" w14:paraId="2DCD7103" w14:textId="77777777" w:rsidTr="00AC5680">
        <w:trPr>
          <w:trHeight w:val="358"/>
        </w:trPr>
        <w:tc>
          <w:tcPr>
            <w:tcW w:w="2201" w:type="dxa"/>
            <w:tcBorders>
              <w:top w:val="nil"/>
              <w:left w:val="nil"/>
              <w:bottom w:val="single" w:sz="4" w:space="0" w:color="8EAADB"/>
              <w:right w:val="nil"/>
            </w:tcBorders>
            <w:shd w:val="clear" w:color="000000" w:fill="D9E2F3"/>
            <w:noWrap/>
            <w:vAlign w:val="bottom"/>
            <w:hideMark/>
          </w:tcPr>
          <w:p w14:paraId="48F944E2" w14:textId="77777777" w:rsidR="00AC5680" w:rsidRPr="00B84B0C" w:rsidRDefault="00AC5680" w:rsidP="00736E78">
            <w:pPr>
              <w:pStyle w:val="08-Tabelageral"/>
              <w:jc w:val="center"/>
              <w:rPr>
                <w:rFonts w:cs="Arial"/>
                <w:b/>
              </w:rPr>
            </w:pPr>
          </w:p>
        </w:tc>
        <w:tc>
          <w:tcPr>
            <w:tcW w:w="1039" w:type="dxa"/>
            <w:tcBorders>
              <w:top w:val="nil"/>
              <w:left w:val="nil"/>
              <w:bottom w:val="single" w:sz="4" w:space="0" w:color="8EAADB"/>
              <w:right w:val="nil"/>
            </w:tcBorders>
            <w:shd w:val="clear" w:color="000000" w:fill="D9E2F3"/>
            <w:vAlign w:val="bottom"/>
            <w:hideMark/>
          </w:tcPr>
          <w:p w14:paraId="1DD47349" w14:textId="77777777" w:rsidR="00AC5680" w:rsidRPr="00B84B0C" w:rsidRDefault="00AC5680" w:rsidP="00736E78">
            <w:pPr>
              <w:pStyle w:val="08-Tabelageral"/>
              <w:jc w:val="center"/>
              <w:rPr>
                <w:rFonts w:cs="Arial"/>
                <w:b/>
              </w:rPr>
            </w:pPr>
            <w:proofErr w:type="spellStart"/>
            <w:r w:rsidRPr="00B84B0C">
              <w:rPr>
                <w:rFonts w:cs="Arial"/>
                <w:b/>
              </w:rPr>
              <w:t>Cost</w:t>
            </w:r>
            <w:proofErr w:type="spellEnd"/>
            <w:r w:rsidRPr="00B84B0C">
              <w:rPr>
                <w:rFonts w:cs="Arial"/>
                <w:b/>
              </w:rPr>
              <w:t xml:space="preserve"> </w:t>
            </w:r>
            <w:proofErr w:type="spellStart"/>
            <w:r w:rsidRPr="00B84B0C">
              <w:rPr>
                <w:rFonts w:cs="Arial"/>
                <w:b/>
              </w:rPr>
              <w:t>Value</w:t>
            </w:r>
            <w:proofErr w:type="spellEnd"/>
          </w:p>
        </w:tc>
        <w:tc>
          <w:tcPr>
            <w:tcW w:w="1044" w:type="dxa"/>
            <w:tcBorders>
              <w:top w:val="nil"/>
              <w:left w:val="nil"/>
              <w:bottom w:val="single" w:sz="4" w:space="0" w:color="8EAADB"/>
              <w:right w:val="nil"/>
            </w:tcBorders>
            <w:shd w:val="clear" w:color="000000" w:fill="D9E2F3"/>
            <w:vAlign w:val="bottom"/>
            <w:hideMark/>
          </w:tcPr>
          <w:p w14:paraId="7A57818C" w14:textId="77777777" w:rsidR="00AC5680" w:rsidRPr="00B84B0C" w:rsidRDefault="00AC5680" w:rsidP="00736E78">
            <w:pPr>
              <w:pStyle w:val="08-Tabelageral"/>
              <w:jc w:val="center"/>
              <w:rPr>
                <w:rFonts w:cs="Arial"/>
                <w:b/>
              </w:rPr>
            </w:pPr>
            <w:r w:rsidRPr="00B84B0C">
              <w:rPr>
                <w:rFonts w:cs="Arial"/>
                <w:b/>
              </w:rPr>
              <w:t xml:space="preserve">Market </w:t>
            </w:r>
            <w:proofErr w:type="spellStart"/>
            <w:r w:rsidRPr="00B84B0C">
              <w:rPr>
                <w:rFonts w:cs="Arial"/>
                <w:b/>
              </w:rPr>
              <w:t>Value</w:t>
            </w:r>
            <w:proofErr w:type="spellEnd"/>
            <w:r w:rsidRPr="00B84B0C">
              <w:rPr>
                <w:rFonts w:cs="Arial"/>
                <w:b/>
              </w:rPr>
              <w:t xml:space="preserve">/ Book </w:t>
            </w:r>
            <w:proofErr w:type="spellStart"/>
            <w:r w:rsidRPr="00B84B0C">
              <w:rPr>
                <w:rFonts w:cs="Arial"/>
                <w:b/>
              </w:rPr>
              <w:t>Value</w:t>
            </w:r>
            <w:proofErr w:type="spellEnd"/>
          </w:p>
        </w:tc>
        <w:tc>
          <w:tcPr>
            <w:tcW w:w="1043" w:type="dxa"/>
            <w:tcBorders>
              <w:top w:val="nil"/>
              <w:left w:val="nil"/>
              <w:bottom w:val="single" w:sz="4" w:space="0" w:color="8EAADB"/>
              <w:right w:val="nil"/>
            </w:tcBorders>
            <w:shd w:val="clear" w:color="000000" w:fill="D9E2F3"/>
            <w:vAlign w:val="bottom"/>
            <w:hideMark/>
          </w:tcPr>
          <w:p w14:paraId="0A11C363" w14:textId="77777777" w:rsidR="00AC5680" w:rsidRPr="00B84B0C" w:rsidRDefault="00AC5680" w:rsidP="00736E78">
            <w:pPr>
              <w:pStyle w:val="08-Tabelageral"/>
              <w:jc w:val="center"/>
              <w:rPr>
                <w:rFonts w:cs="Arial"/>
                <w:b/>
              </w:rPr>
            </w:pPr>
            <w:proofErr w:type="spellStart"/>
            <w:r w:rsidRPr="00B84B0C">
              <w:rPr>
                <w:rFonts w:cs="Arial"/>
                <w:b/>
              </w:rPr>
              <w:t>Applications</w:t>
            </w:r>
            <w:proofErr w:type="spellEnd"/>
          </w:p>
        </w:tc>
        <w:tc>
          <w:tcPr>
            <w:tcW w:w="1005" w:type="dxa"/>
            <w:tcBorders>
              <w:top w:val="nil"/>
              <w:left w:val="nil"/>
              <w:bottom w:val="single" w:sz="4" w:space="0" w:color="8EAADB"/>
              <w:right w:val="nil"/>
            </w:tcBorders>
            <w:shd w:val="clear" w:color="000000" w:fill="D9E2F3"/>
            <w:vAlign w:val="bottom"/>
            <w:hideMark/>
          </w:tcPr>
          <w:p w14:paraId="66815340" w14:textId="77777777" w:rsidR="00AC5680" w:rsidRPr="00B84B0C" w:rsidRDefault="00AC5680" w:rsidP="00736E78">
            <w:pPr>
              <w:pStyle w:val="08-Tabelageral"/>
              <w:jc w:val="center"/>
              <w:rPr>
                <w:rFonts w:cs="Arial"/>
                <w:b/>
              </w:rPr>
            </w:pPr>
            <w:proofErr w:type="spellStart"/>
            <w:r w:rsidRPr="00B84B0C">
              <w:rPr>
                <w:rFonts w:cs="Arial"/>
                <w:b/>
              </w:rPr>
              <w:t>Redemptions</w:t>
            </w:r>
            <w:proofErr w:type="spellEnd"/>
          </w:p>
        </w:tc>
        <w:tc>
          <w:tcPr>
            <w:tcW w:w="1327" w:type="dxa"/>
            <w:tcBorders>
              <w:top w:val="nil"/>
              <w:left w:val="nil"/>
              <w:bottom w:val="single" w:sz="4" w:space="0" w:color="8EAADB"/>
              <w:right w:val="nil"/>
            </w:tcBorders>
            <w:shd w:val="clear" w:color="000000" w:fill="D9E2F3"/>
            <w:vAlign w:val="bottom"/>
            <w:hideMark/>
          </w:tcPr>
          <w:p w14:paraId="0A63B77D" w14:textId="77777777" w:rsidR="00AC5680" w:rsidRPr="00B84B0C" w:rsidRDefault="00AC5680" w:rsidP="00736E78">
            <w:pPr>
              <w:pStyle w:val="08-Tabelageral"/>
              <w:jc w:val="center"/>
              <w:rPr>
                <w:rFonts w:cs="Arial"/>
                <w:b/>
              </w:rPr>
            </w:pPr>
            <w:proofErr w:type="spellStart"/>
            <w:r w:rsidRPr="00B84B0C">
              <w:rPr>
                <w:rFonts w:cs="Arial"/>
                <w:b/>
              </w:rPr>
              <w:t>Yield</w:t>
            </w:r>
            <w:proofErr w:type="spellEnd"/>
          </w:p>
        </w:tc>
        <w:tc>
          <w:tcPr>
            <w:tcW w:w="947" w:type="dxa"/>
            <w:tcBorders>
              <w:top w:val="nil"/>
              <w:left w:val="nil"/>
              <w:bottom w:val="single" w:sz="4" w:space="0" w:color="8EAADB"/>
              <w:right w:val="nil"/>
            </w:tcBorders>
            <w:shd w:val="clear" w:color="000000" w:fill="D9E2F3"/>
            <w:vAlign w:val="bottom"/>
            <w:hideMark/>
          </w:tcPr>
          <w:p w14:paraId="2E82E5D7" w14:textId="77777777" w:rsidR="00AC5680" w:rsidRPr="00B84B0C" w:rsidRDefault="00AC5680" w:rsidP="00736E78">
            <w:pPr>
              <w:pStyle w:val="08-Tabelageral"/>
              <w:jc w:val="center"/>
              <w:rPr>
                <w:rFonts w:cs="Arial"/>
                <w:b/>
              </w:rPr>
            </w:pPr>
            <w:proofErr w:type="spellStart"/>
            <w:r w:rsidRPr="00B84B0C">
              <w:rPr>
                <w:rFonts w:cs="Arial"/>
                <w:b/>
              </w:rPr>
              <w:t>Cost</w:t>
            </w:r>
            <w:proofErr w:type="spellEnd"/>
            <w:r w:rsidRPr="00B84B0C">
              <w:rPr>
                <w:rFonts w:cs="Arial"/>
                <w:b/>
              </w:rPr>
              <w:t xml:space="preserve"> </w:t>
            </w:r>
            <w:proofErr w:type="spellStart"/>
            <w:r w:rsidRPr="00B84B0C">
              <w:rPr>
                <w:rFonts w:cs="Arial"/>
                <w:b/>
              </w:rPr>
              <w:t>Value</w:t>
            </w:r>
            <w:proofErr w:type="spellEnd"/>
          </w:p>
        </w:tc>
        <w:tc>
          <w:tcPr>
            <w:tcW w:w="1044" w:type="dxa"/>
            <w:tcBorders>
              <w:top w:val="nil"/>
              <w:left w:val="nil"/>
              <w:bottom w:val="single" w:sz="4" w:space="0" w:color="8EAADB"/>
              <w:right w:val="nil"/>
            </w:tcBorders>
            <w:shd w:val="clear" w:color="000000" w:fill="D9E2F3"/>
            <w:vAlign w:val="bottom"/>
            <w:hideMark/>
          </w:tcPr>
          <w:p w14:paraId="6EB8421E" w14:textId="77777777" w:rsidR="00AC5680" w:rsidRPr="00B84B0C" w:rsidRDefault="00AC5680" w:rsidP="00736E78">
            <w:pPr>
              <w:pStyle w:val="08-Tabelageral"/>
              <w:jc w:val="center"/>
              <w:rPr>
                <w:rFonts w:cs="Arial"/>
                <w:b/>
              </w:rPr>
            </w:pPr>
            <w:r w:rsidRPr="00B84B0C">
              <w:rPr>
                <w:rFonts w:cs="Arial"/>
                <w:b/>
              </w:rPr>
              <w:t xml:space="preserve">Market </w:t>
            </w:r>
            <w:proofErr w:type="spellStart"/>
            <w:r w:rsidRPr="00B84B0C">
              <w:rPr>
                <w:rFonts w:cs="Arial"/>
                <w:b/>
              </w:rPr>
              <w:t>Value</w:t>
            </w:r>
            <w:proofErr w:type="spellEnd"/>
            <w:r w:rsidRPr="00B84B0C">
              <w:rPr>
                <w:rFonts w:cs="Arial"/>
                <w:b/>
              </w:rPr>
              <w:t xml:space="preserve">/ Book </w:t>
            </w:r>
            <w:proofErr w:type="spellStart"/>
            <w:r w:rsidRPr="00B84B0C">
              <w:rPr>
                <w:rFonts w:cs="Arial"/>
                <w:b/>
              </w:rPr>
              <w:t>Value</w:t>
            </w:r>
            <w:proofErr w:type="spellEnd"/>
          </w:p>
        </w:tc>
      </w:tr>
      <w:tr w:rsidR="00AC5680" w:rsidRPr="00B84B0C" w14:paraId="549A88D3" w14:textId="77777777" w:rsidTr="00AC5680">
        <w:trPr>
          <w:trHeight w:val="210"/>
        </w:trPr>
        <w:tc>
          <w:tcPr>
            <w:tcW w:w="2201" w:type="dxa"/>
            <w:tcBorders>
              <w:top w:val="nil"/>
              <w:left w:val="nil"/>
              <w:right w:val="nil"/>
            </w:tcBorders>
            <w:shd w:val="clear" w:color="auto" w:fill="auto"/>
            <w:noWrap/>
            <w:vAlign w:val="bottom"/>
            <w:hideMark/>
          </w:tcPr>
          <w:p w14:paraId="3D753A29" w14:textId="77777777" w:rsidR="00AC5680" w:rsidRPr="00B84B0C" w:rsidRDefault="00AC5680" w:rsidP="00736E78">
            <w:pPr>
              <w:pStyle w:val="08-Tabelageral"/>
              <w:jc w:val="left"/>
              <w:rPr>
                <w:rFonts w:cs="Arial"/>
                <w:vertAlign w:val="superscript"/>
              </w:rPr>
            </w:pPr>
            <w:proofErr w:type="spellStart"/>
            <w:r w:rsidRPr="00B84B0C">
              <w:rPr>
                <w:rFonts w:cs="Arial"/>
              </w:rPr>
              <w:t>Long-term</w:t>
            </w:r>
            <w:proofErr w:type="spellEnd"/>
            <w:r w:rsidRPr="00B84B0C">
              <w:rPr>
                <w:rFonts w:cs="Arial"/>
              </w:rPr>
              <w:t xml:space="preserve"> </w:t>
            </w:r>
            <w:proofErr w:type="spellStart"/>
            <w:r w:rsidRPr="00B84B0C">
              <w:rPr>
                <w:rFonts w:cs="Arial"/>
              </w:rPr>
              <w:t>fund</w:t>
            </w:r>
            <w:proofErr w:type="spellEnd"/>
            <w:r w:rsidRPr="00B84B0C">
              <w:rPr>
                <w:rFonts w:cs="Arial"/>
                <w:vertAlign w:val="superscript"/>
              </w:rPr>
              <w:t xml:space="preserve"> (2)</w:t>
            </w:r>
          </w:p>
        </w:tc>
        <w:tc>
          <w:tcPr>
            <w:tcW w:w="1039" w:type="dxa"/>
            <w:tcBorders>
              <w:top w:val="nil"/>
              <w:left w:val="nil"/>
              <w:right w:val="nil"/>
            </w:tcBorders>
            <w:shd w:val="clear" w:color="auto" w:fill="auto"/>
            <w:noWrap/>
            <w:vAlign w:val="bottom"/>
          </w:tcPr>
          <w:p w14:paraId="554507F7" w14:textId="77777777" w:rsidR="00AC5680" w:rsidRPr="00B84B0C" w:rsidRDefault="00AC5680" w:rsidP="00736E78">
            <w:pPr>
              <w:pStyle w:val="08-Tabelageral"/>
              <w:rPr>
                <w:rFonts w:cs="Arial"/>
              </w:rPr>
            </w:pPr>
            <w:r w:rsidRPr="00B84B0C">
              <w:rPr>
                <w:rFonts w:cs="Arial"/>
              </w:rPr>
              <w:t>330,476</w:t>
            </w:r>
          </w:p>
        </w:tc>
        <w:tc>
          <w:tcPr>
            <w:tcW w:w="1044" w:type="dxa"/>
            <w:tcBorders>
              <w:top w:val="nil"/>
              <w:left w:val="nil"/>
              <w:right w:val="nil"/>
            </w:tcBorders>
            <w:shd w:val="clear" w:color="auto" w:fill="auto"/>
            <w:noWrap/>
            <w:vAlign w:val="bottom"/>
          </w:tcPr>
          <w:p w14:paraId="544F7D19" w14:textId="77777777" w:rsidR="00AC5680" w:rsidRPr="00B84B0C" w:rsidRDefault="00AC5680" w:rsidP="00736E78">
            <w:pPr>
              <w:pStyle w:val="08-Tabelageral"/>
              <w:rPr>
                <w:rFonts w:cs="Arial"/>
              </w:rPr>
            </w:pPr>
            <w:r w:rsidRPr="00B84B0C">
              <w:rPr>
                <w:rFonts w:cs="Arial"/>
              </w:rPr>
              <w:t>460,146</w:t>
            </w:r>
          </w:p>
        </w:tc>
        <w:tc>
          <w:tcPr>
            <w:tcW w:w="1043" w:type="dxa"/>
            <w:tcBorders>
              <w:top w:val="nil"/>
              <w:left w:val="nil"/>
              <w:right w:val="nil"/>
            </w:tcBorders>
            <w:shd w:val="clear" w:color="auto" w:fill="auto"/>
            <w:noWrap/>
            <w:vAlign w:val="bottom"/>
          </w:tcPr>
          <w:p w14:paraId="087F1748" w14:textId="77777777" w:rsidR="00AC5680" w:rsidRPr="00B84B0C" w:rsidRDefault="00AC5680" w:rsidP="00736E78">
            <w:pPr>
              <w:pStyle w:val="08-Tabelageral"/>
              <w:rPr>
                <w:rFonts w:cs="Arial"/>
              </w:rPr>
            </w:pPr>
            <w:r w:rsidRPr="00B84B0C">
              <w:rPr>
                <w:rFonts w:cs="Arial"/>
              </w:rPr>
              <w:t>--</w:t>
            </w:r>
          </w:p>
        </w:tc>
        <w:tc>
          <w:tcPr>
            <w:tcW w:w="1005" w:type="dxa"/>
            <w:tcBorders>
              <w:top w:val="nil"/>
              <w:left w:val="nil"/>
              <w:right w:val="nil"/>
            </w:tcBorders>
            <w:shd w:val="clear" w:color="auto" w:fill="auto"/>
            <w:noWrap/>
            <w:vAlign w:val="bottom"/>
          </w:tcPr>
          <w:p w14:paraId="0EACC78D" w14:textId="77777777" w:rsidR="00AC5680" w:rsidRPr="00B84B0C" w:rsidRDefault="00AC5680" w:rsidP="00736E78">
            <w:pPr>
              <w:pStyle w:val="08-Tabelageral"/>
              <w:rPr>
                <w:rFonts w:cs="Arial"/>
              </w:rPr>
            </w:pPr>
            <w:r w:rsidRPr="00B84B0C">
              <w:rPr>
                <w:rFonts w:cs="Arial"/>
              </w:rPr>
              <w:t>--</w:t>
            </w:r>
          </w:p>
        </w:tc>
        <w:tc>
          <w:tcPr>
            <w:tcW w:w="1327" w:type="dxa"/>
            <w:tcBorders>
              <w:top w:val="nil"/>
              <w:left w:val="nil"/>
              <w:right w:val="nil"/>
            </w:tcBorders>
            <w:shd w:val="clear" w:color="auto" w:fill="auto"/>
            <w:noWrap/>
            <w:vAlign w:val="bottom"/>
          </w:tcPr>
          <w:p w14:paraId="15702E03" w14:textId="77777777" w:rsidR="00AC5680" w:rsidRPr="00B84B0C" w:rsidRDefault="00AC5680" w:rsidP="00736E78">
            <w:pPr>
              <w:pStyle w:val="08-Tabelageral"/>
              <w:rPr>
                <w:rFonts w:cs="Arial"/>
              </w:rPr>
            </w:pPr>
            <w:r w:rsidRPr="00B84B0C">
              <w:rPr>
                <w:rFonts w:cs="Arial"/>
              </w:rPr>
              <w:t>1,940</w:t>
            </w:r>
          </w:p>
        </w:tc>
        <w:tc>
          <w:tcPr>
            <w:tcW w:w="947" w:type="dxa"/>
            <w:tcBorders>
              <w:top w:val="nil"/>
              <w:left w:val="nil"/>
              <w:right w:val="nil"/>
            </w:tcBorders>
            <w:shd w:val="clear" w:color="auto" w:fill="auto"/>
            <w:noWrap/>
            <w:vAlign w:val="bottom"/>
          </w:tcPr>
          <w:p w14:paraId="0BA1EF00" w14:textId="77777777" w:rsidR="00AC5680" w:rsidRPr="00B84B0C" w:rsidRDefault="00AC5680" w:rsidP="00736E78">
            <w:pPr>
              <w:pStyle w:val="08-Tabelageral"/>
              <w:rPr>
                <w:rFonts w:cs="Arial"/>
              </w:rPr>
            </w:pPr>
            <w:r w:rsidRPr="00B84B0C">
              <w:rPr>
                <w:rFonts w:cs="Arial"/>
              </w:rPr>
              <w:t>330,476</w:t>
            </w:r>
          </w:p>
        </w:tc>
        <w:tc>
          <w:tcPr>
            <w:tcW w:w="1044" w:type="dxa"/>
            <w:tcBorders>
              <w:top w:val="nil"/>
              <w:left w:val="nil"/>
              <w:right w:val="nil"/>
            </w:tcBorders>
            <w:shd w:val="clear" w:color="auto" w:fill="auto"/>
            <w:noWrap/>
            <w:vAlign w:val="bottom"/>
          </w:tcPr>
          <w:p w14:paraId="5E5A9888" w14:textId="77777777" w:rsidR="00AC5680" w:rsidRPr="00B84B0C" w:rsidRDefault="00AC5680" w:rsidP="00736E78">
            <w:pPr>
              <w:pStyle w:val="08-Tabelageral"/>
              <w:rPr>
                <w:rFonts w:cs="Arial"/>
              </w:rPr>
            </w:pPr>
            <w:r w:rsidRPr="00B84B0C">
              <w:rPr>
                <w:rFonts w:cs="Arial"/>
              </w:rPr>
              <w:t>462,086</w:t>
            </w:r>
          </w:p>
        </w:tc>
      </w:tr>
      <w:tr w:rsidR="00AC5680" w:rsidRPr="00B84B0C" w14:paraId="73310B5A" w14:textId="77777777" w:rsidTr="00AC5680">
        <w:trPr>
          <w:trHeight w:val="210"/>
        </w:trPr>
        <w:tc>
          <w:tcPr>
            <w:tcW w:w="2201" w:type="dxa"/>
            <w:tcBorders>
              <w:top w:val="nil"/>
              <w:left w:val="nil"/>
              <w:bottom w:val="single" w:sz="2" w:space="0" w:color="8EAADB" w:themeColor="accent5" w:themeTint="99"/>
              <w:right w:val="nil"/>
            </w:tcBorders>
            <w:shd w:val="clear" w:color="000000" w:fill="D9E2F3"/>
            <w:noWrap/>
            <w:vAlign w:val="bottom"/>
            <w:hideMark/>
          </w:tcPr>
          <w:p w14:paraId="477FE450" w14:textId="77777777" w:rsidR="00AC5680" w:rsidRPr="00B84B0C" w:rsidRDefault="00AC5680" w:rsidP="00736E78">
            <w:pPr>
              <w:pStyle w:val="08-Tabelageral"/>
              <w:jc w:val="left"/>
              <w:rPr>
                <w:rFonts w:cs="Arial"/>
              </w:rPr>
            </w:pPr>
            <w:r w:rsidRPr="00B84B0C">
              <w:rPr>
                <w:rFonts w:cs="Arial"/>
              </w:rPr>
              <w:t>Total</w:t>
            </w:r>
          </w:p>
        </w:tc>
        <w:tc>
          <w:tcPr>
            <w:tcW w:w="1039" w:type="dxa"/>
            <w:tcBorders>
              <w:top w:val="nil"/>
              <w:left w:val="nil"/>
              <w:bottom w:val="single" w:sz="2" w:space="0" w:color="8EAADB" w:themeColor="accent5" w:themeTint="99"/>
              <w:right w:val="nil"/>
            </w:tcBorders>
            <w:shd w:val="clear" w:color="000000" w:fill="D9E2F3"/>
            <w:noWrap/>
            <w:vAlign w:val="bottom"/>
          </w:tcPr>
          <w:p w14:paraId="1066ACDA" w14:textId="77777777" w:rsidR="00AC5680" w:rsidRPr="00B84B0C" w:rsidRDefault="00AC5680" w:rsidP="00736E78">
            <w:pPr>
              <w:pStyle w:val="08-Tabelageral"/>
              <w:rPr>
                <w:rFonts w:cs="Arial"/>
                <w:b/>
              </w:rPr>
            </w:pPr>
            <w:r w:rsidRPr="00B84B0C">
              <w:rPr>
                <w:rFonts w:cs="Arial"/>
                <w:b/>
              </w:rPr>
              <w:t>330,476</w:t>
            </w:r>
          </w:p>
        </w:tc>
        <w:tc>
          <w:tcPr>
            <w:tcW w:w="1044" w:type="dxa"/>
            <w:tcBorders>
              <w:top w:val="nil"/>
              <w:left w:val="nil"/>
              <w:bottom w:val="single" w:sz="2" w:space="0" w:color="8EAADB" w:themeColor="accent5" w:themeTint="99"/>
              <w:right w:val="nil"/>
            </w:tcBorders>
            <w:shd w:val="clear" w:color="000000" w:fill="D9E2F3"/>
            <w:noWrap/>
            <w:vAlign w:val="bottom"/>
          </w:tcPr>
          <w:p w14:paraId="4E01EE3A" w14:textId="77777777" w:rsidR="00AC5680" w:rsidRPr="00B84B0C" w:rsidRDefault="00AC5680" w:rsidP="00736E78">
            <w:pPr>
              <w:pStyle w:val="08-Tabelageral"/>
              <w:rPr>
                <w:rFonts w:cs="Arial"/>
                <w:b/>
              </w:rPr>
            </w:pPr>
            <w:r w:rsidRPr="00B84B0C">
              <w:rPr>
                <w:rFonts w:cs="Arial"/>
                <w:b/>
              </w:rPr>
              <w:t>460,146</w:t>
            </w:r>
          </w:p>
        </w:tc>
        <w:tc>
          <w:tcPr>
            <w:tcW w:w="1043" w:type="dxa"/>
            <w:tcBorders>
              <w:top w:val="nil"/>
              <w:left w:val="nil"/>
              <w:bottom w:val="single" w:sz="2" w:space="0" w:color="8EAADB" w:themeColor="accent5" w:themeTint="99"/>
              <w:right w:val="nil"/>
            </w:tcBorders>
            <w:shd w:val="clear" w:color="000000" w:fill="D9E2F3"/>
            <w:noWrap/>
            <w:vAlign w:val="bottom"/>
          </w:tcPr>
          <w:p w14:paraId="3B1D0867" w14:textId="77777777" w:rsidR="00AC5680" w:rsidRPr="00B84B0C" w:rsidRDefault="00AC5680" w:rsidP="00736E78">
            <w:pPr>
              <w:pStyle w:val="08-Tabelageral"/>
              <w:rPr>
                <w:rFonts w:cs="Arial"/>
                <w:b/>
              </w:rPr>
            </w:pPr>
            <w:r w:rsidRPr="00B84B0C">
              <w:rPr>
                <w:rFonts w:cs="Arial"/>
                <w:b/>
              </w:rPr>
              <w:t>--</w:t>
            </w:r>
          </w:p>
        </w:tc>
        <w:tc>
          <w:tcPr>
            <w:tcW w:w="1005" w:type="dxa"/>
            <w:tcBorders>
              <w:top w:val="nil"/>
              <w:left w:val="nil"/>
              <w:bottom w:val="single" w:sz="2" w:space="0" w:color="8EAADB" w:themeColor="accent5" w:themeTint="99"/>
              <w:right w:val="nil"/>
            </w:tcBorders>
            <w:shd w:val="clear" w:color="000000" w:fill="D9E2F3"/>
            <w:noWrap/>
            <w:vAlign w:val="bottom"/>
          </w:tcPr>
          <w:p w14:paraId="63D82F62" w14:textId="77777777" w:rsidR="00AC5680" w:rsidRPr="00B84B0C" w:rsidRDefault="00AC5680" w:rsidP="00736E78">
            <w:pPr>
              <w:pStyle w:val="08-Tabelageral"/>
              <w:rPr>
                <w:rFonts w:cs="Arial"/>
                <w:b/>
              </w:rPr>
            </w:pPr>
            <w:r w:rsidRPr="00B84B0C">
              <w:rPr>
                <w:rFonts w:cs="Arial"/>
                <w:b/>
              </w:rPr>
              <w:t>--</w:t>
            </w:r>
          </w:p>
        </w:tc>
        <w:tc>
          <w:tcPr>
            <w:tcW w:w="1327" w:type="dxa"/>
            <w:tcBorders>
              <w:top w:val="nil"/>
              <w:left w:val="nil"/>
              <w:bottom w:val="single" w:sz="2" w:space="0" w:color="8EAADB" w:themeColor="accent5" w:themeTint="99"/>
              <w:right w:val="nil"/>
            </w:tcBorders>
            <w:shd w:val="clear" w:color="000000" w:fill="D9E2F3"/>
            <w:noWrap/>
            <w:vAlign w:val="bottom"/>
          </w:tcPr>
          <w:p w14:paraId="779EA5E1" w14:textId="77777777" w:rsidR="00AC5680" w:rsidRPr="00B84B0C" w:rsidRDefault="00AC5680" w:rsidP="00736E78">
            <w:pPr>
              <w:pStyle w:val="08-Tabelageral"/>
              <w:rPr>
                <w:rFonts w:cs="Arial"/>
                <w:b/>
              </w:rPr>
            </w:pPr>
            <w:r w:rsidRPr="00B84B0C">
              <w:rPr>
                <w:rFonts w:cs="Arial"/>
                <w:b/>
              </w:rPr>
              <w:t>1,940</w:t>
            </w:r>
          </w:p>
        </w:tc>
        <w:tc>
          <w:tcPr>
            <w:tcW w:w="947" w:type="dxa"/>
            <w:tcBorders>
              <w:top w:val="nil"/>
              <w:left w:val="nil"/>
              <w:bottom w:val="single" w:sz="2" w:space="0" w:color="8EAADB" w:themeColor="accent5" w:themeTint="99"/>
              <w:right w:val="nil"/>
            </w:tcBorders>
            <w:shd w:val="clear" w:color="000000" w:fill="D9E2F3"/>
            <w:noWrap/>
            <w:vAlign w:val="bottom"/>
          </w:tcPr>
          <w:p w14:paraId="1C4E9C6E" w14:textId="77777777" w:rsidR="00AC5680" w:rsidRPr="00B84B0C" w:rsidRDefault="00AC5680" w:rsidP="00736E78">
            <w:pPr>
              <w:pStyle w:val="08-Tabelageral"/>
              <w:rPr>
                <w:rFonts w:cs="Arial"/>
                <w:b/>
              </w:rPr>
            </w:pPr>
            <w:r w:rsidRPr="00B84B0C">
              <w:rPr>
                <w:rFonts w:cs="Arial"/>
                <w:b/>
              </w:rPr>
              <w:t>330,476</w:t>
            </w:r>
          </w:p>
        </w:tc>
        <w:tc>
          <w:tcPr>
            <w:tcW w:w="1044" w:type="dxa"/>
            <w:tcBorders>
              <w:top w:val="nil"/>
              <w:left w:val="nil"/>
              <w:bottom w:val="single" w:sz="2" w:space="0" w:color="8EAADB" w:themeColor="accent5" w:themeTint="99"/>
              <w:right w:val="nil"/>
            </w:tcBorders>
            <w:shd w:val="clear" w:color="000000" w:fill="D9E2F3"/>
            <w:noWrap/>
            <w:vAlign w:val="bottom"/>
          </w:tcPr>
          <w:p w14:paraId="0ED3ECD3" w14:textId="77777777" w:rsidR="00AC5680" w:rsidRPr="00B84B0C" w:rsidRDefault="00AC5680" w:rsidP="00736E78">
            <w:pPr>
              <w:pStyle w:val="08-Tabelageral"/>
              <w:rPr>
                <w:rFonts w:cs="Arial"/>
                <w:b/>
              </w:rPr>
            </w:pPr>
            <w:r w:rsidRPr="00B84B0C">
              <w:rPr>
                <w:rFonts w:cs="Arial"/>
                <w:b/>
              </w:rPr>
              <w:t>462,086</w:t>
            </w:r>
          </w:p>
        </w:tc>
      </w:tr>
    </w:tbl>
    <w:p w14:paraId="3B8D7E72" w14:textId="77777777" w:rsidR="00AC5680" w:rsidRPr="00B84B0C" w:rsidRDefault="00AC5680" w:rsidP="00AC5680">
      <w:pPr>
        <w:pStyle w:val="PargrafodaLista"/>
        <w:numPr>
          <w:ilvl w:val="0"/>
          <w:numId w:val="4"/>
        </w:numPr>
        <w:spacing w:after="0"/>
        <w:rPr>
          <w:rFonts w:ascii="Arial" w:eastAsia="Times New Roman" w:hAnsi="Arial" w:cs="Arial"/>
          <w:spacing w:val="-2"/>
          <w:sz w:val="14"/>
          <w:szCs w:val="18"/>
          <w:lang w:eastAsia="pt-BR"/>
        </w:rPr>
      </w:pPr>
      <w:proofErr w:type="spellStart"/>
      <w:r w:rsidRPr="00B84B0C">
        <w:rPr>
          <w:rFonts w:ascii="Arial" w:eastAsia="Times New Roman" w:hAnsi="Arial" w:cs="Arial"/>
          <w:spacing w:val="-2"/>
          <w:sz w:val="14"/>
          <w:szCs w:val="18"/>
          <w:lang w:eastAsia="pt-BR"/>
        </w:rPr>
        <w:t>Refers</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to</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the</w:t>
      </w:r>
      <w:proofErr w:type="spellEnd"/>
      <w:r w:rsidRPr="00B84B0C">
        <w:rPr>
          <w:rFonts w:ascii="Arial" w:eastAsia="Times New Roman" w:hAnsi="Arial" w:cs="Arial"/>
          <w:spacing w:val="-2"/>
          <w:sz w:val="14"/>
          <w:szCs w:val="18"/>
          <w:lang w:eastAsia="pt-BR"/>
        </w:rPr>
        <w:t xml:space="preserve"> “Brasil Aceleradora de Startups” </w:t>
      </w:r>
      <w:proofErr w:type="spellStart"/>
      <w:r w:rsidRPr="00B84B0C">
        <w:rPr>
          <w:rFonts w:ascii="Arial" w:eastAsia="Times New Roman" w:hAnsi="Arial" w:cs="Arial"/>
          <w:spacing w:val="-2"/>
          <w:sz w:val="14"/>
          <w:szCs w:val="18"/>
          <w:lang w:eastAsia="pt-BR"/>
        </w:rPr>
        <w:t>fund</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whose</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policy</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provides</w:t>
      </w:r>
      <w:proofErr w:type="spellEnd"/>
      <w:r w:rsidRPr="00B84B0C">
        <w:rPr>
          <w:rFonts w:ascii="Arial" w:eastAsia="Times New Roman" w:hAnsi="Arial" w:cs="Arial"/>
          <w:spacing w:val="-2"/>
          <w:sz w:val="14"/>
          <w:szCs w:val="18"/>
          <w:lang w:eastAsia="pt-BR"/>
        </w:rPr>
        <w:t xml:space="preserve"> for </w:t>
      </w:r>
      <w:proofErr w:type="spellStart"/>
      <w:r w:rsidRPr="00B84B0C">
        <w:rPr>
          <w:rFonts w:ascii="Arial" w:eastAsia="Times New Roman" w:hAnsi="Arial" w:cs="Arial"/>
          <w:spacing w:val="-2"/>
          <w:sz w:val="14"/>
          <w:szCs w:val="18"/>
          <w:lang w:eastAsia="pt-BR"/>
        </w:rPr>
        <w:t>investments</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of</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at</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least</w:t>
      </w:r>
      <w:proofErr w:type="spellEnd"/>
      <w:r w:rsidRPr="00B84B0C">
        <w:rPr>
          <w:rFonts w:ascii="Arial" w:eastAsia="Times New Roman" w:hAnsi="Arial" w:cs="Arial"/>
          <w:spacing w:val="-2"/>
          <w:sz w:val="14"/>
          <w:szCs w:val="18"/>
          <w:lang w:eastAsia="pt-BR"/>
        </w:rPr>
        <w:t xml:space="preserve"> 90% </w:t>
      </w:r>
      <w:proofErr w:type="spellStart"/>
      <w:r w:rsidRPr="00B84B0C">
        <w:rPr>
          <w:rFonts w:ascii="Arial" w:eastAsia="Times New Roman" w:hAnsi="Arial" w:cs="Arial"/>
          <w:spacing w:val="-2"/>
          <w:sz w:val="14"/>
          <w:szCs w:val="18"/>
          <w:lang w:eastAsia="pt-BR"/>
        </w:rPr>
        <w:t>of</w:t>
      </w:r>
      <w:proofErr w:type="spellEnd"/>
      <w:r w:rsidRPr="00B84B0C">
        <w:rPr>
          <w:rFonts w:ascii="Arial" w:eastAsia="Times New Roman" w:hAnsi="Arial" w:cs="Arial"/>
          <w:spacing w:val="-2"/>
          <w:sz w:val="14"/>
          <w:szCs w:val="18"/>
          <w:lang w:eastAsia="pt-BR"/>
        </w:rPr>
        <w:t xml:space="preserve"> its </w:t>
      </w:r>
      <w:proofErr w:type="spellStart"/>
      <w:r w:rsidRPr="00B84B0C">
        <w:rPr>
          <w:rFonts w:ascii="Arial" w:eastAsia="Times New Roman" w:hAnsi="Arial" w:cs="Arial"/>
          <w:spacing w:val="-2"/>
          <w:sz w:val="14"/>
          <w:szCs w:val="18"/>
          <w:lang w:eastAsia="pt-BR"/>
        </w:rPr>
        <w:t>Shareholders'Equity</w:t>
      </w:r>
      <w:proofErr w:type="spellEnd"/>
      <w:r w:rsidRPr="00B84B0C">
        <w:rPr>
          <w:rFonts w:ascii="Arial" w:eastAsia="Times New Roman" w:hAnsi="Arial" w:cs="Arial"/>
          <w:spacing w:val="-2"/>
          <w:sz w:val="14"/>
          <w:szCs w:val="18"/>
          <w:lang w:eastAsia="pt-BR"/>
        </w:rPr>
        <w:t xml:space="preserve"> in </w:t>
      </w:r>
      <w:proofErr w:type="spellStart"/>
      <w:r w:rsidRPr="00B84B0C">
        <w:rPr>
          <w:rFonts w:ascii="Arial" w:eastAsia="Times New Roman" w:hAnsi="Arial" w:cs="Arial"/>
          <w:spacing w:val="-2"/>
          <w:sz w:val="14"/>
          <w:szCs w:val="18"/>
          <w:lang w:eastAsia="pt-BR"/>
        </w:rPr>
        <w:t>the</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acquisition</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of</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shares</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and</w:t>
      </w:r>
      <w:proofErr w:type="spellEnd"/>
      <w:r w:rsidRPr="00B84B0C">
        <w:rPr>
          <w:rFonts w:ascii="Arial" w:eastAsia="Times New Roman" w:hAnsi="Arial" w:cs="Arial"/>
          <w:spacing w:val="-2"/>
          <w:sz w:val="14"/>
          <w:szCs w:val="18"/>
          <w:lang w:eastAsia="pt-BR"/>
        </w:rPr>
        <w:t xml:space="preserve"> debentures </w:t>
      </w:r>
      <w:proofErr w:type="spellStart"/>
      <w:r w:rsidRPr="00B84B0C">
        <w:rPr>
          <w:rFonts w:ascii="Arial" w:eastAsia="Times New Roman" w:hAnsi="Arial" w:cs="Arial"/>
          <w:spacing w:val="-2"/>
          <w:sz w:val="14"/>
          <w:szCs w:val="18"/>
          <w:lang w:eastAsia="pt-BR"/>
        </w:rPr>
        <w:t>issued</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by</w:t>
      </w:r>
      <w:proofErr w:type="spellEnd"/>
      <w:r w:rsidRPr="00B84B0C">
        <w:rPr>
          <w:rFonts w:ascii="Arial" w:eastAsia="Times New Roman" w:hAnsi="Arial" w:cs="Arial"/>
          <w:spacing w:val="-2"/>
          <w:sz w:val="14"/>
          <w:szCs w:val="18"/>
          <w:lang w:eastAsia="pt-BR"/>
        </w:rPr>
        <w:t xml:space="preserve"> Startups </w:t>
      </w:r>
      <w:proofErr w:type="spellStart"/>
      <w:r w:rsidRPr="00B84B0C">
        <w:rPr>
          <w:rFonts w:ascii="Arial" w:eastAsia="Times New Roman" w:hAnsi="Arial" w:cs="Arial"/>
          <w:spacing w:val="-2"/>
          <w:sz w:val="14"/>
          <w:szCs w:val="18"/>
          <w:lang w:eastAsia="pt-BR"/>
        </w:rPr>
        <w:t>companies</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convertible</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into</w:t>
      </w:r>
      <w:proofErr w:type="spellEnd"/>
      <w:r w:rsidRPr="00B84B0C">
        <w:rPr>
          <w:rFonts w:ascii="Arial" w:eastAsia="Times New Roman" w:hAnsi="Arial" w:cs="Arial"/>
          <w:spacing w:val="-2"/>
          <w:sz w:val="14"/>
          <w:szCs w:val="18"/>
          <w:lang w:eastAsia="pt-BR"/>
        </w:rPr>
        <w:t xml:space="preserve"> </w:t>
      </w:r>
      <w:proofErr w:type="spellStart"/>
      <w:r w:rsidRPr="00B84B0C">
        <w:rPr>
          <w:rFonts w:ascii="Arial" w:eastAsia="Times New Roman" w:hAnsi="Arial" w:cs="Arial"/>
          <w:spacing w:val="-2"/>
          <w:sz w:val="14"/>
          <w:szCs w:val="18"/>
          <w:lang w:eastAsia="pt-BR"/>
        </w:rPr>
        <w:t>shares</w:t>
      </w:r>
      <w:proofErr w:type="spellEnd"/>
      <w:r w:rsidRPr="00B84B0C">
        <w:rPr>
          <w:rFonts w:ascii="Arial" w:eastAsia="Times New Roman" w:hAnsi="Arial" w:cs="Arial"/>
          <w:spacing w:val="-2"/>
          <w:sz w:val="14"/>
          <w:szCs w:val="18"/>
          <w:lang w:eastAsia="pt-BR"/>
        </w:rPr>
        <w:t>.</w:t>
      </w:r>
    </w:p>
    <w:p w14:paraId="3E38B3E8" w14:textId="77777777" w:rsidR="00AC5680" w:rsidRPr="00B84B0C" w:rsidRDefault="00AC5680" w:rsidP="00AC5680">
      <w:pPr>
        <w:pStyle w:val="07-Legenda"/>
        <w:numPr>
          <w:ilvl w:val="0"/>
          <w:numId w:val="4"/>
        </w:numPr>
        <w:tabs>
          <w:tab w:val="clear" w:pos="284"/>
          <w:tab w:val="left" w:pos="0"/>
        </w:tabs>
        <w:spacing w:line="276" w:lineRule="auto"/>
        <w:rPr>
          <w:rFonts w:cs="Arial"/>
          <w:lang w:val="en-US"/>
        </w:rPr>
      </w:pPr>
      <w:r w:rsidRPr="00B84B0C">
        <w:rPr>
          <w:rFonts w:cs="Arial"/>
          <w:lang w:val="en-US"/>
        </w:rPr>
        <w:t xml:space="preserve">Of the total of R$ </w:t>
      </w:r>
      <w:r w:rsidRPr="00B84B0C">
        <w:rPr>
          <w:rFonts w:cs="Arial"/>
          <w:color w:val="000000" w:themeColor="text1"/>
        </w:rPr>
        <w:t>462,086</w:t>
      </w:r>
      <w:r w:rsidRPr="00B84B0C">
        <w:rPr>
          <w:rFonts w:cs="Arial"/>
          <w:lang w:val="en-US"/>
        </w:rPr>
        <w:t xml:space="preserve"> thousand, R$ </w:t>
      </w:r>
      <w:r w:rsidRPr="00B84B0C">
        <w:rPr>
          <w:rFonts w:cs="Arial"/>
          <w:color w:val="000000" w:themeColor="text1"/>
        </w:rPr>
        <w:t>458,504</w:t>
      </w:r>
      <w:r w:rsidRPr="00B84B0C">
        <w:rPr>
          <w:rFonts w:cs="Arial"/>
          <w:lang w:val="en-US"/>
        </w:rPr>
        <w:t xml:space="preserve"> thousand refers to the investment fund “BB Renda </w:t>
      </w:r>
      <w:proofErr w:type="spellStart"/>
      <w:r w:rsidRPr="00B84B0C">
        <w:rPr>
          <w:rFonts w:cs="Arial"/>
          <w:lang w:val="en-US"/>
        </w:rPr>
        <w:t>Fixa</w:t>
      </w:r>
      <w:proofErr w:type="spellEnd"/>
      <w:r w:rsidRPr="00B84B0C">
        <w:rPr>
          <w:rFonts w:cs="Arial"/>
          <w:lang w:val="en-US"/>
        </w:rPr>
        <w:t xml:space="preserve"> Longo </w:t>
      </w:r>
      <w:proofErr w:type="spellStart"/>
      <w:r w:rsidRPr="00B84B0C">
        <w:rPr>
          <w:rFonts w:cs="Arial"/>
          <w:lang w:val="en-US"/>
        </w:rPr>
        <w:t>Prazo</w:t>
      </w:r>
      <w:proofErr w:type="spellEnd"/>
      <w:r w:rsidRPr="00B84B0C">
        <w:rPr>
          <w:rFonts w:cs="Arial"/>
          <w:lang w:val="en-US"/>
        </w:rPr>
        <w:t xml:space="preserve"> </w:t>
      </w:r>
      <w:proofErr w:type="spellStart"/>
      <w:r w:rsidRPr="00B84B0C">
        <w:rPr>
          <w:rFonts w:cs="Arial"/>
          <w:lang w:val="en-US"/>
        </w:rPr>
        <w:t>Corporativo</w:t>
      </w:r>
      <w:proofErr w:type="spellEnd"/>
      <w:r w:rsidRPr="00B84B0C">
        <w:rPr>
          <w:rFonts w:cs="Arial"/>
          <w:lang w:val="en-US"/>
        </w:rPr>
        <w:t xml:space="preserve"> 10 </w:t>
      </w:r>
      <w:proofErr w:type="spellStart"/>
      <w:r w:rsidRPr="00B84B0C">
        <w:rPr>
          <w:rFonts w:cs="Arial"/>
          <w:lang w:val="en-US"/>
        </w:rPr>
        <w:t>Milhões</w:t>
      </w:r>
      <w:proofErr w:type="spellEnd"/>
      <w:r w:rsidRPr="00B84B0C">
        <w:rPr>
          <w:rFonts w:cs="Arial"/>
          <w:lang w:val="en-US"/>
        </w:rPr>
        <w:t xml:space="preserve">”, whose investment policy provides for investments in investment funds with a portfolio composed, alone or cumulatively, of securities, public or Private, pre-fixed and / or post-fixed, repurchase operations, </w:t>
      </w:r>
      <w:proofErr w:type="gramStart"/>
      <w:r w:rsidRPr="00B84B0C">
        <w:rPr>
          <w:rFonts w:cs="Arial"/>
          <w:lang w:val="en-US"/>
        </w:rPr>
        <w:t>any and all</w:t>
      </w:r>
      <w:proofErr w:type="gramEnd"/>
      <w:r w:rsidRPr="00B84B0C">
        <w:rPr>
          <w:rFonts w:cs="Arial"/>
          <w:lang w:val="en-US"/>
        </w:rPr>
        <w:t xml:space="preserve"> financial assets and / or operating modalities available in the financial market, according to regulation. The fund must maintain 80% of the portfolio in federal government securities and / or assets with low credit risk related to the domestic interest rate, price indices or both. Strategies that imply foreign currency, variable income or leverage risk are not allowed.</w:t>
      </w:r>
    </w:p>
    <w:p w14:paraId="205A929E" w14:textId="77777777" w:rsidR="00AC5680" w:rsidRPr="00B84B0C" w:rsidRDefault="00AC5680" w:rsidP="00736E78">
      <w:pPr>
        <w:rPr>
          <w:rFonts w:cs="Arial"/>
          <w:lang w:eastAsia="pt-BR"/>
        </w:rPr>
      </w:pPr>
    </w:p>
    <w:p w14:paraId="4DB767E0" w14:textId="77777777" w:rsidR="00AC5680" w:rsidRPr="00B84B0C" w:rsidRDefault="00AC5680" w:rsidP="00736E78">
      <w:pPr>
        <w:pStyle w:val="01-TtulodeNota"/>
        <w:numPr>
          <w:ilvl w:val="0"/>
          <w:numId w:val="3"/>
        </w:numPr>
        <w:rPr>
          <w:rFonts w:cs="Arial"/>
          <w:color w:val="1F4E79" w:themeColor="accent1" w:themeShade="80"/>
        </w:rPr>
      </w:pPr>
      <w:r w:rsidRPr="00B84B0C">
        <w:rPr>
          <w:rFonts w:cs="Arial"/>
          <w:color w:val="1F4E79" w:themeColor="accent1" w:themeShade="80"/>
        </w:rPr>
        <w:t xml:space="preserve">Financial </w:t>
      </w:r>
      <w:proofErr w:type="spellStart"/>
      <w:r w:rsidRPr="00B84B0C">
        <w:rPr>
          <w:rFonts w:cs="Arial"/>
          <w:color w:val="1F4E79" w:themeColor="accent1" w:themeShade="80"/>
        </w:rPr>
        <w:t>Assets</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at</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Value</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Through</w:t>
      </w:r>
      <w:proofErr w:type="spellEnd"/>
      <w:r w:rsidRPr="00B84B0C">
        <w:rPr>
          <w:rFonts w:cs="Arial"/>
          <w:color w:val="1F4E79" w:themeColor="accent1" w:themeShade="80"/>
        </w:rPr>
        <w:t xml:space="preserve"> Other </w:t>
      </w:r>
      <w:proofErr w:type="spellStart"/>
      <w:r w:rsidRPr="00B84B0C">
        <w:rPr>
          <w:rFonts w:cs="Arial"/>
          <w:color w:val="1F4E79" w:themeColor="accent1" w:themeShade="80"/>
        </w:rPr>
        <w:t>Comprehensive</w:t>
      </w:r>
      <w:proofErr w:type="spellEnd"/>
      <w:r w:rsidRPr="00B84B0C">
        <w:rPr>
          <w:rFonts w:cs="Arial"/>
          <w:color w:val="1F4E79" w:themeColor="accent1" w:themeShade="80"/>
        </w:rPr>
        <w:t xml:space="preserve"> Income</w:t>
      </w:r>
    </w:p>
    <w:p w14:paraId="1018EA39" w14:textId="77777777" w:rsidR="00AC5680" w:rsidRPr="00B84B0C" w:rsidRDefault="00AC5680" w:rsidP="0073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18"/>
          <w:lang w:val="en" w:eastAsia="pt-BR"/>
        </w:rPr>
      </w:pPr>
      <w:r w:rsidRPr="00B84B0C">
        <w:rPr>
          <w:rFonts w:eastAsia="Times New Roman" w:cs="Arial"/>
          <w:szCs w:val="18"/>
          <w:lang w:val="en" w:eastAsia="pt-BR"/>
        </w:rPr>
        <w:t>There is no balance of financial assets through other comprehensive income.</w:t>
      </w:r>
    </w:p>
    <w:p w14:paraId="26DE4B20" w14:textId="77777777" w:rsidR="00AC5680" w:rsidRPr="00B84B0C" w:rsidRDefault="00AC5680" w:rsidP="0073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Arial"/>
          <w:szCs w:val="18"/>
          <w:lang w:eastAsia="pt-BR"/>
        </w:rPr>
      </w:pPr>
    </w:p>
    <w:p w14:paraId="38F4C9DE" w14:textId="77777777" w:rsidR="00AC5680" w:rsidRPr="00B84B0C" w:rsidRDefault="00AC5680" w:rsidP="00736E78">
      <w:pPr>
        <w:pStyle w:val="01-TtulodeNota"/>
        <w:numPr>
          <w:ilvl w:val="0"/>
          <w:numId w:val="3"/>
        </w:numPr>
        <w:rPr>
          <w:rFonts w:cs="Arial"/>
          <w:color w:val="1F4E79" w:themeColor="accent1" w:themeShade="80"/>
        </w:rPr>
      </w:pPr>
      <w:r w:rsidRPr="00B84B0C">
        <w:rPr>
          <w:rFonts w:cs="Arial"/>
          <w:color w:val="1F4E79" w:themeColor="accent1" w:themeShade="80"/>
        </w:rPr>
        <w:t xml:space="preserve">Financial </w:t>
      </w:r>
      <w:proofErr w:type="spellStart"/>
      <w:r w:rsidRPr="00B84B0C">
        <w:rPr>
          <w:rFonts w:cs="Arial"/>
          <w:color w:val="1F4E79" w:themeColor="accent1" w:themeShade="80"/>
        </w:rPr>
        <w:t>Assets</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Available</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Held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to</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Amortized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Costs</w:t>
      </w:r>
      <w:proofErr w:type="spellEnd"/>
      <w:r w:rsidRPr="00B84B0C">
        <w:rPr>
          <w:rFonts w:cs="Arial"/>
          <w:color w:val="1F4E79" w:themeColor="accent1" w:themeShade="80"/>
        </w:rPr>
        <w:t xml:space="preserve"> </w:t>
      </w:r>
    </w:p>
    <w:p w14:paraId="21F108D1" w14:textId="77777777" w:rsidR="00AC5680" w:rsidRPr="00B84B0C" w:rsidRDefault="00AC5680" w:rsidP="00736E78">
      <w:pPr>
        <w:pStyle w:val="PargrafodaLista"/>
        <w:spacing w:after="0"/>
        <w:ind w:left="360"/>
        <w:jc w:val="right"/>
        <w:rPr>
          <w:rFonts w:ascii="Arial" w:hAnsi="Arial" w:cs="Arial"/>
          <w:b/>
          <w:sz w:val="14"/>
          <w:szCs w:val="14"/>
          <w:lang w:eastAsia="pt-BR"/>
        </w:rPr>
      </w:pPr>
      <w:r w:rsidRPr="00B84B0C">
        <w:rPr>
          <w:rFonts w:ascii="Arial" w:hAnsi="Arial" w:cs="Arial"/>
          <w:b/>
          <w:sz w:val="14"/>
          <w:szCs w:val="14"/>
        </w:rPr>
        <w:t xml:space="preserve">R$ </w:t>
      </w:r>
      <w:proofErr w:type="spellStart"/>
      <w:r w:rsidRPr="00B84B0C">
        <w:rPr>
          <w:rFonts w:ascii="Arial" w:hAnsi="Arial" w:cs="Arial"/>
          <w:b/>
          <w:sz w:val="14"/>
          <w:szCs w:val="14"/>
        </w:rPr>
        <w:t>thousand</w:t>
      </w:r>
      <w:proofErr w:type="spellEnd"/>
    </w:p>
    <w:tbl>
      <w:tblPr>
        <w:tblW w:w="9639" w:type="dxa"/>
        <w:tblInd w:w="70" w:type="dxa"/>
        <w:tblCellMar>
          <w:left w:w="70" w:type="dxa"/>
          <w:right w:w="70" w:type="dxa"/>
        </w:tblCellMar>
        <w:tblLook w:val="04A0" w:firstRow="1" w:lastRow="0" w:firstColumn="1" w:lastColumn="0" w:noHBand="0" w:noVBand="1"/>
      </w:tblPr>
      <w:tblGrid>
        <w:gridCol w:w="2555"/>
        <w:gridCol w:w="1000"/>
        <w:gridCol w:w="878"/>
        <w:gridCol w:w="878"/>
        <w:gridCol w:w="880"/>
        <w:gridCol w:w="861"/>
        <w:gridCol w:w="878"/>
        <w:gridCol w:w="878"/>
        <w:gridCol w:w="831"/>
      </w:tblGrid>
      <w:tr w:rsidR="00AC5680" w:rsidRPr="00B84B0C" w14:paraId="69840CDB" w14:textId="77777777" w:rsidTr="00BA4FFE">
        <w:trPr>
          <w:trHeight w:val="185"/>
        </w:trPr>
        <w:tc>
          <w:tcPr>
            <w:tcW w:w="2542" w:type="dxa"/>
            <w:tcBorders>
              <w:top w:val="single" w:sz="4" w:space="0" w:color="8EAADB"/>
              <w:left w:val="nil"/>
              <w:bottom w:val="single" w:sz="4" w:space="0" w:color="8EAADB"/>
              <w:right w:val="nil"/>
            </w:tcBorders>
            <w:shd w:val="clear" w:color="000000" w:fill="D9E2F3"/>
            <w:noWrap/>
            <w:vAlign w:val="bottom"/>
            <w:hideMark/>
          </w:tcPr>
          <w:p w14:paraId="36EBF21F" w14:textId="77777777" w:rsidR="00AC5680" w:rsidRPr="00B84B0C" w:rsidRDefault="00AC5680" w:rsidP="00736E78">
            <w:pPr>
              <w:pStyle w:val="08-Tabelageral"/>
              <w:jc w:val="center"/>
              <w:rPr>
                <w:rFonts w:cs="Arial"/>
                <w:b/>
              </w:rPr>
            </w:pPr>
          </w:p>
        </w:tc>
        <w:tc>
          <w:tcPr>
            <w:tcW w:w="7044" w:type="dxa"/>
            <w:gridSpan w:val="8"/>
            <w:tcBorders>
              <w:top w:val="single" w:sz="4" w:space="0" w:color="8EAADB"/>
              <w:left w:val="nil"/>
              <w:bottom w:val="single" w:sz="4" w:space="0" w:color="8EAADB"/>
              <w:right w:val="nil"/>
            </w:tcBorders>
            <w:shd w:val="clear" w:color="000000" w:fill="D9E2F3"/>
            <w:noWrap/>
            <w:vAlign w:val="bottom"/>
            <w:hideMark/>
          </w:tcPr>
          <w:p w14:paraId="14B471F2" w14:textId="77777777" w:rsidR="00AC5680" w:rsidRPr="00B84B0C" w:rsidRDefault="00AC5680" w:rsidP="00736E78">
            <w:pPr>
              <w:pStyle w:val="08-Tabelageral"/>
              <w:jc w:val="center"/>
              <w:rPr>
                <w:rFonts w:cs="Arial"/>
                <w:b/>
              </w:rPr>
            </w:pPr>
            <w:proofErr w:type="spellStart"/>
            <w:r w:rsidRPr="00B84B0C">
              <w:rPr>
                <w:rFonts w:cs="Arial"/>
                <w:b/>
              </w:rPr>
              <w:t>Consolidated</w:t>
            </w:r>
            <w:proofErr w:type="spellEnd"/>
          </w:p>
        </w:tc>
      </w:tr>
      <w:tr w:rsidR="00AC5680" w:rsidRPr="00B84B0C" w14:paraId="0965878B" w14:textId="77777777" w:rsidTr="00BA4FFE">
        <w:trPr>
          <w:trHeight w:val="219"/>
        </w:trPr>
        <w:tc>
          <w:tcPr>
            <w:tcW w:w="2542" w:type="dxa"/>
            <w:tcBorders>
              <w:top w:val="nil"/>
              <w:left w:val="nil"/>
              <w:bottom w:val="nil"/>
              <w:right w:val="nil"/>
            </w:tcBorders>
            <w:shd w:val="clear" w:color="000000" w:fill="D9E2F3"/>
            <w:noWrap/>
            <w:vAlign w:val="bottom"/>
            <w:hideMark/>
          </w:tcPr>
          <w:p w14:paraId="09EE1364" w14:textId="77777777" w:rsidR="00AC5680" w:rsidRPr="00B84B0C" w:rsidRDefault="00AC5680" w:rsidP="00736E78">
            <w:pPr>
              <w:pStyle w:val="08-Tabelageral"/>
              <w:jc w:val="center"/>
              <w:rPr>
                <w:rFonts w:cs="Arial"/>
                <w:b/>
              </w:rPr>
            </w:pPr>
          </w:p>
        </w:tc>
        <w:tc>
          <w:tcPr>
            <w:tcW w:w="995" w:type="dxa"/>
            <w:vMerge w:val="restart"/>
            <w:tcBorders>
              <w:top w:val="nil"/>
              <w:left w:val="nil"/>
              <w:bottom w:val="single" w:sz="4" w:space="0" w:color="8EAADB"/>
              <w:right w:val="nil"/>
            </w:tcBorders>
            <w:shd w:val="clear" w:color="000000" w:fill="D9E2F3"/>
            <w:vAlign w:val="center"/>
            <w:hideMark/>
          </w:tcPr>
          <w:p w14:paraId="0D6A910A" w14:textId="77777777" w:rsidR="00AC5680" w:rsidRPr="00B84B0C" w:rsidRDefault="00AC5680" w:rsidP="00736E78">
            <w:pPr>
              <w:pStyle w:val="08-Tabelageral"/>
              <w:jc w:val="center"/>
              <w:rPr>
                <w:rFonts w:cs="Arial"/>
                <w:b/>
                <w:i/>
                <w:iCs/>
              </w:rPr>
            </w:pPr>
            <w:proofErr w:type="spellStart"/>
            <w:r w:rsidRPr="00B84B0C">
              <w:rPr>
                <w:rFonts w:cs="Arial"/>
                <w:b/>
                <w:i/>
                <w:iCs/>
              </w:rPr>
              <w:t>Counterparty</w:t>
            </w:r>
            <w:proofErr w:type="spellEnd"/>
            <w:r w:rsidRPr="00B84B0C">
              <w:rPr>
                <w:rFonts w:cs="Arial"/>
                <w:b/>
                <w:i/>
                <w:iCs/>
              </w:rPr>
              <w:t xml:space="preserve"> rating</w:t>
            </w:r>
          </w:p>
        </w:tc>
        <w:tc>
          <w:tcPr>
            <w:tcW w:w="2621" w:type="dxa"/>
            <w:gridSpan w:val="3"/>
            <w:tcBorders>
              <w:top w:val="single" w:sz="4" w:space="0" w:color="8EAADB"/>
              <w:left w:val="nil"/>
              <w:bottom w:val="single" w:sz="4" w:space="0" w:color="8EAADB"/>
              <w:right w:val="nil"/>
            </w:tcBorders>
            <w:shd w:val="clear" w:color="000000" w:fill="D9E2F3"/>
            <w:noWrap/>
            <w:vAlign w:val="bottom"/>
            <w:hideMark/>
          </w:tcPr>
          <w:p w14:paraId="4C4AD877" w14:textId="77777777" w:rsidR="00AC5680" w:rsidRPr="00B84B0C" w:rsidRDefault="00AC5680" w:rsidP="00736E78">
            <w:pPr>
              <w:pStyle w:val="08-Tabelageral"/>
              <w:jc w:val="center"/>
              <w:rPr>
                <w:rFonts w:cs="Arial"/>
                <w:b/>
              </w:rPr>
            </w:pPr>
            <w:r w:rsidRPr="00B84B0C">
              <w:rPr>
                <w:rFonts w:cs="Arial"/>
                <w:b/>
              </w:rPr>
              <w:t>Mar 31, 2020</w:t>
            </w:r>
          </w:p>
        </w:tc>
        <w:tc>
          <w:tcPr>
            <w:tcW w:w="856" w:type="dxa"/>
            <w:vMerge w:val="restart"/>
            <w:tcBorders>
              <w:top w:val="nil"/>
              <w:left w:val="nil"/>
              <w:bottom w:val="single" w:sz="4" w:space="0" w:color="8EAADB"/>
              <w:right w:val="nil"/>
            </w:tcBorders>
            <w:shd w:val="clear" w:color="000000" w:fill="D9E2F3"/>
            <w:vAlign w:val="center"/>
            <w:hideMark/>
          </w:tcPr>
          <w:p w14:paraId="6E5F3108" w14:textId="77777777" w:rsidR="00AC5680" w:rsidRPr="00B84B0C" w:rsidRDefault="00AC5680" w:rsidP="00736E78">
            <w:pPr>
              <w:pStyle w:val="08-Tabelageral"/>
              <w:jc w:val="center"/>
              <w:rPr>
                <w:rFonts w:cs="Arial"/>
                <w:b/>
                <w:i/>
                <w:iCs/>
              </w:rPr>
            </w:pPr>
          </w:p>
        </w:tc>
        <w:tc>
          <w:tcPr>
            <w:tcW w:w="2572" w:type="dxa"/>
            <w:gridSpan w:val="3"/>
            <w:tcBorders>
              <w:top w:val="single" w:sz="4" w:space="0" w:color="8EAADB"/>
              <w:left w:val="nil"/>
              <w:bottom w:val="single" w:sz="4" w:space="0" w:color="8EAADB"/>
              <w:right w:val="nil"/>
            </w:tcBorders>
            <w:shd w:val="clear" w:color="000000" w:fill="D9E2F3"/>
            <w:noWrap/>
            <w:vAlign w:val="bottom"/>
            <w:hideMark/>
          </w:tcPr>
          <w:p w14:paraId="54E8FE02" w14:textId="77777777" w:rsidR="00AC5680" w:rsidRPr="00B84B0C" w:rsidRDefault="00AC5680" w:rsidP="00736E78">
            <w:pPr>
              <w:pStyle w:val="08-Tabelageral"/>
              <w:jc w:val="center"/>
              <w:rPr>
                <w:rFonts w:cs="Arial"/>
                <w:b/>
              </w:rPr>
            </w:pPr>
            <w:proofErr w:type="spellStart"/>
            <w:r w:rsidRPr="00B84B0C">
              <w:rPr>
                <w:rFonts w:cs="Arial"/>
                <w:b/>
              </w:rPr>
              <w:t>Dec</w:t>
            </w:r>
            <w:proofErr w:type="spellEnd"/>
            <w:r w:rsidRPr="00B84B0C">
              <w:rPr>
                <w:rFonts w:cs="Arial"/>
                <w:b/>
              </w:rPr>
              <w:t xml:space="preserve"> 31, 2019</w:t>
            </w:r>
          </w:p>
        </w:tc>
      </w:tr>
      <w:tr w:rsidR="00AC5680" w:rsidRPr="00B84B0C" w14:paraId="1DBB5103" w14:textId="77777777" w:rsidTr="00BA4FFE">
        <w:trPr>
          <w:trHeight w:val="372"/>
        </w:trPr>
        <w:tc>
          <w:tcPr>
            <w:tcW w:w="2542" w:type="dxa"/>
            <w:tcBorders>
              <w:top w:val="nil"/>
              <w:left w:val="nil"/>
              <w:bottom w:val="single" w:sz="4" w:space="0" w:color="8EAADB"/>
              <w:right w:val="nil"/>
            </w:tcBorders>
            <w:shd w:val="clear" w:color="000000" w:fill="D9E2F3"/>
            <w:noWrap/>
            <w:vAlign w:val="bottom"/>
            <w:hideMark/>
          </w:tcPr>
          <w:p w14:paraId="170D99CB" w14:textId="77777777" w:rsidR="00AC5680" w:rsidRPr="00B84B0C" w:rsidRDefault="00AC5680" w:rsidP="00736E78">
            <w:pPr>
              <w:pStyle w:val="08-Tabelageral"/>
              <w:jc w:val="center"/>
              <w:rPr>
                <w:rFonts w:cs="Arial"/>
                <w:b/>
              </w:rPr>
            </w:pPr>
          </w:p>
        </w:tc>
        <w:tc>
          <w:tcPr>
            <w:tcW w:w="995" w:type="dxa"/>
            <w:vMerge/>
            <w:tcBorders>
              <w:top w:val="nil"/>
              <w:left w:val="nil"/>
              <w:bottom w:val="single" w:sz="4" w:space="0" w:color="8EAADB"/>
              <w:right w:val="nil"/>
            </w:tcBorders>
            <w:vAlign w:val="center"/>
            <w:hideMark/>
          </w:tcPr>
          <w:p w14:paraId="7FD1C05B" w14:textId="77777777" w:rsidR="00AC5680" w:rsidRPr="00B84B0C" w:rsidRDefault="00AC5680" w:rsidP="00736E78">
            <w:pPr>
              <w:pStyle w:val="08-Tabelageral"/>
              <w:jc w:val="center"/>
              <w:rPr>
                <w:rFonts w:cs="Arial"/>
                <w:b/>
                <w:i/>
                <w:iCs/>
              </w:rPr>
            </w:pPr>
          </w:p>
        </w:tc>
        <w:tc>
          <w:tcPr>
            <w:tcW w:w="873" w:type="dxa"/>
            <w:tcBorders>
              <w:top w:val="nil"/>
              <w:left w:val="nil"/>
              <w:bottom w:val="single" w:sz="4" w:space="0" w:color="8EAADB"/>
              <w:right w:val="nil"/>
            </w:tcBorders>
            <w:shd w:val="clear" w:color="000000" w:fill="D9E2F3"/>
            <w:vAlign w:val="bottom"/>
            <w:hideMark/>
          </w:tcPr>
          <w:p w14:paraId="2CCD6B6E" w14:textId="77777777" w:rsidR="00AC5680" w:rsidRPr="00B84B0C" w:rsidRDefault="00AC5680" w:rsidP="00736E78">
            <w:pPr>
              <w:pStyle w:val="08-Tabelageral"/>
              <w:jc w:val="center"/>
              <w:rPr>
                <w:rFonts w:cs="Arial"/>
                <w:b/>
              </w:rPr>
            </w:pPr>
            <w:proofErr w:type="spellStart"/>
            <w:r w:rsidRPr="00B84B0C">
              <w:rPr>
                <w:rFonts w:cs="Arial"/>
                <w:b/>
              </w:rPr>
              <w:t>Cost</w:t>
            </w:r>
            <w:proofErr w:type="spellEnd"/>
          </w:p>
          <w:p w14:paraId="5F9F24EA" w14:textId="77777777" w:rsidR="00AC5680" w:rsidRPr="00B84B0C" w:rsidRDefault="00AC5680" w:rsidP="00736E78">
            <w:pPr>
              <w:pStyle w:val="08-Tabelageral"/>
              <w:jc w:val="center"/>
              <w:rPr>
                <w:rFonts w:cs="Arial"/>
                <w:b/>
              </w:rPr>
            </w:pPr>
            <w:proofErr w:type="spellStart"/>
            <w:r w:rsidRPr="00B84B0C">
              <w:rPr>
                <w:rFonts w:cs="Arial"/>
                <w:b/>
              </w:rPr>
              <w:t>Value</w:t>
            </w:r>
            <w:proofErr w:type="spellEnd"/>
          </w:p>
        </w:tc>
        <w:tc>
          <w:tcPr>
            <w:tcW w:w="873" w:type="dxa"/>
            <w:tcBorders>
              <w:top w:val="nil"/>
              <w:left w:val="nil"/>
              <w:bottom w:val="single" w:sz="4" w:space="0" w:color="8EAADB"/>
              <w:right w:val="nil"/>
            </w:tcBorders>
            <w:shd w:val="clear" w:color="000000" w:fill="D9E2F3"/>
            <w:vAlign w:val="bottom"/>
            <w:hideMark/>
          </w:tcPr>
          <w:p w14:paraId="7758098F" w14:textId="77777777" w:rsidR="00AC5680" w:rsidRPr="00B84B0C" w:rsidRDefault="00AC5680" w:rsidP="00736E78">
            <w:pPr>
              <w:pStyle w:val="08-Tabelageral"/>
              <w:jc w:val="center"/>
              <w:rPr>
                <w:rFonts w:cs="Arial"/>
                <w:b/>
              </w:rPr>
            </w:pPr>
            <w:r w:rsidRPr="00B84B0C">
              <w:rPr>
                <w:rFonts w:cs="Arial"/>
                <w:b/>
              </w:rPr>
              <w:t xml:space="preserve">Book </w:t>
            </w:r>
            <w:proofErr w:type="spellStart"/>
            <w:r w:rsidRPr="00B84B0C">
              <w:rPr>
                <w:rFonts w:cs="Arial"/>
                <w:b/>
              </w:rPr>
              <w:t>Value</w:t>
            </w:r>
            <w:proofErr w:type="spellEnd"/>
          </w:p>
        </w:tc>
        <w:tc>
          <w:tcPr>
            <w:tcW w:w="875" w:type="dxa"/>
            <w:tcBorders>
              <w:top w:val="nil"/>
              <w:left w:val="nil"/>
              <w:bottom w:val="single" w:sz="4" w:space="0" w:color="8EAADB"/>
              <w:right w:val="nil"/>
            </w:tcBorders>
            <w:shd w:val="clear" w:color="000000" w:fill="D9E2F3"/>
            <w:vAlign w:val="bottom"/>
            <w:hideMark/>
          </w:tcPr>
          <w:p w14:paraId="0773AA04" w14:textId="77777777" w:rsidR="00AC5680" w:rsidRPr="00B84B0C" w:rsidRDefault="00AC5680" w:rsidP="00736E78">
            <w:pPr>
              <w:pStyle w:val="08-Tabelageral"/>
              <w:jc w:val="center"/>
              <w:rPr>
                <w:rFonts w:cs="Arial"/>
                <w:b/>
              </w:rPr>
            </w:pPr>
            <w:proofErr w:type="spellStart"/>
            <w:r w:rsidRPr="00B84B0C">
              <w:rPr>
                <w:rFonts w:cs="Arial"/>
                <w:b/>
              </w:rPr>
              <w:t>Updated</w:t>
            </w:r>
            <w:proofErr w:type="spellEnd"/>
            <w:r w:rsidRPr="00B84B0C">
              <w:rPr>
                <w:rFonts w:cs="Arial"/>
                <w:b/>
              </w:rPr>
              <w:t xml:space="preserve"> </w:t>
            </w:r>
            <w:proofErr w:type="spellStart"/>
            <w:r w:rsidRPr="00B84B0C">
              <w:rPr>
                <w:rFonts w:cs="Arial"/>
                <w:b/>
              </w:rPr>
              <w:t>cost</w:t>
            </w:r>
            <w:proofErr w:type="spellEnd"/>
          </w:p>
        </w:tc>
        <w:tc>
          <w:tcPr>
            <w:tcW w:w="856" w:type="dxa"/>
            <w:vMerge/>
            <w:tcBorders>
              <w:top w:val="nil"/>
              <w:left w:val="nil"/>
              <w:bottom w:val="single" w:sz="4" w:space="0" w:color="8EAADB"/>
              <w:right w:val="nil"/>
            </w:tcBorders>
            <w:vAlign w:val="center"/>
            <w:hideMark/>
          </w:tcPr>
          <w:p w14:paraId="7B4E00B0" w14:textId="77777777" w:rsidR="00AC5680" w:rsidRPr="00B84B0C" w:rsidRDefault="00AC5680" w:rsidP="00736E78">
            <w:pPr>
              <w:pStyle w:val="08-Tabelageral"/>
              <w:jc w:val="center"/>
              <w:rPr>
                <w:rFonts w:cs="Arial"/>
                <w:b/>
                <w:i/>
                <w:iCs/>
              </w:rPr>
            </w:pPr>
          </w:p>
        </w:tc>
        <w:tc>
          <w:tcPr>
            <w:tcW w:w="873" w:type="dxa"/>
            <w:tcBorders>
              <w:top w:val="nil"/>
              <w:left w:val="nil"/>
              <w:bottom w:val="single" w:sz="4" w:space="0" w:color="8EAADB"/>
              <w:right w:val="nil"/>
            </w:tcBorders>
            <w:shd w:val="clear" w:color="000000" w:fill="D9E2F3"/>
            <w:vAlign w:val="bottom"/>
            <w:hideMark/>
          </w:tcPr>
          <w:p w14:paraId="7A7D6AB4" w14:textId="77777777" w:rsidR="00AC5680" w:rsidRPr="00B84B0C" w:rsidRDefault="00AC5680" w:rsidP="00736E78">
            <w:pPr>
              <w:pStyle w:val="08-Tabelageral"/>
              <w:jc w:val="center"/>
              <w:rPr>
                <w:rFonts w:cs="Arial"/>
                <w:b/>
              </w:rPr>
            </w:pPr>
            <w:proofErr w:type="spellStart"/>
            <w:r w:rsidRPr="00B84B0C">
              <w:rPr>
                <w:rFonts w:cs="Arial"/>
                <w:b/>
              </w:rPr>
              <w:t>Cost</w:t>
            </w:r>
            <w:proofErr w:type="spellEnd"/>
          </w:p>
          <w:p w14:paraId="38736484" w14:textId="77777777" w:rsidR="00AC5680" w:rsidRPr="00B84B0C" w:rsidRDefault="00AC5680" w:rsidP="00736E78">
            <w:pPr>
              <w:pStyle w:val="08-Tabelageral"/>
              <w:jc w:val="center"/>
              <w:rPr>
                <w:rFonts w:cs="Arial"/>
                <w:b/>
              </w:rPr>
            </w:pPr>
            <w:proofErr w:type="spellStart"/>
            <w:r w:rsidRPr="00B84B0C">
              <w:rPr>
                <w:rFonts w:cs="Arial"/>
                <w:b/>
              </w:rPr>
              <w:t>Value</w:t>
            </w:r>
            <w:proofErr w:type="spellEnd"/>
          </w:p>
        </w:tc>
        <w:tc>
          <w:tcPr>
            <w:tcW w:w="873" w:type="dxa"/>
            <w:tcBorders>
              <w:top w:val="nil"/>
              <w:left w:val="nil"/>
              <w:bottom w:val="single" w:sz="4" w:space="0" w:color="8EAADB"/>
              <w:right w:val="nil"/>
            </w:tcBorders>
            <w:shd w:val="clear" w:color="000000" w:fill="D9E2F3"/>
            <w:vAlign w:val="bottom"/>
            <w:hideMark/>
          </w:tcPr>
          <w:p w14:paraId="3DE3EFCC" w14:textId="77777777" w:rsidR="00AC5680" w:rsidRPr="00B84B0C" w:rsidRDefault="00AC5680" w:rsidP="00736E78">
            <w:pPr>
              <w:pStyle w:val="08-Tabelageral"/>
              <w:jc w:val="center"/>
              <w:rPr>
                <w:rFonts w:cs="Arial"/>
                <w:b/>
              </w:rPr>
            </w:pPr>
            <w:r w:rsidRPr="00B84B0C">
              <w:rPr>
                <w:rFonts w:cs="Arial"/>
                <w:b/>
              </w:rPr>
              <w:t xml:space="preserve">Book </w:t>
            </w:r>
            <w:proofErr w:type="spellStart"/>
            <w:r w:rsidRPr="00B84B0C">
              <w:rPr>
                <w:rFonts w:cs="Arial"/>
                <w:b/>
              </w:rPr>
              <w:t>Value</w:t>
            </w:r>
            <w:proofErr w:type="spellEnd"/>
          </w:p>
        </w:tc>
        <w:tc>
          <w:tcPr>
            <w:tcW w:w="826" w:type="dxa"/>
            <w:tcBorders>
              <w:top w:val="nil"/>
              <w:left w:val="nil"/>
              <w:bottom w:val="single" w:sz="4" w:space="0" w:color="8EAADB"/>
              <w:right w:val="nil"/>
            </w:tcBorders>
            <w:shd w:val="clear" w:color="000000" w:fill="D9E2F3"/>
            <w:vAlign w:val="bottom"/>
            <w:hideMark/>
          </w:tcPr>
          <w:p w14:paraId="6C7348C3" w14:textId="77777777" w:rsidR="00AC5680" w:rsidRPr="00B84B0C" w:rsidRDefault="00AC5680" w:rsidP="00736E78">
            <w:pPr>
              <w:pStyle w:val="08-Tabelageral"/>
              <w:jc w:val="center"/>
              <w:rPr>
                <w:rFonts w:cs="Arial"/>
                <w:b/>
              </w:rPr>
            </w:pPr>
            <w:proofErr w:type="spellStart"/>
            <w:r w:rsidRPr="00B84B0C">
              <w:rPr>
                <w:rFonts w:cs="Arial"/>
                <w:b/>
              </w:rPr>
              <w:t>Updated</w:t>
            </w:r>
            <w:proofErr w:type="spellEnd"/>
            <w:r w:rsidRPr="00B84B0C">
              <w:rPr>
                <w:rFonts w:cs="Arial"/>
                <w:b/>
              </w:rPr>
              <w:t xml:space="preserve"> </w:t>
            </w:r>
            <w:proofErr w:type="spellStart"/>
            <w:r w:rsidRPr="00B84B0C">
              <w:rPr>
                <w:rFonts w:cs="Arial"/>
                <w:b/>
              </w:rPr>
              <w:t>cost</w:t>
            </w:r>
            <w:proofErr w:type="spellEnd"/>
          </w:p>
        </w:tc>
      </w:tr>
      <w:tr w:rsidR="00AC5680" w:rsidRPr="00B84B0C" w14:paraId="102EC8F1" w14:textId="77777777" w:rsidTr="00BA4FFE">
        <w:trPr>
          <w:trHeight w:val="219"/>
        </w:trPr>
        <w:tc>
          <w:tcPr>
            <w:tcW w:w="2542" w:type="dxa"/>
            <w:tcBorders>
              <w:top w:val="nil"/>
              <w:left w:val="nil"/>
              <w:right w:val="nil"/>
            </w:tcBorders>
            <w:shd w:val="clear" w:color="auto" w:fill="auto"/>
            <w:noWrap/>
            <w:vAlign w:val="bottom"/>
            <w:hideMark/>
          </w:tcPr>
          <w:p w14:paraId="361F906B" w14:textId="77777777" w:rsidR="00AC5680" w:rsidRPr="00B84B0C" w:rsidRDefault="00AC5680" w:rsidP="00736E78">
            <w:pPr>
              <w:pStyle w:val="08-Tabelageral"/>
              <w:jc w:val="left"/>
              <w:rPr>
                <w:rFonts w:cs="Arial"/>
                <w:vertAlign w:val="superscript"/>
              </w:rPr>
            </w:pPr>
            <w:r w:rsidRPr="00B84B0C">
              <w:rPr>
                <w:rFonts w:cs="Arial"/>
              </w:rPr>
              <w:t>Short-</w:t>
            </w:r>
            <w:proofErr w:type="spellStart"/>
            <w:r w:rsidRPr="00B84B0C">
              <w:rPr>
                <w:rFonts w:cs="Arial"/>
              </w:rPr>
              <w:t>Term</w:t>
            </w:r>
            <w:proofErr w:type="spellEnd"/>
            <w:r w:rsidRPr="00B84B0C">
              <w:rPr>
                <w:rFonts w:cs="Arial"/>
              </w:rPr>
              <w:t xml:space="preserve"> Financial </w:t>
            </w:r>
            <w:proofErr w:type="spellStart"/>
            <w:r w:rsidRPr="00B84B0C">
              <w:rPr>
                <w:rFonts w:cs="Arial"/>
              </w:rPr>
              <w:t>bills</w:t>
            </w:r>
            <w:proofErr w:type="spellEnd"/>
            <w:r w:rsidRPr="00B84B0C">
              <w:rPr>
                <w:rFonts w:cs="Arial"/>
              </w:rPr>
              <w:t xml:space="preserve"> </w:t>
            </w:r>
            <w:r w:rsidRPr="00B84B0C">
              <w:rPr>
                <w:rFonts w:cs="Arial"/>
                <w:vertAlign w:val="superscript"/>
              </w:rPr>
              <w:t>(1)</w:t>
            </w:r>
          </w:p>
        </w:tc>
        <w:tc>
          <w:tcPr>
            <w:tcW w:w="995" w:type="dxa"/>
            <w:tcBorders>
              <w:top w:val="nil"/>
              <w:left w:val="nil"/>
              <w:right w:val="nil"/>
            </w:tcBorders>
            <w:shd w:val="clear" w:color="auto" w:fill="auto"/>
            <w:noWrap/>
            <w:vAlign w:val="bottom"/>
            <w:hideMark/>
          </w:tcPr>
          <w:p w14:paraId="73F438C7" w14:textId="77777777" w:rsidR="00AC5680" w:rsidRPr="00B84B0C" w:rsidRDefault="00AC5680" w:rsidP="00736E78">
            <w:pPr>
              <w:pStyle w:val="08-Tabelageral"/>
              <w:rPr>
                <w:rFonts w:cs="Arial"/>
              </w:rPr>
            </w:pPr>
            <w:r w:rsidRPr="00B84B0C">
              <w:rPr>
                <w:rFonts w:cs="Arial"/>
              </w:rPr>
              <w:t>AA-</w:t>
            </w:r>
          </w:p>
        </w:tc>
        <w:tc>
          <w:tcPr>
            <w:tcW w:w="873" w:type="dxa"/>
            <w:noWrap/>
            <w:vAlign w:val="bottom"/>
            <w:hideMark/>
          </w:tcPr>
          <w:p w14:paraId="7B33174F" w14:textId="77777777" w:rsidR="00AC5680" w:rsidRPr="00B84B0C" w:rsidRDefault="00AC5680" w:rsidP="00736E78">
            <w:pPr>
              <w:pStyle w:val="08-Tabelageral"/>
              <w:spacing w:line="256" w:lineRule="auto"/>
              <w:rPr>
                <w:rFonts w:cs="Arial"/>
                <w:lang w:eastAsia="en-US"/>
              </w:rPr>
            </w:pPr>
            <w:r w:rsidRPr="00B84B0C">
              <w:rPr>
                <w:rFonts w:cs="Arial"/>
                <w:lang w:eastAsia="en-US"/>
              </w:rPr>
              <w:t>399,400</w:t>
            </w:r>
          </w:p>
        </w:tc>
        <w:tc>
          <w:tcPr>
            <w:tcW w:w="873" w:type="dxa"/>
            <w:noWrap/>
            <w:vAlign w:val="bottom"/>
            <w:hideMark/>
          </w:tcPr>
          <w:p w14:paraId="72123CFD" w14:textId="77777777" w:rsidR="00AC5680" w:rsidRPr="00B84B0C" w:rsidRDefault="00AC5680" w:rsidP="00736E78">
            <w:pPr>
              <w:pStyle w:val="08-Tabelageral"/>
              <w:spacing w:line="256" w:lineRule="auto"/>
              <w:rPr>
                <w:rFonts w:cs="Arial"/>
                <w:lang w:eastAsia="en-US"/>
              </w:rPr>
            </w:pPr>
            <w:r w:rsidRPr="00B84B0C">
              <w:rPr>
                <w:rFonts w:cs="Arial"/>
                <w:lang w:eastAsia="en-US"/>
              </w:rPr>
              <w:t>435,939</w:t>
            </w:r>
          </w:p>
        </w:tc>
        <w:tc>
          <w:tcPr>
            <w:tcW w:w="875" w:type="dxa"/>
            <w:noWrap/>
            <w:vAlign w:val="bottom"/>
            <w:hideMark/>
          </w:tcPr>
          <w:p w14:paraId="40BAA986" w14:textId="77777777" w:rsidR="00AC5680" w:rsidRPr="00B84B0C" w:rsidRDefault="00AC5680" w:rsidP="00736E78">
            <w:pPr>
              <w:pStyle w:val="08-Tabelageral"/>
              <w:spacing w:line="256" w:lineRule="auto"/>
              <w:rPr>
                <w:rFonts w:cs="Arial"/>
                <w:lang w:eastAsia="en-US"/>
              </w:rPr>
            </w:pPr>
            <w:r w:rsidRPr="00B84B0C">
              <w:rPr>
                <w:rFonts w:cs="Arial"/>
                <w:lang w:eastAsia="en-US"/>
              </w:rPr>
              <w:t>435,403</w:t>
            </w:r>
          </w:p>
        </w:tc>
        <w:tc>
          <w:tcPr>
            <w:tcW w:w="856" w:type="dxa"/>
            <w:noWrap/>
            <w:vAlign w:val="bottom"/>
            <w:hideMark/>
          </w:tcPr>
          <w:p w14:paraId="54065E02" w14:textId="77777777" w:rsidR="00AC5680" w:rsidRPr="00B84B0C" w:rsidRDefault="00AC5680" w:rsidP="00736E78">
            <w:pPr>
              <w:rPr>
                <w:rFonts w:cs="Arial"/>
              </w:rPr>
            </w:pPr>
          </w:p>
        </w:tc>
        <w:tc>
          <w:tcPr>
            <w:tcW w:w="873" w:type="dxa"/>
            <w:noWrap/>
            <w:vAlign w:val="bottom"/>
            <w:hideMark/>
          </w:tcPr>
          <w:p w14:paraId="135154E3" w14:textId="77777777" w:rsidR="00AC5680" w:rsidRPr="00B84B0C" w:rsidRDefault="00AC5680" w:rsidP="00736E78">
            <w:pPr>
              <w:pStyle w:val="08-Tabelageral"/>
              <w:spacing w:line="256" w:lineRule="auto"/>
              <w:rPr>
                <w:rFonts w:cs="Arial"/>
                <w:lang w:eastAsia="en-US"/>
              </w:rPr>
            </w:pPr>
            <w:r w:rsidRPr="00B84B0C">
              <w:rPr>
                <w:rFonts w:cs="Arial"/>
                <w:lang w:eastAsia="en-US"/>
              </w:rPr>
              <w:t>265,000</w:t>
            </w:r>
          </w:p>
        </w:tc>
        <w:tc>
          <w:tcPr>
            <w:tcW w:w="873" w:type="dxa"/>
            <w:noWrap/>
            <w:vAlign w:val="bottom"/>
            <w:hideMark/>
          </w:tcPr>
          <w:p w14:paraId="323239FE" w14:textId="77777777" w:rsidR="00AC5680" w:rsidRPr="00B84B0C" w:rsidRDefault="00AC5680" w:rsidP="00736E78">
            <w:pPr>
              <w:pStyle w:val="08-Tabelageral"/>
              <w:spacing w:line="256" w:lineRule="auto"/>
              <w:rPr>
                <w:rFonts w:cs="Arial"/>
                <w:lang w:eastAsia="en-US"/>
              </w:rPr>
            </w:pPr>
            <w:r w:rsidRPr="00B84B0C">
              <w:rPr>
                <w:rFonts w:cs="Arial"/>
                <w:lang w:eastAsia="en-US"/>
              </w:rPr>
              <w:t>286,301</w:t>
            </w:r>
          </w:p>
        </w:tc>
        <w:tc>
          <w:tcPr>
            <w:tcW w:w="826" w:type="dxa"/>
            <w:noWrap/>
            <w:vAlign w:val="bottom"/>
            <w:hideMark/>
          </w:tcPr>
          <w:p w14:paraId="4BE7A196" w14:textId="77777777" w:rsidR="00AC5680" w:rsidRPr="00B84B0C" w:rsidRDefault="00AC5680" w:rsidP="00736E78">
            <w:pPr>
              <w:pStyle w:val="08-Tabelageral"/>
              <w:spacing w:line="256" w:lineRule="auto"/>
              <w:rPr>
                <w:rFonts w:cs="Arial"/>
                <w:lang w:eastAsia="en-US"/>
              </w:rPr>
            </w:pPr>
            <w:r w:rsidRPr="00B84B0C">
              <w:rPr>
                <w:rFonts w:cs="Arial"/>
                <w:lang w:eastAsia="en-US"/>
              </w:rPr>
              <w:t>286,428</w:t>
            </w:r>
          </w:p>
        </w:tc>
      </w:tr>
      <w:tr w:rsidR="00AC5680" w:rsidRPr="00B84B0C" w14:paraId="10E1FBD4" w14:textId="77777777" w:rsidTr="00BA4FFE">
        <w:trPr>
          <w:trHeight w:val="219"/>
        </w:trPr>
        <w:tc>
          <w:tcPr>
            <w:tcW w:w="2542" w:type="dxa"/>
            <w:tcBorders>
              <w:top w:val="nil"/>
              <w:left w:val="nil"/>
              <w:right w:val="nil"/>
            </w:tcBorders>
            <w:shd w:val="clear" w:color="auto" w:fill="D9E2F3" w:themeFill="accent5" w:themeFillTint="33"/>
            <w:noWrap/>
            <w:vAlign w:val="bottom"/>
            <w:hideMark/>
          </w:tcPr>
          <w:p w14:paraId="6DDF8A08" w14:textId="77777777" w:rsidR="00AC5680" w:rsidRPr="00B84B0C" w:rsidRDefault="00AC5680" w:rsidP="00736E78">
            <w:pPr>
              <w:pStyle w:val="08-Tabelageral"/>
              <w:jc w:val="left"/>
              <w:rPr>
                <w:rFonts w:cs="Arial"/>
                <w:vertAlign w:val="superscript"/>
              </w:rPr>
            </w:pPr>
            <w:proofErr w:type="spellStart"/>
            <w:r w:rsidRPr="00B84B0C">
              <w:rPr>
                <w:rFonts w:cs="Arial"/>
              </w:rPr>
              <w:t>Long-Term</w:t>
            </w:r>
            <w:proofErr w:type="spellEnd"/>
            <w:r w:rsidRPr="00B84B0C">
              <w:rPr>
                <w:rFonts w:cs="Arial"/>
              </w:rPr>
              <w:t xml:space="preserve"> Financial </w:t>
            </w:r>
            <w:proofErr w:type="spellStart"/>
            <w:r w:rsidRPr="00B84B0C">
              <w:rPr>
                <w:rFonts w:cs="Arial"/>
              </w:rPr>
              <w:t>bills</w:t>
            </w:r>
            <w:proofErr w:type="spellEnd"/>
            <w:r w:rsidRPr="00B84B0C">
              <w:rPr>
                <w:rFonts w:cs="Arial"/>
              </w:rPr>
              <w:t xml:space="preserve"> </w:t>
            </w:r>
            <w:r w:rsidRPr="00B84B0C">
              <w:rPr>
                <w:rFonts w:cs="Arial"/>
                <w:vertAlign w:val="superscript"/>
              </w:rPr>
              <w:t>(2)</w:t>
            </w:r>
          </w:p>
        </w:tc>
        <w:tc>
          <w:tcPr>
            <w:tcW w:w="995" w:type="dxa"/>
            <w:tcBorders>
              <w:top w:val="nil"/>
              <w:left w:val="nil"/>
              <w:right w:val="nil"/>
            </w:tcBorders>
            <w:shd w:val="clear" w:color="auto" w:fill="D9E2F3" w:themeFill="accent5" w:themeFillTint="33"/>
            <w:noWrap/>
            <w:vAlign w:val="bottom"/>
            <w:hideMark/>
          </w:tcPr>
          <w:p w14:paraId="33BF55DC" w14:textId="77777777" w:rsidR="00AC5680" w:rsidRPr="00B84B0C" w:rsidRDefault="00AC5680" w:rsidP="00736E78">
            <w:pPr>
              <w:pStyle w:val="08-Tabelageral"/>
              <w:rPr>
                <w:rFonts w:cs="Arial"/>
              </w:rPr>
            </w:pPr>
            <w:r w:rsidRPr="00B84B0C">
              <w:rPr>
                <w:rFonts w:cs="Arial"/>
              </w:rPr>
              <w:t>AA-</w:t>
            </w:r>
          </w:p>
        </w:tc>
        <w:tc>
          <w:tcPr>
            <w:tcW w:w="873" w:type="dxa"/>
            <w:shd w:val="clear" w:color="auto" w:fill="D9E2F3" w:themeFill="accent5" w:themeFillTint="33"/>
            <w:noWrap/>
            <w:vAlign w:val="bottom"/>
            <w:hideMark/>
          </w:tcPr>
          <w:p w14:paraId="4E4DA3A0" w14:textId="77777777" w:rsidR="00AC5680" w:rsidRPr="00B84B0C" w:rsidRDefault="00AC5680" w:rsidP="00736E78">
            <w:pPr>
              <w:pStyle w:val="08-Tabelageral"/>
              <w:spacing w:line="256" w:lineRule="auto"/>
              <w:rPr>
                <w:rFonts w:cs="Arial"/>
                <w:lang w:eastAsia="en-US"/>
              </w:rPr>
            </w:pPr>
            <w:r w:rsidRPr="00B84B0C">
              <w:rPr>
                <w:rFonts w:cs="Arial"/>
                <w:lang w:eastAsia="en-US"/>
              </w:rPr>
              <w:t>286,000</w:t>
            </w:r>
          </w:p>
        </w:tc>
        <w:tc>
          <w:tcPr>
            <w:tcW w:w="873" w:type="dxa"/>
            <w:shd w:val="clear" w:color="auto" w:fill="D9E2F3" w:themeFill="accent5" w:themeFillTint="33"/>
            <w:noWrap/>
            <w:vAlign w:val="bottom"/>
            <w:hideMark/>
          </w:tcPr>
          <w:p w14:paraId="138B0EA3" w14:textId="77777777" w:rsidR="00AC5680" w:rsidRPr="00B84B0C" w:rsidRDefault="00AC5680" w:rsidP="00736E78">
            <w:pPr>
              <w:pStyle w:val="08-Tabelageral"/>
              <w:spacing w:line="256" w:lineRule="auto"/>
              <w:rPr>
                <w:rFonts w:cs="Arial"/>
                <w:lang w:eastAsia="en-US"/>
              </w:rPr>
            </w:pPr>
            <w:r w:rsidRPr="00B84B0C">
              <w:rPr>
                <w:rFonts w:cs="Arial"/>
                <w:lang w:eastAsia="en-US"/>
              </w:rPr>
              <w:t>294,791</w:t>
            </w:r>
          </w:p>
        </w:tc>
        <w:tc>
          <w:tcPr>
            <w:tcW w:w="875" w:type="dxa"/>
            <w:shd w:val="clear" w:color="auto" w:fill="D9E2F3" w:themeFill="accent5" w:themeFillTint="33"/>
            <w:noWrap/>
            <w:vAlign w:val="bottom"/>
            <w:hideMark/>
          </w:tcPr>
          <w:p w14:paraId="58BD5110" w14:textId="77777777" w:rsidR="00AC5680" w:rsidRPr="00B84B0C" w:rsidRDefault="00AC5680" w:rsidP="00736E78">
            <w:pPr>
              <w:pStyle w:val="08-Tabelageral"/>
              <w:spacing w:line="256" w:lineRule="auto"/>
              <w:rPr>
                <w:rFonts w:cs="Arial"/>
                <w:lang w:eastAsia="en-US"/>
              </w:rPr>
            </w:pPr>
            <w:r w:rsidRPr="00B84B0C">
              <w:rPr>
                <w:rFonts w:cs="Arial"/>
                <w:lang w:eastAsia="en-US"/>
              </w:rPr>
              <w:t>294,672</w:t>
            </w:r>
          </w:p>
        </w:tc>
        <w:tc>
          <w:tcPr>
            <w:tcW w:w="856" w:type="dxa"/>
            <w:shd w:val="clear" w:color="auto" w:fill="D9E2F3" w:themeFill="accent5" w:themeFillTint="33"/>
            <w:noWrap/>
            <w:vAlign w:val="bottom"/>
            <w:hideMark/>
          </w:tcPr>
          <w:p w14:paraId="71DBC872" w14:textId="77777777" w:rsidR="00AC5680" w:rsidRPr="00B84B0C" w:rsidRDefault="00AC5680" w:rsidP="00736E78">
            <w:pPr>
              <w:rPr>
                <w:rFonts w:cs="Arial"/>
              </w:rPr>
            </w:pPr>
          </w:p>
        </w:tc>
        <w:tc>
          <w:tcPr>
            <w:tcW w:w="873" w:type="dxa"/>
            <w:shd w:val="clear" w:color="auto" w:fill="D9E2F3" w:themeFill="accent5" w:themeFillTint="33"/>
            <w:noWrap/>
            <w:vAlign w:val="bottom"/>
            <w:hideMark/>
          </w:tcPr>
          <w:p w14:paraId="17A5C45D" w14:textId="77777777" w:rsidR="00AC5680" w:rsidRPr="00B84B0C" w:rsidRDefault="00AC5680" w:rsidP="00736E78">
            <w:pPr>
              <w:pStyle w:val="08-Tabelageral"/>
              <w:spacing w:line="256" w:lineRule="auto"/>
              <w:rPr>
                <w:rFonts w:cs="Arial"/>
                <w:lang w:eastAsia="en-US"/>
              </w:rPr>
            </w:pPr>
            <w:r w:rsidRPr="00B84B0C">
              <w:rPr>
                <w:rFonts w:cs="Arial"/>
                <w:lang w:eastAsia="en-US"/>
              </w:rPr>
              <w:t>220,400</w:t>
            </w:r>
          </w:p>
        </w:tc>
        <w:tc>
          <w:tcPr>
            <w:tcW w:w="873" w:type="dxa"/>
            <w:shd w:val="clear" w:color="auto" w:fill="D9E2F3" w:themeFill="accent5" w:themeFillTint="33"/>
            <w:noWrap/>
            <w:vAlign w:val="bottom"/>
            <w:hideMark/>
          </w:tcPr>
          <w:p w14:paraId="4D6ADC81" w14:textId="77777777" w:rsidR="00AC5680" w:rsidRPr="00B84B0C" w:rsidRDefault="00AC5680" w:rsidP="00736E78">
            <w:pPr>
              <w:pStyle w:val="08-Tabelageral"/>
              <w:spacing w:line="256" w:lineRule="auto"/>
              <w:rPr>
                <w:rFonts w:cs="Arial"/>
                <w:lang w:eastAsia="en-US"/>
              </w:rPr>
            </w:pPr>
            <w:r w:rsidRPr="00B84B0C">
              <w:rPr>
                <w:rFonts w:cs="Arial"/>
                <w:lang w:eastAsia="en-US"/>
              </w:rPr>
              <w:t>238,305</w:t>
            </w:r>
          </w:p>
        </w:tc>
        <w:tc>
          <w:tcPr>
            <w:tcW w:w="826" w:type="dxa"/>
            <w:shd w:val="clear" w:color="auto" w:fill="D9E2F3" w:themeFill="accent5" w:themeFillTint="33"/>
            <w:noWrap/>
            <w:vAlign w:val="bottom"/>
            <w:hideMark/>
          </w:tcPr>
          <w:p w14:paraId="179A2DF6" w14:textId="77777777" w:rsidR="00AC5680" w:rsidRPr="00B84B0C" w:rsidRDefault="00AC5680" w:rsidP="00736E78">
            <w:pPr>
              <w:pStyle w:val="08-Tabelageral"/>
              <w:spacing w:line="256" w:lineRule="auto"/>
              <w:rPr>
                <w:rFonts w:cs="Arial"/>
                <w:lang w:eastAsia="en-US"/>
              </w:rPr>
            </w:pPr>
            <w:r w:rsidRPr="00B84B0C">
              <w:rPr>
                <w:rFonts w:cs="Arial"/>
                <w:lang w:eastAsia="en-US"/>
              </w:rPr>
              <w:t>238,457</w:t>
            </w:r>
          </w:p>
        </w:tc>
      </w:tr>
      <w:tr w:rsidR="00AC5680" w:rsidRPr="00B84B0C" w14:paraId="47E95CA4" w14:textId="77777777" w:rsidTr="00BA4FFE">
        <w:trPr>
          <w:trHeight w:val="219"/>
        </w:trPr>
        <w:tc>
          <w:tcPr>
            <w:tcW w:w="2542" w:type="dxa"/>
            <w:tcBorders>
              <w:top w:val="nil"/>
              <w:left w:val="nil"/>
              <w:bottom w:val="single" w:sz="2" w:space="0" w:color="8EAADB" w:themeColor="accent5" w:themeTint="99"/>
              <w:right w:val="nil"/>
            </w:tcBorders>
            <w:shd w:val="clear" w:color="auto" w:fill="auto"/>
            <w:noWrap/>
            <w:vAlign w:val="bottom"/>
            <w:hideMark/>
          </w:tcPr>
          <w:p w14:paraId="4886B61A" w14:textId="77777777" w:rsidR="00AC5680" w:rsidRPr="00B84B0C" w:rsidRDefault="00AC5680" w:rsidP="00736E78">
            <w:pPr>
              <w:pStyle w:val="08-Tabelageral"/>
              <w:jc w:val="left"/>
              <w:rPr>
                <w:rFonts w:cs="Arial"/>
                <w:b/>
              </w:rPr>
            </w:pPr>
            <w:r w:rsidRPr="00B84B0C">
              <w:rPr>
                <w:rFonts w:cs="Arial"/>
                <w:b/>
              </w:rPr>
              <w:t>Total</w:t>
            </w:r>
          </w:p>
        </w:tc>
        <w:tc>
          <w:tcPr>
            <w:tcW w:w="995" w:type="dxa"/>
            <w:tcBorders>
              <w:top w:val="nil"/>
              <w:left w:val="nil"/>
              <w:bottom w:val="single" w:sz="2" w:space="0" w:color="8EAADB" w:themeColor="accent5" w:themeTint="99"/>
              <w:right w:val="nil"/>
            </w:tcBorders>
            <w:shd w:val="clear" w:color="auto" w:fill="auto"/>
            <w:noWrap/>
            <w:vAlign w:val="bottom"/>
            <w:hideMark/>
          </w:tcPr>
          <w:p w14:paraId="7304E539" w14:textId="77777777" w:rsidR="00AC5680" w:rsidRPr="00B84B0C" w:rsidRDefault="00AC5680" w:rsidP="00736E78">
            <w:pPr>
              <w:pStyle w:val="08-Tabelageral"/>
              <w:rPr>
                <w:rFonts w:cs="Arial"/>
                <w:b/>
              </w:rPr>
            </w:pPr>
            <w:r w:rsidRPr="00B84B0C">
              <w:rPr>
                <w:rFonts w:cs="Arial"/>
                <w:b/>
              </w:rPr>
              <w:t> </w:t>
            </w:r>
          </w:p>
        </w:tc>
        <w:tc>
          <w:tcPr>
            <w:tcW w:w="873" w:type="dxa"/>
            <w:tcBorders>
              <w:top w:val="nil"/>
              <w:left w:val="nil"/>
              <w:bottom w:val="single" w:sz="2" w:space="0" w:color="8EAADB" w:themeColor="accent5" w:themeTint="99"/>
              <w:right w:val="nil"/>
            </w:tcBorders>
            <w:shd w:val="clear" w:color="auto" w:fill="auto"/>
            <w:noWrap/>
            <w:vAlign w:val="bottom"/>
            <w:hideMark/>
          </w:tcPr>
          <w:p w14:paraId="1DDABD7C" w14:textId="77777777" w:rsidR="00AC5680" w:rsidRPr="00B84B0C" w:rsidRDefault="00AC5680" w:rsidP="00736E78">
            <w:pPr>
              <w:pStyle w:val="08-Tabelageral"/>
              <w:spacing w:line="256" w:lineRule="auto"/>
              <w:rPr>
                <w:rFonts w:cs="Arial"/>
                <w:b/>
                <w:lang w:eastAsia="en-US"/>
              </w:rPr>
            </w:pPr>
            <w:r w:rsidRPr="00B84B0C">
              <w:rPr>
                <w:rFonts w:cs="Arial"/>
                <w:b/>
                <w:lang w:eastAsia="en-US"/>
              </w:rPr>
              <w:t>685,400</w:t>
            </w:r>
          </w:p>
        </w:tc>
        <w:tc>
          <w:tcPr>
            <w:tcW w:w="873" w:type="dxa"/>
            <w:tcBorders>
              <w:top w:val="nil"/>
              <w:left w:val="nil"/>
              <w:bottom w:val="single" w:sz="2" w:space="0" w:color="8EAADB" w:themeColor="accent5" w:themeTint="99"/>
              <w:right w:val="nil"/>
            </w:tcBorders>
            <w:shd w:val="clear" w:color="auto" w:fill="auto"/>
            <w:noWrap/>
            <w:vAlign w:val="bottom"/>
            <w:hideMark/>
          </w:tcPr>
          <w:p w14:paraId="6BA40899" w14:textId="77777777" w:rsidR="00AC5680" w:rsidRPr="00B84B0C" w:rsidRDefault="00AC5680" w:rsidP="00736E78">
            <w:pPr>
              <w:pStyle w:val="08-Tabelageral"/>
              <w:spacing w:line="256" w:lineRule="auto"/>
              <w:rPr>
                <w:rFonts w:cs="Arial"/>
                <w:b/>
                <w:lang w:eastAsia="en-US"/>
              </w:rPr>
            </w:pPr>
            <w:r w:rsidRPr="00B84B0C">
              <w:rPr>
                <w:rFonts w:cs="Arial"/>
                <w:b/>
                <w:lang w:eastAsia="en-US"/>
              </w:rPr>
              <w:t>730,730</w:t>
            </w:r>
          </w:p>
        </w:tc>
        <w:tc>
          <w:tcPr>
            <w:tcW w:w="875" w:type="dxa"/>
            <w:tcBorders>
              <w:top w:val="nil"/>
              <w:left w:val="nil"/>
              <w:bottom w:val="single" w:sz="2" w:space="0" w:color="8EAADB" w:themeColor="accent5" w:themeTint="99"/>
              <w:right w:val="nil"/>
            </w:tcBorders>
            <w:shd w:val="clear" w:color="auto" w:fill="auto"/>
            <w:noWrap/>
            <w:vAlign w:val="bottom"/>
            <w:hideMark/>
          </w:tcPr>
          <w:p w14:paraId="0EEACB86" w14:textId="77777777" w:rsidR="00AC5680" w:rsidRPr="00B84B0C" w:rsidRDefault="00AC5680" w:rsidP="00736E78">
            <w:pPr>
              <w:pStyle w:val="08-Tabelageral"/>
              <w:spacing w:line="256" w:lineRule="auto"/>
              <w:rPr>
                <w:rFonts w:cs="Arial"/>
                <w:b/>
                <w:lang w:eastAsia="en-US"/>
              </w:rPr>
            </w:pPr>
            <w:r w:rsidRPr="00B84B0C">
              <w:rPr>
                <w:rFonts w:cs="Arial"/>
                <w:b/>
                <w:lang w:eastAsia="en-US"/>
              </w:rPr>
              <w:t>730,075</w:t>
            </w:r>
          </w:p>
        </w:tc>
        <w:tc>
          <w:tcPr>
            <w:tcW w:w="856" w:type="dxa"/>
            <w:tcBorders>
              <w:top w:val="nil"/>
              <w:left w:val="nil"/>
              <w:bottom w:val="single" w:sz="2" w:space="0" w:color="8EAADB" w:themeColor="accent5" w:themeTint="99"/>
              <w:right w:val="nil"/>
            </w:tcBorders>
            <w:shd w:val="clear" w:color="auto" w:fill="auto"/>
            <w:noWrap/>
            <w:vAlign w:val="bottom"/>
            <w:hideMark/>
          </w:tcPr>
          <w:p w14:paraId="608E838F" w14:textId="77777777" w:rsidR="00AC5680" w:rsidRPr="00B84B0C" w:rsidRDefault="00AC5680" w:rsidP="00736E78">
            <w:pPr>
              <w:pStyle w:val="08-Tabelageral"/>
              <w:spacing w:line="256" w:lineRule="auto"/>
              <w:rPr>
                <w:rFonts w:cs="Arial"/>
                <w:b/>
                <w:lang w:eastAsia="en-US"/>
              </w:rPr>
            </w:pPr>
            <w:r w:rsidRPr="00B84B0C">
              <w:rPr>
                <w:rFonts w:cs="Arial"/>
                <w:b/>
                <w:lang w:eastAsia="en-US"/>
              </w:rPr>
              <w:t> </w:t>
            </w:r>
          </w:p>
        </w:tc>
        <w:tc>
          <w:tcPr>
            <w:tcW w:w="873" w:type="dxa"/>
            <w:tcBorders>
              <w:top w:val="nil"/>
              <w:left w:val="nil"/>
              <w:bottom w:val="single" w:sz="2" w:space="0" w:color="8EAADB" w:themeColor="accent5" w:themeTint="99"/>
              <w:right w:val="nil"/>
            </w:tcBorders>
            <w:shd w:val="clear" w:color="auto" w:fill="auto"/>
            <w:noWrap/>
            <w:vAlign w:val="bottom"/>
            <w:hideMark/>
          </w:tcPr>
          <w:p w14:paraId="5659E169" w14:textId="77777777" w:rsidR="00AC5680" w:rsidRPr="00B84B0C" w:rsidRDefault="00AC5680" w:rsidP="00736E78">
            <w:pPr>
              <w:pStyle w:val="08-Tabelageral"/>
              <w:spacing w:line="256" w:lineRule="auto"/>
              <w:rPr>
                <w:rFonts w:cs="Arial"/>
                <w:b/>
                <w:lang w:eastAsia="en-US"/>
              </w:rPr>
            </w:pPr>
            <w:r w:rsidRPr="00B84B0C">
              <w:rPr>
                <w:rFonts w:cs="Arial"/>
                <w:b/>
                <w:lang w:eastAsia="en-US"/>
              </w:rPr>
              <w:t>485,400</w:t>
            </w:r>
          </w:p>
        </w:tc>
        <w:tc>
          <w:tcPr>
            <w:tcW w:w="873" w:type="dxa"/>
            <w:tcBorders>
              <w:top w:val="nil"/>
              <w:left w:val="nil"/>
              <w:bottom w:val="single" w:sz="2" w:space="0" w:color="8EAADB" w:themeColor="accent5" w:themeTint="99"/>
              <w:right w:val="nil"/>
            </w:tcBorders>
            <w:shd w:val="clear" w:color="auto" w:fill="auto"/>
            <w:noWrap/>
            <w:vAlign w:val="bottom"/>
            <w:hideMark/>
          </w:tcPr>
          <w:p w14:paraId="51295887" w14:textId="77777777" w:rsidR="00AC5680" w:rsidRPr="00B84B0C" w:rsidRDefault="00AC5680" w:rsidP="00736E78">
            <w:pPr>
              <w:pStyle w:val="08-Tabelageral"/>
              <w:spacing w:line="256" w:lineRule="auto"/>
              <w:rPr>
                <w:rFonts w:cs="Arial"/>
                <w:b/>
                <w:lang w:eastAsia="en-US"/>
              </w:rPr>
            </w:pPr>
            <w:r w:rsidRPr="00B84B0C">
              <w:rPr>
                <w:rFonts w:cs="Arial"/>
                <w:b/>
                <w:lang w:eastAsia="en-US"/>
              </w:rPr>
              <w:t>524,606</w:t>
            </w:r>
          </w:p>
        </w:tc>
        <w:tc>
          <w:tcPr>
            <w:tcW w:w="826" w:type="dxa"/>
            <w:tcBorders>
              <w:top w:val="nil"/>
              <w:left w:val="nil"/>
              <w:bottom w:val="single" w:sz="2" w:space="0" w:color="8EAADB" w:themeColor="accent5" w:themeTint="99"/>
              <w:right w:val="nil"/>
            </w:tcBorders>
            <w:shd w:val="clear" w:color="auto" w:fill="auto"/>
            <w:noWrap/>
            <w:vAlign w:val="bottom"/>
            <w:hideMark/>
          </w:tcPr>
          <w:p w14:paraId="3A3615A6" w14:textId="77777777" w:rsidR="00AC5680" w:rsidRPr="00B84B0C" w:rsidRDefault="00AC5680" w:rsidP="00736E78">
            <w:pPr>
              <w:pStyle w:val="08-Tabelageral"/>
              <w:spacing w:line="256" w:lineRule="auto"/>
              <w:rPr>
                <w:rFonts w:cs="Arial"/>
                <w:b/>
                <w:lang w:eastAsia="en-US"/>
              </w:rPr>
            </w:pPr>
            <w:r w:rsidRPr="00B84B0C">
              <w:rPr>
                <w:rFonts w:cs="Arial"/>
                <w:b/>
                <w:lang w:eastAsia="en-US"/>
              </w:rPr>
              <w:t>524,884</w:t>
            </w:r>
          </w:p>
        </w:tc>
      </w:tr>
    </w:tbl>
    <w:p w14:paraId="5E93E986" w14:textId="77777777" w:rsidR="00AC5680" w:rsidRPr="00B84B0C" w:rsidRDefault="00AC5680" w:rsidP="00AC5680">
      <w:pPr>
        <w:pStyle w:val="07-Legenda"/>
        <w:numPr>
          <w:ilvl w:val="0"/>
          <w:numId w:val="14"/>
        </w:numPr>
        <w:tabs>
          <w:tab w:val="clear" w:pos="284"/>
          <w:tab w:val="left" w:pos="142"/>
        </w:tabs>
        <w:rPr>
          <w:rFonts w:cs="Arial"/>
          <w:lang w:val="en-US"/>
        </w:rPr>
      </w:pPr>
      <w:r w:rsidRPr="00B84B0C">
        <w:rPr>
          <w:rFonts w:cs="Arial"/>
          <w:lang w:val="en-US"/>
        </w:rPr>
        <w:t>Refers to investments in post-fixed Long-Term Financial bills with varying maturity dates, with the first maturity occurring on Mar 26, 2021.</w:t>
      </w:r>
    </w:p>
    <w:p w14:paraId="6B72B3BC" w14:textId="77777777" w:rsidR="00AC5680" w:rsidRPr="00B84B0C" w:rsidRDefault="00AC5680" w:rsidP="00AC5680">
      <w:pPr>
        <w:pStyle w:val="07-Legenda"/>
        <w:numPr>
          <w:ilvl w:val="0"/>
          <w:numId w:val="14"/>
        </w:numPr>
        <w:tabs>
          <w:tab w:val="clear" w:pos="284"/>
          <w:tab w:val="left" w:pos="142"/>
        </w:tabs>
        <w:rPr>
          <w:rFonts w:cs="Arial"/>
          <w:lang w:val="en-US"/>
        </w:rPr>
      </w:pPr>
      <w:r w:rsidRPr="00B84B0C">
        <w:rPr>
          <w:rFonts w:cs="Arial"/>
          <w:lang w:val="en-US"/>
        </w:rPr>
        <w:t xml:space="preserve">Refers to investments in post-fixed Short-Term Financial bills with varying maturity dates, with the first maturity occurring on Aug 17, </w:t>
      </w:r>
      <w:proofErr w:type="gramStart"/>
      <w:r w:rsidRPr="00B84B0C">
        <w:rPr>
          <w:rFonts w:cs="Arial"/>
          <w:lang w:val="en-US"/>
        </w:rPr>
        <w:t>2020</w:t>
      </w:r>
      <w:proofErr w:type="gramEnd"/>
      <w:r w:rsidRPr="00B84B0C">
        <w:rPr>
          <w:rFonts w:cs="Arial"/>
          <w:lang w:val="en-US"/>
        </w:rPr>
        <w:t xml:space="preserve"> and the others until Sep 30,2020.</w:t>
      </w:r>
    </w:p>
    <w:p w14:paraId="2A662F61" w14:textId="77777777" w:rsidR="00AC5680" w:rsidRPr="00B84B0C" w:rsidRDefault="00AC5680" w:rsidP="00736E78">
      <w:pPr>
        <w:pStyle w:val="07-Legenda"/>
        <w:rPr>
          <w:rFonts w:cs="Arial"/>
          <w:spacing w:val="0"/>
          <w:sz w:val="18"/>
          <w:szCs w:val="20"/>
        </w:rPr>
      </w:pPr>
    </w:p>
    <w:p w14:paraId="2D346E49" w14:textId="77777777" w:rsidR="00AC5680" w:rsidRPr="00B84B0C" w:rsidRDefault="00AC5680" w:rsidP="00736E78">
      <w:pPr>
        <w:rPr>
          <w:rFonts w:cs="Arial"/>
          <w:lang w:eastAsia="pt-BR"/>
        </w:rPr>
      </w:pPr>
      <w:proofErr w:type="spellStart"/>
      <w:r w:rsidRPr="00B84B0C">
        <w:rPr>
          <w:rFonts w:eastAsia="Times New Roman" w:cs="Arial"/>
          <w:szCs w:val="20"/>
          <w:lang w:eastAsia="pt-BR"/>
        </w:rPr>
        <w:t>There</w:t>
      </w:r>
      <w:proofErr w:type="spellEnd"/>
      <w:r w:rsidRPr="00B84B0C">
        <w:rPr>
          <w:rFonts w:eastAsia="Times New Roman" w:cs="Arial"/>
          <w:szCs w:val="20"/>
          <w:lang w:eastAsia="pt-BR"/>
        </w:rPr>
        <w:t xml:space="preserve"> </w:t>
      </w:r>
      <w:proofErr w:type="spellStart"/>
      <w:r w:rsidRPr="00B84B0C">
        <w:rPr>
          <w:rFonts w:eastAsia="Times New Roman" w:cs="Arial"/>
          <w:szCs w:val="20"/>
          <w:lang w:eastAsia="pt-BR"/>
        </w:rPr>
        <w:t>is</w:t>
      </w:r>
      <w:proofErr w:type="spellEnd"/>
      <w:r w:rsidRPr="00B84B0C">
        <w:rPr>
          <w:rFonts w:eastAsia="Times New Roman" w:cs="Arial"/>
          <w:szCs w:val="20"/>
          <w:lang w:eastAsia="pt-BR"/>
        </w:rPr>
        <w:t xml:space="preserve"> no balance </w:t>
      </w:r>
      <w:proofErr w:type="spellStart"/>
      <w:r w:rsidRPr="00B84B0C">
        <w:rPr>
          <w:rFonts w:eastAsia="Times New Roman" w:cs="Arial"/>
          <w:szCs w:val="20"/>
          <w:lang w:eastAsia="pt-BR"/>
        </w:rPr>
        <w:t>of</w:t>
      </w:r>
      <w:proofErr w:type="spellEnd"/>
      <w:r w:rsidRPr="00B84B0C">
        <w:rPr>
          <w:rFonts w:eastAsia="Times New Roman" w:cs="Arial"/>
          <w:szCs w:val="20"/>
          <w:lang w:eastAsia="pt-BR"/>
        </w:rPr>
        <w:t xml:space="preserve"> financial </w:t>
      </w:r>
      <w:proofErr w:type="spellStart"/>
      <w:r w:rsidRPr="00B84B0C">
        <w:rPr>
          <w:rFonts w:eastAsia="Times New Roman" w:cs="Arial"/>
          <w:szCs w:val="20"/>
          <w:lang w:eastAsia="pt-BR"/>
        </w:rPr>
        <w:t>assets</w:t>
      </w:r>
      <w:proofErr w:type="spellEnd"/>
      <w:r w:rsidRPr="00B84B0C">
        <w:rPr>
          <w:rFonts w:eastAsia="Times New Roman" w:cs="Arial"/>
          <w:szCs w:val="20"/>
          <w:lang w:eastAsia="pt-BR"/>
        </w:rPr>
        <w:t xml:space="preserve"> </w:t>
      </w:r>
      <w:proofErr w:type="spellStart"/>
      <w:r w:rsidRPr="00B84B0C">
        <w:rPr>
          <w:rFonts w:eastAsia="Times New Roman" w:cs="Arial"/>
          <w:szCs w:val="20"/>
          <w:lang w:eastAsia="pt-BR"/>
        </w:rPr>
        <w:t>available</w:t>
      </w:r>
      <w:proofErr w:type="spellEnd"/>
      <w:r w:rsidRPr="00B84B0C">
        <w:rPr>
          <w:rFonts w:eastAsia="Times New Roman" w:cs="Arial"/>
          <w:szCs w:val="20"/>
          <w:lang w:eastAsia="pt-BR"/>
        </w:rPr>
        <w:t xml:space="preserve"> </w:t>
      </w:r>
      <w:proofErr w:type="spellStart"/>
      <w:r w:rsidRPr="00B84B0C">
        <w:rPr>
          <w:rFonts w:eastAsia="Times New Roman" w:cs="Arial"/>
          <w:szCs w:val="20"/>
          <w:lang w:eastAsia="pt-BR"/>
        </w:rPr>
        <w:t>held</w:t>
      </w:r>
      <w:proofErr w:type="spellEnd"/>
      <w:r w:rsidRPr="00B84B0C">
        <w:rPr>
          <w:rFonts w:eastAsia="Times New Roman" w:cs="Arial"/>
          <w:szCs w:val="20"/>
          <w:lang w:eastAsia="pt-BR"/>
        </w:rPr>
        <w:t xml:space="preserve"> </w:t>
      </w:r>
      <w:proofErr w:type="spellStart"/>
      <w:r w:rsidRPr="00B84B0C">
        <w:rPr>
          <w:rFonts w:eastAsia="Times New Roman" w:cs="Arial"/>
          <w:szCs w:val="20"/>
          <w:lang w:eastAsia="pt-BR"/>
        </w:rPr>
        <w:t>to</w:t>
      </w:r>
      <w:proofErr w:type="spellEnd"/>
      <w:r w:rsidRPr="00B84B0C">
        <w:rPr>
          <w:rFonts w:eastAsia="Times New Roman" w:cs="Arial"/>
          <w:szCs w:val="20"/>
          <w:lang w:eastAsia="pt-BR"/>
        </w:rPr>
        <w:t xml:space="preserve"> </w:t>
      </w:r>
      <w:proofErr w:type="spellStart"/>
      <w:r w:rsidRPr="00B84B0C">
        <w:rPr>
          <w:rFonts w:eastAsia="Times New Roman" w:cs="Arial"/>
          <w:szCs w:val="20"/>
          <w:lang w:eastAsia="pt-BR"/>
        </w:rPr>
        <w:t>maturity</w:t>
      </w:r>
      <w:proofErr w:type="spellEnd"/>
      <w:r w:rsidRPr="00B84B0C">
        <w:rPr>
          <w:rFonts w:eastAsia="Times New Roman" w:cs="Arial"/>
          <w:szCs w:val="20"/>
          <w:lang w:eastAsia="pt-BR"/>
        </w:rPr>
        <w:t xml:space="preserve"> </w:t>
      </w:r>
      <w:proofErr w:type="spellStart"/>
      <w:r w:rsidRPr="00B84B0C">
        <w:rPr>
          <w:rFonts w:eastAsia="Times New Roman" w:cs="Arial"/>
          <w:szCs w:val="20"/>
          <w:lang w:eastAsia="pt-BR"/>
        </w:rPr>
        <w:t>securities</w:t>
      </w:r>
      <w:proofErr w:type="spellEnd"/>
      <w:r w:rsidRPr="00B84B0C">
        <w:rPr>
          <w:rFonts w:eastAsia="Times New Roman" w:cs="Arial"/>
          <w:szCs w:val="20"/>
          <w:lang w:eastAsia="pt-BR"/>
        </w:rPr>
        <w:t xml:space="preserve"> in </w:t>
      </w:r>
      <w:proofErr w:type="spellStart"/>
      <w:r w:rsidRPr="00B84B0C">
        <w:rPr>
          <w:rFonts w:eastAsia="Times New Roman" w:cs="Arial"/>
          <w:szCs w:val="20"/>
          <w:lang w:eastAsia="pt-BR"/>
        </w:rPr>
        <w:t>the</w:t>
      </w:r>
      <w:proofErr w:type="spellEnd"/>
      <w:r w:rsidRPr="00B84B0C">
        <w:rPr>
          <w:rFonts w:eastAsia="Times New Roman" w:cs="Arial"/>
          <w:szCs w:val="20"/>
          <w:lang w:eastAsia="pt-BR"/>
        </w:rPr>
        <w:t xml:space="preserve"> </w:t>
      </w:r>
      <w:proofErr w:type="spellStart"/>
      <w:r w:rsidRPr="00B84B0C">
        <w:rPr>
          <w:rFonts w:eastAsia="Times New Roman" w:cs="Arial"/>
          <w:szCs w:val="20"/>
          <w:lang w:eastAsia="pt-BR"/>
        </w:rPr>
        <w:t>Parent</w:t>
      </w:r>
      <w:proofErr w:type="spellEnd"/>
      <w:r w:rsidRPr="00B84B0C">
        <w:rPr>
          <w:rFonts w:eastAsia="Times New Roman" w:cs="Arial"/>
          <w:szCs w:val="20"/>
          <w:lang w:eastAsia="pt-BR"/>
        </w:rPr>
        <w:t>.</w:t>
      </w:r>
    </w:p>
    <w:p w14:paraId="4F77BC63" w14:textId="77777777" w:rsidR="00AC5680" w:rsidRPr="00B84B0C" w:rsidRDefault="00AC5680" w:rsidP="00736E78">
      <w:pPr>
        <w:pStyle w:val="01-TtulodeNota"/>
        <w:numPr>
          <w:ilvl w:val="0"/>
          <w:numId w:val="3"/>
        </w:numPr>
        <w:rPr>
          <w:rFonts w:cs="Arial"/>
          <w:color w:val="1F4E79" w:themeColor="accent1" w:themeShade="80"/>
        </w:rPr>
      </w:pPr>
      <w:r w:rsidRPr="00B84B0C">
        <w:rPr>
          <w:rFonts w:cs="Arial"/>
          <w:color w:val="1F4E79" w:themeColor="accent1" w:themeShade="80"/>
        </w:rPr>
        <w:t xml:space="preserve">Fair </w:t>
      </w:r>
      <w:proofErr w:type="spellStart"/>
      <w:r w:rsidRPr="00B84B0C">
        <w:rPr>
          <w:rFonts w:cs="Arial"/>
          <w:color w:val="1F4E79" w:themeColor="accent1" w:themeShade="80"/>
        </w:rPr>
        <w:t>Value</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Hierarchy</w:t>
      </w:r>
      <w:proofErr w:type="spellEnd"/>
      <w:r w:rsidRPr="00B84B0C">
        <w:rPr>
          <w:rFonts w:cs="Arial"/>
          <w:color w:val="1F4E79" w:themeColor="accent1" w:themeShade="80"/>
        </w:rPr>
        <w:tab/>
      </w:r>
    </w:p>
    <w:p w14:paraId="3F8301F3" w14:textId="77777777" w:rsidR="00AC5680" w:rsidRPr="00B84B0C" w:rsidRDefault="00AC5680" w:rsidP="00736E78">
      <w:pPr>
        <w:rPr>
          <w:rFonts w:cs="Arial"/>
          <w:szCs w:val="18"/>
          <w:lang w:eastAsia="pt-BR"/>
        </w:rPr>
      </w:pPr>
      <w:r w:rsidRPr="00B84B0C">
        <w:rPr>
          <w:rFonts w:cs="Arial"/>
          <w:szCs w:val="18"/>
          <w:lang w:eastAsia="pt-BR"/>
        </w:rPr>
        <w:t xml:space="preserve">The </w:t>
      </w:r>
      <w:proofErr w:type="spellStart"/>
      <w:r w:rsidRPr="00B84B0C">
        <w:rPr>
          <w:rFonts w:cs="Arial"/>
          <w:szCs w:val="18"/>
          <w:lang w:eastAsia="pt-BR"/>
        </w:rPr>
        <w:t>Company</w:t>
      </w:r>
      <w:proofErr w:type="spellEnd"/>
      <w:r w:rsidRPr="00B84B0C">
        <w:rPr>
          <w:rFonts w:cs="Arial"/>
          <w:szCs w:val="18"/>
          <w:lang w:eastAsia="pt-BR"/>
        </w:rPr>
        <w:t xml:space="preserve"> </w:t>
      </w:r>
      <w:proofErr w:type="spellStart"/>
      <w:r w:rsidRPr="00B84B0C">
        <w:rPr>
          <w:rFonts w:cs="Arial"/>
          <w:szCs w:val="18"/>
          <w:lang w:eastAsia="pt-BR"/>
        </w:rPr>
        <w:t>classifies</w:t>
      </w:r>
      <w:proofErr w:type="spellEnd"/>
      <w:r w:rsidRPr="00B84B0C">
        <w:rPr>
          <w:rFonts w:cs="Arial"/>
          <w:szCs w:val="18"/>
          <w:lang w:eastAsia="pt-BR"/>
        </w:rPr>
        <w:t xml:space="preserve"> financial </w:t>
      </w:r>
      <w:proofErr w:type="spellStart"/>
      <w:r w:rsidRPr="00B84B0C">
        <w:rPr>
          <w:rFonts w:cs="Arial"/>
          <w:szCs w:val="18"/>
          <w:lang w:eastAsia="pt-BR"/>
        </w:rPr>
        <w:t>instruments</w:t>
      </w:r>
      <w:proofErr w:type="spellEnd"/>
      <w:r w:rsidRPr="00B84B0C">
        <w:rPr>
          <w:rFonts w:cs="Arial"/>
          <w:szCs w:val="18"/>
          <w:lang w:eastAsia="pt-BR"/>
        </w:rPr>
        <w:t xml:space="preserve"> </w:t>
      </w:r>
      <w:proofErr w:type="spellStart"/>
      <w:r w:rsidRPr="00B84B0C">
        <w:rPr>
          <w:rFonts w:cs="Arial"/>
          <w:szCs w:val="18"/>
          <w:lang w:eastAsia="pt-BR"/>
        </w:rPr>
        <w:t>into</w:t>
      </w:r>
      <w:proofErr w:type="spellEnd"/>
      <w:r w:rsidRPr="00B84B0C">
        <w:rPr>
          <w:rFonts w:cs="Arial"/>
          <w:szCs w:val="18"/>
          <w:lang w:eastAsia="pt-BR"/>
        </w:rPr>
        <w:t xml:space="preserve"> </w:t>
      </w:r>
      <w:proofErr w:type="spellStart"/>
      <w:r w:rsidRPr="00B84B0C">
        <w:rPr>
          <w:rFonts w:cs="Arial"/>
          <w:szCs w:val="18"/>
          <w:lang w:eastAsia="pt-BR"/>
        </w:rPr>
        <w:t>three</w:t>
      </w:r>
      <w:proofErr w:type="spellEnd"/>
      <w:r w:rsidRPr="00B84B0C">
        <w:rPr>
          <w:rFonts w:cs="Arial"/>
          <w:szCs w:val="18"/>
          <w:lang w:eastAsia="pt-BR"/>
        </w:rPr>
        <w:t xml:space="preserve"> </w:t>
      </w:r>
      <w:proofErr w:type="spellStart"/>
      <w:r w:rsidRPr="00B84B0C">
        <w:rPr>
          <w:rFonts w:cs="Arial"/>
          <w:szCs w:val="18"/>
          <w:lang w:eastAsia="pt-BR"/>
        </w:rPr>
        <w:t>levels</w:t>
      </w:r>
      <w:proofErr w:type="spellEnd"/>
      <w:r w:rsidRPr="00B84B0C">
        <w:rPr>
          <w:rFonts w:cs="Arial"/>
          <w:szCs w:val="18"/>
          <w:lang w:eastAsia="pt-BR"/>
        </w:rPr>
        <w:t xml:space="preserve"> </w:t>
      </w:r>
      <w:proofErr w:type="spellStart"/>
      <w:r w:rsidRPr="00B84B0C">
        <w:rPr>
          <w:rFonts w:cs="Arial"/>
          <w:szCs w:val="18"/>
          <w:lang w:eastAsia="pt-BR"/>
        </w:rPr>
        <w:t>of</w:t>
      </w:r>
      <w:proofErr w:type="spellEnd"/>
      <w:r w:rsidRPr="00B84B0C">
        <w:rPr>
          <w:rFonts w:cs="Arial"/>
          <w:szCs w:val="18"/>
          <w:lang w:eastAsia="pt-BR"/>
        </w:rPr>
        <w:t xml:space="preserve"> </w:t>
      </w:r>
      <w:proofErr w:type="spellStart"/>
      <w:r w:rsidRPr="00B84B0C">
        <w:rPr>
          <w:rFonts w:cs="Arial"/>
          <w:szCs w:val="18"/>
          <w:lang w:eastAsia="pt-BR"/>
        </w:rPr>
        <w:t>subjectivity</w:t>
      </w:r>
      <w:proofErr w:type="spellEnd"/>
      <w:r w:rsidRPr="00B84B0C">
        <w:rPr>
          <w:rFonts w:cs="Arial"/>
          <w:szCs w:val="18"/>
          <w:lang w:eastAsia="pt-BR"/>
        </w:rPr>
        <w:t xml:space="preserve"> in </w:t>
      </w:r>
      <w:proofErr w:type="spellStart"/>
      <w:r w:rsidRPr="00B84B0C">
        <w:rPr>
          <w:rFonts w:cs="Arial"/>
          <w:szCs w:val="18"/>
          <w:lang w:eastAsia="pt-BR"/>
        </w:rPr>
        <w:t>determining</w:t>
      </w:r>
      <w:proofErr w:type="spellEnd"/>
      <w:r w:rsidRPr="00B84B0C">
        <w:rPr>
          <w:rFonts w:cs="Arial"/>
          <w:szCs w:val="18"/>
          <w:lang w:eastAsia="pt-BR"/>
        </w:rPr>
        <w:t xml:space="preserve"> fair </w:t>
      </w:r>
      <w:proofErr w:type="spellStart"/>
      <w:r w:rsidRPr="00B84B0C">
        <w:rPr>
          <w:rFonts w:cs="Arial"/>
          <w:szCs w:val="18"/>
          <w:lang w:eastAsia="pt-BR"/>
        </w:rPr>
        <w:t>value</w:t>
      </w:r>
      <w:proofErr w:type="spellEnd"/>
      <w:r w:rsidRPr="00B84B0C">
        <w:rPr>
          <w:rFonts w:cs="Arial"/>
          <w:szCs w:val="18"/>
          <w:lang w:eastAsia="pt-BR"/>
        </w:rPr>
        <w:t xml:space="preserve">. The </w:t>
      </w:r>
      <w:proofErr w:type="spellStart"/>
      <w:r w:rsidRPr="00B84B0C">
        <w:rPr>
          <w:rFonts w:cs="Arial"/>
          <w:szCs w:val="18"/>
          <w:lang w:eastAsia="pt-BR"/>
        </w:rPr>
        <w:t>different</w:t>
      </w:r>
      <w:proofErr w:type="spellEnd"/>
      <w:r w:rsidRPr="00B84B0C">
        <w:rPr>
          <w:rFonts w:cs="Arial"/>
          <w:szCs w:val="18"/>
          <w:lang w:eastAsia="pt-BR"/>
        </w:rPr>
        <w:t xml:space="preserve"> </w:t>
      </w:r>
      <w:proofErr w:type="spellStart"/>
      <w:r w:rsidRPr="00B84B0C">
        <w:rPr>
          <w:rFonts w:cs="Arial"/>
          <w:szCs w:val="18"/>
          <w:lang w:eastAsia="pt-BR"/>
        </w:rPr>
        <w:t>levels</w:t>
      </w:r>
      <w:proofErr w:type="spellEnd"/>
      <w:r w:rsidRPr="00B84B0C">
        <w:rPr>
          <w:rFonts w:cs="Arial"/>
          <w:szCs w:val="18"/>
          <w:lang w:eastAsia="pt-BR"/>
        </w:rPr>
        <w:t xml:space="preserve"> are </w:t>
      </w:r>
      <w:proofErr w:type="spellStart"/>
      <w:r w:rsidRPr="00B84B0C">
        <w:rPr>
          <w:rFonts w:cs="Arial"/>
          <w:szCs w:val="18"/>
          <w:lang w:eastAsia="pt-BR"/>
        </w:rPr>
        <w:t>defined</w:t>
      </w:r>
      <w:proofErr w:type="spellEnd"/>
      <w:r w:rsidRPr="00B84B0C">
        <w:rPr>
          <w:rFonts w:cs="Arial"/>
          <w:szCs w:val="18"/>
          <w:lang w:eastAsia="pt-BR"/>
        </w:rPr>
        <w:t xml:space="preserve"> as follows:</w:t>
      </w:r>
    </w:p>
    <w:p w14:paraId="1FEE94E8" w14:textId="77777777" w:rsidR="00AC5680" w:rsidRPr="00B84B0C" w:rsidRDefault="00AC5680" w:rsidP="00736E78">
      <w:pPr>
        <w:rPr>
          <w:rFonts w:cs="Arial"/>
          <w:szCs w:val="18"/>
          <w:lang w:eastAsia="pt-BR"/>
        </w:rPr>
      </w:pPr>
      <w:r w:rsidRPr="00B84B0C">
        <w:rPr>
          <w:rFonts w:cs="Arial"/>
          <w:szCs w:val="18"/>
          <w:lang w:eastAsia="pt-BR"/>
        </w:rPr>
        <w:t xml:space="preserve">• </w:t>
      </w:r>
      <w:proofErr w:type="spellStart"/>
      <w:r w:rsidRPr="00B84B0C">
        <w:rPr>
          <w:rFonts w:cs="Arial"/>
          <w:szCs w:val="18"/>
          <w:lang w:eastAsia="pt-BR"/>
        </w:rPr>
        <w:t>Level</w:t>
      </w:r>
      <w:proofErr w:type="spellEnd"/>
      <w:r w:rsidRPr="00B84B0C">
        <w:rPr>
          <w:rFonts w:cs="Arial"/>
          <w:szCs w:val="18"/>
          <w:lang w:eastAsia="pt-BR"/>
        </w:rPr>
        <w:t xml:space="preserve"> 1: </w:t>
      </w:r>
      <w:proofErr w:type="spellStart"/>
      <w:r w:rsidRPr="00B84B0C">
        <w:rPr>
          <w:rFonts w:cs="Arial"/>
          <w:szCs w:val="18"/>
          <w:lang w:eastAsia="pt-BR"/>
        </w:rPr>
        <w:t>Quoted</w:t>
      </w:r>
      <w:proofErr w:type="spellEnd"/>
      <w:r w:rsidRPr="00B84B0C">
        <w:rPr>
          <w:rFonts w:cs="Arial"/>
          <w:szCs w:val="18"/>
          <w:lang w:eastAsia="pt-BR"/>
        </w:rPr>
        <w:t xml:space="preserve"> </w:t>
      </w:r>
      <w:proofErr w:type="spellStart"/>
      <w:r w:rsidRPr="00B84B0C">
        <w:rPr>
          <w:rFonts w:cs="Arial"/>
          <w:szCs w:val="18"/>
          <w:lang w:eastAsia="pt-BR"/>
        </w:rPr>
        <w:t>prices</w:t>
      </w:r>
      <w:proofErr w:type="spellEnd"/>
      <w:r w:rsidRPr="00B84B0C">
        <w:rPr>
          <w:rFonts w:cs="Arial"/>
          <w:szCs w:val="18"/>
          <w:lang w:eastAsia="pt-BR"/>
        </w:rPr>
        <w:t xml:space="preserve"> in </w:t>
      </w:r>
      <w:proofErr w:type="spellStart"/>
      <w:r w:rsidRPr="00B84B0C">
        <w:rPr>
          <w:rFonts w:cs="Arial"/>
          <w:szCs w:val="18"/>
          <w:lang w:eastAsia="pt-BR"/>
        </w:rPr>
        <w:t>active</w:t>
      </w:r>
      <w:proofErr w:type="spellEnd"/>
      <w:r w:rsidRPr="00B84B0C">
        <w:rPr>
          <w:rFonts w:cs="Arial"/>
          <w:szCs w:val="18"/>
          <w:lang w:eastAsia="pt-BR"/>
        </w:rPr>
        <w:t xml:space="preserve"> </w:t>
      </w:r>
      <w:proofErr w:type="spellStart"/>
      <w:r w:rsidRPr="00B84B0C">
        <w:rPr>
          <w:rFonts w:cs="Arial"/>
          <w:szCs w:val="18"/>
          <w:lang w:eastAsia="pt-BR"/>
        </w:rPr>
        <w:t>markets</w:t>
      </w:r>
      <w:proofErr w:type="spellEnd"/>
      <w:r w:rsidRPr="00B84B0C">
        <w:rPr>
          <w:rFonts w:cs="Arial"/>
          <w:szCs w:val="18"/>
          <w:lang w:eastAsia="pt-BR"/>
        </w:rPr>
        <w:t xml:space="preserve"> for </w:t>
      </w:r>
      <w:proofErr w:type="spellStart"/>
      <w:r w:rsidRPr="00B84B0C">
        <w:rPr>
          <w:rFonts w:cs="Arial"/>
          <w:szCs w:val="18"/>
          <w:lang w:eastAsia="pt-BR"/>
        </w:rPr>
        <w:t>identical</w:t>
      </w:r>
      <w:proofErr w:type="spellEnd"/>
      <w:r w:rsidRPr="00B84B0C">
        <w:rPr>
          <w:rFonts w:cs="Arial"/>
          <w:szCs w:val="18"/>
          <w:lang w:eastAsia="pt-BR"/>
        </w:rPr>
        <w:t xml:space="preserve"> </w:t>
      </w:r>
      <w:proofErr w:type="spellStart"/>
      <w:r w:rsidRPr="00B84B0C">
        <w:rPr>
          <w:rFonts w:cs="Arial"/>
          <w:szCs w:val="18"/>
          <w:lang w:eastAsia="pt-BR"/>
        </w:rPr>
        <w:t>assets</w:t>
      </w:r>
      <w:proofErr w:type="spellEnd"/>
      <w:r w:rsidRPr="00B84B0C">
        <w:rPr>
          <w:rFonts w:cs="Arial"/>
          <w:szCs w:val="18"/>
          <w:lang w:eastAsia="pt-BR"/>
        </w:rPr>
        <w:t xml:space="preserve"> </w:t>
      </w:r>
      <w:proofErr w:type="spellStart"/>
      <w:r w:rsidRPr="00B84B0C">
        <w:rPr>
          <w:rFonts w:cs="Arial"/>
          <w:szCs w:val="18"/>
          <w:lang w:eastAsia="pt-BR"/>
        </w:rPr>
        <w:t>or</w:t>
      </w:r>
      <w:proofErr w:type="spellEnd"/>
      <w:r w:rsidRPr="00B84B0C">
        <w:rPr>
          <w:rFonts w:cs="Arial"/>
          <w:szCs w:val="18"/>
          <w:lang w:eastAsia="pt-BR"/>
        </w:rPr>
        <w:t xml:space="preserve"> </w:t>
      </w:r>
      <w:proofErr w:type="spellStart"/>
      <w:r w:rsidRPr="00B84B0C">
        <w:rPr>
          <w:rFonts w:cs="Arial"/>
          <w:szCs w:val="18"/>
          <w:lang w:eastAsia="pt-BR"/>
        </w:rPr>
        <w:t>liabilities</w:t>
      </w:r>
      <w:proofErr w:type="spellEnd"/>
      <w:r w:rsidRPr="00B84B0C">
        <w:rPr>
          <w:rFonts w:cs="Arial"/>
          <w:szCs w:val="18"/>
          <w:lang w:eastAsia="pt-BR"/>
        </w:rPr>
        <w:t>;</w:t>
      </w:r>
    </w:p>
    <w:p w14:paraId="1ED342A7" w14:textId="77777777" w:rsidR="00AC5680" w:rsidRPr="00B84B0C" w:rsidRDefault="00AC5680" w:rsidP="00736E78">
      <w:pPr>
        <w:rPr>
          <w:rFonts w:cs="Arial"/>
          <w:szCs w:val="18"/>
          <w:lang w:eastAsia="pt-BR"/>
        </w:rPr>
      </w:pPr>
      <w:r w:rsidRPr="00B84B0C">
        <w:rPr>
          <w:rFonts w:cs="Arial"/>
          <w:szCs w:val="18"/>
          <w:lang w:eastAsia="pt-BR"/>
        </w:rPr>
        <w:t xml:space="preserve">• </w:t>
      </w:r>
      <w:proofErr w:type="spellStart"/>
      <w:r w:rsidRPr="00B84B0C">
        <w:rPr>
          <w:rFonts w:cs="Arial"/>
          <w:szCs w:val="18"/>
          <w:lang w:eastAsia="pt-BR"/>
        </w:rPr>
        <w:t>Level</w:t>
      </w:r>
      <w:proofErr w:type="spellEnd"/>
      <w:r w:rsidRPr="00B84B0C">
        <w:rPr>
          <w:rFonts w:cs="Arial"/>
          <w:szCs w:val="18"/>
          <w:lang w:eastAsia="pt-BR"/>
        </w:rPr>
        <w:t xml:space="preserve"> 2: Inputs </w:t>
      </w:r>
      <w:proofErr w:type="spellStart"/>
      <w:r w:rsidRPr="00B84B0C">
        <w:rPr>
          <w:rFonts w:cs="Arial"/>
          <w:szCs w:val="18"/>
          <w:lang w:eastAsia="pt-BR"/>
        </w:rPr>
        <w:t>other</w:t>
      </w:r>
      <w:proofErr w:type="spellEnd"/>
      <w:r w:rsidRPr="00B84B0C">
        <w:rPr>
          <w:rFonts w:cs="Arial"/>
          <w:szCs w:val="18"/>
          <w:lang w:eastAsia="pt-BR"/>
        </w:rPr>
        <w:t xml:space="preserve"> </w:t>
      </w:r>
      <w:proofErr w:type="spellStart"/>
      <w:r w:rsidRPr="00B84B0C">
        <w:rPr>
          <w:rFonts w:cs="Arial"/>
          <w:szCs w:val="18"/>
          <w:lang w:eastAsia="pt-BR"/>
        </w:rPr>
        <w:t>than</w:t>
      </w:r>
      <w:proofErr w:type="spellEnd"/>
      <w:r w:rsidRPr="00B84B0C">
        <w:rPr>
          <w:rFonts w:cs="Arial"/>
          <w:szCs w:val="18"/>
          <w:lang w:eastAsia="pt-BR"/>
        </w:rPr>
        <w:t xml:space="preserve"> </w:t>
      </w:r>
      <w:proofErr w:type="spellStart"/>
      <w:r w:rsidRPr="00B84B0C">
        <w:rPr>
          <w:rFonts w:cs="Arial"/>
          <w:szCs w:val="18"/>
          <w:lang w:eastAsia="pt-BR"/>
        </w:rPr>
        <w:t>quoted</w:t>
      </w:r>
      <w:proofErr w:type="spellEnd"/>
      <w:r w:rsidRPr="00B84B0C">
        <w:rPr>
          <w:rFonts w:cs="Arial"/>
          <w:szCs w:val="18"/>
          <w:lang w:eastAsia="pt-BR"/>
        </w:rPr>
        <w:t xml:space="preserve"> </w:t>
      </w:r>
      <w:proofErr w:type="spellStart"/>
      <w:r w:rsidRPr="00B84B0C">
        <w:rPr>
          <w:rFonts w:cs="Arial"/>
          <w:szCs w:val="18"/>
          <w:lang w:eastAsia="pt-BR"/>
        </w:rPr>
        <w:t>prices</w:t>
      </w:r>
      <w:proofErr w:type="spellEnd"/>
      <w:r w:rsidRPr="00B84B0C">
        <w:rPr>
          <w:rFonts w:cs="Arial"/>
          <w:szCs w:val="18"/>
          <w:lang w:eastAsia="pt-BR"/>
        </w:rPr>
        <w:t xml:space="preserve"> </w:t>
      </w:r>
      <w:proofErr w:type="spellStart"/>
      <w:r w:rsidRPr="00B84B0C">
        <w:rPr>
          <w:rFonts w:cs="Arial"/>
          <w:szCs w:val="18"/>
          <w:lang w:eastAsia="pt-BR"/>
        </w:rPr>
        <w:t>included</w:t>
      </w:r>
      <w:proofErr w:type="spellEnd"/>
      <w:r w:rsidRPr="00B84B0C">
        <w:rPr>
          <w:rFonts w:cs="Arial"/>
          <w:szCs w:val="18"/>
          <w:lang w:eastAsia="pt-BR"/>
        </w:rPr>
        <w:t xml:space="preserve"> </w:t>
      </w:r>
      <w:proofErr w:type="spellStart"/>
      <w:r w:rsidRPr="00B84B0C">
        <w:rPr>
          <w:rFonts w:cs="Arial"/>
          <w:szCs w:val="18"/>
          <w:lang w:eastAsia="pt-BR"/>
        </w:rPr>
        <w:t>within</w:t>
      </w:r>
      <w:proofErr w:type="spellEnd"/>
      <w:r w:rsidRPr="00B84B0C">
        <w:rPr>
          <w:rFonts w:cs="Arial"/>
          <w:szCs w:val="18"/>
          <w:lang w:eastAsia="pt-BR"/>
        </w:rPr>
        <w:t xml:space="preserve"> </w:t>
      </w:r>
      <w:proofErr w:type="spellStart"/>
      <w:r w:rsidRPr="00B84B0C">
        <w:rPr>
          <w:rFonts w:cs="Arial"/>
          <w:szCs w:val="18"/>
          <w:lang w:eastAsia="pt-BR"/>
        </w:rPr>
        <w:t>Level</w:t>
      </w:r>
      <w:proofErr w:type="spellEnd"/>
      <w:r w:rsidRPr="00B84B0C">
        <w:rPr>
          <w:rFonts w:cs="Arial"/>
          <w:szCs w:val="18"/>
          <w:lang w:eastAsia="pt-BR"/>
        </w:rPr>
        <w:t xml:space="preserve"> 1 </w:t>
      </w:r>
      <w:proofErr w:type="spellStart"/>
      <w:r w:rsidRPr="00B84B0C">
        <w:rPr>
          <w:rFonts w:cs="Arial"/>
          <w:szCs w:val="18"/>
          <w:lang w:eastAsia="pt-BR"/>
        </w:rPr>
        <w:t>that</w:t>
      </w:r>
      <w:proofErr w:type="spellEnd"/>
      <w:r w:rsidRPr="00B84B0C">
        <w:rPr>
          <w:rFonts w:cs="Arial"/>
          <w:szCs w:val="18"/>
          <w:lang w:eastAsia="pt-BR"/>
        </w:rPr>
        <w:t xml:space="preserve"> are </w:t>
      </w:r>
      <w:proofErr w:type="spellStart"/>
      <w:r w:rsidRPr="00B84B0C">
        <w:rPr>
          <w:rFonts w:cs="Arial"/>
          <w:szCs w:val="18"/>
          <w:lang w:eastAsia="pt-BR"/>
        </w:rPr>
        <w:t>observable</w:t>
      </w:r>
      <w:proofErr w:type="spellEnd"/>
      <w:r w:rsidRPr="00B84B0C">
        <w:rPr>
          <w:rFonts w:cs="Arial"/>
          <w:szCs w:val="18"/>
          <w:lang w:eastAsia="pt-BR"/>
        </w:rPr>
        <w:t xml:space="preserve"> for </w:t>
      </w:r>
      <w:proofErr w:type="spellStart"/>
      <w:r w:rsidRPr="00B84B0C">
        <w:rPr>
          <w:rFonts w:cs="Arial"/>
          <w:szCs w:val="18"/>
          <w:lang w:eastAsia="pt-BR"/>
        </w:rPr>
        <w:t>the</w:t>
      </w:r>
      <w:proofErr w:type="spellEnd"/>
      <w:r w:rsidRPr="00B84B0C">
        <w:rPr>
          <w:rFonts w:cs="Arial"/>
          <w:szCs w:val="18"/>
          <w:lang w:eastAsia="pt-BR"/>
        </w:rPr>
        <w:t xml:space="preserve"> </w:t>
      </w:r>
      <w:proofErr w:type="spellStart"/>
      <w:r w:rsidRPr="00B84B0C">
        <w:rPr>
          <w:rFonts w:cs="Arial"/>
          <w:szCs w:val="18"/>
          <w:lang w:eastAsia="pt-BR"/>
        </w:rPr>
        <w:t>asset</w:t>
      </w:r>
      <w:proofErr w:type="spellEnd"/>
      <w:r w:rsidRPr="00B84B0C">
        <w:rPr>
          <w:rFonts w:cs="Arial"/>
          <w:szCs w:val="18"/>
          <w:lang w:eastAsia="pt-BR"/>
        </w:rPr>
        <w:t xml:space="preserve"> </w:t>
      </w:r>
      <w:proofErr w:type="spellStart"/>
      <w:r w:rsidRPr="00B84B0C">
        <w:rPr>
          <w:rFonts w:cs="Arial"/>
          <w:szCs w:val="18"/>
          <w:lang w:eastAsia="pt-BR"/>
        </w:rPr>
        <w:t>or</w:t>
      </w:r>
      <w:proofErr w:type="spellEnd"/>
      <w:r w:rsidRPr="00B84B0C">
        <w:rPr>
          <w:rFonts w:cs="Arial"/>
          <w:szCs w:val="18"/>
          <w:lang w:eastAsia="pt-BR"/>
        </w:rPr>
        <w:t xml:space="preserve"> </w:t>
      </w:r>
      <w:proofErr w:type="spellStart"/>
      <w:r w:rsidRPr="00B84B0C">
        <w:rPr>
          <w:rFonts w:cs="Arial"/>
          <w:szCs w:val="18"/>
          <w:lang w:eastAsia="pt-BR"/>
        </w:rPr>
        <w:t>liability</w:t>
      </w:r>
      <w:proofErr w:type="spellEnd"/>
      <w:r w:rsidRPr="00B84B0C">
        <w:rPr>
          <w:rFonts w:cs="Arial"/>
          <w:szCs w:val="18"/>
          <w:lang w:eastAsia="pt-BR"/>
        </w:rPr>
        <w:t xml:space="preserve">, </w:t>
      </w:r>
      <w:proofErr w:type="spellStart"/>
      <w:r w:rsidRPr="00B84B0C">
        <w:rPr>
          <w:rFonts w:cs="Arial"/>
          <w:szCs w:val="18"/>
          <w:lang w:eastAsia="pt-BR"/>
        </w:rPr>
        <w:t>either</w:t>
      </w:r>
      <w:proofErr w:type="spellEnd"/>
      <w:r w:rsidRPr="00B84B0C">
        <w:rPr>
          <w:rFonts w:cs="Arial"/>
          <w:szCs w:val="18"/>
          <w:lang w:eastAsia="pt-BR"/>
        </w:rPr>
        <w:t xml:space="preserve"> </w:t>
      </w:r>
      <w:proofErr w:type="spellStart"/>
      <w:r w:rsidRPr="00B84B0C">
        <w:rPr>
          <w:rFonts w:cs="Arial"/>
          <w:szCs w:val="18"/>
          <w:lang w:eastAsia="pt-BR"/>
        </w:rPr>
        <w:t>directly</w:t>
      </w:r>
      <w:proofErr w:type="spellEnd"/>
      <w:r w:rsidRPr="00B84B0C">
        <w:rPr>
          <w:rFonts w:cs="Arial"/>
          <w:szCs w:val="18"/>
          <w:lang w:eastAsia="pt-BR"/>
        </w:rPr>
        <w:t xml:space="preserve"> (</w:t>
      </w:r>
      <w:proofErr w:type="spellStart"/>
      <w:r w:rsidRPr="00B84B0C">
        <w:rPr>
          <w:rFonts w:cs="Arial"/>
          <w:szCs w:val="18"/>
          <w:lang w:eastAsia="pt-BR"/>
        </w:rPr>
        <w:t>prices</w:t>
      </w:r>
      <w:proofErr w:type="spellEnd"/>
      <w:r w:rsidRPr="00B84B0C">
        <w:rPr>
          <w:rFonts w:cs="Arial"/>
          <w:szCs w:val="18"/>
          <w:lang w:eastAsia="pt-BR"/>
        </w:rPr>
        <w:t xml:space="preserve">) </w:t>
      </w:r>
      <w:proofErr w:type="spellStart"/>
      <w:r w:rsidRPr="00B84B0C">
        <w:rPr>
          <w:rFonts w:cs="Arial"/>
          <w:szCs w:val="18"/>
          <w:lang w:eastAsia="pt-BR"/>
        </w:rPr>
        <w:t>or</w:t>
      </w:r>
      <w:proofErr w:type="spellEnd"/>
      <w:r w:rsidRPr="00B84B0C">
        <w:rPr>
          <w:rFonts w:cs="Arial"/>
          <w:szCs w:val="18"/>
          <w:lang w:eastAsia="pt-BR"/>
        </w:rPr>
        <w:t xml:space="preserve"> </w:t>
      </w:r>
      <w:proofErr w:type="spellStart"/>
      <w:r w:rsidRPr="00B84B0C">
        <w:rPr>
          <w:rFonts w:cs="Arial"/>
          <w:szCs w:val="18"/>
          <w:lang w:eastAsia="pt-BR"/>
        </w:rPr>
        <w:t>indirectly</w:t>
      </w:r>
      <w:proofErr w:type="spellEnd"/>
      <w:r w:rsidRPr="00B84B0C">
        <w:rPr>
          <w:rFonts w:cs="Arial"/>
          <w:szCs w:val="18"/>
          <w:lang w:eastAsia="pt-BR"/>
        </w:rPr>
        <w:t xml:space="preserve"> (</w:t>
      </w:r>
      <w:proofErr w:type="spellStart"/>
      <w:r w:rsidRPr="00B84B0C">
        <w:rPr>
          <w:rFonts w:cs="Arial"/>
          <w:szCs w:val="18"/>
          <w:lang w:eastAsia="pt-BR"/>
        </w:rPr>
        <w:t>derived</w:t>
      </w:r>
      <w:proofErr w:type="spellEnd"/>
      <w:r w:rsidRPr="00B84B0C">
        <w:rPr>
          <w:rFonts w:cs="Arial"/>
          <w:szCs w:val="18"/>
          <w:lang w:eastAsia="pt-BR"/>
        </w:rPr>
        <w:t xml:space="preserve"> </w:t>
      </w:r>
      <w:proofErr w:type="spellStart"/>
      <w:r w:rsidRPr="00B84B0C">
        <w:rPr>
          <w:rFonts w:cs="Arial"/>
          <w:szCs w:val="18"/>
          <w:lang w:eastAsia="pt-BR"/>
        </w:rPr>
        <w:t>from</w:t>
      </w:r>
      <w:proofErr w:type="spellEnd"/>
      <w:r w:rsidRPr="00B84B0C">
        <w:rPr>
          <w:rFonts w:cs="Arial"/>
          <w:szCs w:val="18"/>
          <w:lang w:eastAsia="pt-BR"/>
        </w:rPr>
        <w:t xml:space="preserve"> </w:t>
      </w:r>
      <w:proofErr w:type="spellStart"/>
      <w:r w:rsidRPr="00B84B0C">
        <w:rPr>
          <w:rFonts w:cs="Arial"/>
          <w:szCs w:val="18"/>
          <w:lang w:eastAsia="pt-BR"/>
        </w:rPr>
        <w:t>prices</w:t>
      </w:r>
      <w:proofErr w:type="spellEnd"/>
      <w:r w:rsidRPr="00B84B0C">
        <w:rPr>
          <w:rFonts w:cs="Arial"/>
          <w:szCs w:val="18"/>
          <w:lang w:eastAsia="pt-BR"/>
        </w:rPr>
        <w:t xml:space="preserve">); </w:t>
      </w:r>
    </w:p>
    <w:p w14:paraId="29B0C741" w14:textId="77777777" w:rsidR="00AC5680" w:rsidRPr="00B84B0C" w:rsidRDefault="00AC5680" w:rsidP="00736E78">
      <w:pPr>
        <w:rPr>
          <w:rFonts w:cs="Arial"/>
          <w:szCs w:val="18"/>
          <w:lang w:eastAsia="pt-BR"/>
        </w:rPr>
      </w:pPr>
      <w:r w:rsidRPr="00B84B0C">
        <w:rPr>
          <w:rFonts w:cs="Arial"/>
          <w:szCs w:val="18"/>
          <w:lang w:eastAsia="pt-BR"/>
        </w:rPr>
        <w:t xml:space="preserve">• </w:t>
      </w:r>
      <w:proofErr w:type="spellStart"/>
      <w:r w:rsidRPr="00B84B0C">
        <w:rPr>
          <w:rFonts w:cs="Arial"/>
          <w:szCs w:val="18"/>
          <w:lang w:eastAsia="pt-BR"/>
        </w:rPr>
        <w:t>Level</w:t>
      </w:r>
      <w:proofErr w:type="spellEnd"/>
      <w:r w:rsidRPr="00B84B0C">
        <w:rPr>
          <w:rFonts w:cs="Arial"/>
          <w:szCs w:val="18"/>
          <w:lang w:eastAsia="pt-BR"/>
        </w:rPr>
        <w:t xml:space="preserve"> 3: </w:t>
      </w:r>
      <w:proofErr w:type="spellStart"/>
      <w:r w:rsidRPr="00B84B0C">
        <w:rPr>
          <w:rFonts w:cs="Arial"/>
          <w:szCs w:val="18"/>
          <w:lang w:eastAsia="pt-BR"/>
        </w:rPr>
        <w:t>Assumptions</w:t>
      </w:r>
      <w:proofErr w:type="spellEnd"/>
      <w:r w:rsidRPr="00B84B0C">
        <w:rPr>
          <w:rFonts w:cs="Arial"/>
          <w:szCs w:val="18"/>
          <w:lang w:eastAsia="pt-BR"/>
        </w:rPr>
        <w:t xml:space="preserve"> for </w:t>
      </w:r>
      <w:proofErr w:type="spellStart"/>
      <w:r w:rsidRPr="00B84B0C">
        <w:rPr>
          <w:rFonts w:cs="Arial"/>
          <w:szCs w:val="18"/>
          <w:lang w:eastAsia="pt-BR"/>
        </w:rPr>
        <w:t>the</w:t>
      </w:r>
      <w:proofErr w:type="spellEnd"/>
      <w:r w:rsidRPr="00B84B0C">
        <w:rPr>
          <w:rFonts w:cs="Arial"/>
          <w:szCs w:val="18"/>
          <w:lang w:eastAsia="pt-BR"/>
        </w:rPr>
        <w:t xml:space="preserve"> </w:t>
      </w:r>
      <w:proofErr w:type="spellStart"/>
      <w:r w:rsidRPr="00B84B0C">
        <w:rPr>
          <w:rFonts w:cs="Arial"/>
          <w:szCs w:val="18"/>
          <w:lang w:eastAsia="pt-BR"/>
        </w:rPr>
        <w:t>asset</w:t>
      </w:r>
      <w:proofErr w:type="spellEnd"/>
      <w:r w:rsidRPr="00B84B0C">
        <w:rPr>
          <w:rFonts w:cs="Arial"/>
          <w:szCs w:val="18"/>
          <w:lang w:eastAsia="pt-BR"/>
        </w:rPr>
        <w:t xml:space="preserve"> </w:t>
      </w:r>
      <w:proofErr w:type="spellStart"/>
      <w:r w:rsidRPr="00B84B0C">
        <w:rPr>
          <w:rFonts w:cs="Arial"/>
          <w:szCs w:val="18"/>
          <w:lang w:eastAsia="pt-BR"/>
        </w:rPr>
        <w:t>or</w:t>
      </w:r>
      <w:proofErr w:type="spellEnd"/>
      <w:r w:rsidRPr="00B84B0C">
        <w:rPr>
          <w:rFonts w:cs="Arial"/>
          <w:szCs w:val="18"/>
          <w:lang w:eastAsia="pt-BR"/>
        </w:rPr>
        <w:t xml:space="preserve"> </w:t>
      </w:r>
      <w:proofErr w:type="spellStart"/>
      <w:r w:rsidRPr="00B84B0C">
        <w:rPr>
          <w:rFonts w:cs="Arial"/>
          <w:szCs w:val="18"/>
          <w:lang w:eastAsia="pt-BR"/>
        </w:rPr>
        <w:t>liability</w:t>
      </w:r>
      <w:proofErr w:type="spellEnd"/>
      <w:r w:rsidRPr="00B84B0C">
        <w:rPr>
          <w:rFonts w:cs="Arial"/>
          <w:szCs w:val="18"/>
          <w:lang w:eastAsia="pt-BR"/>
        </w:rPr>
        <w:t xml:space="preserve"> </w:t>
      </w:r>
      <w:proofErr w:type="spellStart"/>
      <w:r w:rsidRPr="00B84B0C">
        <w:rPr>
          <w:rFonts w:cs="Arial"/>
          <w:szCs w:val="18"/>
          <w:lang w:eastAsia="pt-BR"/>
        </w:rPr>
        <w:t>that</w:t>
      </w:r>
      <w:proofErr w:type="spellEnd"/>
      <w:r w:rsidRPr="00B84B0C">
        <w:rPr>
          <w:rFonts w:cs="Arial"/>
          <w:szCs w:val="18"/>
          <w:lang w:eastAsia="pt-BR"/>
        </w:rPr>
        <w:t xml:space="preserve"> are </w:t>
      </w:r>
      <w:proofErr w:type="spellStart"/>
      <w:r w:rsidRPr="00B84B0C">
        <w:rPr>
          <w:rFonts w:cs="Arial"/>
          <w:szCs w:val="18"/>
          <w:lang w:eastAsia="pt-BR"/>
        </w:rPr>
        <w:t>not</w:t>
      </w:r>
      <w:proofErr w:type="spellEnd"/>
      <w:r w:rsidRPr="00B84B0C">
        <w:rPr>
          <w:rFonts w:cs="Arial"/>
          <w:szCs w:val="18"/>
          <w:lang w:eastAsia="pt-BR"/>
        </w:rPr>
        <w:t xml:space="preserve"> </w:t>
      </w:r>
      <w:proofErr w:type="spellStart"/>
      <w:r w:rsidRPr="00B84B0C">
        <w:rPr>
          <w:rFonts w:cs="Arial"/>
          <w:szCs w:val="18"/>
          <w:lang w:eastAsia="pt-BR"/>
        </w:rPr>
        <w:t>based</w:t>
      </w:r>
      <w:proofErr w:type="spellEnd"/>
      <w:r w:rsidRPr="00B84B0C">
        <w:rPr>
          <w:rFonts w:cs="Arial"/>
          <w:szCs w:val="18"/>
          <w:lang w:eastAsia="pt-BR"/>
        </w:rPr>
        <w:t xml:space="preserve"> </w:t>
      </w:r>
      <w:proofErr w:type="spellStart"/>
      <w:r w:rsidRPr="00B84B0C">
        <w:rPr>
          <w:rFonts w:cs="Arial"/>
          <w:szCs w:val="18"/>
          <w:lang w:eastAsia="pt-BR"/>
        </w:rPr>
        <w:t>on</w:t>
      </w:r>
      <w:proofErr w:type="spellEnd"/>
      <w:r w:rsidRPr="00B84B0C">
        <w:rPr>
          <w:rFonts w:cs="Arial"/>
          <w:szCs w:val="18"/>
          <w:lang w:eastAsia="pt-BR"/>
        </w:rPr>
        <w:t xml:space="preserve"> </w:t>
      </w:r>
      <w:proofErr w:type="spellStart"/>
      <w:r w:rsidRPr="00B84B0C">
        <w:rPr>
          <w:rFonts w:cs="Arial"/>
          <w:szCs w:val="18"/>
          <w:lang w:eastAsia="pt-BR"/>
        </w:rPr>
        <w:t>observable</w:t>
      </w:r>
      <w:proofErr w:type="spellEnd"/>
      <w:r w:rsidRPr="00B84B0C">
        <w:rPr>
          <w:rFonts w:cs="Arial"/>
          <w:szCs w:val="18"/>
          <w:lang w:eastAsia="pt-BR"/>
        </w:rPr>
        <w:t xml:space="preserve"> </w:t>
      </w:r>
      <w:proofErr w:type="spellStart"/>
      <w:r w:rsidRPr="00B84B0C">
        <w:rPr>
          <w:rFonts w:cs="Arial"/>
          <w:szCs w:val="18"/>
          <w:lang w:eastAsia="pt-BR"/>
        </w:rPr>
        <w:t>market</w:t>
      </w:r>
      <w:proofErr w:type="spellEnd"/>
      <w:r w:rsidRPr="00B84B0C">
        <w:rPr>
          <w:rFonts w:cs="Arial"/>
          <w:szCs w:val="18"/>
          <w:lang w:eastAsia="pt-BR"/>
        </w:rPr>
        <w:t xml:space="preserve"> data (</w:t>
      </w:r>
      <w:proofErr w:type="spellStart"/>
      <w:r w:rsidRPr="00B84B0C">
        <w:rPr>
          <w:rFonts w:cs="Arial"/>
          <w:szCs w:val="18"/>
          <w:lang w:eastAsia="pt-BR"/>
        </w:rPr>
        <w:t>unobservable</w:t>
      </w:r>
      <w:proofErr w:type="spellEnd"/>
      <w:r w:rsidRPr="00B84B0C">
        <w:rPr>
          <w:rFonts w:cs="Arial"/>
          <w:szCs w:val="18"/>
          <w:lang w:eastAsia="pt-BR"/>
        </w:rPr>
        <w:t xml:space="preserve"> inputs). </w:t>
      </w:r>
      <w:proofErr w:type="spellStart"/>
      <w:r w:rsidRPr="00B84B0C">
        <w:rPr>
          <w:rFonts w:cs="Arial"/>
          <w:szCs w:val="18"/>
          <w:lang w:eastAsia="pt-BR"/>
        </w:rPr>
        <w:t>There</w:t>
      </w:r>
      <w:proofErr w:type="spellEnd"/>
      <w:r w:rsidRPr="00B84B0C">
        <w:rPr>
          <w:rFonts w:cs="Arial"/>
          <w:szCs w:val="18"/>
          <w:lang w:eastAsia="pt-BR"/>
        </w:rPr>
        <w:t xml:space="preserve"> are no financial </w:t>
      </w:r>
      <w:proofErr w:type="spellStart"/>
      <w:r w:rsidRPr="00B84B0C">
        <w:rPr>
          <w:rFonts w:cs="Arial"/>
          <w:szCs w:val="18"/>
          <w:lang w:eastAsia="pt-BR"/>
        </w:rPr>
        <w:t>instruments</w:t>
      </w:r>
      <w:proofErr w:type="spellEnd"/>
      <w:r w:rsidRPr="00B84B0C">
        <w:rPr>
          <w:rFonts w:cs="Arial"/>
          <w:szCs w:val="18"/>
          <w:lang w:eastAsia="pt-BR"/>
        </w:rPr>
        <w:t xml:space="preserve"> </w:t>
      </w:r>
      <w:proofErr w:type="spellStart"/>
      <w:r w:rsidRPr="00B84B0C">
        <w:rPr>
          <w:rFonts w:cs="Arial"/>
          <w:szCs w:val="18"/>
          <w:lang w:eastAsia="pt-BR"/>
        </w:rPr>
        <w:t>classified</w:t>
      </w:r>
      <w:proofErr w:type="spellEnd"/>
      <w:r w:rsidRPr="00B84B0C">
        <w:rPr>
          <w:rFonts w:cs="Arial"/>
          <w:szCs w:val="18"/>
          <w:lang w:eastAsia="pt-BR"/>
        </w:rPr>
        <w:t xml:space="preserve"> in </w:t>
      </w:r>
      <w:proofErr w:type="spellStart"/>
      <w:r w:rsidRPr="00B84B0C">
        <w:rPr>
          <w:rFonts w:cs="Arial"/>
          <w:szCs w:val="18"/>
          <w:lang w:eastAsia="pt-BR"/>
        </w:rPr>
        <w:t>level</w:t>
      </w:r>
      <w:proofErr w:type="spellEnd"/>
      <w:r w:rsidRPr="00B84B0C">
        <w:rPr>
          <w:rFonts w:cs="Arial"/>
          <w:szCs w:val="18"/>
          <w:lang w:eastAsia="pt-BR"/>
        </w:rPr>
        <w:t xml:space="preserve"> 3 </w:t>
      </w:r>
      <w:proofErr w:type="spellStart"/>
      <w:r w:rsidRPr="00B84B0C">
        <w:rPr>
          <w:rFonts w:cs="Arial"/>
          <w:szCs w:val="18"/>
          <w:lang w:eastAsia="pt-BR"/>
        </w:rPr>
        <w:t>of</w:t>
      </w:r>
      <w:proofErr w:type="spellEnd"/>
      <w:r w:rsidRPr="00B84B0C">
        <w:rPr>
          <w:rFonts w:cs="Arial"/>
          <w:szCs w:val="18"/>
          <w:lang w:eastAsia="pt-BR"/>
        </w:rPr>
        <w:t xml:space="preserve"> </w:t>
      </w:r>
      <w:proofErr w:type="spellStart"/>
      <w:r w:rsidRPr="00B84B0C">
        <w:rPr>
          <w:rFonts w:cs="Arial"/>
          <w:szCs w:val="18"/>
          <w:lang w:eastAsia="pt-BR"/>
        </w:rPr>
        <w:t>the</w:t>
      </w:r>
      <w:proofErr w:type="spellEnd"/>
      <w:r w:rsidRPr="00B84B0C">
        <w:rPr>
          <w:rFonts w:cs="Arial"/>
          <w:szCs w:val="18"/>
          <w:lang w:eastAsia="pt-BR"/>
        </w:rPr>
        <w:t xml:space="preserve"> </w:t>
      </w:r>
      <w:proofErr w:type="spellStart"/>
      <w:r w:rsidRPr="00B84B0C">
        <w:rPr>
          <w:rFonts w:cs="Arial"/>
          <w:szCs w:val="18"/>
          <w:lang w:eastAsia="pt-BR"/>
        </w:rPr>
        <w:t>investment</w:t>
      </w:r>
      <w:proofErr w:type="spellEnd"/>
      <w:r w:rsidRPr="00B84B0C">
        <w:rPr>
          <w:rFonts w:cs="Arial"/>
          <w:szCs w:val="18"/>
          <w:lang w:eastAsia="pt-BR"/>
        </w:rPr>
        <w:t xml:space="preserve"> </w:t>
      </w:r>
      <w:proofErr w:type="spellStart"/>
      <w:r w:rsidRPr="00B84B0C">
        <w:rPr>
          <w:rFonts w:cs="Arial"/>
          <w:szCs w:val="18"/>
          <w:lang w:eastAsia="pt-BR"/>
        </w:rPr>
        <w:t>portfolio</w:t>
      </w:r>
      <w:proofErr w:type="spellEnd"/>
      <w:r w:rsidRPr="00B84B0C">
        <w:rPr>
          <w:rFonts w:cs="Arial"/>
          <w:szCs w:val="18"/>
          <w:lang w:eastAsia="pt-BR"/>
        </w:rPr>
        <w:t>.</w:t>
      </w:r>
    </w:p>
    <w:p w14:paraId="7DD8C022" w14:textId="77777777" w:rsidR="00AC5680" w:rsidRPr="00B84B0C" w:rsidRDefault="00AC5680" w:rsidP="00736E78">
      <w:pPr>
        <w:rPr>
          <w:rFonts w:cs="Arial"/>
          <w:lang w:eastAsia="pt-BR"/>
        </w:rPr>
      </w:pPr>
    </w:p>
    <w:p w14:paraId="7F4FC90A" w14:textId="77777777" w:rsidR="00AC5680" w:rsidRPr="00B84B0C" w:rsidRDefault="00AC5680" w:rsidP="00736E78">
      <w:pPr>
        <w:rPr>
          <w:rFonts w:cs="Arial"/>
          <w:lang w:eastAsia="pt-BR"/>
        </w:rPr>
      </w:pPr>
    </w:p>
    <w:p w14:paraId="32E08C08" w14:textId="77777777" w:rsidR="00AC5680" w:rsidRPr="00B84B0C" w:rsidRDefault="00AC5680" w:rsidP="00736E78">
      <w:pPr>
        <w:rPr>
          <w:rFonts w:cs="Arial"/>
          <w:lang w:eastAsia="pt-BR"/>
        </w:rPr>
      </w:pPr>
    </w:p>
    <w:p w14:paraId="6B68CB12" w14:textId="77777777" w:rsidR="00AC5680" w:rsidRPr="00B84B0C" w:rsidRDefault="00AC5680" w:rsidP="00736E78">
      <w:pPr>
        <w:pStyle w:val="PargrafodaLista"/>
        <w:keepNext/>
        <w:keepLines/>
        <w:spacing w:after="0"/>
        <w:ind w:left="357"/>
        <w:jc w:val="right"/>
        <w:rPr>
          <w:rFonts w:ascii="Arial" w:hAnsi="Arial" w:cs="Arial"/>
          <w:b/>
          <w:sz w:val="14"/>
          <w:szCs w:val="14"/>
          <w:lang w:eastAsia="pt-BR"/>
        </w:rPr>
      </w:pPr>
      <w:r w:rsidRPr="00B84B0C">
        <w:rPr>
          <w:rFonts w:ascii="Arial" w:hAnsi="Arial" w:cs="Arial"/>
          <w:b/>
          <w:sz w:val="14"/>
          <w:szCs w:val="14"/>
        </w:rPr>
        <w:lastRenderedPageBreak/>
        <w:t xml:space="preserve">R$ </w:t>
      </w:r>
      <w:proofErr w:type="spellStart"/>
      <w:r w:rsidRPr="00B84B0C">
        <w:rPr>
          <w:rFonts w:ascii="Arial" w:hAnsi="Arial" w:cs="Arial"/>
          <w:b/>
          <w:sz w:val="14"/>
          <w:szCs w:val="14"/>
        </w:rPr>
        <w:t>thousand</w:t>
      </w:r>
      <w:proofErr w:type="spellEnd"/>
    </w:p>
    <w:tbl>
      <w:tblPr>
        <w:tblW w:w="9645" w:type="dxa"/>
        <w:tblInd w:w="70" w:type="dxa"/>
        <w:tblCellMar>
          <w:left w:w="70" w:type="dxa"/>
          <w:right w:w="70" w:type="dxa"/>
        </w:tblCellMar>
        <w:tblLook w:val="04A0" w:firstRow="1" w:lastRow="0" w:firstColumn="1" w:lastColumn="0" w:noHBand="0" w:noVBand="1"/>
      </w:tblPr>
      <w:tblGrid>
        <w:gridCol w:w="1982"/>
        <w:gridCol w:w="1369"/>
        <w:gridCol w:w="1084"/>
        <w:gridCol w:w="1361"/>
        <w:gridCol w:w="189"/>
        <w:gridCol w:w="1302"/>
        <w:gridCol w:w="973"/>
        <w:gridCol w:w="1385"/>
      </w:tblGrid>
      <w:tr w:rsidR="00AC5680" w:rsidRPr="00B84B0C" w14:paraId="1475AEC8" w14:textId="77777777" w:rsidTr="00AC5680">
        <w:trPr>
          <w:trHeight w:val="211"/>
        </w:trPr>
        <w:tc>
          <w:tcPr>
            <w:tcW w:w="1982" w:type="dxa"/>
            <w:tcBorders>
              <w:top w:val="single" w:sz="4" w:space="0" w:color="8EAADB"/>
              <w:left w:val="nil"/>
              <w:bottom w:val="nil"/>
              <w:right w:val="nil"/>
            </w:tcBorders>
            <w:shd w:val="clear" w:color="000000" w:fill="D9E2F3"/>
            <w:noWrap/>
            <w:vAlign w:val="bottom"/>
            <w:hideMark/>
          </w:tcPr>
          <w:p w14:paraId="2E436C46" w14:textId="77777777" w:rsidR="00AC5680" w:rsidRPr="00B84B0C" w:rsidRDefault="00AC5680" w:rsidP="00736E78">
            <w:pPr>
              <w:pStyle w:val="08-Tabelageral"/>
              <w:jc w:val="center"/>
              <w:rPr>
                <w:rFonts w:cs="Arial"/>
                <w:b/>
              </w:rPr>
            </w:pPr>
          </w:p>
        </w:tc>
        <w:tc>
          <w:tcPr>
            <w:tcW w:w="7663" w:type="dxa"/>
            <w:gridSpan w:val="7"/>
            <w:tcBorders>
              <w:top w:val="single" w:sz="4" w:space="0" w:color="8EAADB"/>
              <w:left w:val="nil"/>
              <w:bottom w:val="single" w:sz="4" w:space="0" w:color="8EAADB"/>
              <w:right w:val="nil"/>
            </w:tcBorders>
            <w:shd w:val="clear" w:color="000000" w:fill="D9E2F3"/>
            <w:noWrap/>
            <w:vAlign w:val="bottom"/>
            <w:hideMark/>
          </w:tcPr>
          <w:p w14:paraId="6B9D8149" w14:textId="77777777" w:rsidR="00AC5680" w:rsidRPr="00B84B0C" w:rsidRDefault="00AC5680" w:rsidP="00736E78">
            <w:pPr>
              <w:pStyle w:val="08-Tabelageral"/>
              <w:jc w:val="center"/>
              <w:rPr>
                <w:rFonts w:cs="Arial"/>
                <w:b/>
              </w:rPr>
            </w:pPr>
            <w:proofErr w:type="spellStart"/>
            <w:r w:rsidRPr="00B84B0C">
              <w:rPr>
                <w:rFonts w:cs="Arial"/>
                <w:b/>
              </w:rPr>
              <w:t>Parent</w:t>
            </w:r>
            <w:proofErr w:type="spellEnd"/>
          </w:p>
        </w:tc>
      </w:tr>
      <w:tr w:rsidR="00AC5680" w:rsidRPr="00B84B0C" w14:paraId="61F77BF3" w14:textId="77777777" w:rsidTr="00AC5680">
        <w:trPr>
          <w:trHeight w:val="211"/>
        </w:trPr>
        <w:tc>
          <w:tcPr>
            <w:tcW w:w="1982" w:type="dxa"/>
            <w:tcBorders>
              <w:top w:val="nil"/>
              <w:left w:val="nil"/>
              <w:bottom w:val="nil"/>
              <w:right w:val="nil"/>
            </w:tcBorders>
            <w:shd w:val="clear" w:color="000000" w:fill="D9E2F3"/>
            <w:noWrap/>
            <w:vAlign w:val="bottom"/>
            <w:hideMark/>
          </w:tcPr>
          <w:p w14:paraId="01BED972" w14:textId="77777777" w:rsidR="00AC5680" w:rsidRPr="00B84B0C" w:rsidRDefault="00AC5680" w:rsidP="00736E78">
            <w:pPr>
              <w:pStyle w:val="08-Tabelageral"/>
              <w:jc w:val="center"/>
              <w:rPr>
                <w:rFonts w:cs="Arial"/>
                <w:b/>
              </w:rPr>
            </w:pPr>
          </w:p>
        </w:tc>
        <w:tc>
          <w:tcPr>
            <w:tcW w:w="3814" w:type="dxa"/>
            <w:gridSpan w:val="3"/>
            <w:tcBorders>
              <w:top w:val="single" w:sz="4" w:space="0" w:color="8EAADB"/>
              <w:left w:val="nil"/>
              <w:bottom w:val="single" w:sz="4" w:space="0" w:color="8EAADB"/>
              <w:right w:val="nil"/>
            </w:tcBorders>
            <w:shd w:val="clear" w:color="000000" w:fill="D9E2F3"/>
            <w:noWrap/>
            <w:vAlign w:val="bottom"/>
            <w:hideMark/>
          </w:tcPr>
          <w:p w14:paraId="11A89307" w14:textId="77777777" w:rsidR="00AC5680" w:rsidRPr="00B84B0C" w:rsidRDefault="00AC5680" w:rsidP="00736E78">
            <w:pPr>
              <w:pStyle w:val="08-Tabelageral"/>
              <w:jc w:val="center"/>
              <w:rPr>
                <w:rFonts w:cs="Arial"/>
                <w:b/>
              </w:rPr>
            </w:pPr>
            <w:r w:rsidRPr="00B84B0C">
              <w:rPr>
                <w:rFonts w:cs="Arial"/>
                <w:b/>
              </w:rPr>
              <w:t>Mar 31, 2020</w:t>
            </w:r>
          </w:p>
        </w:tc>
        <w:tc>
          <w:tcPr>
            <w:tcW w:w="189" w:type="dxa"/>
            <w:tcBorders>
              <w:top w:val="nil"/>
              <w:left w:val="nil"/>
              <w:bottom w:val="nil"/>
              <w:right w:val="nil"/>
            </w:tcBorders>
            <w:shd w:val="clear" w:color="000000" w:fill="D9E2F3"/>
            <w:noWrap/>
            <w:vAlign w:val="bottom"/>
            <w:hideMark/>
          </w:tcPr>
          <w:p w14:paraId="0B1D3842" w14:textId="77777777" w:rsidR="00AC5680" w:rsidRPr="00B84B0C" w:rsidRDefault="00AC5680" w:rsidP="00736E78">
            <w:pPr>
              <w:pStyle w:val="08-Tabelageral"/>
              <w:jc w:val="center"/>
              <w:rPr>
                <w:rFonts w:cs="Arial"/>
                <w:b/>
              </w:rPr>
            </w:pPr>
          </w:p>
        </w:tc>
        <w:tc>
          <w:tcPr>
            <w:tcW w:w="3660" w:type="dxa"/>
            <w:gridSpan w:val="3"/>
            <w:tcBorders>
              <w:top w:val="single" w:sz="4" w:space="0" w:color="8EAADB"/>
              <w:left w:val="nil"/>
              <w:bottom w:val="single" w:sz="4" w:space="0" w:color="8EAADB"/>
              <w:right w:val="nil"/>
            </w:tcBorders>
            <w:shd w:val="clear" w:color="000000" w:fill="D9E2F3"/>
            <w:noWrap/>
            <w:vAlign w:val="bottom"/>
            <w:hideMark/>
          </w:tcPr>
          <w:p w14:paraId="7B03F5BE" w14:textId="77777777" w:rsidR="00AC5680" w:rsidRPr="00B84B0C" w:rsidRDefault="00AC5680" w:rsidP="00736E78">
            <w:pPr>
              <w:pStyle w:val="08-Tabelageral"/>
              <w:jc w:val="center"/>
              <w:rPr>
                <w:rFonts w:cs="Arial"/>
                <w:b/>
              </w:rPr>
            </w:pPr>
            <w:proofErr w:type="spellStart"/>
            <w:r w:rsidRPr="00B84B0C">
              <w:rPr>
                <w:rFonts w:cs="Arial"/>
                <w:b/>
              </w:rPr>
              <w:t>Dec</w:t>
            </w:r>
            <w:proofErr w:type="spellEnd"/>
            <w:r w:rsidRPr="00B84B0C">
              <w:rPr>
                <w:rFonts w:cs="Arial"/>
                <w:b/>
              </w:rPr>
              <w:t xml:space="preserve"> 31, 2019</w:t>
            </w:r>
          </w:p>
        </w:tc>
      </w:tr>
      <w:tr w:rsidR="00AC5680" w:rsidRPr="00B84B0C" w14:paraId="2A281DFD" w14:textId="77777777" w:rsidTr="00AC5680">
        <w:trPr>
          <w:trHeight w:val="211"/>
        </w:trPr>
        <w:tc>
          <w:tcPr>
            <w:tcW w:w="1982" w:type="dxa"/>
            <w:tcBorders>
              <w:top w:val="nil"/>
              <w:left w:val="nil"/>
              <w:bottom w:val="single" w:sz="4" w:space="0" w:color="8EAADB"/>
              <w:right w:val="nil"/>
            </w:tcBorders>
            <w:shd w:val="clear" w:color="000000" w:fill="D9E2F3"/>
            <w:noWrap/>
            <w:vAlign w:val="bottom"/>
            <w:hideMark/>
          </w:tcPr>
          <w:p w14:paraId="6E5AF1EA" w14:textId="77777777" w:rsidR="00AC5680" w:rsidRPr="00B84B0C" w:rsidRDefault="00AC5680" w:rsidP="00736E78">
            <w:pPr>
              <w:pStyle w:val="08-Tabelageral"/>
              <w:jc w:val="center"/>
              <w:rPr>
                <w:rFonts w:cs="Arial"/>
                <w:b/>
              </w:rPr>
            </w:pPr>
          </w:p>
        </w:tc>
        <w:tc>
          <w:tcPr>
            <w:tcW w:w="1369" w:type="dxa"/>
            <w:tcBorders>
              <w:top w:val="nil"/>
              <w:left w:val="nil"/>
              <w:bottom w:val="single" w:sz="4" w:space="0" w:color="8EAADB"/>
              <w:right w:val="nil"/>
            </w:tcBorders>
            <w:shd w:val="clear" w:color="000000" w:fill="D9E2F3"/>
            <w:vAlign w:val="bottom"/>
            <w:hideMark/>
          </w:tcPr>
          <w:p w14:paraId="31FF99A4" w14:textId="77777777" w:rsidR="00AC5680" w:rsidRPr="00B84B0C" w:rsidRDefault="00AC5680" w:rsidP="00736E78">
            <w:pPr>
              <w:pStyle w:val="08-Tabelageral"/>
              <w:rPr>
                <w:rFonts w:cs="Arial"/>
                <w:b/>
              </w:rPr>
            </w:pPr>
            <w:proofErr w:type="spellStart"/>
            <w:r w:rsidRPr="00B84B0C">
              <w:rPr>
                <w:rFonts w:cs="Arial"/>
                <w:b/>
              </w:rPr>
              <w:t>Level</w:t>
            </w:r>
            <w:proofErr w:type="spellEnd"/>
            <w:r w:rsidRPr="00B84B0C">
              <w:rPr>
                <w:rFonts w:cs="Arial"/>
                <w:b/>
              </w:rPr>
              <w:t xml:space="preserve"> 1</w:t>
            </w:r>
          </w:p>
        </w:tc>
        <w:tc>
          <w:tcPr>
            <w:tcW w:w="1084" w:type="dxa"/>
            <w:tcBorders>
              <w:top w:val="nil"/>
              <w:left w:val="nil"/>
              <w:bottom w:val="single" w:sz="4" w:space="0" w:color="8EAADB"/>
              <w:right w:val="nil"/>
            </w:tcBorders>
            <w:shd w:val="clear" w:color="000000" w:fill="D9E2F3"/>
            <w:vAlign w:val="bottom"/>
            <w:hideMark/>
          </w:tcPr>
          <w:p w14:paraId="35B5F754" w14:textId="77777777" w:rsidR="00AC5680" w:rsidRPr="00B84B0C" w:rsidRDefault="00AC5680" w:rsidP="00736E78">
            <w:pPr>
              <w:pStyle w:val="08-Tabelageral"/>
              <w:rPr>
                <w:rFonts w:cs="Arial"/>
                <w:b/>
              </w:rPr>
            </w:pPr>
            <w:proofErr w:type="spellStart"/>
            <w:r w:rsidRPr="00B84B0C">
              <w:rPr>
                <w:rFonts w:cs="Arial"/>
                <w:b/>
              </w:rPr>
              <w:t>Level</w:t>
            </w:r>
            <w:proofErr w:type="spellEnd"/>
            <w:r w:rsidRPr="00B84B0C">
              <w:rPr>
                <w:rFonts w:cs="Arial"/>
                <w:b/>
              </w:rPr>
              <w:t xml:space="preserve"> 2</w:t>
            </w:r>
          </w:p>
        </w:tc>
        <w:tc>
          <w:tcPr>
            <w:tcW w:w="1361" w:type="dxa"/>
            <w:tcBorders>
              <w:top w:val="nil"/>
              <w:left w:val="nil"/>
              <w:bottom w:val="single" w:sz="4" w:space="0" w:color="8EAADB"/>
              <w:right w:val="nil"/>
            </w:tcBorders>
            <w:shd w:val="clear" w:color="000000" w:fill="D9E2F3"/>
            <w:vAlign w:val="bottom"/>
            <w:hideMark/>
          </w:tcPr>
          <w:p w14:paraId="20DE27AF" w14:textId="77777777" w:rsidR="00AC5680" w:rsidRPr="00B84B0C" w:rsidRDefault="00AC5680" w:rsidP="00736E78">
            <w:pPr>
              <w:pStyle w:val="08-Tabelageral"/>
              <w:rPr>
                <w:rFonts w:cs="Arial"/>
                <w:b/>
              </w:rPr>
            </w:pPr>
            <w:r w:rsidRPr="00B84B0C">
              <w:rPr>
                <w:rFonts w:cs="Arial"/>
                <w:b/>
              </w:rPr>
              <w:t>Total</w:t>
            </w:r>
          </w:p>
        </w:tc>
        <w:tc>
          <w:tcPr>
            <w:tcW w:w="189" w:type="dxa"/>
            <w:tcBorders>
              <w:top w:val="nil"/>
              <w:left w:val="nil"/>
              <w:bottom w:val="single" w:sz="4" w:space="0" w:color="8EAADB"/>
              <w:right w:val="nil"/>
            </w:tcBorders>
            <w:shd w:val="clear" w:color="000000" w:fill="D9E2F3"/>
            <w:noWrap/>
            <w:vAlign w:val="bottom"/>
            <w:hideMark/>
          </w:tcPr>
          <w:p w14:paraId="05A53A12" w14:textId="77777777" w:rsidR="00AC5680" w:rsidRPr="00B84B0C" w:rsidRDefault="00AC5680" w:rsidP="00736E78">
            <w:pPr>
              <w:pStyle w:val="08-Tabelageral"/>
              <w:rPr>
                <w:rFonts w:cs="Arial"/>
                <w:b/>
              </w:rPr>
            </w:pPr>
          </w:p>
        </w:tc>
        <w:tc>
          <w:tcPr>
            <w:tcW w:w="1302" w:type="dxa"/>
            <w:tcBorders>
              <w:top w:val="nil"/>
              <w:left w:val="nil"/>
              <w:bottom w:val="single" w:sz="4" w:space="0" w:color="8EAADB"/>
              <w:right w:val="nil"/>
            </w:tcBorders>
            <w:shd w:val="clear" w:color="000000" w:fill="D9E2F3"/>
            <w:vAlign w:val="bottom"/>
            <w:hideMark/>
          </w:tcPr>
          <w:p w14:paraId="2EB181AF" w14:textId="77777777" w:rsidR="00AC5680" w:rsidRPr="00B84B0C" w:rsidRDefault="00AC5680" w:rsidP="00736E78">
            <w:pPr>
              <w:pStyle w:val="08-Tabelageral"/>
              <w:rPr>
                <w:rFonts w:cs="Arial"/>
                <w:b/>
              </w:rPr>
            </w:pPr>
            <w:proofErr w:type="spellStart"/>
            <w:r w:rsidRPr="00B84B0C">
              <w:rPr>
                <w:rFonts w:cs="Arial"/>
                <w:b/>
              </w:rPr>
              <w:t>Level</w:t>
            </w:r>
            <w:proofErr w:type="spellEnd"/>
            <w:r w:rsidRPr="00B84B0C">
              <w:rPr>
                <w:rFonts w:cs="Arial"/>
                <w:b/>
              </w:rPr>
              <w:t xml:space="preserve"> 1</w:t>
            </w:r>
          </w:p>
        </w:tc>
        <w:tc>
          <w:tcPr>
            <w:tcW w:w="973" w:type="dxa"/>
            <w:tcBorders>
              <w:top w:val="nil"/>
              <w:left w:val="nil"/>
              <w:bottom w:val="single" w:sz="4" w:space="0" w:color="8EAADB"/>
              <w:right w:val="nil"/>
            </w:tcBorders>
            <w:shd w:val="clear" w:color="000000" w:fill="D9E2F3"/>
            <w:vAlign w:val="bottom"/>
            <w:hideMark/>
          </w:tcPr>
          <w:p w14:paraId="6AC8D271" w14:textId="77777777" w:rsidR="00AC5680" w:rsidRPr="00B84B0C" w:rsidRDefault="00AC5680" w:rsidP="00736E78">
            <w:pPr>
              <w:pStyle w:val="08-Tabelageral"/>
              <w:rPr>
                <w:rFonts w:cs="Arial"/>
                <w:b/>
              </w:rPr>
            </w:pPr>
            <w:proofErr w:type="spellStart"/>
            <w:r w:rsidRPr="00B84B0C">
              <w:rPr>
                <w:rFonts w:cs="Arial"/>
                <w:b/>
              </w:rPr>
              <w:t>Level</w:t>
            </w:r>
            <w:proofErr w:type="spellEnd"/>
            <w:r w:rsidRPr="00B84B0C">
              <w:rPr>
                <w:rFonts w:cs="Arial"/>
                <w:b/>
              </w:rPr>
              <w:t xml:space="preserve"> 2</w:t>
            </w:r>
          </w:p>
        </w:tc>
        <w:tc>
          <w:tcPr>
            <w:tcW w:w="1385" w:type="dxa"/>
            <w:tcBorders>
              <w:top w:val="nil"/>
              <w:left w:val="nil"/>
              <w:bottom w:val="single" w:sz="4" w:space="0" w:color="8EAADB"/>
              <w:right w:val="nil"/>
            </w:tcBorders>
            <w:shd w:val="clear" w:color="000000" w:fill="D9E2F3"/>
            <w:vAlign w:val="bottom"/>
            <w:hideMark/>
          </w:tcPr>
          <w:p w14:paraId="353E17E9" w14:textId="77777777" w:rsidR="00AC5680" w:rsidRPr="00B84B0C" w:rsidRDefault="00AC5680" w:rsidP="00736E78">
            <w:pPr>
              <w:pStyle w:val="08-Tabelageral"/>
              <w:rPr>
                <w:rFonts w:cs="Arial"/>
                <w:b/>
              </w:rPr>
            </w:pPr>
            <w:r w:rsidRPr="00B84B0C">
              <w:rPr>
                <w:rFonts w:cs="Arial"/>
                <w:b/>
              </w:rPr>
              <w:t>Total</w:t>
            </w:r>
          </w:p>
        </w:tc>
      </w:tr>
      <w:tr w:rsidR="00AC5680" w:rsidRPr="00B84B0C" w14:paraId="545FD93E" w14:textId="77777777" w:rsidTr="00AC5680">
        <w:trPr>
          <w:trHeight w:val="248"/>
        </w:trPr>
        <w:tc>
          <w:tcPr>
            <w:tcW w:w="1982" w:type="dxa"/>
            <w:tcBorders>
              <w:top w:val="nil"/>
              <w:left w:val="nil"/>
              <w:bottom w:val="nil"/>
              <w:right w:val="nil"/>
            </w:tcBorders>
            <w:shd w:val="clear" w:color="auto" w:fill="auto"/>
            <w:noWrap/>
            <w:vAlign w:val="bottom"/>
            <w:hideMark/>
          </w:tcPr>
          <w:p w14:paraId="60132C4E" w14:textId="77777777" w:rsidR="00AC5680" w:rsidRPr="00B84B0C" w:rsidRDefault="00AC5680" w:rsidP="00736E78">
            <w:pPr>
              <w:pStyle w:val="08-Tabelageral"/>
              <w:jc w:val="left"/>
              <w:rPr>
                <w:rFonts w:cs="Arial"/>
              </w:rPr>
            </w:pPr>
            <w:proofErr w:type="spellStart"/>
            <w:r w:rsidRPr="00B84B0C">
              <w:rPr>
                <w:rFonts w:cs="Arial"/>
              </w:rPr>
              <w:t>Long-term</w:t>
            </w:r>
            <w:proofErr w:type="spellEnd"/>
            <w:r w:rsidRPr="00B84B0C">
              <w:rPr>
                <w:rFonts w:cs="Arial"/>
              </w:rPr>
              <w:t xml:space="preserve"> </w:t>
            </w:r>
            <w:proofErr w:type="spellStart"/>
            <w:r w:rsidRPr="00B84B0C">
              <w:rPr>
                <w:rFonts w:cs="Arial"/>
              </w:rPr>
              <w:t>fund</w:t>
            </w:r>
            <w:proofErr w:type="spellEnd"/>
          </w:p>
        </w:tc>
        <w:tc>
          <w:tcPr>
            <w:tcW w:w="1369" w:type="dxa"/>
            <w:tcBorders>
              <w:top w:val="nil"/>
              <w:left w:val="nil"/>
              <w:bottom w:val="nil"/>
              <w:right w:val="nil"/>
            </w:tcBorders>
            <w:shd w:val="clear" w:color="auto" w:fill="auto"/>
            <w:noWrap/>
            <w:vAlign w:val="bottom"/>
            <w:hideMark/>
          </w:tcPr>
          <w:p w14:paraId="5A978B6B" w14:textId="77777777" w:rsidR="00AC5680" w:rsidRPr="00B84B0C" w:rsidRDefault="00AC5680" w:rsidP="00736E78">
            <w:pPr>
              <w:pStyle w:val="08-Tabelageral"/>
              <w:rPr>
                <w:rFonts w:cs="Arial"/>
              </w:rPr>
            </w:pPr>
            <w:r w:rsidRPr="00B84B0C">
              <w:rPr>
                <w:rFonts w:cs="Arial"/>
              </w:rPr>
              <w:t>3,582</w:t>
            </w:r>
          </w:p>
        </w:tc>
        <w:tc>
          <w:tcPr>
            <w:tcW w:w="1084" w:type="dxa"/>
            <w:tcBorders>
              <w:top w:val="nil"/>
              <w:left w:val="nil"/>
              <w:bottom w:val="nil"/>
              <w:right w:val="nil"/>
            </w:tcBorders>
            <w:shd w:val="clear" w:color="auto" w:fill="auto"/>
            <w:noWrap/>
            <w:vAlign w:val="bottom"/>
            <w:hideMark/>
          </w:tcPr>
          <w:p w14:paraId="02CC74F9" w14:textId="77777777" w:rsidR="00AC5680" w:rsidRPr="00B84B0C" w:rsidRDefault="00AC5680" w:rsidP="00736E78">
            <w:pPr>
              <w:pStyle w:val="08-Tabelageral"/>
              <w:rPr>
                <w:rFonts w:cs="Arial"/>
              </w:rPr>
            </w:pPr>
            <w:r w:rsidRPr="00B84B0C">
              <w:rPr>
                <w:rFonts w:cs="Arial"/>
              </w:rPr>
              <w:t>--</w:t>
            </w:r>
          </w:p>
        </w:tc>
        <w:tc>
          <w:tcPr>
            <w:tcW w:w="1361" w:type="dxa"/>
            <w:tcBorders>
              <w:top w:val="nil"/>
              <w:left w:val="nil"/>
              <w:bottom w:val="nil"/>
              <w:right w:val="nil"/>
            </w:tcBorders>
            <w:shd w:val="clear" w:color="auto" w:fill="auto"/>
            <w:noWrap/>
            <w:vAlign w:val="bottom"/>
            <w:hideMark/>
          </w:tcPr>
          <w:p w14:paraId="78B0138D" w14:textId="77777777" w:rsidR="00AC5680" w:rsidRPr="00B84B0C" w:rsidRDefault="00AC5680" w:rsidP="00736E78">
            <w:pPr>
              <w:pStyle w:val="08-Tabelageral"/>
              <w:rPr>
                <w:rFonts w:cs="Arial"/>
              </w:rPr>
            </w:pPr>
            <w:r w:rsidRPr="00B84B0C">
              <w:rPr>
                <w:rFonts w:cs="Arial"/>
              </w:rPr>
              <w:t>3,582</w:t>
            </w:r>
          </w:p>
        </w:tc>
        <w:tc>
          <w:tcPr>
            <w:tcW w:w="189" w:type="dxa"/>
            <w:tcBorders>
              <w:top w:val="nil"/>
              <w:left w:val="nil"/>
              <w:bottom w:val="nil"/>
              <w:right w:val="nil"/>
            </w:tcBorders>
            <w:shd w:val="clear" w:color="auto" w:fill="auto"/>
            <w:noWrap/>
            <w:vAlign w:val="bottom"/>
            <w:hideMark/>
          </w:tcPr>
          <w:p w14:paraId="15EAF0AE" w14:textId="77777777" w:rsidR="00AC5680" w:rsidRPr="00B84B0C" w:rsidRDefault="00AC5680" w:rsidP="00736E78">
            <w:pPr>
              <w:pStyle w:val="08-Tabelageral"/>
              <w:rPr>
                <w:rFonts w:cs="Arial"/>
              </w:rPr>
            </w:pPr>
          </w:p>
        </w:tc>
        <w:tc>
          <w:tcPr>
            <w:tcW w:w="1302" w:type="dxa"/>
            <w:tcBorders>
              <w:top w:val="nil"/>
              <w:left w:val="nil"/>
              <w:bottom w:val="nil"/>
              <w:right w:val="nil"/>
            </w:tcBorders>
            <w:shd w:val="clear" w:color="auto" w:fill="auto"/>
            <w:noWrap/>
            <w:vAlign w:val="bottom"/>
            <w:hideMark/>
          </w:tcPr>
          <w:p w14:paraId="711FEF57" w14:textId="77777777" w:rsidR="00AC5680" w:rsidRPr="00B84B0C" w:rsidRDefault="00AC5680" w:rsidP="00736E78">
            <w:pPr>
              <w:pStyle w:val="08-Tabelageral"/>
              <w:rPr>
                <w:rFonts w:cs="Arial"/>
              </w:rPr>
            </w:pPr>
            <w:r w:rsidRPr="00B84B0C">
              <w:rPr>
                <w:rFonts w:cs="Arial"/>
              </w:rPr>
              <w:t>3,413</w:t>
            </w:r>
          </w:p>
        </w:tc>
        <w:tc>
          <w:tcPr>
            <w:tcW w:w="973" w:type="dxa"/>
            <w:tcBorders>
              <w:top w:val="nil"/>
              <w:left w:val="nil"/>
              <w:bottom w:val="nil"/>
              <w:right w:val="nil"/>
            </w:tcBorders>
            <w:shd w:val="clear" w:color="auto" w:fill="auto"/>
            <w:noWrap/>
            <w:vAlign w:val="bottom"/>
            <w:hideMark/>
          </w:tcPr>
          <w:p w14:paraId="712DDC48" w14:textId="77777777" w:rsidR="00AC5680" w:rsidRPr="00B84B0C" w:rsidRDefault="00AC5680" w:rsidP="00736E78">
            <w:pPr>
              <w:pStyle w:val="08-Tabelageral"/>
              <w:rPr>
                <w:rFonts w:cs="Arial"/>
              </w:rPr>
            </w:pPr>
            <w:r w:rsidRPr="00B84B0C">
              <w:rPr>
                <w:rFonts w:cs="Arial"/>
              </w:rPr>
              <w:t>--</w:t>
            </w:r>
          </w:p>
        </w:tc>
        <w:tc>
          <w:tcPr>
            <w:tcW w:w="1385" w:type="dxa"/>
            <w:tcBorders>
              <w:top w:val="nil"/>
              <w:left w:val="nil"/>
              <w:bottom w:val="nil"/>
              <w:right w:val="nil"/>
            </w:tcBorders>
            <w:shd w:val="clear" w:color="auto" w:fill="auto"/>
            <w:noWrap/>
            <w:vAlign w:val="bottom"/>
            <w:hideMark/>
          </w:tcPr>
          <w:p w14:paraId="0768A3C8" w14:textId="77777777" w:rsidR="00AC5680" w:rsidRPr="00B84B0C" w:rsidRDefault="00AC5680" w:rsidP="00736E78">
            <w:pPr>
              <w:pStyle w:val="08-Tabelageral"/>
              <w:rPr>
                <w:rFonts w:cs="Arial"/>
              </w:rPr>
            </w:pPr>
            <w:r w:rsidRPr="00B84B0C">
              <w:rPr>
                <w:rFonts w:cs="Arial"/>
              </w:rPr>
              <w:t>3,413</w:t>
            </w:r>
          </w:p>
        </w:tc>
      </w:tr>
      <w:tr w:rsidR="00AC5680" w:rsidRPr="00B84B0C" w14:paraId="7D3F49A1" w14:textId="77777777" w:rsidTr="00AC5680">
        <w:trPr>
          <w:trHeight w:val="248"/>
        </w:trPr>
        <w:tc>
          <w:tcPr>
            <w:tcW w:w="1982" w:type="dxa"/>
            <w:tcBorders>
              <w:top w:val="nil"/>
              <w:left w:val="nil"/>
              <w:right w:val="nil"/>
            </w:tcBorders>
            <w:shd w:val="clear" w:color="000000" w:fill="D9E2F3"/>
            <w:noWrap/>
            <w:vAlign w:val="bottom"/>
            <w:hideMark/>
          </w:tcPr>
          <w:p w14:paraId="7C1DF217" w14:textId="77777777" w:rsidR="00AC5680" w:rsidRPr="00B84B0C" w:rsidRDefault="00AC5680" w:rsidP="00736E78">
            <w:pPr>
              <w:pStyle w:val="08-Tabelageral"/>
              <w:jc w:val="left"/>
              <w:rPr>
                <w:rFonts w:cs="Arial"/>
              </w:rPr>
            </w:pPr>
            <w:r w:rsidRPr="00B84B0C">
              <w:rPr>
                <w:rFonts w:cs="Arial"/>
              </w:rPr>
              <w:t xml:space="preserve">Cash </w:t>
            </w:r>
            <w:proofErr w:type="spellStart"/>
            <w:r w:rsidRPr="00B84B0C">
              <w:rPr>
                <w:rFonts w:cs="Arial"/>
              </w:rPr>
              <w:t>and</w:t>
            </w:r>
            <w:proofErr w:type="spellEnd"/>
            <w:r w:rsidRPr="00B84B0C">
              <w:rPr>
                <w:rFonts w:cs="Arial"/>
              </w:rPr>
              <w:t xml:space="preserve"> cash </w:t>
            </w:r>
            <w:proofErr w:type="spellStart"/>
            <w:r w:rsidRPr="00B84B0C">
              <w:rPr>
                <w:rFonts w:cs="Arial"/>
              </w:rPr>
              <w:t>Equivalents</w:t>
            </w:r>
            <w:proofErr w:type="spellEnd"/>
          </w:p>
        </w:tc>
        <w:tc>
          <w:tcPr>
            <w:tcW w:w="1369" w:type="dxa"/>
            <w:tcBorders>
              <w:top w:val="nil"/>
              <w:left w:val="nil"/>
              <w:bottom w:val="nil"/>
              <w:right w:val="nil"/>
            </w:tcBorders>
            <w:shd w:val="clear" w:color="000000" w:fill="D9E2F3"/>
            <w:noWrap/>
            <w:vAlign w:val="bottom"/>
            <w:hideMark/>
          </w:tcPr>
          <w:p w14:paraId="23DD6301" w14:textId="77777777" w:rsidR="00AC5680" w:rsidRPr="00B84B0C" w:rsidRDefault="00AC5680" w:rsidP="00736E78">
            <w:pPr>
              <w:pStyle w:val="08-Tabelageral"/>
              <w:rPr>
                <w:rFonts w:cs="Arial"/>
              </w:rPr>
            </w:pPr>
            <w:r w:rsidRPr="00B84B0C">
              <w:rPr>
                <w:rFonts w:cs="Arial"/>
              </w:rPr>
              <w:t>2,402,707</w:t>
            </w:r>
          </w:p>
        </w:tc>
        <w:tc>
          <w:tcPr>
            <w:tcW w:w="1084" w:type="dxa"/>
            <w:tcBorders>
              <w:top w:val="nil"/>
              <w:left w:val="nil"/>
              <w:bottom w:val="nil"/>
              <w:right w:val="nil"/>
            </w:tcBorders>
            <w:shd w:val="clear" w:color="000000" w:fill="D9E2F3"/>
            <w:noWrap/>
            <w:vAlign w:val="bottom"/>
            <w:hideMark/>
          </w:tcPr>
          <w:p w14:paraId="7F2BE092" w14:textId="77777777" w:rsidR="00AC5680" w:rsidRPr="00B84B0C" w:rsidRDefault="00AC5680" w:rsidP="00736E78">
            <w:pPr>
              <w:pStyle w:val="08-Tabelageral"/>
              <w:rPr>
                <w:rFonts w:cs="Arial"/>
              </w:rPr>
            </w:pPr>
            <w:r w:rsidRPr="00B84B0C">
              <w:rPr>
                <w:rFonts w:cs="Arial"/>
              </w:rPr>
              <w:t>-- </w:t>
            </w:r>
          </w:p>
        </w:tc>
        <w:tc>
          <w:tcPr>
            <w:tcW w:w="1361" w:type="dxa"/>
            <w:tcBorders>
              <w:top w:val="nil"/>
              <w:left w:val="nil"/>
              <w:bottom w:val="nil"/>
              <w:right w:val="nil"/>
            </w:tcBorders>
            <w:shd w:val="clear" w:color="000000" w:fill="D9E2F3"/>
            <w:noWrap/>
            <w:vAlign w:val="bottom"/>
            <w:hideMark/>
          </w:tcPr>
          <w:p w14:paraId="51533E9E" w14:textId="77777777" w:rsidR="00AC5680" w:rsidRPr="00B84B0C" w:rsidRDefault="00AC5680" w:rsidP="00736E78">
            <w:pPr>
              <w:pStyle w:val="08-Tabelageral"/>
              <w:rPr>
                <w:rFonts w:cs="Arial"/>
              </w:rPr>
            </w:pPr>
            <w:r w:rsidRPr="00B84B0C">
              <w:rPr>
                <w:rFonts w:cs="Arial"/>
              </w:rPr>
              <w:t>2,402,707</w:t>
            </w:r>
          </w:p>
        </w:tc>
        <w:tc>
          <w:tcPr>
            <w:tcW w:w="189" w:type="dxa"/>
            <w:tcBorders>
              <w:top w:val="nil"/>
              <w:left w:val="nil"/>
              <w:right w:val="nil"/>
            </w:tcBorders>
            <w:shd w:val="clear" w:color="000000" w:fill="D9E2F3"/>
            <w:noWrap/>
            <w:vAlign w:val="bottom"/>
            <w:hideMark/>
          </w:tcPr>
          <w:p w14:paraId="01961DBA" w14:textId="77777777" w:rsidR="00AC5680" w:rsidRPr="00B84B0C" w:rsidRDefault="00AC5680" w:rsidP="00736E78">
            <w:pPr>
              <w:pStyle w:val="08-Tabelageral"/>
              <w:rPr>
                <w:rFonts w:cs="Arial"/>
              </w:rPr>
            </w:pPr>
            <w:r w:rsidRPr="00B84B0C">
              <w:rPr>
                <w:rFonts w:cs="Arial"/>
              </w:rPr>
              <w:t> </w:t>
            </w:r>
          </w:p>
        </w:tc>
        <w:tc>
          <w:tcPr>
            <w:tcW w:w="1302" w:type="dxa"/>
            <w:tcBorders>
              <w:top w:val="nil"/>
              <w:left w:val="nil"/>
              <w:right w:val="nil"/>
            </w:tcBorders>
            <w:shd w:val="clear" w:color="000000" w:fill="D9E2F3"/>
            <w:noWrap/>
            <w:vAlign w:val="bottom"/>
            <w:hideMark/>
          </w:tcPr>
          <w:p w14:paraId="76FF1261" w14:textId="77777777" w:rsidR="00AC5680" w:rsidRPr="00B84B0C" w:rsidRDefault="00AC5680" w:rsidP="00736E78">
            <w:pPr>
              <w:pStyle w:val="08-Tabelageral"/>
              <w:rPr>
                <w:rFonts w:cs="Arial"/>
              </w:rPr>
            </w:pPr>
            <w:r w:rsidRPr="00B84B0C">
              <w:rPr>
                <w:rFonts w:cs="Arial"/>
              </w:rPr>
              <w:t>4,231,195</w:t>
            </w:r>
          </w:p>
        </w:tc>
        <w:tc>
          <w:tcPr>
            <w:tcW w:w="973" w:type="dxa"/>
            <w:tcBorders>
              <w:top w:val="nil"/>
              <w:left w:val="nil"/>
              <w:right w:val="nil"/>
            </w:tcBorders>
            <w:shd w:val="clear" w:color="000000" w:fill="D9E2F3"/>
            <w:noWrap/>
            <w:vAlign w:val="bottom"/>
            <w:hideMark/>
          </w:tcPr>
          <w:p w14:paraId="3270FAB7" w14:textId="77777777" w:rsidR="00AC5680" w:rsidRPr="00B84B0C" w:rsidRDefault="00AC5680" w:rsidP="00736E78">
            <w:pPr>
              <w:pStyle w:val="08-Tabelageral"/>
              <w:rPr>
                <w:rFonts w:cs="Arial"/>
              </w:rPr>
            </w:pPr>
            <w:r w:rsidRPr="00B84B0C">
              <w:rPr>
                <w:rFonts w:cs="Arial"/>
              </w:rPr>
              <w:t>--</w:t>
            </w:r>
          </w:p>
        </w:tc>
        <w:tc>
          <w:tcPr>
            <w:tcW w:w="1385" w:type="dxa"/>
            <w:tcBorders>
              <w:top w:val="nil"/>
              <w:left w:val="nil"/>
              <w:right w:val="nil"/>
            </w:tcBorders>
            <w:shd w:val="clear" w:color="000000" w:fill="D9E2F3"/>
            <w:noWrap/>
            <w:vAlign w:val="bottom"/>
            <w:hideMark/>
          </w:tcPr>
          <w:p w14:paraId="334F1E04" w14:textId="77777777" w:rsidR="00AC5680" w:rsidRPr="00B84B0C" w:rsidRDefault="00AC5680" w:rsidP="00736E78">
            <w:pPr>
              <w:pStyle w:val="08-Tabelageral"/>
              <w:rPr>
                <w:rFonts w:cs="Arial"/>
              </w:rPr>
            </w:pPr>
            <w:r w:rsidRPr="00B84B0C">
              <w:rPr>
                <w:rFonts w:cs="Arial"/>
              </w:rPr>
              <w:t>4,231,195</w:t>
            </w:r>
          </w:p>
        </w:tc>
      </w:tr>
      <w:tr w:rsidR="00AC5680" w:rsidRPr="00B84B0C" w14:paraId="3CA336EC" w14:textId="77777777" w:rsidTr="00AC5680">
        <w:trPr>
          <w:trHeight w:val="248"/>
        </w:trPr>
        <w:tc>
          <w:tcPr>
            <w:tcW w:w="1982" w:type="dxa"/>
            <w:tcBorders>
              <w:top w:val="nil"/>
              <w:left w:val="nil"/>
              <w:bottom w:val="single" w:sz="2" w:space="0" w:color="8EAADB" w:themeColor="accent5" w:themeTint="99"/>
              <w:right w:val="nil"/>
            </w:tcBorders>
            <w:shd w:val="clear" w:color="000000" w:fill="FFFFFF" w:themeFill="background1"/>
            <w:noWrap/>
            <w:vAlign w:val="bottom"/>
            <w:hideMark/>
          </w:tcPr>
          <w:p w14:paraId="7FF89EF2" w14:textId="77777777" w:rsidR="00AC5680" w:rsidRPr="00B84B0C" w:rsidRDefault="00AC5680" w:rsidP="00736E78">
            <w:pPr>
              <w:pStyle w:val="08-Tabelageral"/>
              <w:jc w:val="left"/>
              <w:rPr>
                <w:rFonts w:cs="Arial"/>
                <w:b/>
              </w:rPr>
            </w:pPr>
            <w:r w:rsidRPr="00B84B0C">
              <w:rPr>
                <w:rFonts w:cs="Arial"/>
                <w:b/>
              </w:rPr>
              <w:t>Total</w:t>
            </w:r>
          </w:p>
        </w:tc>
        <w:tc>
          <w:tcPr>
            <w:tcW w:w="1369" w:type="dxa"/>
            <w:tcBorders>
              <w:top w:val="nil"/>
              <w:left w:val="nil"/>
              <w:bottom w:val="single" w:sz="2" w:space="0" w:color="8EAADB" w:themeColor="accent5" w:themeTint="99"/>
              <w:right w:val="nil"/>
            </w:tcBorders>
            <w:shd w:val="clear" w:color="000000" w:fill="FFFFFF" w:themeFill="background1"/>
            <w:noWrap/>
            <w:vAlign w:val="bottom"/>
            <w:hideMark/>
          </w:tcPr>
          <w:p w14:paraId="7FF694AF" w14:textId="77777777" w:rsidR="00AC5680" w:rsidRPr="00B84B0C" w:rsidRDefault="00AC5680" w:rsidP="00736E78">
            <w:pPr>
              <w:pStyle w:val="08-Tabelageral"/>
              <w:rPr>
                <w:rFonts w:cs="Arial"/>
                <w:b/>
              </w:rPr>
            </w:pPr>
            <w:r w:rsidRPr="00B84B0C">
              <w:rPr>
                <w:rFonts w:cs="Arial"/>
                <w:b/>
              </w:rPr>
              <w:t>2,406,289</w:t>
            </w:r>
          </w:p>
        </w:tc>
        <w:tc>
          <w:tcPr>
            <w:tcW w:w="1084" w:type="dxa"/>
            <w:tcBorders>
              <w:top w:val="nil"/>
              <w:left w:val="nil"/>
              <w:bottom w:val="single" w:sz="2" w:space="0" w:color="8EAADB" w:themeColor="accent5" w:themeTint="99"/>
              <w:right w:val="nil"/>
            </w:tcBorders>
            <w:shd w:val="clear" w:color="000000" w:fill="FFFFFF" w:themeFill="background1"/>
            <w:noWrap/>
            <w:vAlign w:val="bottom"/>
            <w:hideMark/>
          </w:tcPr>
          <w:p w14:paraId="31B2F7A2" w14:textId="77777777" w:rsidR="00AC5680" w:rsidRPr="00B84B0C" w:rsidRDefault="00AC5680" w:rsidP="00736E78">
            <w:pPr>
              <w:pStyle w:val="08-Tabelageral"/>
              <w:rPr>
                <w:rFonts w:cs="Arial"/>
                <w:b/>
              </w:rPr>
            </w:pPr>
            <w:r w:rsidRPr="00B84B0C">
              <w:rPr>
                <w:rFonts w:cs="Arial"/>
                <w:b/>
              </w:rPr>
              <w:t>--</w:t>
            </w:r>
          </w:p>
        </w:tc>
        <w:tc>
          <w:tcPr>
            <w:tcW w:w="1361" w:type="dxa"/>
            <w:tcBorders>
              <w:top w:val="nil"/>
              <w:left w:val="nil"/>
              <w:bottom w:val="single" w:sz="2" w:space="0" w:color="8EAADB" w:themeColor="accent5" w:themeTint="99"/>
              <w:right w:val="nil"/>
            </w:tcBorders>
            <w:shd w:val="clear" w:color="000000" w:fill="FFFFFF" w:themeFill="background1"/>
            <w:noWrap/>
            <w:vAlign w:val="bottom"/>
            <w:hideMark/>
          </w:tcPr>
          <w:p w14:paraId="39D2D7A5" w14:textId="77777777" w:rsidR="00AC5680" w:rsidRPr="00B84B0C" w:rsidRDefault="00AC5680" w:rsidP="00736E78">
            <w:pPr>
              <w:pStyle w:val="08-Tabelageral"/>
              <w:rPr>
                <w:rFonts w:cs="Arial"/>
                <w:b/>
              </w:rPr>
            </w:pPr>
            <w:r w:rsidRPr="00B84B0C">
              <w:rPr>
                <w:rFonts w:cs="Arial"/>
                <w:b/>
              </w:rPr>
              <w:t>2,406,289</w:t>
            </w:r>
          </w:p>
        </w:tc>
        <w:tc>
          <w:tcPr>
            <w:tcW w:w="189" w:type="dxa"/>
            <w:tcBorders>
              <w:top w:val="nil"/>
              <w:left w:val="nil"/>
              <w:bottom w:val="single" w:sz="2" w:space="0" w:color="8EAADB" w:themeColor="accent5" w:themeTint="99"/>
              <w:right w:val="nil"/>
            </w:tcBorders>
            <w:shd w:val="clear" w:color="000000" w:fill="FFFFFF" w:themeFill="background1"/>
            <w:noWrap/>
            <w:vAlign w:val="bottom"/>
            <w:hideMark/>
          </w:tcPr>
          <w:p w14:paraId="68A7ADF4" w14:textId="77777777" w:rsidR="00AC5680" w:rsidRPr="00B84B0C" w:rsidRDefault="00AC5680" w:rsidP="00736E78">
            <w:pPr>
              <w:pStyle w:val="08-Tabelageral"/>
              <w:rPr>
                <w:rFonts w:cs="Arial"/>
                <w:b/>
              </w:rPr>
            </w:pPr>
            <w:r w:rsidRPr="00B84B0C">
              <w:rPr>
                <w:rFonts w:cs="Arial"/>
                <w:b/>
              </w:rPr>
              <w:t> </w:t>
            </w:r>
          </w:p>
        </w:tc>
        <w:tc>
          <w:tcPr>
            <w:tcW w:w="1302" w:type="dxa"/>
            <w:tcBorders>
              <w:top w:val="nil"/>
              <w:left w:val="nil"/>
              <w:bottom w:val="single" w:sz="2" w:space="0" w:color="8EAADB" w:themeColor="accent5" w:themeTint="99"/>
              <w:right w:val="nil"/>
            </w:tcBorders>
            <w:shd w:val="clear" w:color="000000" w:fill="FFFFFF" w:themeFill="background1"/>
            <w:noWrap/>
            <w:vAlign w:val="bottom"/>
            <w:hideMark/>
          </w:tcPr>
          <w:p w14:paraId="03C961C1" w14:textId="77777777" w:rsidR="00AC5680" w:rsidRPr="00B84B0C" w:rsidRDefault="00AC5680" w:rsidP="00736E78">
            <w:pPr>
              <w:pStyle w:val="08-Tabelageral"/>
              <w:rPr>
                <w:rFonts w:cs="Arial"/>
                <w:b/>
              </w:rPr>
            </w:pPr>
            <w:r w:rsidRPr="00B84B0C">
              <w:rPr>
                <w:rFonts w:cs="Arial"/>
                <w:b/>
              </w:rPr>
              <w:t>4,234,608</w:t>
            </w:r>
          </w:p>
        </w:tc>
        <w:tc>
          <w:tcPr>
            <w:tcW w:w="973" w:type="dxa"/>
            <w:tcBorders>
              <w:top w:val="nil"/>
              <w:left w:val="nil"/>
              <w:bottom w:val="single" w:sz="2" w:space="0" w:color="8EAADB" w:themeColor="accent5" w:themeTint="99"/>
              <w:right w:val="nil"/>
            </w:tcBorders>
            <w:shd w:val="clear" w:color="000000" w:fill="FFFFFF" w:themeFill="background1"/>
            <w:noWrap/>
            <w:vAlign w:val="bottom"/>
            <w:hideMark/>
          </w:tcPr>
          <w:p w14:paraId="5FB7E31B" w14:textId="77777777" w:rsidR="00AC5680" w:rsidRPr="00B84B0C" w:rsidRDefault="00AC5680" w:rsidP="00736E78">
            <w:pPr>
              <w:pStyle w:val="08-Tabelageral"/>
              <w:rPr>
                <w:rFonts w:cs="Arial"/>
                <w:b/>
              </w:rPr>
            </w:pPr>
            <w:r w:rsidRPr="00B84B0C">
              <w:rPr>
                <w:rFonts w:cs="Arial"/>
                <w:b/>
              </w:rPr>
              <w:t>--</w:t>
            </w:r>
          </w:p>
        </w:tc>
        <w:tc>
          <w:tcPr>
            <w:tcW w:w="1385" w:type="dxa"/>
            <w:tcBorders>
              <w:top w:val="nil"/>
              <w:left w:val="nil"/>
              <w:bottom w:val="single" w:sz="2" w:space="0" w:color="8EAADB" w:themeColor="accent5" w:themeTint="99"/>
              <w:right w:val="nil"/>
            </w:tcBorders>
            <w:shd w:val="clear" w:color="000000" w:fill="FFFFFF" w:themeFill="background1"/>
            <w:noWrap/>
            <w:vAlign w:val="bottom"/>
            <w:hideMark/>
          </w:tcPr>
          <w:p w14:paraId="2C907347" w14:textId="77777777" w:rsidR="00AC5680" w:rsidRPr="00B84B0C" w:rsidRDefault="00AC5680" w:rsidP="00736E78">
            <w:pPr>
              <w:pStyle w:val="08-Tabelageral"/>
              <w:rPr>
                <w:rFonts w:cs="Arial"/>
                <w:b/>
              </w:rPr>
            </w:pPr>
            <w:r w:rsidRPr="00B84B0C">
              <w:rPr>
                <w:rFonts w:cs="Arial"/>
                <w:b/>
              </w:rPr>
              <w:t>4,234,608</w:t>
            </w:r>
          </w:p>
        </w:tc>
      </w:tr>
    </w:tbl>
    <w:p w14:paraId="5C7EC430" w14:textId="77777777" w:rsidR="00AC5680" w:rsidRPr="00B84B0C" w:rsidRDefault="00AC5680">
      <w:pPr>
        <w:rPr>
          <w:rFonts w:cs="Arial"/>
          <w:b/>
          <w:color w:val="1F4E79" w:themeColor="accent1" w:themeShade="80"/>
          <w:szCs w:val="18"/>
        </w:rPr>
      </w:pPr>
    </w:p>
    <w:tbl>
      <w:tblPr>
        <w:tblW w:w="9665" w:type="dxa"/>
        <w:tblInd w:w="70" w:type="dxa"/>
        <w:tblCellMar>
          <w:left w:w="70" w:type="dxa"/>
          <w:right w:w="70" w:type="dxa"/>
        </w:tblCellMar>
        <w:tblLook w:val="04A0" w:firstRow="1" w:lastRow="0" w:firstColumn="1" w:lastColumn="0" w:noHBand="0" w:noVBand="1"/>
      </w:tblPr>
      <w:tblGrid>
        <w:gridCol w:w="1986"/>
        <w:gridCol w:w="1313"/>
        <w:gridCol w:w="1200"/>
        <w:gridCol w:w="1305"/>
        <w:gridCol w:w="189"/>
        <w:gridCol w:w="1248"/>
        <w:gridCol w:w="1094"/>
        <w:gridCol w:w="1330"/>
      </w:tblGrid>
      <w:tr w:rsidR="00AC5680" w:rsidRPr="00B84B0C" w14:paraId="2A82906E" w14:textId="77777777" w:rsidTr="00AC5680">
        <w:trPr>
          <w:trHeight w:val="225"/>
        </w:trPr>
        <w:tc>
          <w:tcPr>
            <w:tcW w:w="1986" w:type="dxa"/>
            <w:tcBorders>
              <w:top w:val="single" w:sz="4" w:space="0" w:color="8EAADB"/>
              <w:left w:val="nil"/>
              <w:bottom w:val="nil"/>
              <w:right w:val="nil"/>
            </w:tcBorders>
            <w:shd w:val="clear" w:color="000000" w:fill="D9E2F3"/>
            <w:noWrap/>
            <w:vAlign w:val="bottom"/>
            <w:hideMark/>
          </w:tcPr>
          <w:p w14:paraId="06395815" w14:textId="77777777" w:rsidR="00AC5680" w:rsidRPr="00B84B0C" w:rsidRDefault="00AC5680" w:rsidP="00736E78">
            <w:pPr>
              <w:pStyle w:val="08-Tabelageral"/>
              <w:jc w:val="center"/>
              <w:rPr>
                <w:rFonts w:cs="Arial"/>
                <w:b/>
              </w:rPr>
            </w:pPr>
          </w:p>
        </w:tc>
        <w:tc>
          <w:tcPr>
            <w:tcW w:w="7679" w:type="dxa"/>
            <w:gridSpan w:val="7"/>
            <w:tcBorders>
              <w:top w:val="single" w:sz="4" w:space="0" w:color="8EAADB"/>
              <w:left w:val="nil"/>
              <w:bottom w:val="single" w:sz="4" w:space="0" w:color="8EAADB"/>
              <w:right w:val="nil"/>
            </w:tcBorders>
            <w:shd w:val="clear" w:color="000000" w:fill="D9E2F3"/>
            <w:noWrap/>
            <w:vAlign w:val="bottom"/>
            <w:hideMark/>
          </w:tcPr>
          <w:p w14:paraId="60F4CDA8" w14:textId="77777777" w:rsidR="00AC5680" w:rsidRPr="00B84B0C" w:rsidRDefault="00AC5680" w:rsidP="00736E78">
            <w:pPr>
              <w:pStyle w:val="08-Tabelageral"/>
              <w:jc w:val="center"/>
              <w:rPr>
                <w:rFonts w:cs="Arial"/>
                <w:b/>
              </w:rPr>
            </w:pPr>
            <w:proofErr w:type="spellStart"/>
            <w:r w:rsidRPr="00B84B0C">
              <w:rPr>
                <w:rFonts w:cs="Arial"/>
                <w:b/>
              </w:rPr>
              <w:t>Consolidated</w:t>
            </w:r>
            <w:proofErr w:type="spellEnd"/>
          </w:p>
        </w:tc>
      </w:tr>
      <w:tr w:rsidR="00AC5680" w:rsidRPr="00B84B0C" w14:paraId="737AB08E" w14:textId="77777777" w:rsidTr="00AC5680">
        <w:trPr>
          <w:trHeight w:val="225"/>
        </w:trPr>
        <w:tc>
          <w:tcPr>
            <w:tcW w:w="1986" w:type="dxa"/>
            <w:tcBorders>
              <w:top w:val="nil"/>
              <w:left w:val="nil"/>
              <w:bottom w:val="nil"/>
              <w:right w:val="nil"/>
            </w:tcBorders>
            <w:shd w:val="clear" w:color="000000" w:fill="D9E2F3"/>
            <w:noWrap/>
            <w:vAlign w:val="bottom"/>
            <w:hideMark/>
          </w:tcPr>
          <w:p w14:paraId="6DEBA31A" w14:textId="77777777" w:rsidR="00AC5680" w:rsidRPr="00B84B0C" w:rsidRDefault="00AC5680" w:rsidP="00736E78">
            <w:pPr>
              <w:pStyle w:val="08-Tabelageral"/>
              <w:jc w:val="center"/>
              <w:rPr>
                <w:rFonts w:cs="Arial"/>
                <w:b/>
              </w:rPr>
            </w:pPr>
          </w:p>
        </w:tc>
        <w:tc>
          <w:tcPr>
            <w:tcW w:w="3818" w:type="dxa"/>
            <w:gridSpan w:val="3"/>
            <w:tcBorders>
              <w:top w:val="single" w:sz="4" w:space="0" w:color="8EAADB"/>
              <w:left w:val="nil"/>
              <w:bottom w:val="single" w:sz="4" w:space="0" w:color="8EAADB"/>
              <w:right w:val="nil"/>
            </w:tcBorders>
            <w:shd w:val="clear" w:color="000000" w:fill="D9E2F3"/>
            <w:noWrap/>
            <w:vAlign w:val="bottom"/>
            <w:hideMark/>
          </w:tcPr>
          <w:p w14:paraId="03DCFFCE" w14:textId="77777777" w:rsidR="00AC5680" w:rsidRPr="00B84B0C" w:rsidRDefault="00AC5680" w:rsidP="00736E78">
            <w:pPr>
              <w:pStyle w:val="08-Tabelageral"/>
              <w:jc w:val="center"/>
              <w:rPr>
                <w:rFonts w:cs="Arial"/>
                <w:b/>
              </w:rPr>
            </w:pPr>
            <w:r w:rsidRPr="00B84B0C">
              <w:rPr>
                <w:rFonts w:cs="Arial"/>
                <w:b/>
              </w:rPr>
              <w:t>Mar 31, 2020</w:t>
            </w:r>
          </w:p>
        </w:tc>
        <w:tc>
          <w:tcPr>
            <w:tcW w:w="189" w:type="dxa"/>
            <w:tcBorders>
              <w:top w:val="nil"/>
              <w:left w:val="nil"/>
              <w:bottom w:val="nil"/>
              <w:right w:val="nil"/>
            </w:tcBorders>
            <w:shd w:val="clear" w:color="000000" w:fill="D9E2F3"/>
            <w:noWrap/>
            <w:vAlign w:val="bottom"/>
            <w:hideMark/>
          </w:tcPr>
          <w:p w14:paraId="504E2FEB" w14:textId="77777777" w:rsidR="00AC5680" w:rsidRPr="00B84B0C" w:rsidRDefault="00AC5680" w:rsidP="00736E78">
            <w:pPr>
              <w:pStyle w:val="08-Tabelageral"/>
              <w:jc w:val="center"/>
              <w:rPr>
                <w:rFonts w:cs="Arial"/>
                <w:b/>
              </w:rPr>
            </w:pPr>
          </w:p>
        </w:tc>
        <w:tc>
          <w:tcPr>
            <w:tcW w:w="3672" w:type="dxa"/>
            <w:gridSpan w:val="3"/>
            <w:tcBorders>
              <w:top w:val="single" w:sz="4" w:space="0" w:color="8EAADB"/>
              <w:left w:val="nil"/>
              <w:bottom w:val="single" w:sz="4" w:space="0" w:color="8EAADB"/>
              <w:right w:val="nil"/>
            </w:tcBorders>
            <w:shd w:val="clear" w:color="000000" w:fill="D9E2F3"/>
            <w:noWrap/>
            <w:vAlign w:val="bottom"/>
            <w:hideMark/>
          </w:tcPr>
          <w:p w14:paraId="6291190B" w14:textId="77777777" w:rsidR="00AC5680" w:rsidRPr="00B84B0C" w:rsidRDefault="00AC5680" w:rsidP="00736E78">
            <w:pPr>
              <w:pStyle w:val="08-Tabelageral"/>
              <w:jc w:val="center"/>
              <w:rPr>
                <w:rFonts w:cs="Arial"/>
                <w:b/>
              </w:rPr>
            </w:pPr>
            <w:proofErr w:type="spellStart"/>
            <w:r w:rsidRPr="00B84B0C">
              <w:rPr>
                <w:rFonts w:cs="Arial"/>
                <w:b/>
              </w:rPr>
              <w:t>Dec</w:t>
            </w:r>
            <w:proofErr w:type="spellEnd"/>
            <w:r w:rsidRPr="00B84B0C">
              <w:rPr>
                <w:rFonts w:cs="Arial"/>
                <w:b/>
              </w:rPr>
              <w:t xml:space="preserve"> 31, 2019</w:t>
            </w:r>
          </w:p>
        </w:tc>
      </w:tr>
      <w:tr w:rsidR="00AC5680" w:rsidRPr="00B84B0C" w14:paraId="46FE02F6" w14:textId="77777777" w:rsidTr="00AC5680">
        <w:trPr>
          <w:trHeight w:val="225"/>
        </w:trPr>
        <w:tc>
          <w:tcPr>
            <w:tcW w:w="1986" w:type="dxa"/>
            <w:tcBorders>
              <w:top w:val="nil"/>
              <w:left w:val="nil"/>
              <w:bottom w:val="single" w:sz="4" w:space="0" w:color="8EAADB"/>
              <w:right w:val="nil"/>
            </w:tcBorders>
            <w:shd w:val="clear" w:color="000000" w:fill="D9E2F3"/>
            <w:noWrap/>
            <w:vAlign w:val="bottom"/>
            <w:hideMark/>
          </w:tcPr>
          <w:p w14:paraId="44D43790" w14:textId="77777777" w:rsidR="00AC5680" w:rsidRPr="00B84B0C" w:rsidRDefault="00AC5680" w:rsidP="00736E78">
            <w:pPr>
              <w:pStyle w:val="08-Tabelageral"/>
              <w:rPr>
                <w:rFonts w:cs="Arial"/>
                <w:b/>
              </w:rPr>
            </w:pPr>
          </w:p>
        </w:tc>
        <w:tc>
          <w:tcPr>
            <w:tcW w:w="1313" w:type="dxa"/>
            <w:tcBorders>
              <w:top w:val="nil"/>
              <w:left w:val="nil"/>
              <w:bottom w:val="single" w:sz="4" w:space="0" w:color="8EAADB"/>
              <w:right w:val="nil"/>
            </w:tcBorders>
            <w:shd w:val="clear" w:color="000000" w:fill="D9E2F3"/>
            <w:vAlign w:val="bottom"/>
            <w:hideMark/>
          </w:tcPr>
          <w:p w14:paraId="1C647272" w14:textId="77777777" w:rsidR="00AC5680" w:rsidRPr="00B84B0C" w:rsidRDefault="00AC5680" w:rsidP="00736E78">
            <w:pPr>
              <w:pStyle w:val="08-Tabelageral"/>
              <w:rPr>
                <w:rFonts w:cs="Arial"/>
                <w:b/>
              </w:rPr>
            </w:pPr>
            <w:proofErr w:type="spellStart"/>
            <w:r w:rsidRPr="00B84B0C">
              <w:rPr>
                <w:rFonts w:cs="Arial"/>
                <w:b/>
              </w:rPr>
              <w:t>Level</w:t>
            </w:r>
            <w:proofErr w:type="spellEnd"/>
            <w:r w:rsidRPr="00B84B0C">
              <w:rPr>
                <w:rFonts w:cs="Arial"/>
                <w:b/>
              </w:rPr>
              <w:t xml:space="preserve"> 1</w:t>
            </w:r>
          </w:p>
        </w:tc>
        <w:tc>
          <w:tcPr>
            <w:tcW w:w="1200" w:type="dxa"/>
            <w:tcBorders>
              <w:top w:val="nil"/>
              <w:left w:val="nil"/>
              <w:bottom w:val="single" w:sz="4" w:space="0" w:color="8EAADB"/>
              <w:right w:val="nil"/>
            </w:tcBorders>
            <w:shd w:val="clear" w:color="000000" w:fill="D9E2F3"/>
            <w:vAlign w:val="bottom"/>
            <w:hideMark/>
          </w:tcPr>
          <w:p w14:paraId="54873ECD" w14:textId="77777777" w:rsidR="00AC5680" w:rsidRPr="00B84B0C" w:rsidRDefault="00AC5680" w:rsidP="00736E78">
            <w:pPr>
              <w:pStyle w:val="08-Tabelageral"/>
              <w:rPr>
                <w:rFonts w:cs="Arial"/>
                <w:b/>
              </w:rPr>
            </w:pPr>
            <w:proofErr w:type="spellStart"/>
            <w:r w:rsidRPr="00B84B0C">
              <w:rPr>
                <w:rFonts w:cs="Arial"/>
                <w:b/>
              </w:rPr>
              <w:t>Level</w:t>
            </w:r>
            <w:proofErr w:type="spellEnd"/>
            <w:r w:rsidRPr="00B84B0C">
              <w:rPr>
                <w:rFonts w:cs="Arial"/>
                <w:b/>
              </w:rPr>
              <w:t xml:space="preserve"> 2</w:t>
            </w:r>
          </w:p>
        </w:tc>
        <w:tc>
          <w:tcPr>
            <w:tcW w:w="1305" w:type="dxa"/>
            <w:tcBorders>
              <w:top w:val="nil"/>
              <w:left w:val="nil"/>
              <w:bottom w:val="single" w:sz="4" w:space="0" w:color="8EAADB"/>
              <w:right w:val="nil"/>
            </w:tcBorders>
            <w:shd w:val="clear" w:color="000000" w:fill="D9E2F3"/>
            <w:vAlign w:val="bottom"/>
            <w:hideMark/>
          </w:tcPr>
          <w:p w14:paraId="638131EF" w14:textId="77777777" w:rsidR="00AC5680" w:rsidRPr="00B84B0C" w:rsidRDefault="00AC5680" w:rsidP="00736E78">
            <w:pPr>
              <w:pStyle w:val="08-Tabelageral"/>
              <w:rPr>
                <w:rFonts w:cs="Arial"/>
                <w:b/>
              </w:rPr>
            </w:pPr>
            <w:r w:rsidRPr="00B84B0C">
              <w:rPr>
                <w:rFonts w:cs="Arial"/>
                <w:b/>
              </w:rPr>
              <w:t>Total</w:t>
            </w:r>
          </w:p>
        </w:tc>
        <w:tc>
          <w:tcPr>
            <w:tcW w:w="189" w:type="dxa"/>
            <w:tcBorders>
              <w:top w:val="nil"/>
              <w:left w:val="nil"/>
              <w:bottom w:val="single" w:sz="4" w:space="0" w:color="8EAADB"/>
              <w:right w:val="nil"/>
            </w:tcBorders>
            <w:shd w:val="clear" w:color="000000" w:fill="D9E2F3"/>
            <w:noWrap/>
            <w:vAlign w:val="bottom"/>
            <w:hideMark/>
          </w:tcPr>
          <w:p w14:paraId="6E659A81" w14:textId="77777777" w:rsidR="00AC5680" w:rsidRPr="00B84B0C" w:rsidRDefault="00AC5680" w:rsidP="00736E78">
            <w:pPr>
              <w:pStyle w:val="08-Tabelageral"/>
              <w:rPr>
                <w:rFonts w:cs="Arial"/>
                <w:b/>
              </w:rPr>
            </w:pPr>
          </w:p>
        </w:tc>
        <w:tc>
          <w:tcPr>
            <w:tcW w:w="1248" w:type="dxa"/>
            <w:tcBorders>
              <w:top w:val="nil"/>
              <w:left w:val="nil"/>
              <w:bottom w:val="single" w:sz="4" w:space="0" w:color="8EAADB"/>
              <w:right w:val="nil"/>
            </w:tcBorders>
            <w:shd w:val="clear" w:color="000000" w:fill="D9E2F3"/>
            <w:vAlign w:val="bottom"/>
            <w:hideMark/>
          </w:tcPr>
          <w:p w14:paraId="4AE52A4B" w14:textId="77777777" w:rsidR="00AC5680" w:rsidRPr="00B84B0C" w:rsidRDefault="00AC5680" w:rsidP="00736E78">
            <w:pPr>
              <w:pStyle w:val="08-Tabelageral"/>
              <w:rPr>
                <w:rFonts w:cs="Arial"/>
                <w:b/>
              </w:rPr>
            </w:pPr>
            <w:proofErr w:type="spellStart"/>
            <w:r w:rsidRPr="00B84B0C">
              <w:rPr>
                <w:rFonts w:cs="Arial"/>
                <w:b/>
              </w:rPr>
              <w:t>Level</w:t>
            </w:r>
            <w:proofErr w:type="spellEnd"/>
            <w:r w:rsidRPr="00B84B0C">
              <w:rPr>
                <w:rFonts w:cs="Arial"/>
                <w:b/>
              </w:rPr>
              <w:t xml:space="preserve"> 1</w:t>
            </w:r>
          </w:p>
        </w:tc>
        <w:tc>
          <w:tcPr>
            <w:tcW w:w="1094" w:type="dxa"/>
            <w:tcBorders>
              <w:top w:val="nil"/>
              <w:left w:val="nil"/>
              <w:bottom w:val="single" w:sz="4" w:space="0" w:color="8EAADB"/>
              <w:right w:val="nil"/>
            </w:tcBorders>
            <w:shd w:val="clear" w:color="000000" w:fill="D9E2F3"/>
            <w:vAlign w:val="bottom"/>
            <w:hideMark/>
          </w:tcPr>
          <w:p w14:paraId="54945A95" w14:textId="77777777" w:rsidR="00AC5680" w:rsidRPr="00B84B0C" w:rsidRDefault="00AC5680" w:rsidP="00736E78">
            <w:pPr>
              <w:pStyle w:val="08-Tabelageral"/>
              <w:rPr>
                <w:rFonts w:cs="Arial"/>
                <w:b/>
              </w:rPr>
            </w:pPr>
            <w:proofErr w:type="spellStart"/>
            <w:r w:rsidRPr="00B84B0C">
              <w:rPr>
                <w:rFonts w:cs="Arial"/>
                <w:b/>
              </w:rPr>
              <w:t>Level</w:t>
            </w:r>
            <w:proofErr w:type="spellEnd"/>
            <w:r w:rsidRPr="00B84B0C">
              <w:rPr>
                <w:rFonts w:cs="Arial"/>
                <w:b/>
              </w:rPr>
              <w:t xml:space="preserve"> 2</w:t>
            </w:r>
          </w:p>
        </w:tc>
        <w:tc>
          <w:tcPr>
            <w:tcW w:w="1330" w:type="dxa"/>
            <w:tcBorders>
              <w:top w:val="nil"/>
              <w:left w:val="nil"/>
              <w:bottom w:val="single" w:sz="4" w:space="0" w:color="8EAADB"/>
              <w:right w:val="nil"/>
            </w:tcBorders>
            <w:shd w:val="clear" w:color="000000" w:fill="D9E2F3"/>
            <w:vAlign w:val="bottom"/>
            <w:hideMark/>
          </w:tcPr>
          <w:p w14:paraId="5A63F014" w14:textId="77777777" w:rsidR="00AC5680" w:rsidRPr="00B84B0C" w:rsidRDefault="00AC5680" w:rsidP="00736E78">
            <w:pPr>
              <w:pStyle w:val="08-Tabelageral"/>
              <w:rPr>
                <w:rFonts w:cs="Arial"/>
                <w:b/>
              </w:rPr>
            </w:pPr>
            <w:r w:rsidRPr="00B84B0C">
              <w:rPr>
                <w:rFonts w:cs="Arial"/>
                <w:b/>
              </w:rPr>
              <w:t>Total</w:t>
            </w:r>
          </w:p>
        </w:tc>
      </w:tr>
      <w:tr w:rsidR="00AC5680" w:rsidRPr="00B84B0C" w14:paraId="5AD8B9C4" w14:textId="77777777" w:rsidTr="00AC5680">
        <w:trPr>
          <w:trHeight w:val="265"/>
        </w:trPr>
        <w:tc>
          <w:tcPr>
            <w:tcW w:w="1986" w:type="dxa"/>
            <w:tcBorders>
              <w:top w:val="nil"/>
              <w:left w:val="nil"/>
              <w:bottom w:val="nil"/>
              <w:right w:val="nil"/>
            </w:tcBorders>
            <w:shd w:val="clear" w:color="auto" w:fill="auto"/>
            <w:noWrap/>
            <w:vAlign w:val="bottom"/>
            <w:hideMark/>
          </w:tcPr>
          <w:p w14:paraId="19C46D16" w14:textId="77777777" w:rsidR="00AC5680" w:rsidRPr="00B84B0C" w:rsidRDefault="00AC5680" w:rsidP="00736E78">
            <w:pPr>
              <w:pStyle w:val="08-Tabelageral"/>
              <w:jc w:val="left"/>
              <w:rPr>
                <w:rFonts w:cs="Arial"/>
              </w:rPr>
            </w:pPr>
            <w:proofErr w:type="spellStart"/>
            <w:r w:rsidRPr="00B84B0C">
              <w:rPr>
                <w:rFonts w:cs="Arial"/>
              </w:rPr>
              <w:t>Long-term</w:t>
            </w:r>
            <w:proofErr w:type="spellEnd"/>
            <w:r w:rsidRPr="00B84B0C">
              <w:rPr>
                <w:rFonts w:cs="Arial"/>
              </w:rPr>
              <w:t xml:space="preserve"> </w:t>
            </w:r>
            <w:proofErr w:type="spellStart"/>
            <w:r w:rsidRPr="00B84B0C">
              <w:rPr>
                <w:rFonts w:cs="Arial"/>
              </w:rPr>
              <w:t>fund</w:t>
            </w:r>
            <w:proofErr w:type="spellEnd"/>
          </w:p>
        </w:tc>
        <w:tc>
          <w:tcPr>
            <w:tcW w:w="1313" w:type="dxa"/>
            <w:tcBorders>
              <w:top w:val="nil"/>
              <w:left w:val="nil"/>
              <w:bottom w:val="nil"/>
              <w:right w:val="nil"/>
            </w:tcBorders>
            <w:shd w:val="clear" w:color="auto" w:fill="auto"/>
            <w:noWrap/>
            <w:vAlign w:val="bottom"/>
            <w:hideMark/>
          </w:tcPr>
          <w:p w14:paraId="1F99B70A" w14:textId="77777777" w:rsidR="00AC5680" w:rsidRPr="00B84B0C" w:rsidRDefault="00AC5680" w:rsidP="00736E78">
            <w:pPr>
              <w:pStyle w:val="08-Tabelageral"/>
              <w:rPr>
                <w:rFonts w:cs="Arial"/>
              </w:rPr>
            </w:pPr>
            <w:r w:rsidRPr="00B84B0C">
              <w:rPr>
                <w:rFonts w:cs="Arial"/>
              </w:rPr>
              <w:t>462,086</w:t>
            </w:r>
          </w:p>
        </w:tc>
        <w:tc>
          <w:tcPr>
            <w:tcW w:w="1200" w:type="dxa"/>
            <w:tcBorders>
              <w:top w:val="nil"/>
              <w:left w:val="nil"/>
              <w:bottom w:val="nil"/>
              <w:right w:val="nil"/>
            </w:tcBorders>
            <w:shd w:val="clear" w:color="auto" w:fill="auto"/>
            <w:noWrap/>
            <w:vAlign w:val="bottom"/>
            <w:hideMark/>
          </w:tcPr>
          <w:p w14:paraId="670FD080" w14:textId="77777777" w:rsidR="00AC5680" w:rsidRPr="00B84B0C" w:rsidRDefault="00AC5680" w:rsidP="00736E78">
            <w:pPr>
              <w:pStyle w:val="08-Tabelageral"/>
              <w:rPr>
                <w:rFonts w:cs="Arial"/>
              </w:rPr>
            </w:pPr>
            <w:r w:rsidRPr="00B84B0C">
              <w:rPr>
                <w:rFonts w:cs="Arial"/>
              </w:rPr>
              <w:t>--</w:t>
            </w:r>
          </w:p>
        </w:tc>
        <w:tc>
          <w:tcPr>
            <w:tcW w:w="1305" w:type="dxa"/>
            <w:tcBorders>
              <w:top w:val="nil"/>
              <w:left w:val="nil"/>
              <w:bottom w:val="nil"/>
              <w:right w:val="nil"/>
            </w:tcBorders>
            <w:shd w:val="clear" w:color="auto" w:fill="auto"/>
            <w:noWrap/>
            <w:vAlign w:val="bottom"/>
            <w:hideMark/>
          </w:tcPr>
          <w:p w14:paraId="64BE9E7B" w14:textId="77777777" w:rsidR="00AC5680" w:rsidRPr="00B84B0C" w:rsidRDefault="00AC5680" w:rsidP="00736E78">
            <w:pPr>
              <w:pStyle w:val="08-Tabelageral"/>
              <w:rPr>
                <w:rFonts w:cs="Arial"/>
              </w:rPr>
            </w:pPr>
            <w:r w:rsidRPr="00B84B0C">
              <w:rPr>
                <w:rFonts w:cs="Arial"/>
              </w:rPr>
              <w:t>462,086</w:t>
            </w:r>
          </w:p>
        </w:tc>
        <w:tc>
          <w:tcPr>
            <w:tcW w:w="189" w:type="dxa"/>
            <w:tcBorders>
              <w:top w:val="nil"/>
              <w:left w:val="nil"/>
              <w:bottom w:val="nil"/>
              <w:right w:val="nil"/>
            </w:tcBorders>
            <w:shd w:val="clear" w:color="auto" w:fill="auto"/>
            <w:noWrap/>
            <w:vAlign w:val="bottom"/>
            <w:hideMark/>
          </w:tcPr>
          <w:p w14:paraId="7FD2C8AB" w14:textId="77777777" w:rsidR="00AC5680" w:rsidRPr="00B84B0C" w:rsidRDefault="00AC5680" w:rsidP="00736E78">
            <w:pPr>
              <w:pStyle w:val="08-Tabelageral"/>
              <w:rPr>
                <w:rFonts w:cs="Arial"/>
              </w:rPr>
            </w:pPr>
          </w:p>
        </w:tc>
        <w:tc>
          <w:tcPr>
            <w:tcW w:w="1248" w:type="dxa"/>
            <w:tcBorders>
              <w:top w:val="nil"/>
              <w:left w:val="nil"/>
              <w:bottom w:val="nil"/>
              <w:right w:val="nil"/>
            </w:tcBorders>
            <w:shd w:val="clear" w:color="auto" w:fill="auto"/>
            <w:noWrap/>
            <w:vAlign w:val="bottom"/>
            <w:hideMark/>
          </w:tcPr>
          <w:p w14:paraId="54694F37" w14:textId="77777777" w:rsidR="00AC5680" w:rsidRPr="00B84B0C" w:rsidRDefault="00AC5680" w:rsidP="00736E78">
            <w:pPr>
              <w:pStyle w:val="08-Tabelageral"/>
              <w:rPr>
                <w:rFonts w:cs="Arial"/>
              </w:rPr>
            </w:pPr>
            <w:r w:rsidRPr="00B84B0C">
              <w:rPr>
                <w:rFonts w:cs="Arial"/>
              </w:rPr>
              <w:t>460,147</w:t>
            </w:r>
          </w:p>
        </w:tc>
        <w:tc>
          <w:tcPr>
            <w:tcW w:w="1094" w:type="dxa"/>
            <w:tcBorders>
              <w:top w:val="nil"/>
              <w:left w:val="nil"/>
              <w:bottom w:val="nil"/>
              <w:right w:val="nil"/>
            </w:tcBorders>
            <w:shd w:val="clear" w:color="auto" w:fill="auto"/>
            <w:noWrap/>
            <w:vAlign w:val="bottom"/>
            <w:hideMark/>
          </w:tcPr>
          <w:p w14:paraId="6710DE00" w14:textId="77777777" w:rsidR="00AC5680" w:rsidRPr="00B84B0C" w:rsidRDefault="00AC5680" w:rsidP="00736E78">
            <w:pPr>
              <w:pStyle w:val="08-Tabelageral"/>
              <w:rPr>
                <w:rFonts w:cs="Arial"/>
              </w:rPr>
            </w:pPr>
            <w:r w:rsidRPr="00B84B0C">
              <w:rPr>
                <w:rFonts w:cs="Arial"/>
              </w:rPr>
              <w:t>--</w:t>
            </w:r>
          </w:p>
        </w:tc>
        <w:tc>
          <w:tcPr>
            <w:tcW w:w="1330" w:type="dxa"/>
            <w:tcBorders>
              <w:top w:val="nil"/>
              <w:left w:val="nil"/>
              <w:bottom w:val="nil"/>
              <w:right w:val="nil"/>
            </w:tcBorders>
            <w:shd w:val="clear" w:color="auto" w:fill="auto"/>
            <w:noWrap/>
            <w:vAlign w:val="bottom"/>
            <w:hideMark/>
          </w:tcPr>
          <w:p w14:paraId="0D218ADB" w14:textId="77777777" w:rsidR="00AC5680" w:rsidRPr="00B84B0C" w:rsidRDefault="00AC5680" w:rsidP="00736E78">
            <w:pPr>
              <w:pStyle w:val="08-Tabelageral"/>
              <w:rPr>
                <w:rFonts w:cs="Arial"/>
              </w:rPr>
            </w:pPr>
            <w:r w:rsidRPr="00B84B0C">
              <w:rPr>
                <w:rFonts w:cs="Arial"/>
              </w:rPr>
              <w:t>460,147</w:t>
            </w:r>
          </w:p>
        </w:tc>
      </w:tr>
      <w:tr w:rsidR="00AC5680" w:rsidRPr="00B84B0C" w14:paraId="26DDEB00" w14:textId="77777777" w:rsidTr="00AC5680">
        <w:trPr>
          <w:trHeight w:val="265"/>
        </w:trPr>
        <w:tc>
          <w:tcPr>
            <w:tcW w:w="1986" w:type="dxa"/>
            <w:tcBorders>
              <w:top w:val="nil"/>
              <w:left w:val="nil"/>
              <w:bottom w:val="nil"/>
              <w:right w:val="nil"/>
            </w:tcBorders>
            <w:shd w:val="clear" w:color="000000" w:fill="D9E2F3"/>
            <w:noWrap/>
            <w:vAlign w:val="bottom"/>
            <w:hideMark/>
          </w:tcPr>
          <w:p w14:paraId="475B759C" w14:textId="77777777" w:rsidR="00AC5680" w:rsidRPr="00B84B0C" w:rsidRDefault="00AC5680" w:rsidP="00736E78">
            <w:pPr>
              <w:pStyle w:val="08-Tabelageral"/>
              <w:jc w:val="left"/>
              <w:rPr>
                <w:rFonts w:cs="Arial"/>
              </w:rPr>
            </w:pPr>
            <w:r w:rsidRPr="00B84B0C">
              <w:rPr>
                <w:rFonts w:cs="Arial"/>
              </w:rPr>
              <w:t xml:space="preserve">Cash </w:t>
            </w:r>
            <w:proofErr w:type="spellStart"/>
            <w:r w:rsidRPr="00B84B0C">
              <w:rPr>
                <w:rFonts w:cs="Arial"/>
              </w:rPr>
              <w:t>and</w:t>
            </w:r>
            <w:proofErr w:type="spellEnd"/>
            <w:r w:rsidRPr="00B84B0C">
              <w:rPr>
                <w:rFonts w:cs="Arial"/>
              </w:rPr>
              <w:t xml:space="preserve"> cash </w:t>
            </w:r>
            <w:proofErr w:type="spellStart"/>
            <w:r w:rsidRPr="00B84B0C">
              <w:rPr>
                <w:rFonts w:cs="Arial"/>
              </w:rPr>
              <w:t>Equivalents</w:t>
            </w:r>
            <w:proofErr w:type="spellEnd"/>
          </w:p>
        </w:tc>
        <w:tc>
          <w:tcPr>
            <w:tcW w:w="1313" w:type="dxa"/>
            <w:tcBorders>
              <w:top w:val="nil"/>
              <w:left w:val="nil"/>
              <w:bottom w:val="nil"/>
              <w:right w:val="nil"/>
            </w:tcBorders>
            <w:shd w:val="clear" w:color="000000" w:fill="D9E2F3"/>
            <w:noWrap/>
            <w:vAlign w:val="bottom"/>
            <w:hideMark/>
          </w:tcPr>
          <w:p w14:paraId="1ABBC09C" w14:textId="77777777" w:rsidR="00AC5680" w:rsidRPr="00B84B0C" w:rsidRDefault="00AC5680" w:rsidP="00736E78">
            <w:pPr>
              <w:pStyle w:val="08-Tabelageral"/>
              <w:rPr>
                <w:rFonts w:cs="Arial"/>
              </w:rPr>
            </w:pPr>
            <w:r w:rsidRPr="00B84B0C">
              <w:rPr>
                <w:rFonts w:cs="Arial"/>
              </w:rPr>
              <w:t>4,110,033</w:t>
            </w:r>
          </w:p>
        </w:tc>
        <w:tc>
          <w:tcPr>
            <w:tcW w:w="1200" w:type="dxa"/>
            <w:tcBorders>
              <w:top w:val="nil"/>
              <w:left w:val="nil"/>
              <w:bottom w:val="nil"/>
              <w:right w:val="nil"/>
            </w:tcBorders>
            <w:shd w:val="clear" w:color="000000" w:fill="D9E2F3"/>
            <w:noWrap/>
            <w:vAlign w:val="bottom"/>
            <w:hideMark/>
          </w:tcPr>
          <w:p w14:paraId="2FD8D978" w14:textId="77777777" w:rsidR="00AC5680" w:rsidRPr="00B84B0C" w:rsidRDefault="00AC5680" w:rsidP="00736E78">
            <w:pPr>
              <w:pStyle w:val="08-Tabelageral"/>
              <w:rPr>
                <w:rFonts w:cs="Arial"/>
              </w:rPr>
            </w:pPr>
            <w:r w:rsidRPr="00B84B0C">
              <w:rPr>
                <w:rFonts w:cs="Arial"/>
              </w:rPr>
              <w:t>--</w:t>
            </w:r>
          </w:p>
        </w:tc>
        <w:tc>
          <w:tcPr>
            <w:tcW w:w="1305" w:type="dxa"/>
            <w:tcBorders>
              <w:top w:val="nil"/>
              <w:left w:val="nil"/>
              <w:bottom w:val="nil"/>
              <w:right w:val="nil"/>
            </w:tcBorders>
            <w:shd w:val="clear" w:color="000000" w:fill="D9E2F3"/>
            <w:noWrap/>
            <w:vAlign w:val="bottom"/>
            <w:hideMark/>
          </w:tcPr>
          <w:p w14:paraId="2D1B9E4C" w14:textId="77777777" w:rsidR="00AC5680" w:rsidRPr="00B84B0C" w:rsidRDefault="00AC5680" w:rsidP="00736E78">
            <w:pPr>
              <w:pStyle w:val="08-Tabelageral"/>
              <w:rPr>
                <w:rFonts w:cs="Arial"/>
              </w:rPr>
            </w:pPr>
            <w:r w:rsidRPr="00B84B0C">
              <w:rPr>
                <w:rFonts w:cs="Arial"/>
              </w:rPr>
              <w:t>4,110,033</w:t>
            </w:r>
          </w:p>
        </w:tc>
        <w:tc>
          <w:tcPr>
            <w:tcW w:w="189" w:type="dxa"/>
            <w:tcBorders>
              <w:top w:val="nil"/>
              <w:left w:val="nil"/>
              <w:bottom w:val="nil"/>
              <w:right w:val="nil"/>
            </w:tcBorders>
            <w:shd w:val="clear" w:color="000000" w:fill="D9E2F3"/>
            <w:noWrap/>
            <w:vAlign w:val="bottom"/>
            <w:hideMark/>
          </w:tcPr>
          <w:p w14:paraId="17948AF3" w14:textId="77777777" w:rsidR="00AC5680" w:rsidRPr="00B84B0C" w:rsidRDefault="00AC5680" w:rsidP="00736E78">
            <w:pPr>
              <w:pStyle w:val="08-Tabelageral"/>
              <w:rPr>
                <w:rFonts w:cs="Arial"/>
              </w:rPr>
            </w:pPr>
            <w:r w:rsidRPr="00B84B0C">
              <w:rPr>
                <w:rFonts w:cs="Arial"/>
              </w:rPr>
              <w:t> </w:t>
            </w:r>
          </w:p>
        </w:tc>
        <w:tc>
          <w:tcPr>
            <w:tcW w:w="1248" w:type="dxa"/>
            <w:tcBorders>
              <w:top w:val="nil"/>
              <w:left w:val="nil"/>
              <w:bottom w:val="nil"/>
              <w:right w:val="nil"/>
            </w:tcBorders>
            <w:shd w:val="clear" w:color="000000" w:fill="D9E2F3"/>
            <w:noWrap/>
            <w:vAlign w:val="bottom"/>
            <w:hideMark/>
          </w:tcPr>
          <w:p w14:paraId="38A34EBD" w14:textId="77777777" w:rsidR="00AC5680" w:rsidRPr="00B84B0C" w:rsidRDefault="00AC5680" w:rsidP="00736E78">
            <w:pPr>
              <w:pStyle w:val="08-Tabelageral"/>
              <w:rPr>
                <w:rFonts w:cs="Arial"/>
              </w:rPr>
            </w:pPr>
            <w:r w:rsidRPr="00B84B0C">
              <w:rPr>
                <w:rFonts w:cs="Arial"/>
              </w:rPr>
              <w:t>7,381,292</w:t>
            </w:r>
          </w:p>
        </w:tc>
        <w:tc>
          <w:tcPr>
            <w:tcW w:w="1094" w:type="dxa"/>
            <w:tcBorders>
              <w:top w:val="nil"/>
              <w:left w:val="nil"/>
              <w:bottom w:val="nil"/>
              <w:right w:val="nil"/>
            </w:tcBorders>
            <w:shd w:val="clear" w:color="000000" w:fill="D9E2F3"/>
            <w:noWrap/>
            <w:vAlign w:val="bottom"/>
            <w:hideMark/>
          </w:tcPr>
          <w:p w14:paraId="6C1086EB" w14:textId="77777777" w:rsidR="00AC5680" w:rsidRPr="00B84B0C" w:rsidRDefault="00AC5680" w:rsidP="00736E78">
            <w:pPr>
              <w:pStyle w:val="08-Tabelageral"/>
              <w:rPr>
                <w:rFonts w:cs="Arial"/>
              </w:rPr>
            </w:pPr>
            <w:r w:rsidRPr="00B84B0C">
              <w:rPr>
                <w:rFonts w:cs="Arial"/>
              </w:rPr>
              <w:t>--</w:t>
            </w:r>
          </w:p>
        </w:tc>
        <w:tc>
          <w:tcPr>
            <w:tcW w:w="1330" w:type="dxa"/>
            <w:tcBorders>
              <w:top w:val="nil"/>
              <w:left w:val="nil"/>
              <w:bottom w:val="nil"/>
              <w:right w:val="nil"/>
            </w:tcBorders>
            <w:shd w:val="clear" w:color="000000" w:fill="D9E2F3"/>
            <w:noWrap/>
            <w:vAlign w:val="bottom"/>
            <w:hideMark/>
          </w:tcPr>
          <w:p w14:paraId="5114D28A" w14:textId="77777777" w:rsidR="00AC5680" w:rsidRPr="00B84B0C" w:rsidRDefault="00AC5680" w:rsidP="00736E78">
            <w:pPr>
              <w:pStyle w:val="08-Tabelageral"/>
              <w:rPr>
                <w:rFonts w:cs="Arial"/>
              </w:rPr>
            </w:pPr>
            <w:r w:rsidRPr="00B84B0C">
              <w:rPr>
                <w:rFonts w:cs="Arial"/>
              </w:rPr>
              <w:t>7,381,292</w:t>
            </w:r>
          </w:p>
        </w:tc>
      </w:tr>
      <w:tr w:rsidR="00AC5680" w:rsidRPr="00B84B0C" w14:paraId="1DF2516B" w14:textId="77777777" w:rsidTr="00AC5680">
        <w:trPr>
          <w:trHeight w:val="265"/>
        </w:trPr>
        <w:tc>
          <w:tcPr>
            <w:tcW w:w="1986" w:type="dxa"/>
            <w:tcBorders>
              <w:top w:val="nil"/>
              <w:left w:val="nil"/>
              <w:right w:val="nil"/>
            </w:tcBorders>
            <w:shd w:val="clear" w:color="auto" w:fill="auto"/>
            <w:noWrap/>
            <w:vAlign w:val="bottom"/>
            <w:hideMark/>
          </w:tcPr>
          <w:p w14:paraId="2A8D23F0" w14:textId="77777777" w:rsidR="00AC5680" w:rsidRPr="00B84B0C" w:rsidRDefault="00AC5680" w:rsidP="00736E78">
            <w:pPr>
              <w:pStyle w:val="08-Tabelageral"/>
              <w:jc w:val="left"/>
              <w:rPr>
                <w:rFonts w:cs="Arial"/>
              </w:rPr>
            </w:pPr>
            <w:r w:rsidRPr="00B84B0C">
              <w:rPr>
                <w:rFonts w:cs="Arial"/>
              </w:rPr>
              <w:t>Short-</w:t>
            </w:r>
            <w:proofErr w:type="spellStart"/>
            <w:r w:rsidRPr="00B84B0C">
              <w:rPr>
                <w:rFonts w:cs="Arial"/>
              </w:rPr>
              <w:t>Term</w:t>
            </w:r>
            <w:proofErr w:type="spellEnd"/>
            <w:r w:rsidRPr="00B84B0C">
              <w:rPr>
                <w:rFonts w:cs="Arial"/>
              </w:rPr>
              <w:t xml:space="preserve"> Financial </w:t>
            </w:r>
            <w:proofErr w:type="spellStart"/>
            <w:r w:rsidRPr="00B84B0C">
              <w:rPr>
                <w:rFonts w:cs="Arial"/>
              </w:rPr>
              <w:t>bills</w:t>
            </w:r>
            <w:proofErr w:type="spellEnd"/>
            <w:r w:rsidRPr="00B84B0C">
              <w:rPr>
                <w:rFonts w:cs="Arial"/>
              </w:rPr>
              <w:t xml:space="preserve"> </w:t>
            </w:r>
          </w:p>
        </w:tc>
        <w:tc>
          <w:tcPr>
            <w:tcW w:w="1313" w:type="dxa"/>
            <w:tcBorders>
              <w:top w:val="nil"/>
              <w:left w:val="nil"/>
              <w:bottom w:val="nil"/>
              <w:right w:val="nil"/>
            </w:tcBorders>
            <w:shd w:val="clear" w:color="auto" w:fill="auto"/>
            <w:noWrap/>
            <w:vAlign w:val="bottom"/>
            <w:hideMark/>
          </w:tcPr>
          <w:p w14:paraId="03A865DD" w14:textId="77777777" w:rsidR="00AC5680" w:rsidRPr="00B84B0C" w:rsidRDefault="00AC5680" w:rsidP="00736E78">
            <w:pPr>
              <w:pStyle w:val="08-Tabelageral"/>
              <w:rPr>
                <w:rFonts w:cs="Arial"/>
              </w:rPr>
            </w:pPr>
            <w:r w:rsidRPr="00B84B0C">
              <w:rPr>
                <w:rFonts w:cs="Arial"/>
              </w:rPr>
              <w:t>--</w:t>
            </w:r>
          </w:p>
        </w:tc>
        <w:tc>
          <w:tcPr>
            <w:tcW w:w="1200" w:type="dxa"/>
            <w:tcBorders>
              <w:top w:val="nil"/>
              <w:left w:val="nil"/>
              <w:bottom w:val="nil"/>
              <w:right w:val="nil"/>
            </w:tcBorders>
            <w:shd w:val="clear" w:color="auto" w:fill="auto"/>
            <w:noWrap/>
            <w:vAlign w:val="bottom"/>
            <w:hideMark/>
          </w:tcPr>
          <w:p w14:paraId="6E58812F" w14:textId="77777777" w:rsidR="00AC5680" w:rsidRPr="00B84B0C" w:rsidRDefault="00AC5680" w:rsidP="00736E78">
            <w:pPr>
              <w:pStyle w:val="08-Tabelageral"/>
              <w:rPr>
                <w:rFonts w:cs="Arial"/>
              </w:rPr>
            </w:pPr>
            <w:r w:rsidRPr="00B84B0C">
              <w:rPr>
                <w:rFonts w:cs="Arial"/>
              </w:rPr>
              <w:t>730,075</w:t>
            </w:r>
          </w:p>
        </w:tc>
        <w:tc>
          <w:tcPr>
            <w:tcW w:w="1305" w:type="dxa"/>
            <w:tcBorders>
              <w:top w:val="nil"/>
              <w:left w:val="nil"/>
              <w:bottom w:val="nil"/>
              <w:right w:val="nil"/>
            </w:tcBorders>
            <w:shd w:val="clear" w:color="auto" w:fill="auto"/>
            <w:noWrap/>
            <w:vAlign w:val="bottom"/>
            <w:hideMark/>
          </w:tcPr>
          <w:p w14:paraId="5460E73A" w14:textId="77777777" w:rsidR="00AC5680" w:rsidRPr="00B84B0C" w:rsidRDefault="00AC5680" w:rsidP="00736E78">
            <w:pPr>
              <w:pStyle w:val="08-Tabelageral"/>
              <w:rPr>
                <w:rFonts w:cs="Arial"/>
              </w:rPr>
            </w:pPr>
            <w:r w:rsidRPr="00B84B0C">
              <w:rPr>
                <w:rFonts w:cs="Arial"/>
              </w:rPr>
              <w:t>730,075</w:t>
            </w:r>
          </w:p>
        </w:tc>
        <w:tc>
          <w:tcPr>
            <w:tcW w:w="189" w:type="dxa"/>
            <w:tcBorders>
              <w:top w:val="nil"/>
              <w:left w:val="nil"/>
              <w:right w:val="nil"/>
            </w:tcBorders>
            <w:shd w:val="clear" w:color="auto" w:fill="auto"/>
            <w:noWrap/>
            <w:vAlign w:val="bottom"/>
            <w:hideMark/>
          </w:tcPr>
          <w:p w14:paraId="24937F5A" w14:textId="77777777" w:rsidR="00AC5680" w:rsidRPr="00B84B0C" w:rsidRDefault="00AC5680" w:rsidP="00736E78">
            <w:pPr>
              <w:pStyle w:val="08-Tabelageral"/>
              <w:rPr>
                <w:rFonts w:cs="Arial"/>
              </w:rPr>
            </w:pPr>
          </w:p>
        </w:tc>
        <w:tc>
          <w:tcPr>
            <w:tcW w:w="1248" w:type="dxa"/>
            <w:tcBorders>
              <w:top w:val="nil"/>
              <w:left w:val="nil"/>
              <w:right w:val="nil"/>
            </w:tcBorders>
            <w:shd w:val="clear" w:color="auto" w:fill="auto"/>
            <w:noWrap/>
            <w:vAlign w:val="bottom"/>
            <w:hideMark/>
          </w:tcPr>
          <w:p w14:paraId="49896D05" w14:textId="77777777" w:rsidR="00AC5680" w:rsidRPr="00B84B0C" w:rsidRDefault="00AC5680" w:rsidP="00736E78">
            <w:pPr>
              <w:pStyle w:val="08-Tabelageral"/>
              <w:rPr>
                <w:rFonts w:cs="Arial"/>
              </w:rPr>
            </w:pPr>
            <w:r w:rsidRPr="00B84B0C">
              <w:rPr>
                <w:rFonts w:cs="Arial"/>
              </w:rPr>
              <w:t>--</w:t>
            </w:r>
          </w:p>
        </w:tc>
        <w:tc>
          <w:tcPr>
            <w:tcW w:w="1094" w:type="dxa"/>
            <w:tcBorders>
              <w:top w:val="nil"/>
              <w:left w:val="nil"/>
              <w:right w:val="nil"/>
            </w:tcBorders>
            <w:shd w:val="clear" w:color="auto" w:fill="auto"/>
            <w:noWrap/>
            <w:vAlign w:val="bottom"/>
            <w:hideMark/>
          </w:tcPr>
          <w:p w14:paraId="3828440A" w14:textId="77777777" w:rsidR="00AC5680" w:rsidRPr="00B84B0C" w:rsidRDefault="00AC5680" w:rsidP="00736E78">
            <w:pPr>
              <w:pStyle w:val="08-Tabelageral"/>
              <w:rPr>
                <w:rFonts w:cs="Arial"/>
              </w:rPr>
            </w:pPr>
            <w:r w:rsidRPr="00B84B0C">
              <w:rPr>
                <w:rFonts w:cs="Arial"/>
              </w:rPr>
              <w:t>524,884</w:t>
            </w:r>
          </w:p>
        </w:tc>
        <w:tc>
          <w:tcPr>
            <w:tcW w:w="1330" w:type="dxa"/>
            <w:tcBorders>
              <w:top w:val="nil"/>
              <w:left w:val="nil"/>
              <w:right w:val="nil"/>
            </w:tcBorders>
            <w:shd w:val="clear" w:color="auto" w:fill="auto"/>
            <w:noWrap/>
            <w:vAlign w:val="bottom"/>
            <w:hideMark/>
          </w:tcPr>
          <w:p w14:paraId="7BC70AB2" w14:textId="77777777" w:rsidR="00AC5680" w:rsidRPr="00B84B0C" w:rsidRDefault="00AC5680" w:rsidP="00736E78">
            <w:pPr>
              <w:pStyle w:val="08-Tabelageral"/>
              <w:rPr>
                <w:rFonts w:cs="Arial"/>
              </w:rPr>
            </w:pPr>
            <w:r w:rsidRPr="00B84B0C">
              <w:rPr>
                <w:rFonts w:cs="Arial"/>
              </w:rPr>
              <w:t>524,884</w:t>
            </w:r>
          </w:p>
        </w:tc>
      </w:tr>
      <w:tr w:rsidR="00AC5680" w:rsidRPr="00B84B0C" w14:paraId="3A211BF8" w14:textId="77777777" w:rsidTr="00AC5680">
        <w:trPr>
          <w:trHeight w:val="265"/>
        </w:trPr>
        <w:tc>
          <w:tcPr>
            <w:tcW w:w="1986" w:type="dxa"/>
            <w:tcBorders>
              <w:top w:val="nil"/>
              <w:left w:val="nil"/>
              <w:bottom w:val="single" w:sz="2" w:space="0" w:color="8EAADB" w:themeColor="accent5" w:themeTint="99"/>
              <w:right w:val="nil"/>
            </w:tcBorders>
            <w:shd w:val="clear" w:color="000000" w:fill="D9E2F3"/>
            <w:noWrap/>
            <w:vAlign w:val="bottom"/>
            <w:hideMark/>
          </w:tcPr>
          <w:p w14:paraId="742A27FF" w14:textId="77777777" w:rsidR="00AC5680" w:rsidRPr="00B84B0C" w:rsidRDefault="00AC5680" w:rsidP="00736E78">
            <w:pPr>
              <w:pStyle w:val="08-Tabelageral"/>
              <w:jc w:val="left"/>
              <w:rPr>
                <w:rFonts w:cs="Arial"/>
                <w:b/>
              </w:rPr>
            </w:pPr>
            <w:r w:rsidRPr="00B84B0C">
              <w:rPr>
                <w:rFonts w:cs="Arial"/>
                <w:b/>
              </w:rPr>
              <w:t>Total</w:t>
            </w:r>
          </w:p>
        </w:tc>
        <w:tc>
          <w:tcPr>
            <w:tcW w:w="1313" w:type="dxa"/>
            <w:tcBorders>
              <w:top w:val="nil"/>
              <w:left w:val="nil"/>
              <w:bottom w:val="single" w:sz="2" w:space="0" w:color="8EAADB" w:themeColor="accent5" w:themeTint="99"/>
              <w:right w:val="nil"/>
            </w:tcBorders>
            <w:shd w:val="clear" w:color="000000" w:fill="D9E2F3"/>
            <w:noWrap/>
            <w:vAlign w:val="bottom"/>
            <w:hideMark/>
          </w:tcPr>
          <w:p w14:paraId="104D4F56" w14:textId="77777777" w:rsidR="00AC5680" w:rsidRPr="00B84B0C" w:rsidRDefault="00AC5680" w:rsidP="00736E78">
            <w:pPr>
              <w:pStyle w:val="08-Tabelageral"/>
              <w:rPr>
                <w:rFonts w:cs="Arial"/>
                <w:b/>
              </w:rPr>
            </w:pPr>
            <w:r w:rsidRPr="00B84B0C">
              <w:rPr>
                <w:rFonts w:cs="Arial"/>
                <w:b/>
              </w:rPr>
              <w:t>4,572,119</w:t>
            </w:r>
          </w:p>
        </w:tc>
        <w:tc>
          <w:tcPr>
            <w:tcW w:w="1200" w:type="dxa"/>
            <w:tcBorders>
              <w:top w:val="nil"/>
              <w:left w:val="nil"/>
              <w:bottom w:val="single" w:sz="2" w:space="0" w:color="8EAADB" w:themeColor="accent5" w:themeTint="99"/>
              <w:right w:val="nil"/>
            </w:tcBorders>
            <w:shd w:val="clear" w:color="000000" w:fill="D9E2F3"/>
            <w:noWrap/>
            <w:vAlign w:val="bottom"/>
            <w:hideMark/>
          </w:tcPr>
          <w:p w14:paraId="00E946BA" w14:textId="77777777" w:rsidR="00AC5680" w:rsidRPr="00B84B0C" w:rsidRDefault="00AC5680" w:rsidP="00736E78">
            <w:pPr>
              <w:pStyle w:val="08-Tabelageral"/>
              <w:rPr>
                <w:rFonts w:cs="Arial"/>
                <w:b/>
              </w:rPr>
            </w:pPr>
            <w:r w:rsidRPr="00B84B0C">
              <w:rPr>
                <w:rFonts w:cs="Arial"/>
                <w:b/>
              </w:rPr>
              <w:t>730,075</w:t>
            </w:r>
          </w:p>
        </w:tc>
        <w:tc>
          <w:tcPr>
            <w:tcW w:w="1305" w:type="dxa"/>
            <w:tcBorders>
              <w:top w:val="nil"/>
              <w:left w:val="nil"/>
              <w:bottom w:val="single" w:sz="2" w:space="0" w:color="8EAADB" w:themeColor="accent5" w:themeTint="99"/>
              <w:right w:val="nil"/>
            </w:tcBorders>
            <w:shd w:val="clear" w:color="000000" w:fill="D9E2F3"/>
            <w:noWrap/>
            <w:vAlign w:val="bottom"/>
            <w:hideMark/>
          </w:tcPr>
          <w:p w14:paraId="104AEEB1" w14:textId="77777777" w:rsidR="00AC5680" w:rsidRPr="00B84B0C" w:rsidRDefault="00AC5680" w:rsidP="00736E78">
            <w:pPr>
              <w:pStyle w:val="08-Tabelageral"/>
              <w:rPr>
                <w:rFonts w:cs="Arial"/>
                <w:b/>
              </w:rPr>
            </w:pPr>
            <w:r w:rsidRPr="00B84B0C">
              <w:rPr>
                <w:rFonts w:cs="Arial"/>
                <w:b/>
              </w:rPr>
              <w:t>5,302,194</w:t>
            </w:r>
          </w:p>
        </w:tc>
        <w:tc>
          <w:tcPr>
            <w:tcW w:w="189" w:type="dxa"/>
            <w:tcBorders>
              <w:top w:val="nil"/>
              <w:left w:val="nil"/>
              <w:bottom w:val="single" w:sz="2" w:space="0" w:color="8EAADB" w:themeColor="accent5" w:themeTint="99"/>
              <w:right w:val="nil"/>
            </w:tcBorders>
            <w:shd w:val="clear" w:color="000000" w:fill="D9E2F3"/>
            <w:noWrap/>
            <w:vAlign w:val="bottom"/>
            <w:hideMark/>
          </w:tcPr>
          <w:p w14:paraId="25B3BAB8" w14:textId="77777777" w:rsidR="00AC5680" w:rsidRPr="00B84B0C" w:rsidRDefault="00AC5680" w:rsidP="00736E78">
            <w:pPr>
              <w:pStyle w:val="08-Tabelageral"/>
              <w:rPr>
                <w:rFonts w:cs="Arial"/>
                <w:b/>
              </w:rPr>
            </w:pPr>
            <w:r w:rsidRPr="00B84B0C">
              <w:rPr>
                <w:rFonts w:cs="Arial"/>
                <w:b/>
              </w:rPr>
              <w:t> </w:t>
            </w:r>
          </w:p>
        </w:tc>
        <w:tc>
          <w:tcPr>
            <w:tcW w:w="1248" w:type="dxa"/>
            <w:tcBorders>
              <w:top w:val="nil"/>
              <w:left w:val="nil"/>
              <w:bottom w:val="single" w:sz="2" w:space="0" w:color="8EAADB" w:themeColor="accent5" w:themeTint="99"/>
              <w:right w:val="nil"/>
            </w:tcBorders>
            <w:shd w:val="clear" w:color="000000" w:fill="D9E2F3"/>
            <w:noWrap/>
            <w:vAlign w:val="bottom"/>
            <w:hideMark/>
          </w:tcPr>
          <w:p w14:paraId="7B0EEF95" w14:textId="77777777" w:rsidR="00AC5680" w:rsidRPr="00B84B0C" w:rsidRDefault="00AC5680" w:rsidP="00736E78">
            <w:pPr>
              <w:pStyle w:val="08-Tabelageral"/>
              <w:rPr>
                <w:rFonts w:cs="Arial"/>
                <w:b/>
              </w:rPr>
            </w:pPr>
            <w:r w:rsidRPr="00B84B0C">
              <w:rPr>
                <w:rFonts w:cs="Arial"/>
                <w:b/>
              </w:rPr>
              <w:t>7,841,439</w:t>
            </w:r>
          </w:p>
        </w:tc>
        <w:tc>
          <w:tcPr>
            <w:tcW w:w="1094" w:type="dxa"/>
            <w:tcBorders>
              <w:top w:val="nil"/>
              <w:left w:val="nil"/>
              <w:bottom w:val="single" w:sz="2" w:space="0" w:color="8EAADB" w:themeColor="accent5" w:themeTint="99"/>
              <w:right w:val="nil"/>
            </w:tcBorders>
            <w:shd w:val="clear" w:color="000000" w:fill="D9E2F3"/>
            <w:noWrap/>
            <w:vAlign w:val="bottom"/>
            <w:hideMark/>
          </w:tcPr>
          <w:p w14:paraId="070A1B4F" w14:textId="77777777" w:rsidR="00AC5680" w:rsidRPr="00B84B0C" w:rsidRDefault="00AC5680" w:rsidP="00736E78">
            <w:pPr>
              <w:pStyle w:val="08-Tabelageral"/>
              <w:rPr>
                <w:rFonts w:cs="Arial"/>
                <w:b/>
              </w:rPr>
            </w:pPr>
            <w:r w:rsidRPr="00B84B0C">
              <w:rPr>
                <w:rFonts w:cs="Arial"/>
                <w:b/>
              </w:rPr>
              <w:t>524,884</w:t>
            </w:r>
          </w:p>
        </w:tc>
        <w:tc>
          <w:tcPr>
            <w:tcW w:w="1330" w:type="dxa"/>
            <w:tcBorders>
              <w:top w:val="nil"/>
              <w:left w:val="nil"/>
              <w:bottom w:val="single" w:sz="2" w:space="0" w:color="8EAADB" w:themeColor="accent5" w:themeTint="99"/>
              <w:right w:val="nil"/>
            </w:tcBorders>
            <w:shd w:val="clear" w:color="000000" w:fill="D9E2F3"/>
            <w:noWrap/>
            <w:vAlign w:val="bottom"/>
            <w:hideMark/>
          </w:tcPr>
          <w:p w14:paraId="29C65E6C" w14:textId="77777777" w:rsidR="00AC5680" w:rsidRPr="00B84B0C" w:rsidRDefault="00AC5680" w:rsidP="00736E78">
            <w:pPr>
              <w:pStyle w:val="08-Tabelageral"/>
              <w:rPr>
                <w:rFonts w:cs="Arial"/>
                <w:b/>
              </w:rPr>
            </w:pPr>
            <w:r w:rsidRPr="00B84B0C">
              <w:rPr>
                <w:rFonts w:cs="Arial"/>
                <w:b/>
              </w:rPr>
              <w:t>8,366,323</w:t>
            </w:r>
          </w:p>
        </w:tc>
      </w:tr>
    </w:tbl>
    <w:p w14:paraId="233ABE8E" w14:textId="77777777" w:rsidR="00AC5680" w:rsidRPr="00B84B0C" w:rsidRDefault="00AC5680">
      <w:pPr>
        <w:rPr>
          <w:rFonts w:cs="Arial"/>
          <w:b/>
          <w:color w:val="1F4E79" w:themeColor="accent1" w:themeShade="80"/>
          <w:szCs w:val="18"/>
        </w:rPr>
      </w:pPr>
    </w:p>
    <w:p w14:paraId="047C9D69" w14:textId="2C3A2FE3" w:rsidR="008B3917" w:rsidRPr="00B84B0C" w:rsidRDefault="008B3917" w:rsidP="00247891">
      <w:pPr>
        <w:rPr>
          <w:rFonts w:cs="Arial"/>
        </w:rPr>
        <w:sectPr w:rsidR="008B3917" w:rsidRPr="00B84B0C" w:rsidSect="00076CE6">
          <w:headerReference w:type="even" r:id="rId17"/>
          <w:headerReference w:type="default" r:id="rId18"/>
          <w:footerReference w:type="default" r:id="rId19"/>
          <w:headerReference w:type="first" r:id="rId20"/>
          <w:footerReference w:type="first" r:id="rId21"/>
          <w:pgSz w:w="11906" w:h="16838" w:code="9"/>
          <w:pgMar w:top="1134" w:right="1134" w:bottom="1134" w:left="1134" w:header="709" w:footer="283" w:gutter="0"/>
          <w:cols w:space="708"/>
          <w:docGrid w:linePitch="360"/>
        </w:sectPr>
      </w:pPr>
    </w:p>
    <w:p w14:paraId="26E52D5F" w14:textId="0A7B034C" w:rsidR="00736E78" w:rsidRPr="00B84B0C" w:rsidRDefault="00736E78" w:rsidP="00736E78">
      <w:pPr>
        <w:pStyle w:val="02-TtulodeNota"/>
        <w:rPr>
          <w:rFonts w:cs="Arial"/>
          <w:color w:val="1F4E79" w:themeColor="accent1" w:themeShade="80"/>
          <w:lang w:val="en-US"/>
        </w:rPr>
      </w:pPr>
      <w:bookmarkStart w:id="22" w:name="_Toc39131493"/>
      <w:r w:rsidRPr="00B84B0C">
        <w:rPr>
          <w:rFonts w:cs="Arial"/>
          <w:color w:val="1F4E79" w:themeColor="accent1" w:themeShade="80"/>
          <w:lang w:val="en-US"/>
        </w:rPr>
        <w:lastRenderedPageBreak/>
        <w:t>9 – INVESTMENTS IN ASSOCIATES</w:t>
      </w:r>
      <w:bookmarkEnd w:id="22"/>
      <w:r w:rsidRPr="00B84B0C">
        <w:rPr>
          <w:rFonts w:cs="Arial"/>
          <w:color w:val="1F4E79" w:themeColor="accent1" w:themeShade="80"/>
          <w:lang w:val="en-US"/>
        </w:rPr>
        <w:t xml:space="preserve"> </w:t>
      </w:r>
    </w:p>
    <w:p w14:paraId="410A5114" w14:textId="77777777" w:rsidR="00736E78" w:rsidRPr="00B84B0C" w:rsidRDefault="00736E78" w:rsidP="00736E78">
      <w:pPr>
        <w:pStyle w:val="01-TtulodeNota"/>
        <w:spacing w:before="0" w:after="0"/>
        <w:jc w:val="left"/>
        <w:rPr>
          <w:rFonts w:cs="Arial"/>
          <w:color w:val="1F4E79" w:themeColor="accent1" w:themeShade="80"/>
          <w:sz w:val="16"/>
          <w:szCs w:val="16"/>
          <w:lang w:val="en-US"/>
        </w:rPr>
      </w:pPr>
    </w:p>
    <w:p w14:paraId="43D5559D" w14:textId="77777777" w:rsidR="00736E78" w:rsidRPr="00B84B0C" w:rsidRDefault="00736E78" w:rsidP="00736E78">
      <w:pPr>
        <w:pStyle w:val="03-SubttulodeNota"/>
        <w:rPr>
          <w:rFonts w:cs="Arial"/>
          <w:lang w:val="en-US" w:eastAsia="zh-CN"/>
        </w:rPr>
      </w:pPr>
      <w:r w:rsidRPr="00B84B0C">
        <w:rPr>
          <w:rFonts w:cs="Arial"/>
          <w:color w:val="1F4E79" w:themeColor="accent1" w:themeShade="80"/>
          <w:lang w:val="en-US"/>
        </w:rPr>
        <w:t>a) Information about Investment in Associates</w:t>
      </w:r>
    </w:p>
    <w:p w14:paraId="6A4250B5" w14:textId="77777777" w:rsidR="00736E78" w:rsidRPr="00B84B0C" w:rsidRDefault="00736E78" w:rsidP="00736E78">
      <w:pPr>
        <w:pStyle w:val="06-Rmil"/>
        <w:ind w:right="-2"/>
        <w:rPr>
          <w:rFonts w:cs="Arial"/>
        </w:rPr>
      </w:pPr>
      <w:r w:rsidRPr="00B84B0C">
        <w:rPr>
          <w:rFonts w:cs="Arial"/>
        </w:rPr>
        <w:t>R$ </w:t>
      </w:r>
      <w:proofErr w:type="spellStart"/>
      <w:r w:rsidRPr="00B84B0C">
        <w:rPr>
          <w:rFonts w:cs="Arial"/>
        </w:rPr>
        <w:t>thousand</w:t>
      </w:r>
      <w:proofErr w:type="spellEnd"/>
    </w:p>
    <w:tbl>
      <w:tblPr>
        <w:tblStyle w:val="TabeladeLista6Colorida-nfase510"/>
        <w:tblW w:w="14884" w:type="dxa"/>
        <w:tblInd w:w="108" w:type="dxa"/>
        <w:tblLayout w:type="fixed"/>
        <w:tblLook w:val="04A0" w:firstRow="1" w:lastRow="0" w:firstColumn="1" w:lastColumn="0" w:noHBand="0" w:noVBand="1"/>
      </w:tblPr>
      <w:tblGrid>
        <w:gridCol w:w="3861"/>
        <w:gridCol w:w="850"/>
        <w:gridCol w:w="1275"/>
        <w:gridCol w:w="292"/>
        <w:gridCol w:w="1127"/>
        <w:gridCol w:w="1117"/>
        <w:gridCol w:w="1332"/>
        <w:gridCol w:w="902"/>
        <w:gridCol w:w="1185"/>
        <w:gridCol w:w="1276"/>
        <w:gridCol w:w="283"/>
        <w:gridCol w:w="1384"/>
      </w:tblGrid>
      <w:tr w:rsidR="00736E78" w:rsidRPr="00B84B0C" w14:paraId="29CAE97C" w14:textId="77777777" w:rsidTr="00736E78">
        <w:trPr>
          <w:cnfStyle w:val="100000000000" w:firstRow="1" w:lastRow="0" w:firstColumn="0" w:lastColumn="0" w:oddVBand="0" w:evenVBand="0" w:oddHBand="0" w:evenHBand="0"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3861" w:type="dxa"/>
            <w:tcBorders>
              <w:top w:val="single" w:sz="2" w:space="0" w:color="8EAADB" w:themeColor="accent5" w:themeTint="99"/>
              <w:bottom w:val="nil"/>
            </w:tcBorders>
            <w:vAlign w:val="center"/>
          </w:tcPr>
          <w:p w14:paraId="0D1F2672" w14:textId="77777777" w:rsidR="00736E78" w:rsidRPr="00B84B0C" w:rsidRDefault="00736E78" w:rsidP="00736E78">
            <w:pPr>
              <w:rPr>
                <w:rFonts w:cs="Arial"/>
                <w:sz w:val="14"/>
                <w:szCs w:val="14"/>
              </w:rPr>
            </w:pPr>
            <w:proofErr w:type="spellStart"/>
            <w:r w:rsidRPr="00B84B0C">
              <w:rPr>
                <w:rFonts w:cs="Arial"/>
                <w:bCs w:val="0"/>
                <w:sz w:val="14"/>
                <w:szCs w:val="14"/>
              </w:rPr>
              <w:t>Company</w:t>
            </w:r>
            <w:proofErr w:type="spellEnd"/>
          </w:p>
        </w:tc>
        <w:tc>
          <w:tcPr>
            <w:tcW w:w="850" w:type="dxa"/>
            <w:tcBorders>
              <w:top w:val="single" w:sz="2" w:space="0" w:color="8EAADB" w:themeColor="accent5" w:themeTint="99"/>
              <w:bottom w:val="nil"/>
            </w:tcBorders>
            <w:vAlign w:val="center"/>
          </w:tcPr>
          <w:p w14:paraId="7F128C19"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1275" w:type="dxa"/>
            <w:tcBorders>
              <w:top w:val="single" w:sz="2" w:space="0" w:color="8EAADB" w:themeColor="accent5" w:themeTint="99"/>
              <w:bottom w:val="nil"/>
            </w:tcBorders>
            <w:vAlign w:val="center"/>
          </w:tcPr>
          <w:p w14:paraId="05958D20"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p>
        </w:tc>
        <w:tc>
          <w:tcPr>
            <w:tcW w:w="292" w:type="dxa"/>
            <w:tcBorders>
              <w:top w:val="single" w:sz="2" w:space="0" w:color="8EAADB" w:themeColor="accent5" w:themeTint="99"/>
              <w:bottom w:val="nil"/>
            </w:tcBorders>
            <w:vAlign w:val="center"/>
          </w:tcPr>
          <w:p w14:paraId="5553C9C8"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8606" w:type="dxa"/>
            <w:gridSpan w:val="8"/>
            <w:tcBorders>
              <w:top w:val="single" w:sz="2" w:space="0" w:color="8EAADB" w:themeColor="accent5" w:themeTint="99"/>
              <w:bottom w:val="single" w:sz="2" w:space="0" w:color="8EAADB" w:themeColor="accent5" w:themeTint="99"/>
            </w:tcBorders>
            <w:vAlign w:val="center"/>
          </w:tcPr>
          <w:p w14:paraId="0A70F09A"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bCs w:val="0"/>
                <w:sz w:val="14"/>
                <w:szCs w:val="14"/>
              </w:rPr>
              <w:t>Parent</w:t>
            </w:r>
            <w:proofErr w:type="spellEnd"/>
          </w:p>
        </w:tc>
      </w:tr>
      <w:tr w:rsidR="00736E78" w:rsidRPr="00B84B0C" w14:paraId="02D344F4" w14:textId="77777777" w:rsidTr="00736E78">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861" w:type="dxa"/>
            <w:tcBorders>
              <w:top w:val="nil"/>
              <w:bottom w:val="nil"/>
            </w:tcBorders>
            <w:shd w:val="clear" w:color="auto" w:fill="D9E2F3" w:themeFill="accent5" w:themeFillTint="33"/>
            <w:vAlign w:val="center"/>
          </w:tcPr>
          <w:p w14:paraId="686C13F5" w14:textId="77777777" w:rsidR="00736E78" w:rsidRPr="00B84B0C" w:rsidRDefault="00736E78" w:rsidP="00736E78">
            <w:pPr>
              <w:rPr>
                <w:rFonts w:cs="Arial"/>
                <w:sz w:val="14"/>
                <w:szCs w:val="14"/>
              </w:rPr>
            </w:pPr>
          </w:p>
        </w:tc>
        <w:tc>
          <w:tcPr>
            <w:tcW w:w="850" w:type="dxa"/>
            <w:tcBorders>
              <w:top w:val="nil"/>
              <w:bottom w:val="nil"/>
            </w:tcBorders>
            <w:shd w:val="clear" w:color="auto" w:fill="D9E2F3" w:themeFill="accent5" w:themeFillTint="33"/>
            <w:vAlign w:val="center"/>
          </w:tcPr>
          <w:p w14:paraId="15469D03"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Capital</w:t>
            </w:r>
          </w:p>
        </w:tc>
        <w:tc>
          <w:tcPr>
            <w:tcW w:w="1275" w:type="dxa"/>
            <w:tcBorders>
              <w:top w:val="nil"/>
              <w:bottom w:val="nil"/>
            </w:tcBorders>
            <w:shd w:val="clear" w:color="auto" w:fill="D9E2F3" w:themeFill="accent5" w:themeFillTint="33"/>
            <w:vAlign w:val="center"/>
          </w:tcPr>
          <w:p w14:paraId="51022AFF"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Stockholders</w:t>
            </w:r>
            <w:proofErr w:type="spellEnd"/>
            <w:r w:rsidRPr="00B84B0C">
              <w:rPr>
                <w:rFonts w:cs="Arial"/>
                <w:b/>
                <w:sz w:val="14"/>
                <w:szCs w:val="14"/>
              </w:rPr>
              <w:t xml:space="preserve">' </w:t>
            </w:r>
            <w:proofErr w:type="spellStart"/>
            <w:r w:rsidRPr="00B84B0C">
              <w:rPr>
                <w:rFonts w:cs="Arial"/>
                <w:b/>
                <w:sz w:val="14"/>
                <w:szCs w:val="14"/>
              </w:rPr>
              <w:t>equity</w:t>
            </w:r>
            <w:proofErr w:type="spellEnd"/>
            <w:r w:rsidRPr="00B84B0C">
              <w:rPr>
                <w:rFonts w:cs="Arial"/>
                <w:b/>
                <w:sz w:val="14"/>
                <w:szCs w:val="14"/>
              </w:rPr>
              <w:t xml:space="preserve"> </w:t>
            </w:r>
            <w:proofErr w:type="spellStart"/>
            <w:proofErr w:type="gramStart"/>
            <w:r w:rsidRPr="00B84B0C">
              <w:rPr>
                <w:rFonts w:cs="Arial"/>
                <w:b/>
                <w:sz w:val="14"/>
                <w:szCs w:val="14"/>
              </w:rPr>
              <w:t>adjusted</w:t>
            </w:r>
            <w:proofErr w:type="spellEnd"/>
            <w:r w:rsidRPr="00B84B0C">
              <w:rPr>
                <w:rFonts w:cs="Arial"/>
                <w:b/>
                <w:sz w:val="14"/>
                <w:szCs w:val="14"/>
                <w:vertAlign w:val="superscript"/>
              </w:rPr>
              <w:t>(</w:t>
            </w:r>
            <w:proofErr w:type="gramEnd"/>
            <w:r w:rsidRPr="00B84B0C">
              <w:rPr>
                <w:rFonts w:cs="Arial"/>
                <w:b/>
                <w:sz w:val="14"/>
                <w:szCs w:val="14"/>
                <w:vertAlign w:val="superscript"/>
              </w:rPr>
              <w:t>1)</w:t>
            </w:r>
            <w:r w:rsidRPr="00B84B0C">
              <w:rPr>
                <w:rFonts w:cs="Arial"/>
                <w:b/>
                <w:sz w:val="14"/>
                <w:szCs w:val="14"/>
              </w:rPr>
              <w:tab/>
            </w:r>
          </w:p>
          <w:p w14:paraId="5B38473C"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ab/>
            </w:r>
          </w:p>
        </w:tc>
        <w:tc>
          <w:tcPr>
            <w:tcW w:w="292" w:type="dxa"/>
            <w:tcBorders>
              <w:top w:val="nil"/>
              <w:bottom w:val="nil"/>
            </w:tcBorders>
            <w:shd w:val="clear" w:color="auto" w:fill="D9E2F3" w:themeFill="accent5" w:themeFillTint="33"/>
            <w:vAlign w:val="center"/>
          </w:tcPr>
          <w:p w14:paraId="1911B765"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1127" w:type="dxa"/>
            <w:tcBorders>
              <w:top w:val="nil"/>
              <w:bottom w:val="nil"/>
            </w:tcBorders>
            <w:shd w:val="clear" w:color="auto" w:fill="D9E2F3" w:themeFill="accent5" w:themeFillTint="33"/>
            <w:vAlign w:val="center"/>
          </w:tcPr>
          <w:p w14:paraId="57B55510"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4536" w:type="dxa"/>
            <w:gridSpan w:val="4"/>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28D2991"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roofErr w:type="spellStart"/>
            <w:r w:rsidRPr="00B84B0C">
              <w:rPr>
                <w:rFonts w:cs="Arial"/>
                <w:b/>
                <w:sz w:val="14"/>
                <w:szCs w:val="14"/>
                <w:lang w:val="en-US"/>
              </w:rPr>
              <w:t>Moviments</w:t>
            </w:r>
            <w:proofErr w:type="spellEnd"/>
            <w:r w:rsidRPr="00B84B0C">
              <w:rPr>
                <w:rFonts w:cs="Arial"/>
                <w:b/>
                <w:sz w:val="14"/>
                <w:szCs w:val="14"/>
                <w:lang w:val="en-US"/>
              </w:rPr>
              <w:t xml:space="preserve"> from Jan 01, </w:t>
            </w:r>
            <w:proofErr w:type="gramStart"/>
            <w:r w:rsidRPr="00B84B0C">
              <w:rPr>
                <w:rFonts w:cs="Arial"/>
                <w:b/>
                <w:sz w:val="14"/>
                <w:szCs w:val="14"/>
                <w:lang w:val="en-US"/>
              </w:rPr>
              <w:t>2020</w:t>
            </w:r>
            <w:proofErr w:type="gramEnd"/>
            <w:r w:rsidRPr="00B84B0C">
              <w:rPr>
                <w:rFonts w:cs="Arial"/>
                <w:b/>
                <w:sz w:val="14"/>
                <w:szCs w:val="14"/>
                <w:lang w:val="en-US"/>
              </w:rPr>
              <w:t xml:space="preserve"> to Mar 31, 2020</w:t>
            </w:r>
          </w:p>
        </w:tc>
        <w:tc>
          <w:tcPr>
            <w:tcW w:w="1276" w:type="dxa"/>
            <w:tcBorders>
              <w:top w:val="single" w:sz="2" w:space="0" w:color="8EAADB" w:themeColor="accent5" w:themeTint="99"/>
              <w:bottom w:val="nil"/>
            </w:tcBorders>
            <w:shd w:val="clear" w:color="auto" w:fill="D9E2F3" w:themeFill="accent5" w:themeFillTint="33"/>
            <w:vAlign w:val="center"/>
          </w:tcPr>
          <w:p w14:paraId="5C8088F3"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
        </w:tc>
        <w:tc>
          <w:tcPr>
            <w:tcW w:w="283" w:type="dxa"/>
            <w:tcBorders>
              <w:top w:val="single" w:sz="2" w:space="0" w:color="8EAADB" w:themeColor="accent5" w:themeTint="99"/>
              <w:bottom w:val="nil"/>
            </w:tcBorders>
            <w:shd w:val="clear" w:color="auto" w:fill="D9E2F3" w:themeFill="accent5" w:themeFillTint="33"/>
            <w:vAlign w:val="center"/>
          </w:tcPr>
          <w:p w14:paraId="4A12B3FC"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
        </w:tc>
        <w:tc>
          <w:tcPr>
            <w:tcW w:w="1384"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A8F9EFE"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Share</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Profit</w:t>
            </w:r>
          </w:p>
        </w:tc>
      </w:tr>
      <w:tr w:rsidR="00736E78" w:rsidRPr="00B84B0C" w14:paraId="64B8E8AE" w14:textId="77777777" w:rsidTr="00736E78">
        <w:trPr>
          <w:cnfStyle w:val="000000010000" w:firstRow="0" w:lastRow="0" w:firstColumn="0" w:lastColumn="0" w:oddVBand="0" w:evenVBand="0" w:oddHBand="0" w:evenHBand="1"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3861" w:type="dxa"/>
            <w:tcBorders>
              <w:top w:val="nil"/>
              <w:bottom w:val="single" w:sz="4" w:space="0" w:color="8EAADB" w:themeColor="accent5" w:themeTint="99"/>
            </w:tcBorders>
            <w:vAlign w:val="center"/>
          </w:tcPr>
          <w:p w14:paraId="7E08ED79" w14:textId="77777777" w:rsidR="00736E78" w:rsidRPr="00B84B0C" w:rsidRDefault="00736E78" w:rsidP="00736E78">
            <w:pPr>
              <w:rPr>
                <w:rFonts w:cs="Arial"/>
                <w:sz w:val="14"/>
                <w:szCs w:val="14"/>
              </w:rPr>
            </w:pPr>
          </w:p>
        </w:tc>
        <w:tc>
          <w:tcPr>
            <w:tcW w:w="850" w:type="dxa"/>
            <w:tcBorders>
              <w:top w:val="nil"/>
              <w:bottom w:val="single" w:sz="4" w:space="0" w:color="8EAADB" w:themeColor="accent5" w:themeTint="99"/>
            </w:tcBorders>
            <w:vAlign w:val="center"/>
          </w:tcPr>
          <w:p w14:paraId="378B3AF0"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275" w:type="dxa"/>
            <w:tcBorders>
              <w:top w:val="nil"/>
              <w:bottom w:val="single" w:sz="4" w:space="0" w:color="8EAADB" w:themeColor="accent5" w:themeTint="99"/>
            </w:tcBorders>
            <w:vAlign w:val="center"/>
          </w:tcPr>
          <w:p w14:paraId="7360DD08" w14:textId="77777777" w:rsidR="00736E78" w:rsidRPr="00B84B0C" w:rsidRDefault="00736E78" w:rsidP="00736E78">
            <w:pPr>
              <w:ind w:left="-251" w:firstLine="251"/>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292" w:type="dxa"/>
            <w:tcBorders>
              <w:top w:val="nil"/>
              <w:bottom w:val="single" w:sz="4" w:space="0" w:color="8EAADB" w:themeColor="accent5" w:themeTint="99"/>
            </w:tcBorders>
            <w:vAlign w:val="center"/>
          </w:tcPr>
          <w:p w14:paraId="660C5F8F"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127" w:type="dxa"/>
            <w:tcBorders>
              <w:top w:val="nil"/>
              <w:bottom w:val="single" w:sz="4" w:space="0" w:color="8EAADB" w:themeColor="accent5" w:themeTint="99"/>
            </w:tcBorders>
            <w:vAlign w:val="center"/>
          </w:tcPr>
          <w:p w14:paraId="03BAE145"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Carrying </w:t>
            </w:r>
            <w:proofErr w:type="spellStart"/>
            <w:r w:rsidRPr="00B84B0C">
              <w:rPr>
                <w:rFonts w:cs="Arial"/>
                <w:b/>
                <w:sz w:val="14"/>
                <w:szCs w:val="14"/>
              </w:rPr>
              <w:t>amount</w:t>
            </w:r>
            <w:proofErr w:type="spellEnd"/>
            <w:r w:rsidRPr="00B84B0C">
              <w:rPr>
                <w:rFonts w:cs="Arial"/>
                <w:b/>
                <w:sz w:val="14"/>
                <w:szCs w:val="14"/>
              </w:rPr>
              <w:t xml:space="preserve"> </w:t>
            </w:r>
            <w:proofErr w:type="spellStart"/>
            <w:r w:rsidRPr="00B84B0C">
              <w:rPr>
                <w:rFonts w:cs="Arial"/>
                <w:b/>
                <w:sz w:val="14"/>
                <w:szCs w:val="14"/>
              </w:rPr>
              <w:t>Dec</w:t>
            </w:r>
            <w:proofErr w:type="spellEnd"/>
            <w:r w:rsidRPr="00B84B0C">
              <w:rPr>
                <w:rFonts w:cs="Arial"/>
                <w:b/>
                <w:sz w:val="14"/>
                <w:szCs w:val="14"/>
              </w:rPr>
              <w:t xml:space="preserve"> 31, 2019</w:t>
            </w:r>
          </w:p>
        </w:tc>
        <w:tc>
          <w:tcPr>
            <w:tcW w:w="1117" w:type="dxa"/>
            <w:tcBorders>
              <w:top w:val="single" w:sz="2" w:space="0" w:color="8EAADB" w:themeColor="accent5" w:themeTint="99"/>
              <w:bottom w:val="single" w:sz="2" w:space="0" w:color="8EAADB" w:themeColor="accent5" w:themeTint="99"/>
            </w:tcBorders>
            <w:vAlign w:val="center"/>
          </w:tcPr>
          <w:p w14:paraId="3360D242"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roofErr w:type="spellStart"/>
            <w:r w:rsidRPr="00B84B0C">
              <w:rPr>
                <w:rFonts w:cs="Arial"/>
                <w:b/>
                <w:sz w:val="14"/>
                <w:szCs w:val="14"/>
              </w:rPr>
              <w:t>Dividends</w:t>
            </w:r>
            <w:proofErr w:type="spellEnd"/>
          </w:p>
        </w:tc>
        <w:tc>
          <w:tcPr>
            <w:tcW w:w="1332" w:type="dxa"/>
            <w:tcBorders>
              <w:top w:val="single" w:sz="2" w:space="0" w:color="8EAADB" w:themeColor="accent5" w:themeTint="99"/>
              <w:bottom w:val="single" w:sz="2" w:space="0" w:color="8EAADB" w:themeColor="accent5" w:themeTint="99"/>
            </w:tcBorders>
            <w:vAlign w:val="center"/>
          </w:tcPr>
          <w:p w14:paraId="246EFEA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roofErr w:type="spellStart"/>
            <w:r w:rsidRPr="00B84B0C">
              <w:rPr>
                <w:rFonts w:cs="Arial"/>
                <w:b/>
                <w:bCs/>
                <w:szCs w:val="14"/>
              </w:rPr>
              <w:t>Equity</w:t>
            </w:r>
            <w:proofErr w:type="spellEnd"/>
            <w:r w:rsidRPr="00B84B0C">
              <w:rPr>
                <w:rFonts w:cs="Arial"/>
                <w:b/>
                <w:bCs/>
                <w:szCs w:val="14"/>
              </w:rPr>
              <w:t xml:space="preserve"> </w:t>
            </w:r>
            <w:proofErr w:type="spellStart"/>
            <w:r w:rsidRPr="00B84B0C">
              <w:rPr>
                <w:rFonts w:cs="Arial"/>
                <w:b/>
                <w:bCs/>
                <w:szCs w:val="14"/>
              </w:rPr>
              <w:t>valuation</w:t>
            </w:r>
            <w:proofErr w:type="spellEnd"/>
            <w:r w:rsidRPr="00B84B0C">
              <w:rPr>
                <w:rFonts w:cs="Arial"/>
                <w:b/>
                <w:bCs/>
                <w:szCs w:val="14"/>
              </w:rPr>
              <w:t xml:space="preserve"> </w:t>
            </w:r>
            <w:proofErr w:type="spellStart"/>
            <w:r w:rsidRPr="00B84B0C">
              <w:rPr>
                <w:rFonts w:cs="Arial"/>
                <w:b/>
                <w:bCs/>
                <w:szCs w:val="14"/>
              </w:rPr>
              <w:t>adjustments</w:t>
            </w:r>
            <w:proofErr w:type="spellEnd"/>
          </w:p>
        </w:tc>
        <w:tc>
          <w:tcPr>
            <w:tcW w:w="902" w:type="dxa"/>
            <w:tcBorders>
              <w:top w:val="single" w:sz="2" w:space="0" w:color="8EAADB" w:themeColor="accent5" w:themeTint="99"/>
              <w:bottom w:val="single" w:sz="2" w:space="0" w:color="8EAADB" w:themeColor="accent5" w:themeTint="99"/>
            </w:tcBorders>
            <w:vAlign w:val="center"/>
          </w:tcPr>
          <w:p w14:paraId="512CFE6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4B0C">
              <w:rPr>
                <w:rFonts w:cs="Arial"/>
                <w:b/>
                <w:bCs/>
                <w:szCs w:val="14"/>
              </w:rPr>
              <w:t xml:space="preserve">Other </w:t>
            </w:r>
            <w:proofErr w:type="spellStart"/>
            <w:r w:rsidRPr="00B84B0C">
              <w:rPr>
                <w:rFonts w:cs="Arial"/>
                <w:b/>
                <w:bCs/>
                <w:szCs w:val="14"/>
              </w:rPr>
              <w:t>events</w:t>
            </w:r>
            <w:proofErr w:type="spellEnd"/>
            <w:r w:rsidRPr="00B84B0C">
              <w:rPr>
                <w:rFonts w:cs="Arial"/>
                <w:b/>
                <w:bCs/>
                <w:szCs w:val="14"/>
              </w:rPr>
              <w:t xml:space="preserve">    </w:t>
            </w:r>
          </w:p>
        </w:tc>
        <w:tc>
          <w:tcPr>
            <w:tcW w:w="1185" w:type="dxa"/>
            <w:tcBorders>
              <w:top w:val="single" w:sz="2" w:space="0" w:color="8EAADB" w:themeColor="accent5" w:themeTint="99"/>
              <w:bottom w:val="single" w:sz="2" w:space="0" w:color="8EAADB" w:themeColor="accent5" w:themeTint="99"/>
            </w:tcBorders>
            <w:vAlign w:val="center"/>
          </w:tcPr>
          <w:p w14:paraId="4627864F"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roofErr w:type="spellStart"/>
            <w:r w:rsidRPr="00B84B0C">
              <w:rPr>
                <w:rFonts w:cs="Arial"/>
                <w:b/>
                <w:sz w:val="14"/>
                <w:szCs w:val="14"/>
              </w:rPr>
              <w:t>Share</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w:t>
            </w:r>
            <w:proofErr w:type="spellStart"/>
            <w:r w:rsidRPr="00B84B0C">
              <w:rPr>
                <w:rFonts w:cs="Arial"/>
                <w:b/>
                <w:sz w:val="14"/>
                <w:szCs w:val="14"/>
              </w:rPr>
              <w:t>profit</w:t>
            </w:r>
            <w:proofErr w:type="spellEnd"/>
          </w:p>
        </w:tc>
        <w:tc>
          <w:tcPr>
            <w:tcW w:w="1276" w:type="dxa"/>
            <w:tcBorders>
              <w:top w:val="nil"/>
              <w:bottom w:val="single" w:sz="2" w:space="0" w:color="8EAADB" w:themeColor="accent5" w:themeTint="99"/>
            </w:tcBorders>
            <w:vAlign w:val="center"/>
          </w:tcPr>
          <w:p w14:paraId="755871F1"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Carrying </w:t>
            </w:r>
            <w:proofErr w:type="spellStart"/>
            <w:r w:rsidRPr="00B84B0C">
              <w:rPr>
                <w:rFonts w:cs="Arial"/>
                <w:b/>
                <w:sz w:val="14"/>
                <w:szCs w:val="14"/>
              </w:rPr>
              <w:t>amount</w:t>
            </w:r>
            <w:proofErr w:type="spellEnd"/>
            <w:r w:rsidRPr="00B84B0C">
              <w:rPr>
                <w:rFonts w:cs="Arial"/>
                <w:b/>
                <w:sz w:val="14"/>
                <w:szCs w:val="14"/>
              </w:rPr>
              <w:t xml:space="preserve"> </w:t>
            </w:r>
            <w:proofErr w:type="gramStart"/>
            <w:r w:rsidRPr="00B84B0C">
              <w:rPr>
                <w:rFonts w:cs="Arial"/>
                <w:b/>
                <w:sz w:val="14"/>
                <w:szCs w:val="14"/>
              </w:rPr>
              <w:t>Mar  31</w:t>
            </w:r>
            <w:proofErr w:type="gramEnd"/>
            <w:r w:rsidRPr="00B84B0C">
              <w:rPr>
                <w:rFonts w:cs="Arial"/>
                <w:b/>
                <w:sz w:val="14"/>
                <w:szCs w:val="14"/>
              </w:rPr>
              <w:t>, 2020</w:t>
            </w:r>
          </w:p>
        </w:tc>
        <w:tc>
          <w:tcPr>
            <w:tcW w:w="283" w:type="dxa"/>
            <w:tcBorders>
              <w:top w:val="nil"/>
              <w:bottom w:val="single" w:sz="2" w:space="0" w:color="8EAADB" w:themeColor="accent5" w:themeTint="99"/>
            </w:tcBorders>
            <w:vAlign w:val="center"/>
          </w:tcPr>
          <w:p w14:paraId="5D18244F"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384" w:type="dxa"/>
            <w:tcBorders>
              <w:top w:val="single" w:sz="2" w:space="0" w:color="8EAADB" w:themeColor="accent5" w:themeTint="99"/>
              <w:bottom w:val="single" w:sz="2" w:space="0" w:color="8EAADB" w:themeColor="accent5" w:themeTint="99"/>
            </w:tcBorders>
            <w:vAlign w:val="center"/>
          </w:tcPr>
          <w:p w14:paraId="0235CAFC"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1st </w:t>
            </w:r>
            <w:proofErr w:type="spellStart"/>
            <w:r w:rsidRPr="00B84B0C">
              <w:rPr>
                <w:rFonts w:cs="Arial"/>
                <w:b/>
                <w:sz w:val="14"/>
                <w:szCs w:val="14"/>
              </w:rPr>
              <w:t>Quarter</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2020</w:t>
            </w:r>
          </w:p>
        </w:tc>
      </w:tr>
      <w:tr w:rsidR="00736E78" w:rsidRPr="00B84B0C" w14:paraId="6310F4EC" w14:textId="77777777" w:rsidTr="00736E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861" w:type="dxa"/>
            <w:tcBorders>
              <w:top w:val="single" w:sz="4" w:space="0" w:color="8EAADB" w:themeColor="accent5" w:themeTint="99"/>
              <w:bottom w:val="nil"/>
            </w:tcBorders>
            <w:vAlign w:val="center"/>
          </w:tcPr>
          <w:p w14:paraId="24C351D4" w14:textId="77777777" w:rsidR="00736E78" w:rsidRPr="00B84B0C" w:rsidRDefault="00736E78" w:rsidP="00736E78">
            <w:pPr>
              <w:pStyle w:val="08-Tabelageral"/>
              <w:jc w:val="left"/>
              <w:rPr>
                <w:rFonts w:cs="Arial"/>
                <w:b w:val="0"/>
                <w:bCs w:val="0"/>
                <w:szCs w:val="14"/>
              </w:rPr>
            </w:pPr>
            <w:r w:rsidRPr="00B84B0C">
              <w:rPr>
                <w:rFonts w:cs="Arial"/>
                <w:b w:val="0"/>
                <w:bCs w:val="0"/>
                <w:szCs w:val="14"/>
              </w:rPr>
              <w:t xml:space="preserve">BB Seguros Participações </w:t>
            </w:r>
            <w:proofErr w:type="gramStart"/>
            <w:r w:rsidRPr="00B84B0C">
              <w:rPr>
                <w:rFonts w:cs="Arial"/>
                <w:b w:val="0"/>
                <w:bCs w:val="0"/>
                <w:szCs w:val="14"/>
              </w:rPr>
              <w:t>S.A</w:t>
            </w:r>
            <w:proofErr w:type="gramEnd"/>
          </w:p>
        </w:tc>
        <w:tc>
          <w:tcPr>
            <w:tcW w:w="850" w:type="dxa"/>
            <w:tcBorders>
              <w:top w:val="single" w:sz="4" w:space="0" w:color="8EAADB" w:themeColor="accent5" w:themeTint="99"/>
              <w:bottom w:val="nil"/>
            </w:tcBorders>
            <w:vAlign w:val="center"/>
          </w:tcPr>
          <w:p w14:paraId="7426EABC"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4,210,872</w:t>
            </w:r>
          </w:p>
        </w:tc>
        <w:tc>
          <w:tcPr>
            <w:tcW w:w="1275" w:type="dxa"/>
            <w:tcBorders>
              <w:top w:val="single" w:sz="4" w:space="0" w:color="8EAADB" w:themeColor="accent5" w:themeTint="99"/>
              <w:bottom w:val="nil"/>
            </w:tcBorders>
            <w:vAlign w:val="center"/>
          </w:tcPr>
          <w:p w14:paraId="14081B65"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5,786,412</w:t>
            </w:r>
          </w:p>
        </w:tc>
        <w:tc>
          <w:tcPr>
            <w:tcW w:w="292" w:type="dxa"/>
            <w:tcBorders>
              <w:top w:val="single" w:sz="4" w:space="0" w:color="8EAADB" w:themeColor="accent5" w:themeTint="99"/>
              <w:bottom w:val="nil"/>
            </w:tcBorders>
            <w:vAlign w:val="center"/>
          </w:tcPr>
          <w:p w14:paraId="160FB727"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127" w:type="dxa"/>
            <w:tcBorders>
              <w:top w:val="single" w:sz="4" w:space="0" w:color="8EAADB" w:themeColor="accent5" w:themeTint="99"/>
              <w:bottom w:val="nil"/>
            </w:tcBorders>
            <w:vAlign w:val="center"/>
          </w:tcPr>
          <w:p w14:paraId="73F2154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5,431,395</w:t>
            </w:r>
          </w:p>
        </w:tc>
        <w:tc>
          <w:tcPr>
            <w:tcW w:w="1117" w:type="dxa"/>
            <w:tcBorders>
              <w:top w:val="single" w:sz="2" w:space="0" w:color="8EAADB" w:themeColor="accent5" w:themeTint="99"/>
              <w:bottom w:val="nil"/>
            </w:tcBorders>
            <w:vAlign w:val="center"/>
          </w:tcPr>
          <w:p w14:paraId="2926406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332" w:type="dxa"/>
            <w:tcBorders>
              <w:top w:val="single" w:sz="2" w:space="0" w:color="8EAADB" w:themeColor="accent5" w:themeTint="99"/>
              <w:bottom w:val="nil"/>
            </w:tcBorders>
            <w:vAlign w:val="center"/>
          </w:tcPr>
          <w:p w14:paraId="3B813E2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(35,080)</w:t>
            </w:r>
          </w:p>
        </w:tc>
        <w:tc>
          <w:tcPr>
            <w:tcW w:w="902" w:type="dxa"/>
            <w:tcBorders>
              <w:top w:val="single" w:sz="2" w:space="0" w:color="8EAADB" w:themeColor="accent5" w:themeTint="99"/>
              <w:bottom w:val="nil"/>
            </w:tcBorders>
            <w:vAlign w:val="center"/>
          </w:tcPr>
          <w:p w14:paraId="683B3C3B"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185" w:type="dxa"/>
            <w:tcBorders>
              <w:top w:val="single" w:sz="2" w:space="0" w:color="8EAADB" w:themeColor="accent5" w:themeTint="99"/>
              <w:bottom w:val="nil"/>
            </w:tcBorders>
            <w:vAlign w:val="center"/>
          </w:tcPr>
          <w:p w14:paraId="4382954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390,097</w:t>
            </w:r>
          </w:p>
        </w:tc>
        <w:tc>
          <w:tcPr>
            <w:tcW w:w="1276" w:type="dxa"/>
            <w:tcBorders>
              <w:top w:val="single" w:sz="2" w:space="0" w:color="8EAADB" w:themeColor="accent5" w:themeTint="99"/>
              <w:bottom w:val="nil"/>
            </w:tcBorders>
            <w:vAlign w:val="center"/>
          </w:tcPr>
          <w:p w14:paraId="03A48EB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5,786,412</w:t>
            </w:r>
          </w:p>
        </w:tc>
        <w:tc>
          <w:tcPr>
            <w:tcW w:w="283" w:type="dxa"/>
            <w:tcBorders>
              <w:top w:val="single" w:sz="2" w:space="0" w:color="8EAADB" w:themeColor="accent5" w:themeTint="99"/>
              <w:bottom w:val="nil"/>
            </w:tcBorders>
            <w:vAlign w:val="center"/>
          </w:tcPr>
          <w:p w14:paraId="5B03F3D8"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84" w:type="dxa"/>
            <w:tcBorders>
              <w:top w:val="single" w:sz="2" w:space="0" w:color="8EAADB" w:themeColor="accent5" w:themeTint="99"/>
              <w:bottom w:val="nil"/>
            </w:tcBorders>
            <w:vAlign w:val="center"/>
          </w:tcPr>
          <w:p w14:paraId="41AE9ED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390,097</w:t>
            </w:r>
          </w:p>
        </w:tc>
      </w:tr>
      <w:tr w:rsidR="00736E78" w:rsidRPr="00B84B0C" w14:paraId="388499A6" w14:textId="77777777" w:rsidTr="00736E78">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861" w:type="dxa"/>
            <w:tcBorders>
              <w:top w:val="nil"/>
              <w:bottom w:val="nil"/>
            </w:tcBorders>
            <w:vAlign w:val="center"/>
          </w:tcPr>
          <w:p w14:paraId="1C90F8DF" w14:textId="77777777" w:rsidR="00736E78" w:rsidRPr="00B84B0C" w:rsidRDefault="00736E78" w:rsidP="00736E78">
            <w:pPr>
              <w:pStyle w:val="08-Tabelageral"/>
              <w:jc w:val="left"/>
              <w:rPr>
                <w:rFonts w:cs="Arial"/>
                <w:b w:val="0"/>
              </w:rPr>
            </w:pPr>
            <w:r w:rsidRPr="00B84B0C">
              <w:rPr>
                <w:rFonts w:cs="Arial"/>
                <w:b w:val="0"/>
              </w:rPr>
              <w:t xml:space="preserve">BB Corretora de Seguros e Administradora de Bens </w:t>
            </w:r>
            <w:proofErr w:type="gramStart"/>
            <w:r w:rsidRPr="00B84B0C">
              <w:rPr>
                <w:rFonts w:cs="Arial"/>
                <w:b w:val="0"/>
              </w:rPr>
              <w:t>S.A</w:t>
            </w:r>
            <w:proofErr w:type="gramEnd"/>
          </w:p>
        </w:tc>
        <w:tc>
          <w:tcPr>
            <w:tcW w:w="850" w:type="dxa"/>
            <w:tcBorders>
              <w:top w:val="nil"/>
              <w:bottom w:val="nil"/>
            </w:tcBorders>
            <w:vAlign w:val="center"/>
          </w:tcPr>
          <w:p w14:paraId="00A85583" w14:textId="77777777" w:rsidR="00736E78" w:rsidRPr="00B84B0C" w:rsidRDefault="00736E78" w:rsidP="00736E78">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36,211</w:t>
            </w:r>
          </w:p>
        </w:tc>
        <w:tc>
          <w:tcPr>
            <w:tcW w:w="1275" w:type="dxa"/>
            <w:tcBorders>
              <w:top w:val="nil"/>
              <w:bottom w:val="nil"/>
            </w:tcBorders>
            <w:vAlign w:val="center"/>
          </w:tcPr>
          <w:p w14:paraId="54E5358A" w14:textId="77777777" w:rsidR="00736E78" w:rsidRPr="00B84B0C" w:rsidRDefault="00736E78" w:rsidP="00736E78">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525,040</w:t>
            </w:r>
          </w:p>
        </w:tc>
        <w:tc>
          <w:tcPr>
            <w:tcW w:w="292" w:type="dxa"/>
            <w:tcBorders>
              <w:top w:val="nil"/>
              <w:bottom w:val="nil"/>
            </w:tcBorders>
            <w:vAlign w:val="center"/>
          </w:tcPr>
          <w:p w14:paraId="7843DCC0" w14:textId="77777777" w:rsidR="00736E78" w:rsidRPr="00B84B0C" w:rsidRDefault="00736E78" w:rsidP="00736E78">
            <w:pPr>
              <w:pStyle w:val="08-Tabelageral"/>
              <w:jc w:val="center"/>
              <w:cnfStyle w:val="000000010000" w:firstRow="0" w:lastRow="0" w:firstColumn="0" w:lastColumn="0" w:oddVBand="0" w:evenVBand="0" w:oddHBand="0" w:evenHBand="1" w:firstRowFirstColumn="0" w:firstRowLastColumn="0" w:lastRowFirstColumn="0" w:lastRowLastColumn="0"/>
              <w:rPr>
                <w:rFonts w:cs="Arial"/>
              </w:rPr>
            </w:pPr>
          </w:p>
        </w:tc>
        <w:tc>
          <w:tcPr>
            <w:tcW w:w="1127" w:type="dxa"/>
            <w:tcBorders>
              <w:top w:val="nil"/>
              <w:bottom w:val="nil"/>
            </w:tcBorders>
            <w:vAlign w:val="center"/>
          </w:tcPr>
          <w:p w14:paraId="5E78B373"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46,908</w:t>
            </w:r>
          </w:p>
        </w:tc>
        <w:tc>
          <w:tcPr>
            <w:tcW w:w="1117" w:type="dxa"/>
            <w:tcBorders>
              <w:top w:val="nil"/>
              <w:bottom w:val="nil"/>
            </w:tcBorders>
            <w:vAlign w:val="center"/>
          </w:tcPr>
          <w:p w14:paraId="57892CC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32" w:type="dxa"/>
            <w:tcBorders>
              <w:top w:val="nil"/>
              <w:bottom w:val="nil"/>
            </w:tcBorders>
            <w:vAlign w:val="center"/>
          </w:tcPr>
          <w:p w14:paraId="44888F23"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902" w:type="dxa"/>
            <w:tcBorders>
              <w:top w:val="nil"/>
              <w:bottom w:val="nil"/>
            </w:tcBorders>
            <w:vAlign w:val="center"/>
          </w:tcPr>
          <w:p w14:paraId="45E8035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185" w:type="dxa"/>
            <w:tcBorders>
              <w:top w:val="nil"/>
              <w:bottom w:val="nil"/>
            </w:tcBorders>
            <w:vAlign w:val="center"/>
          </w:tcPr>
          <w:p w14:paraId="70D3E67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478,132</w:t>
            </w:r>
          </w:p>
        </w:tc>
        <w:tc>
          <w:tcPr>
            <w:tcW w:w="1276" w:type="dxa"/>
            <w:tcBorders>
              <w:top w:val="nil"/>
              <w:bottom w:val="nil"/>
            </w:tcBorders>
            <w:vAlign w:val="center"/>
          </w:tcPr>
          <w:p w14:paraId="0C3DF56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525,040</w:t>
            </w:r>
          </w:p>
        </w:tc>
        <w:tc>
          <w:tcPr>
            <w:tcW w:w="283" w:type="dxa"/>
            <w:tcBorders>
              <w:top w:val="nil"/>
              <w:bottom w:val="nil"/>
            </w:tcBorders>
            <w:vAlign w:val="center"/>
          </w:tcPr>
          <w:p w14:paraId="3FFBEF2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384" w:type="dxa"/>
            <w:tcBorders>
              <w:top w:val="nil"/>
              <w:bottom w:val="nil"/>
            </w:tcBorders>
            <w:vAlign w:val="center"/>
          </w:tcPr>
          <w:p w14:paraId="3F1234E9"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478,132</w:t>
            </w:r>
          </w:p>
        </w:tc>
      </w:tr>
      <w:tr w:rsidR="00736E78" w:rsidRPr="00B84B0C" w14:paraId="6A8618B0"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61" w:type="dxa"/>
            <w:tcBorders>
              <w:top w:val="nil"/>
              <w:bottom w:val="single" w:sz="2" w:space="0" w:color="8EAADB" w:themeColor="accent5" w:themeTint="99"/>
            </w:tcBorders>
            <w:vAlign w:val="center"/>
          </w:tcPr>
          <w:p w14:paraId="52074853" w14:textId="77777777" w:rsidR="00736E78" w:rsidRPr="00B84B0C" w:rsidRDefault="00736E78" w:rsidP="00736E78">
            <w:pPr>
              <w:pStyle w:val="08-Tabelageral"/>
              <w:jc w:val="left"/>
              <w:rPr>
                <w:rFonts w:cs="Arial"/>
              </w:rPr>
            </w:pPr>
            <w:r w:rsidRPr="00B84B0C">
              <w:rPr>
                <w:rFonts w:cs="Arial"/>
              </w:rPr>
              <w:t xml:space="preserve">Total </w:t>
            </w:r>
            <w:proofErr w:type="spellStart"/>
            <w:r w:rsidRPr="00B84B0C">
              <w:rPr>
                <w:rFonts w:cs="Arial"/>
              </w:rPr>
              <w:t>Investment</w:t>
            </w:r>
            <w:proofErr w:type="spellEnd"/>
            <w:r w:rsidRPr="00B84B0C">
              <w:rPr>
                <w:rFonts w:cs="Arial"/>
              </w:rPr>
              <w:t xml:space="preserve"> in Associates</w:t>
            </w:r>
          </w:p>
        </w:tc>
        <w:tc>
          <w:tcPr>
            <w:tcW w:w="850" w:type="dxa"/>
            <w:tcBorders>
              <w:top w:val="nil"/>
              <w:bottom w:val="single" w:sz="2" w:space="0" w:color="8EAADB" w:themeColor="accent5" w:themeTint="99"/>
            </w:tcBorders>
            <w:vAlign w:val="center"/>
          </w:tcPr>
          <w:p w14:paraId="7C6E7BE1"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275" w:type="dxa"/>
            <w:tcBorders>
              <w:top w:val="nil"/>
              <w:bottom w:val="single" w:sz="2" w:space="0" w:color="8EAADB" w:themeColor="accent5" w:themeTint="99"/>
            </w:tcBorders>
            <w:vAlign w:val="center"/>
          </w:tcPr>
          <w:p w14:paraId="35935DE0"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292" w:type="dxa"/>
            <w:tcBorders>
              <w:top w:val="nil"/>
              <w:bottom w:val="single" w:sz="2" w:space="0" w:color="8EAADB" w:themeColor="accent5" w:themeTint="99"/>
            </w:tcBorders>
            <w:vAlign w:val="center"/>
          </w:tcPr>
          <w:p w14:paraId="71852D05"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27" w:type="dxa"/>
            <w:tcBorders>
              <w:top w:val="nil"/>
              <w:bottom w:val="single" w:sz="2" w:space="0" w:color="8EAADB" w:themeColor="accent5" w:themeTint="99"/>
            </w:tcBorders>
            <w:vAlign w:val="center"/>
          </w:tcPr>
          <w:p w14:paraId="1D1D0012"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5,478,303</w:t>
            </w:r>
          </w:p>
        </w:tc>
        <w:tc>
          <w:tcPr>
            <w:tcW w:w="1117" w:type="dxa"/>
            <w:tcBorders>
              <w:top w:val="nil"/>
              <w:bottom w:val="single" w:sz="2" w:space="0" w:color="8EAADB" w:themeColor="accent5" w:themeTint="99"/>
            </w:tcBorders>
            <w:vAlign w:val="center"/>
          </w:tcPr>
          <w:p w14:paraId="7C9871B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w:t>
            </w:r>
          </w:p>
        </w:tc>
        <w:tc>
          <w:tcPr>
            <w:tcW w:w="1332" w:type="dxa"/>
            <w:tcBorders>
              <w:top w:val="nil"/>
              <w:bottom w:val="single" w:sz="2" w:space="0" w:color="8EAADB" w:themeColor="accent5" w:themeTint="99"/>
            </w:tcBorders>
            <w:vAlign w:val="center"/>
          </w:tcPr>
          <w:p w14:paraId="7F4EE4F2"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(35,080)</w:t>
            </w:r>
          </w:p>
        </w:tc>
        <w:tc>
          <w:tcPr>
            <w:tcW w:w="902" w:type="dxa"/>
            <w:tcBorders>
              <w:top w:val="nil"/>
              <w:bottom w:val="single" w:sz="2" w:space="0" w:color="8EAADB" w:themeColor="accent5" w:themeTint="99"/>
            </w:tcBorders>
            <w:vAlign w:val="center"/>
          </w:tcPr>
          <w:p w14:paraId="10B2211C"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w:t>
            </w:r>
          </w:p>
        </w:tc>
        <w:tc>
          <w:tcPr>
            <w:tcW w:w="1185" w:type="dxa"/>
            <w:tcBorders>
              <w:top w:val="nil"/>
              <w:bottom w:val="single" w:sz="2" w:space="0" w:color="8EAADB" w:themeColor="accent5" w:themeTint="99"/>
            </w:tcBorders>
            <w:vAlign w:val="center"/>
          </w:tcPr>
          <w:p w14:paraId="1CACF92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868,229</w:t>
            </w:r>
          </w:p>
          <w:p w14:paraId="32DE252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76" w:type="dxa"/>
            <w:tcBorders>
              <w:top w:val="nil"/>
              <w:bottom w:val="single" w:sz="2" w:space="0" w:color="8EAADB" w:themeColor="accent5" w:themeTint="99"/>
            </w:tcBorders>
            <w:vAlign w:val="center"/>
          </w:tcPr>
          <w:p w14:paraId="0F45266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6,311,452</w:t>
            </w:r>
          </w:p>
        </w:tc>
        <w:tc>
          <w:tcPr>
            <w:tcW w:w="283" w:type="dxa"/>
            <w:tcBorders>
              <w:top w:val="nil"/>
              <w:bottom w:val="single" w:sz="2" w:space="0" w:color="8EAADB" w:themeColor="accent5" w:themeTint="99"/>
            </w:tcBorders>
            <w:vAlign w:val="center"/>
          </w:tcPr>
          <w:p w14:paraId="6ADF55AC"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384" w:type="dxa"/>
            <w:tcBorders>
              <w:top w:val="nil"/>
              <w:bottom w:val="single" w:sz="2" w:space="0" w:color="8EAADB" w:themeColor="accent5" w:themeTint="99"/>
            </w:tcBorders>
            <w:vAlign w:val="center"/>
          </w:tcPr>
          <w:p w14:paraId="14E684EC"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868,229</w:t>
            </w:r>
          </w:p>
        </w:tc>
      </w:tr>
    </w:tbl>
    <w:p w14:paraId="356E18AA" w14:textId="77777777" w:rsidR="00736E78" w:rsidRPr="00B84B0C" w:rsidRDefault="00736E78" w:rsidP="00736E78">
      <w:pPr>
        <w:pStyle w:val="06-Rmil"/>
        <w:ind w:right="-2"/>
        <w:rPr>
          <w:rFonts w:cs="Arial"/>
        </w:rPr>
      </w:pPr>
    </w:p>
    <w:p w14:paraId="5BB50DD8" w14:textId="77777777" w:rsidR="00736E78" w:rsidRPr="00B84B0C" w:rsidRDefault="00736E78" w:rsidP="00736E78">
      <w:pPr>
        <w:pStyle w:val="06-Rmil"/>
        <w:ind w:right="-2"/>
        <w:rPr>
          <w:rFonts w:cs="Arial"/>
        </w:rPr>
      </w:pPr>
      <w:r w:rsidRPr="00B84B0C">
        <w:rPr>
          <w:rFonts w:cs="Arial"/>
        </w:rPr>
        <w:t>R$ </w:t>
      </w:r>
      <w:proofErr w:type="spellStart"/>
      <w:r w:rsidRPr="00B84B0C">
        <w:rPr>
          <w:rFonts w:cs="Arial"/>
        </w:rPr>
        <w:t>thousand</w:t>
      </w:r>
      <w:proofErr w:type="spellEnd"/>
    </w:p>
    <w:tbl>
      <w:tblPr>
        <w:tblStyle w:val="TabeladeLista6Colorida-nfase510"/>
        <w:tblW w:w="14884" w:type="dxa"/>
        <w:tblInd w:w="108" w:type="dxa"/>
        <w:tblLayout w:type="fixed"/>
        <w:tblLook w:val="04A0" w:firstRow="1" w:lastRow="0" w:firstColumn="1" w:lastColumn="0" w:noHBand="0" w:noVBand="1"/>
      </w:tblPr>
      <w:tblGrid>
        <w:gridCol w:w="3789"/>
        <w:gridCol w:w="923"/>
        <w:gridCol w:w="1276"/>
        <w:gridCol w:w="239"/>
        <w:gridCol w:w="1178"/>
        <w:gridCol w:w="1117"/>
        <w:gridCol w:w="1332"/>
        <w:gridCol w:w="902"/>
        <w:gridCol w:w="1261"/>
        <w:gridCol w:w="1251"/>
        <w:gridCol w:w="238"/>
        <w:gridCol w:w="1378"/>
      </w:tblGrid>
      <w:tr w:rsidR="00736E78" w:rsidRPr="00B84B0C" w14:paraId="18D8FED3" w14:textId="77777777" w:rsidTr="00736E78">
        <w:trPr>
          <w:cnfStyle w:val="100000000000" w:firstRow="1" w:lastRow="0" w:firstColumn="0" w:lastColumn="0" w:oddVBand="0" w:evenVBand="0" w:oddHBand="0" w:evenHBand="0"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3789" w:type="dxa"/>
            <w:tcBorders>
              <w:top w:val="single" w:sz="2" w:space="0" w:color="8EAADB" w:themeColor="accent5" w:themeTint="99"/>
              <w:bottom w:val="nil"/>
            </w:tcBorders>
            <w:vAlign w:val="center"/>
          </w:tcPr>
          <w:p w14:paraId="4BE0FA60" w14:textId="77777777" w:rsidR="00736E78" w:rsidRPr="00B84B0C" w:rsidRDefault="00736E78" w:rsidP="00736E78">
            <w:pPr>
              <w:rPr>
                <w:rFonts w:cs="Arial"/>
                <w:sz w:val="14"/>
                <w:szCs w:val="14"/>
              </w:rPr>
            </w:pPr>
            <w:proofErr w:type="spellStart"/>
            <w:r w:rsidRPr="00B84B0C">
              <w:rPr>
                <w:rFonts w:cs="Arial"/>
                <w:bCs w:val="0"/>
                <w:sz w:val="14"/>
                <w:szCs w:val="14"/>
              </w:rPr>
              <w:t>Company</w:t>
            </w:r>
            <w:proofErr w:type="spellEnd"/>
          </w:p>
        </w:tc>
        <w:tc>
          <w:tcPr>
            <w:tcW w:w="923" w:type="dxa"/>
            <w:tcBorders>
              <w:top w:val="single" w:sz="2" w:space="0" w:color="8EAADB" w:themeColor="accent5" w:themeTint="99"/>
              <w:bottom w:val="nil"/>
            </w:tcBorders>
            <w:vAlign w:val="center"/>
          </w:tcPr>
          <w:p w14:paraId="10F205BA"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1276" w:type="dxa"/>
            <w:tcBorders>
              <w:top w:val="single" w:sz="2" w:space="0" w:color="8EAADB" w:themeColor="accent5" w:themeTint="99"/>
              <w:bottom w:val="nil"/>
            </w:tcBorders>
            <w:vAlign w:val="center"/>
          </w:tcPr>
          <w:p w14:paraId="2FD263AC"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p>
        </w:tc>
        <w:tc>
          <w:tcPr>
            <w:tcW w:w="239" w:type="dxa"/>
            <w:tcBorders>
              <w:top w:val="single" w:sz="2" w:space="0" w:color="8EAADB" w:themeColor="accent5" w:themeTint="99"/>
              <w:bottom w:val="nil"/>
            </w:tcBorders>
            <w:vAlign w:val="center"/>
          </w:tcPr>
          <w:p w14:paraId="354692AE"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8657" w:type="dxa"/>
            <w:gridSpan w:val="8"/>
            <w:tcBorders>
              <w:top w:val="single" w:sz="2" w:space="0" w:color="8EAADB" w:themeColor="accent5" w:themeTint="99"/>
              <w:bottom w:val="single" w:sz="2" w:space="0" w:color="8EAADB" w:themeColor="accent5" w:themeTint="99"/>
            </w:tcBorders>
            <w:vAlign w:val="center"/>
          </w:tcPr>
          <w:p w14:paraId="6F75E4D7"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bCs w:val="0"/>
                <w:sz w:val="14"/>
                <w:szCs w:val="14"/>
              </w:rPr>
              <w:t>Consolidated</w:t>
            </w:r>
            <w:proofErr w:type="spellEnd"/>
          </w:p>
        </w:tc>
      </w:tr>
      <w:tr w:rsidR="00736E78" w:rsidRPr="00B84B0C" w14:paraId="0655B3D2" w14:textId="77777777" w:rsidTr="00736E78">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shd w:val="clear" w:color="auto" w:fill="D9E2F3" w:themeFill="accent5" w:themeFillTint="33"/>
            <w:vAlign w:val="center"/>
          </w:tcPr>
          <w:p w14:paraId="57B49BB9" w14:textId="77777777" w:rsidR="00736E78" w:rsidRPr="00B84B0C" w:rsidRDefault="00736E78" w:rsidP="00736E78">
            <w:pPr>
              <w:rPr>
                <w:rFonts w:cs="Arial"/>
                <w:sz w:val="14"/>
                <w:szCs w:val="14"/>
              </w:rPr>
            </w:pPr>
          </w:p>
        </w:tc>
        <w:tc>
          <w:tcPr>
            <w:tcW w:w="923" w:type="dxa"/>
            <w:tcBorders>
              <w:top w:val="nil"/>
              <w:bottom w:val="nil"/>
            </w:tcBorders>
            <w:shd w:val="clear" w:color="auto" w:fill="D9E2F3" w:themeFill="accent5" w:themeFillTint="33"/>
            <w:vAlign w:val="center"/>
          </w:tcPr>
          <w:p w14:paraId="46C6F574"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Capital</w:t>
            </w:r>
          </w:p>
        </w:tc>
        <w:tc>
          <w:tcPr>
            <w:tcW w:w="1276" w:type="dxa"/>
            <w:tcBorders>
              <w:top w:val="nil"/>
              <w:bottom w:val="nil"/>
            </w:tcBorders>
            <w:shd w:val="clear" w:color="auto" w:fill="D9E2F3" w:themeFill="accent5" w:themeFillTint="33"/>
            <w:vAlign w:val="center"/>
          </w:tcPr>
          <w:p w14:paraId="59C33689"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Stockholders</w:t>
            </w:r>
            <w:proofErr w:type="spellEnd"/>
            <w:r w:rsidRPr="00B84B0C">
              <w:rPr>
                <w:rFonts w:cs="Arial"/>
                <w:b/>
                <w:sz w:val="14"/>
                <w:szCs w:val="14"/>
              </w:rPr>
              <w:t xml:space="preserve">' </w:t>
            </w:r>
            <w:proofErr w:type="spellStart"/>
            <w:r w:rsidRPr="00B84B0C">
              <w:rPr>
                <w:rFonts w:cs="Arial"/>
                <w:b/>
                <w:sz w:val="14"/>
                <w:szCs w:val="14"/>
              </w:rPr>
              <w:t>equity</w:t>
            </w:r>
            <w:proofErr w:type="spellEnd"/>
            <w:r w:rsidRPr="00B84B0C">
              <w:rPr>
                <w:rFonts w:cs="Arial"/>
                <w:b/>
                <w:sz w:val="14"/>
                <w:szCs w:val="14"/>
              </w:rPr>
              <w:t xml:space="preserve"> </w:t>
            </w:r>
            <w:proofErr w:type="spellStart"/>
            <w:proofErr w:type="gramStart"/>
            <w:r w:rsidRPr="00B84B0C">
              <w:rPr>
                <w:rFonts w:cs="Arial"/>
                <w:b/>
                <w:sz w:val="14"/>
                <w:szCs w:val="14"/>
              </w:rPr>
              <w:t>adjusted</w:t>
            </w:r>
            <w:proofErr w:type="spellEnd"/>
            <w:r w:rsidRPr="00B84B0C">
              <w:rPr>
                <w:rFonts w:cs="Arial"/>
                <w:b/>
                <w:sz w:val="14"/>
                <w:szCs w:val="14"/>
                <w:vertAlign w:val="superscript"/>
              </w:rPr>
              <w:t>(</w:t>
            </w:r>
            <w:proofErr w:type="gramEnd"/>
            <w:r w:rsidRPr="00B84B0C">
              <w:rPr>
                <w:rFonts w:cs="Arial"/>
                <w:b/>
                <w:sz w:val="14"/>
                <w:szCs w:val="14"/>
                <w:vertAlign w:val="superscript"/>
              </w:rPr>
              <w:t>1)</w:t>
            </w:r>
            <w:r w:rsidRPr="00B84B0C">
              <w:rPr>
                <w:rFonts w:cs="Arial"/>
                <w:b/>
                <w:sz w:val="14"/>
                <w:szCs w:val="14"/>
              </w:rPr>
              <w:tab/>
            </w:r>
          </w:p>
          <w:p w14:paraId="311005FB"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ab/>
            </w:r>
          </w:p>
        </w:tc>
        <w:tc>
          <w:tcPr>
            <w:tcW w:w="239" w:type="dxa"/>
            <w:tcBorders>
              <w:top w:val="nil"/>
              <w:bottom w:val="nil"/>
            </w:tcBorders>
            <w:shd w:val="clear" w:color="auto" w:fill="D9E2F3" w:themeFill="accent5" w:themeFillTint="33"/>
            <w:vAlign w:val="center"/>
          </w:tcPr>
          <w:p w14:paraId="4EC22A5A"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1178" w:type="dxa"/>
            <w:tcBorders>
              <w:top w:val="nil"/>
              <w:bottom w:val="nil"/>
            </w:tcBorders>
            <w:shd w:val="clear" w:color="auto" w:fill="D9E2F3" w:themeFill="accent5" w:themeFillTint="33"/>
            <w:vAlign w:val="center"/>
          </w:tcPr>
          <w:p w14:paraId="09DF9311"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4612" w:type="dxa"/>
            <w:gridSpan w:val="4"/>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119BAE1"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roofErr w:type="spellStart"/>
            <w:r w:rsidRPr="00B84B0C">
              <w:rPr>
                <w:rFonts w:cs="Arial"/>
                <w:b/>
                <w:sz w:val="14"/>
                <w:szCs w:val="14"/>
                <w:lang w:val="en-US"/>
              </w:rPr>
              <w:t>Moviments</w:t>
            </w:r>
            <w:proofErr w:type="spellEnd"/>
            <w:r w:rsidRPr="00B84B0C">
              <w:rPr>
                <w:rFonts w:cs="Arial"/>
                <w:b/>
                <w:sz w:val="14"/>
                <w:szCs w:val="14"/>
                <w:lang w:val="en-US"/>
              </w:rPr>
              <w:t xml:space="preserve"> from Jan 01, </w:t>
            </w:r>
            <w:proofErr w:type="gramStart"/>
            <w:r w:rsidRPr="00B84B0C">
              <w:rPr>
                <w:rFonts w:cs="Arial"/>
                <w:b/>
                <w:sz w:val="14"/>
                <w:szCs w:val="14"/>
                <w:lang w:val="en-US"/>
              </w:rPr>
              <w:t>2020</w:t>
            </w:r>
            <w:proofErr w:type="gramEnd"/>
            <w:r w:rsidRPr="00B84B0C">
              <w:rPr>
                <w:rFonts w:cs="Arial"/>
                <w:b/>
                <w:sz w:val="14"/>
                <w:szCs w:val="14"/>
                <w:lang w:val="en-US"/>
              </w:rPr>
              <w:t xml:space="preserve"> to Mar 31, 2020</w:t>
            </w:r>
          </w:p>
        </w:tc>
        <w:tc>
          <w:tcPr>
            <w:tcW w:w="1251" w:type="dxa"/>
            <w:tcBorders>
              <w:top w:val="single" w:sz="2" w:space="0" w:color="8EAADB" w:themeColor="accent5" w:themeTint="99"/>
              <w:bottom w:val="nil"/>
            </w:tcBorders>
            <w:shd w:val="clear" w:color="auto" w:fill="D9E2F3" w:themeFill="accent5" w:themeFillTint="33"/>
            <w:vAlign w:val="center"/>
          </w:tcPr>
          <w:p w14:paraId="3323436C"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
        </w:tc>
        <w:tc>
          <w:tcPr>
            <w:tcW w:w="238" w:type="dxa"/>
            <w:tcBorders>
              <w:top w:val="single" w:sz="2" w:space="0" w:color="8EAADB" w:themeColor="accent5" w:themeTint="99"/>
              <w:bottom w:val="nil"/>
            </w:tcBorders>
            <w:shd w:val="clear" w:color="auto" w:fill="D9E2F3" w:themeFill="accent5" w:themeFillTint="33"/>
            <w:vAlign w:val="center"/>
          </w:tcPr>
          <w:p w14:paraId="6ADE5F79"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
        </w:tc>
        <w:tc>
          <w:tcPr>
            <w:tcW w:w="1378"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70018B9B"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Share</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Profit</w:t>
            </w:r>
          </w:p>
        </w:tc>
      </w:tr>
      <w:tr w:rsidR="00736E78" w:rsidRPr="00B84B0C" w14:paraId="3B10E120" w14:textId="77777777" w:rsidTr="00736E78">
        <w:trPr>
          <w:cnfStyle w:val="000000010000" w:firstRow="0" w:lastRow="0" w:firstColumn="0" w:lastColumn="0" w:oddVBand="0" w:evenVBand="0" w:oddHBand="0" w:evenHBand="1"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3789" w:type="dxa"/>
            <w:tcBorders>
              <w:top w:val="nil"/>
              <w:bottom w:val="single" w:sz="4" w:space="0" w:color="8EAADB" w:themeColor="accent5" w:themeTint="99"/>
            </w:tcBorders>
            <w:vAlign w:val="center"/>
          </w:tcPr>
          <w:p w14:paraId="20E0322B" w14:textId="77777777" w:rsidR="00736E78" w:rsidRPr="00B84B0C" w:rsidRDefault="00736E78" w:rsidP="00736E78">
            <w:pPr>
              <w:rPr>
                <w:rFonts w:cs="Arial"/>
                <w:sz w:val="14"/>
                <w:szCs w:val="14"/>
              </w:rPr>
            </w:pPr>
          </w:p>
        </w:tc>
        <w:tc>
          <w:tcPr>
            <w:tcW w:w="923" w:type="dxa"/>
            <w:tcBorders>
              <w:top w:val="nil"/>
              <w:bottom w:val="single" w:sz="4" w:space="0" w:color="8EAADB" w:themeColor="accent5" w:themeTint="99"/>
            </w:tcBorders>
            <w:vAlign w:val="center"/>
          </w:tcPr>
          <w:p w14:paraId="53F15BE9"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276" w:type="dxa"/>
            <w:tcBorders>
              <w:top w:val="nil"/>
              <w:bottom w:val="single" w:sz="4" w:space="0" w:color="8EAADB" w:themeColor="accent5" w:themeTint="99"/>
            </w:tcBorders>
            <w:vAlign w:val="center"/>
          </w:tcPr>
          <w:p w14:paraId="6D5FCDA3"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239" w:type="dxa"/>
            <w:tcBorders>
              <w:top w:val="nil"/>
              <w:bottom w:val="single" w:sz="4" w:space="0" w:color="8EAADB" w:themeColor="accent5" w:themeTint="99"/>
            </w:tcBorders>
            <w:vAlign w:val="center"/>
          </w:tcPr>
          <w:p w14:paraId="0F60D7CF"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178" w:type="dxa"/>
            <w:tcBorders>
              <w:top w:val="nil"/>
              <w:bottom w:val="single" w:sz="4" w:space="0" w:color="8EAADB" w:themeColor="accent5" w:themeTint="99"/>
            </w:tcBorders>
            <w:vAlign w:val="center"/>
          </w:tcPr>
          <w:p w14:paraId="1143E1C4"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Carrying </w:t>
            </w:r>
            <w:proofErr w:type="spellStart"/>
            <w:r w:rsidRPr="00B84B0C">
              <w:rPr>
                <w:rFonts w:cs="Arial"/>
                <w:b/>
                <w:sz w:val="14"/>
                <w:szCs w:val="14"/>
              </w:rPr>
              <w:t>amount</w:t>
            </w:r>
            <w:proofErr w:type="spellEnd"/>
            <w:r w:rsidRPr="00B84B0C">
              <w:rPr>
                <w:rFonts w:cs="Arial"/>
                <w:b/>
                <w:sz w:val="14"/>
                <w:szCs w:val="14"/>
              </w:rPr>
              <w:t xml:space="preserve"> </w:t>
            </w:r>
            <w:proofErr w:type="spellStart"/>
            <w:r w:rsidRPr="00B84B0C">
              <w:rPr>
                <w:rFonts w:cs="Arial"/>
                <w:b/>
                <w:sz w:val="14"/>
                <w:szCs w:val="14"/>
              </w:rPr>
              <w:t>Dec</w:t>
            </w:r>
            <w:proofErr w:type="spellEnd"/>
            <w:r w:rsidRPr="00B84B0C">
              <w:rPr>
                <w:rFonts w:cs="Arial"/>
                <w:b/>
                <w:sz w:val="14"/>
                <w:szCs w:val="14"/>
              </w:rPr>
              <w:t xml:space="preserve"> 31, 2019</w:t>
            </w:r>
          </w:p>
        </w:tc>
        <w:tc>
          <w:tcPr>
            <w:tcW w:w="1117" w:type="dxa"/>
            <w:tcBorders>
              <w:top w:val="single" w:sz="2" w:space="0" w:color="8EAADB" w:themeColor="accent5" w:themeTint="99"/>
              <w:bottom w:val="single" w:sz="2" w:space="0" w:color="8EAADB" w:themeColor="accent5" w:themeTint="99"/>
            </w:tcBorders>
            <w:vAlign w:val="center"/>
          </w:tcPr>
          <w:p w14:paraId="7438CD34"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roofErr w:type="spellStart"/>
            <w:r w:rsidRPr="00B84B0C">
              <w:rPr>
                <w:rFonts w:cs="Arial"/>
                <w:b/>
                <w:sz w:val="14"/>
                <w:szCs w:val="14"/>
              </w:rPr>
              <w:t>Dividends</w:t>
            </w:r>
            <w:proofErr w:type="spellEnd"/>
          </w:p>
        </w:tc>
        <w:tc>
          <w:tcPr>
            <w:tcW w:w="1332" w:type="dxa"/>
            <w:tcBorders>
              <w:top w:val="single" w:sz="2" w:space="0" w:color="8EAADB" w:themeColor="accent5" w:themeTint="99"/>
              <w:bottom w:val="single" w:sz="2" w:space="0" w:color="8EAADB" w:themeColor="accent5" w:themeTint="99"/>
            </w:tcBorders>
            <w:vAlign w:val="center"/>
          </w:tcPr>
          <w:p w14:paraId="42253C27"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roofErr w:type="spellStart"/>
            <w:r w:rsidRPr="00B84B0C">
              <w:rPr>
                <w:rFonts w:cs="Arial"/>
                <w:b/>
                <w:bCs/>
                <w:szCs w:val="14"/>
              </w:rPr>
              <w:t>Equity</w:t>
            </w:r>
            <w:proofErr w:type="spellEnd"/>
            <w:r w:rsidRPr="00B84B0C">
              <w:rPr>
                <w:rFonts w:cs="Arial"/>
                <w:b/>
                <w:bCs/>
                <w:szCs w:val="14"/>
              </w:rPr>
              <w:t xml:space="preserve"> </w:t>
            </w:r>
            <w:proofErr w:type="spellStart"/>
            <w:r w:rsidRPr="00B84B0C">
              <w:rPr>
                <w:rFonts w:cs="Arial"/>
                <w:b/>
                <w:bCs/>
                <w:szCs w:val="14"/>
              </w:rPr>
              <w:t>valuation</w:t>
            </w:r>
            <w:proofErr w:type="spellEnd"/>
            <w:r w:rsidRPr="00B84B0C">
              <w:rPr>
                <w:rFonts w:cs="Arial"/>
                <w:b/>
                <w:bCs/>
                <w:szCs w:val="14"/>
              </w:rPr>
              <w:t xml:space="preserve"> </w:t>
            </w:r>
            <w:proofErr w:type="spellStart"/>
            <w:r w:rsidRPr="00B84B0C">
              <w:rPr>
                <w:rFonts w:cs="Arial"/>
                <w:b/>
                <w:bCs/>
                <w:szCs w:val="14"/>
              </w:rPr>
              <w:t>adjustments</w:t>
            </w:r>
            <w:proofErr w:type="spellEnd"/>
          </w:p>
        </w:tc>
        <w:tc>
          <w:tcPr>
            <w:tcW w:w="902" w:type="dxa"/>
            <w:tcBorders>
              <w:top w:val="single" w:sz="2" w:space="0" w:color="8EAADB" w:themeColor="accent5" w:themeTint="99"/>
              <w:bottom w:val="single" w:sz="2" w:space="0" w:color="8EAADB" w:themeColor="accent5" w:themeTint="99"/>
            </w:tcBorders>
            <w:vAlign w:val="center"/>
          </w:tcPr>
          <w:p w14:paraId="29816C2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B84B0C">
              <w:rPr>
                <w:rFonts w:cs="Arial"/>
                <w:b/>
                <w:bCs/>
                <w:szCs w:val="14"/>
              </w:rPr>
              <w:t xml:space="preserve">Other </w:t>
            </w:r>
            <w:proofErr w:type="spellStart"/>
            <w:proofErr w:type="gramStart"/>
            <w:r w:rsidRPr="00B84B0C">
              <w:rPr>
                <w:rFonts w:cs="Arial"/>
                <w:b/>
                <w:bCs/>
                <w:szCs w:val="14"/>
              </w:rPr>
              <w:t>events</w:t>
            </w:r>
            <w:proofErr w:type="spellEnd"/>
            <w:r w:rsidRPr="00B84B0C">
              <w:rPr>
                <w:rFonts w:cs="Arial"/>
                <w:b/>
                <w:bCs/>
                <w:szCs w:val="14"/>
                <w:vertAlign w:val="superscript"/>
              </w:rPr>
              <w:t>(</w:t>
            </w:r>
            <w:proofErr w:type="gramEnd"/>
            <w:r w:rsidRPr="00B84B0C">
              <w:rPr>
                <w:rFonts w:cs="Arial"/>
                <w:b/>
                <w:bCs/>
                <w:szCs w:val="14"/>
                <w:vertAlign w:val="superscript"/>
              </w:rPr>
              <w:t>5)</w:t>
            </w:r>
            <w:r w:rsidRPr="00B84B0C">
              <w:rPr>
                <w:rFonts w:cs="Arial"/>
                <w:b/>
                <w:bCs/>
                <w:szCs w:val="14"/>
              </w:rPr>
              <w:t xml:space="preserve">    </w:t>
            </w:r>
          </w:p>
        </w:tc>
        <w:tc>
          <w:tcPr>
            <w:tcW w:w="1261" w:type="dxa"/>
            <w:tcBorders>
              <w:top w:val="single" w:sz="2" w:space="0" w:color="8EAADB" w:themeColor="accent5" w:themeTint="99"/>
              <w:bottom w:val="single" w:sz="2" w:space="0" w:color="8EAADB" w:themeColor="accent5" w:themeTint="99"/>
            </w:tcBorders>
            <w:vAlign w:val="center"/>
          </w:tcPr>
          <w:p w14:paraId="651FC32D"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roofErr w:type="spellStart"/>
            <w:r w:rsidRPr="00B84B0C">
              <w:rPr>
                <w:rFonts w:cs="Arial"/>
                <w:b/>
                <w:sz w:val="14"/>
                <w:szCs w:val="14"/>
              </w:rPr>
              <w:t>Share</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w:t>
            </w:r>
            <w:proofErr w:type="spellStart"/>
            <w:r w:rsidRPr="00B84B0C">
              <w:rPr>
                <w:rFonts w:cs="Arial"/>
                <w:b/>
                <w:sz w:val="14"/>
                <w:szCs w:val="14"/>
              </w:rPr>
              <w:t>profit</w:t>
            </w:r>
            <w:proofErr w:type="spellEnd"/>
          </w:p>
        </w:tc>
        <w:tc>
          <w:tcPr>
            <w:tcW w:w="1251" w:type="dxa"/>
            <w:tcBorders>
              <w:top w:val="nil"/>
              <w:bottom w:val="single" w:sz="2" w:space="0" w:color="8EAADB" w:themeColor="accent5" w:themeTint="99"/>
            </w:tcBorders>
            <w:vAlign w:val="center"/>
          </w:tcPr>
          <w:p w14:paraId="0E8F8478"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Carrying </w:t>
            </w:r>
            <w:proofErr w:type="spellStart"/>
            <w:r w:rsidRPr="00B84B0C">
              <w:rPr>
                <w:rFonts w:cs="Arial"/>
                <w:b/>
                <w:sz w:val="14"/>
                <w:szCs w:val="14"/>
              </w:rPr>
              <w:t>amount</w:t>
            </w:r>
            <w:proofErr w:type="spellEnd"/>
            <w:r w:rsidRPr="00B84B0C">
              <w:rPr>
                <w:rFonts w:cs="Arial"/>
                <w:b/>
                <w:sz w:val="14"/>
                <w:szCs w:val="14"/>
              </w:rPr>
              <w:t xml:space="preserve"> </w:t>
            </w:r>
            <w:proofErr w:type="gramStart"/>
            <w:r w:rsidRPr="00B84B0C">
              <w:rPr>
                <w:rFonts w:cs="Arial"/>
                <w:b/>
                <w:sz w:val="14"/>
                <w:szCs w:val="14"/>
              </w:rPr>
              <w:t>Mar  31</w:t>
            </w:r>
            <w:proofErr w:type="gramEnd"/>
            <w:r w:rsidRPr="00B84B0C">
              <w:rPr>
                <w:rFonts w:cs="Arial"/>
                <w:b/>
                <w:sz w:val="14"/>
                <w:szCs w:val="14"/>
              </w:rPr>
              <w:t>, 2020</w:t>
            </w:r>
          </w:p>
        </w:tc>
        <w:tc>
          <w:tcPr>
            <w:tcW w:w="238" w:type="dxa"/>
            <w:tcBorders>
              <w:top w:val="nil"/>
              <w:bottom w:val="single" w:sz="2" w:space="0" w:color="8EAADB" w:themeColor="accent5" w:themeTint="99"/>
            </w:tcBorders>
            <w:vAlign w:val="center"/>
          </w:tcPr>
          <w:p w14:paraId="32D9B162"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378" w:type="dxa"/>
            <w:tcBorders>
              <w:top w:val="single" w:sz="2" w:space="0" w:color="8EAADB" w:themeColor="accent5" w:themeTint="99"/>
              <w:bottom w:val="single" w:sz="2" w:space="0" w:color="8EAADB" w:themeColor="accent5" w:themeTint="99"/>
            </w:tcBorders>
            <w:vAlign w:val="center"/>
          </w:tcPr>
          <w:p w14:paraId="6476C282"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1st </w:t>
            </w:r>
            <w:proofErr w:type="spellStart"/>
            <w:r w:rsidRPr="00B84B0C">
              <w:rPr>
                <w:rFonts w:cs="Arial"/>
                <w:b/>
                <w:sz w:val="14"/>
                <w:szCs w:val="14"/>
              </w:rPr>
              <w:t>Quarter</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2020</w:t>
            </w:r>
          </w:p>
        </w:tc>
      </w:tr>
      <w:tr w:rsidR="00736E78" w:rsidRPr="00B84B0C" w14:paraId="6DFEF168" w14:textId="77777777" w:rsidTr="00736E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single" w:sz="4" w:space="0" w:color="8EAADB" w:themeColor="accent5" w:themeTint="99"/>
              <w:bottom w:val="nil"/>
            </w:tcBorders>
            <w:vAlign w:val="center"/>
          </w:tcPr>
          <w:p w14:paraId="119951AF" w14:textId="77777777" w:rsidR="00736E78" w:rsidRPr="00B84B0C" w:rsidRDefault="00736E78" w:rsidP="00736E78">
            <w:pPr>
              <w:pStyle w:val="08-Tabelageral"/>
              <w:jc w:val="left"/>
              <w:rPr>
                <w:rFonts w:cs="Arial"/>
                <w:bCs w:val="0"/>
                <w:szCs w:val="14"/>
              </w:rPr>
            </w:pPr>
            <w:r w:rsidRPr="00B84B0C">
              <w:rPr>
                <w:rFonts w:cs="Arial"/>
                <w:bCs w:val="0"/>
                <w:szCs w:val="14"/>
              </w:rPr>
              <w:t>BB Seguros Participações S.A.</w:t>
            </w:r>
          </w:p>
        </w:tc>
        <w:tc>
          <w:tcPr>
            <w:tcW w:w="923" w:type="dxa"/>
            <w:tcBorders>
              <w:top w:val="single" w:sz="4" w:space="0" w:color="8EAADB" w:themeColor="accent5" w:themeTint="99"/>
              <w:bottom w:val="nil"/>
            </w:tcBorders>
            <w:vAlign w:val="center"/>
          </w:tcPr>
          <w:p w14:paraId="41DF5DDF"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76" w:type="dxa"/>
            <w:tcBorders>
              <w:top w:val="single" w:sz="4" w:space="0" w:color="8EAADB" w:themeColor="accent5" w:themeTint="99"/>
              <w:bottom w:val="nil"/>
            </w:tcBorders>
            <w:vAlign w:val="center"/>
          </w:tcPr>
          <w:p w14:paraId="31210FCD"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239" w:type="dxa"/>
            <w:tcBorders>
              <w:top w:val="single" w:sz="4" w:space="0" w:color="8EAADB" w:themeColor="accent5" w:themeTint="99"/>
              <w:bottom w:val="nil"/>
            </w:tcBorders>
            <w:vAlign w:val="center"/>
          </w:tcPr>
          <w:p w14:paraId="5C67F281"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78" w:type="dxa"/>
            <w:tcBorders>
              <w:top w:val="single" w:sz="4" w:space="0" w:color="8EAADB" w:themeColor="accent5" w:themeTint="99"/>
              <w:bottom w:val="nil"/>
            </w:tcBorders>
            <w:vAlign w:val="center"/>
          </w:tcPr>
          <w:p w14:paraId="1ACF203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17" w:type="dxa"/>
            <w:tcBorders>
              <w:top w:val="single" w:sz="2" w:space="0" w:color="8EAADB" w:themeColor="accent5" w:themeTint="99"/>
              <w:bottom w:val="nil"/>
            </w:tcBorders>
            <w:vAlign w:val="center"/>
          </w:tcPr>
          <w:p w14:paraId="1712F622"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32" w:type="dxa"/>
            <w:tcBorders>
              <w:top w:val="single" w:sz="2" w:space="0" w:color="8EAADB" w:themeColor="accent5" w:themeTint="99"/>
              <w:bottom w:val="nil"/>
            </w:tcBorders>
            <w:vAlign w:val="center"/>
          </w:tcPr>
          <w:p w14:paraId="4D79334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902" w:type="dxa"/>
            <w:tcBorders>
              <w:top w:val="single" w:sz="2" w:space="0" w:color="8EAADB" w:themeColor="accent5" w:themeTint="99"/>
              <w:bottom w:val="nil"/>
            </w:tcBorders>
            <w:vAlign w:val="center"/>
          </w:tcPr>
          <w:p w14:paraId="3DB0AB6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61" w:type="dxa"/>
            <w:tcBorders>
              <w:top w:val="single" w:sz="2" w:space="0" w:color="8EAADB" w:themeColor="accent5" w:themeTint="99"/>
              <w:bottom w:val="nil"/>
            </w:tcBorders>
            <w:vAlign w:val="center"/>
          </w:tcPr>
          <w:p w14:paraId="3DAC068D"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51" w:type="dxa"/>
            <w:tcBorders>
              <w:top w:val="single" w:sz="2" w:space="0" w:color="8EAADB" w:themeColor="accent5" w:themeTint="99"/>
              <w:bottom w:val="nil"/>
            </w:tcBorders>
            <w:vAlign w:val="center"/>
          </w:tcPr>
          <w:p w14:paraId="0B84264B"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238" w:type="dxa"/>
            <w:tcBorders>
              <w:top w:val="single" w:sz="2" w:space="0" w:color="8EAADB" w:themeColor="accent5" w:themeTint="99"/>
              <w:bottom w:val="nil"/>
            </w:tcBorders>
            <w:vAlign w:val="center"/>
          </w:tcPr>
          <w:p w14:paraId="67BDC14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78" w:type="dxa"/>
            <w:tcBorders>
              <w:top w:val="single" w:sz="2" w:space="0" w:color="8EAADB" w:themeColor="accent5" w:themeTint="99"/>
              <w:bottom w:val="nil"/>
            </w:tcBorders>
            <w:vAlign w:val="center"/>
          </w:tcPr>
          <w:p w14:paraId="75AC4C7B"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r>
      <w:tr w:rsidR="00736E78" w:rsidRPr="00B84B0C" w14:paraId="7DFE253F" w14:textId="77777777" w:rsidTr="00736E78">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6880242E" w14:textId="77777777" w:rsidR="00736E78" w:rsidRPr="00B84B0C" w:rsidRDefault="00736E78" w:rsidP="00736E78">
            <w:pPr>
              <w:pStyle w:val="08-Tabelageral"/>
              <w:jc w:val="left"/>
              <w:rPr>
                <w:rFonts w:cs="Arial"/>
                <w:b w:val="0"/>
                <w:bCs w:val="0"/>
                <w:szCs w:val="14"/>
              </w:rPr>
            </w:pPr>
            <w:r w:rsidRPr="00B84B0C">
              <w:rPr>
                <w:rFonts w:cs="Arial"/>
                <w:b w:val="0"/>
                <w:bCs w:val="0"/>
                <w:szCs w:val="14"/>
              </w:rPr>
              <w:t xml:space="preserve">BB Mapfre Participações </w:t>
            </w:r>
            <w:proofErr w:type="gramStart"/>
            <w:r w:rsidRPr="00B84B0C">
              <w:rPr>
                <w:rFonts w:cs="Arial"/>
                <w:b w:val="0"/>
                <w:bCs w:val="0"/>
                <w:szCs w:val="14"/>
              </w:rPr>
              <w:t>S.A.</w:t>
            </w:r>
            <w:r w:rsidRPr="00B84B0C">
              <w:rPr>
                <w:rFonts w:cs="Arial"/>
                <w:b w:val="0"/>
                <w:bCs w:val="0"/>
                <w:szCs w:val="14"/>
                <w:vertAlign w:val="superscript"/>
              </w:rPr>
              <w:t>(</w:t>
            </w:r>
            <w:proofErr w:type="gramEnd"/>
            <w:r w:rsidRPr="00B84B0C">
              <w:rPr>
                <w:rFonts w:cs="Arial"/>
                <w:b w:val="0"/>
                <w:bCs w:val="0"/>
                <w:szCs w:val="14"/>
                <w:vertAlign w:val="superscript"/>
              </w:rPr>
              <w:t>2)</w:t>
            </w:r>
          </w:p>
        </w:tc>
        <w:tc>
          <w:tcPr>
            <w:tcW w:w="923" w:type="dxa"/>
            <w:tcBorders>
              <w:top w:val="nil"/>
              <w:bottom w:val="nil"/>
            </w:tcBorders>
            <w:vAlign w:val="center"/>
          </w:tcPr>
          <w:p w14:paraId="16F8ED3A"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1,469,848</w:t>
            </w:r>
          </w:p>
        </w:tc>
        <w:tc>
          <w:tcPr>
            <w:tcW w:w="1276" w:type="dxa"/>
            <w:tcBorders>
              <w:top w:val="nil"/>
              <w:bottom w:val="nil"/>
            </w:tcBorders>
            <w:vAlign w:val="center"/>
          </w:tcPr>
          <w:p w14:paraId="66B18EDA"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1,901,926</w:t>
            </w:r>
          </w:p>
        </w:tc>
        <w:tc>
          <w:tcPr>
            <w:tcW w:w="239" w:type="dxa"/>
            <w:tcBorders>
              <w:top w:val="nil"/>
              <w:bottom w:val="nil"/>
            </w:tcBorders>
            <w:vAlign w:val="center"/>
          </w:tcPr>
          <w:p w14:paraId="44C237A8"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178" w:type="dxa"/>
            <w:tcBorders>
              <w:top w:val="nil"/>
              <w:bottom w:val="nil"/>
            </w:tcBorders>
            <w:vAlign w:val="center"/>
          </w:tcPr>
          <w:p w14:paraId="69DE0889"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 xml:space="preserve"> 2,028,605 </w:t>
            </w:r>
          </w:p>
        </w:tc>
        <w:tc>
          <w:tcPr>
            <w:tcW w:w="1117" w:type="dxa"/>
            <w:tcBorders>
              <w:top w:val="nil"/>
              <w:bottom w:val="nil"/>
            </w:tcBorders>
            <w:vAlign w:val="center"/>
          </w:tcPr>
          <w:p w14:paraId="05FA6E2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(298,010)</w:t>
            </w:r>
          </w:p>
        </w:tc>
        <w:tc>
          <w:tcPr>
            <w:tcW w:w="1332" w:type="dxa"/>
            <w:tcBorders>
              <w:top w:val="nil"/>
              <w:bottom w:val="nil"/>
            </w:tcBorders>
            <w:vAlign w:val="center"/>
          </w:tcPr>
          <w:p w14:paraId="7361783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(11,644)</w:t>
            </w:r>
          </w:p>
        </w:tc>
        <w:tc>
          <w:tcPr>
            <w:tcW w:w="902" w:type="dxa"/>
            <w:tcBorders>
              <w:top w:val="nil"/>
              <w:bottom w:val="nil"/>
            </w:tcBorders>
            <w:vAlign w:val="center"/>
          </w:tcPr>
          <w:p w14:paraId="7D4E5F0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261" w:type="dxa"/>
            <w:tcBorders>
              <w:top w:val="nil"/>
              <w:bottom w:val="nil"/>
            </w:tcBorders>
            <w:vAlign w:val="center"/>
          </w:tcPr>
          <w:p w14:paraId="429F6EA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242,768</w:t>
            </w:r>
          </w:p>
        </w:tc>
        <w:tc>
          <w:tcPr>
            <w:tcW w:w="1251" w:type="dxa"/>
            <w:tcBorders>
              <w:top w:val="nil"/>
              <w:bottom w:val="nil"/>
            </w:tcBorders>
            <w:vAlign w:val="center"/>
          </w:tcPr>
          <w:p w14:paraId="79659712"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1,961,719</w:t>
            </w:r>
          </w:p>
        </w:tc>
        <w:tc>
          <w:tcPr>
            <w:tcW w:w="238" w:type="dxa"/>
            <w:tcBorders>
              <w:top w:val="nil"/>
              <w:bottom w:val="nil"/>
            </w:tcBorders>
            <w:vAlign w:val="center"/>
          </w:tcPr>
          <w:p w14:paraId="49617E88"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78" w:type="dxa"/>
            <w:tcBorders>
              <w:top w:val="nil"/>
              <w:bottom w:val="nil"/>
            </w:tcBorders>
            <w:vAlign w:val="center"/>
          </w:tcPr>
          <w:p w14:paraId="3C3FFDF3"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242,768</w:t>
            </w:r>
          </w:p>
        </w:tc>
      </w:tr>
      <w:tr w:rsidR="00736E78" w:rsidRPr="00B84B0C" w14:paraId="571A5F32" w14:textId="77777777" w:rsidTr="00736E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19E7D727"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Brasilprev</w:t>
            </w:r>
            <w:proofErr w:type="spellEnd"/>
            <w:r w:rsidRPr="00B84B0C">
              <w:rPr>
                <w:rFonts w:cs="Arial"/>
                <w:b w:val="0"/>
                <w:bCs w:val="0"/>
                <w:szCs w:val="14"/>
              </w:rPr>
              <w:t xml:space="preserve"> Seguros e Previdência </w:t>
            </w:r>
            <w:proofErr w:type="gramStart"/>
            <w:r w:rsidRPr="00B84B0C">
              <w:rPr>
                <w:rFonts w:cs="Arial"/>
                <w:b w:val="0"/>
                <w:bCs w:val="0"/>
                <w:szCs w:val="14"/>
              </w:rPr>
              <w:t>S.A.</w:t>
            </w:r>
            <w:r w:rsidRPr="00B84B0C">
              <w:rPr>
                <w:rFonts w:cs="Arial"/>
                <w:b w:val="0"/>
                <w:bCs w:val="0"/>
                <w:szCs w:val="14"/>
                <w:vertAlign w:val="superscript"/>
              </w:rPr>
              <w:t>(</w:t>
            </w:r>
            <w:proofErr w:type="gramEnd"/>
            <w:r w:rsidRPr="00B84B0C">
              <w:rPr>
                <w:rFonts w:cs="Arial"/>
                <w:b w:val="0"/>
                <w:bCs w:val="0"/>
                <w:szCs w:val="14"/>
                <w:vertAlign w:val="superscript"/>
              </w:rPr>
              <w:t>3)</w:t>
            </w:r>
          </w:p>
        </w:tc>
        <w:tc>
          <w:tcPr>
            <w:tcW w:w="923" w:type="dxa"/>
            <w:tcBorders>
              <w:top w:val="nil"/>
              <w:bottom w:val="nil"/>
            </w:tcBorders>
            <w:vAlign w:val="center"/>
          </w:tcPr>
          <w:p w14:paraId="6E35B0FB"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 xml:space="preserve"> 1,418,669</w:t>
            </w:r>
          </w:p>
        </w:tc>
        <w:tc>
          <w:tcPr>
            <w:tcW w:w="1276" w:type="dxa"/>
            <w:tcBorders>
              <w:top w:val="nil"/>
              <w:bottom w:val="nil"/>
            </w:tcBorders>
            <w:vAlign w:val="center"/>
          </w:tcPr>
          <w:p w14:paraId="1CD387C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3,199,951</w:t>
            </w:r>
          </w:p>
        </w:tc>
        <w:tc>
          <w:tcPr>
            <w:tcW w:w="239" w:type="dxa"/>
            <w:tcBorders>
              <w:top w:val="nil"/>
              <w:bottom w:val="nil"/>
            </w:tcBorders>
            <w:vAlign w:val="center"/>
          </w:tcPr>
          <w:p w14:paraId="7A0C4A5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178" w:type="dxa"/>
            <w:tcBorders>
              <w:top w:val="nil"/>
              <w:bottom w:val="nil"/>
            </w:tcBorders>
            <w:vAlign w:val="center"/>
          </w:tcPr>
          <w:p w14:paraId="448CA0C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 xml:space="preserve"> 2,440,155 </w:t>
            </w:r>
          </w:p>
        </w:tc>
        <w:tc>
          <w:tcPr>
            <w:tcW w:w="1117" w:type="dxa"/>
            <w:tcBorders>
              <w:top w:val="nil"/>
              <w:bottom w:val="nil"/>
            </w:tcBorders>
            <w:vAlign w:val="center"/>
          </w:tcPr>
          <w:p w14:paraId="6201D77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(185,335)</w:t>
            </w:r>
          </w:p>
        </w:tc>
        <w:tc>
          <w:tcPr>
            <w:tcW w:w="1332" w:type="dxa"/>
            <w:tcBorders>
              <w:top w:val="nil"/>
              <w:bottom w:val="nil"/>
            </w:tcBorders>
            <w:vAlign w:val="center"/>
          </w:tcPr>
          <w:p w14:paraId="7BB43896"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(900)</w:t>
            </w:r>
          </w:p>
        </w:tc>
        <w:tc>
          <w:tcPr>
            <w:tcW w:w="902" w:type="dxa"/>
            <w:tcBorders>
              <w:top w:val="nil"/>
              <w:bottom w:val="nil"/>
            </w:tcBorders>
            <w:vAlign w:val="center"/>
          </w:tcPr>
          <w:p w14:paraId="4BEBC77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261" w:type="dxa"/>
            <w:tcBorders>
              <w:top w:val="nil"/>
              <w:bottom w:val="nil"/>
            </w:tcBorders>
            <w:vAlign w:val="center"/>
          </w:tcPr>
          <w:p w14:paraId="2F4F9BD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121,198</w:t>
            </w:r>
          </w:p>
        </w:tc>
        <w:tc>
          <w:tcPr>
            <w:tcW w:w="1251" w:type="dxa"/>
            <w:tcBorders>
              <w:top w:val="nil"/>
              <w:bottom w:val="nil"/>
            </w:tcBorders>
            <w:vAlign w:val="center"/>
          </w:tcPr>
          <w:p w14:paraId="1C1938E8"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2,375,118</w:t>
            </w:r>
          </w:p>
        </w:tc>
        <w:tc>
          <w:tcPr>
            <w:tcW w:w="238" w:type="dxa"/>
            <w:tcBorders>
              <w:top w:val="nil"/>
              <w:bottom w:val="nil"/>
            </w:tcBorders>
            <w:vAlign w:val="center"/>
          </w:tcPr>
          <w:p w14:paraId="0EA8D48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378" w:type="dxa"/>
            <w:tcBorders>
              <w:top w:val="nil"/>
              <w:bottom w:val="nil"/>
            </w:tcBorders>
            <w:vAlign w:val="center"/>
          </w:tcPr>
          <w:p w14:paraId="7DEF0ED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121,198</w:t>
            </w:r>
          </w:p>
        </w:tc>
      </w:tr>
      <w:tr w:rsidR="00736E78" w:rsidRPr="00B84B0C" w14:paraId="0C4E9536" w14:textId="77777777" w:rsidTr="00736E78">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29C2E771" w14:textId="77777777" w:rsidR="00736E78" w:rsidRPr="00B84B0C" w:rsidRDefault="00736E78" w:rsidP="00736E78">
            <w:pPr>
              <w:pStyle w:val="08-Tabelageral"/>
              <w:jc w:val="left"/>
              <w:rPr>
                <w:rFonts w:cs="Arial"/>
                <w:b w:val="0"/>
              </w:rPr>
            </w:pPr>
            <w:proofErr w:type="spellStart"/>
            <w:r w:rsidRPr="00B84B0C">
              <w:rPr>
                <w:rFonts w:cs="Arial"/>
                <w:b w:val="0"/>
              </w:rPr>
              <w:t>Brasilcap</w:t>
            </w:r>
            <w:proofErr w:type="spellEnd"/>
            <w:r w:rsidRPr="00B84B0C">
              <w:rPr>
                <w:rFonts w:cs="Arial"/>
                <w:b w:val="0"/>
              </w:rPr>
              <w:t xml:space="preserve"> Capitalização S.A. </w:t>
            </w:r>
            <w:r w:rsidRPr="00B84B0C">
              <w:rPr>
                <w:rFonts w:cs="Arial"/>
                <w:b w:val="0"/>
                <w:vertAlign w:val="superscript"/>
              </w:rPr>
              <w:t>(4)</w:t>
            </w:r>
          </w:p>
        </w:tc>
        <w:tc>
          <w:tcPr>
            <w:tcW w:w="923" w:type="dxa"/>
            <w:tcBorders>
              <w:top w:val="nil"/>
              <w:bottom w:val="nil"/>
            </w:tcBorders>
            <w:vAlign w:val="center"/>
          </w:tcPr>
          <w:p w14:paraId="3535B191"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 xml:space="preserve"> 231,264 </w:t>
            </w:r>
          </w:p>
        </w:tc>
        <w:tc>
          <w:tcPr>
            <w:tcW w:w="1276" w:type="dxa"/>
            <w:tcBorders>
              <w:top w:val="nil"/>
              <w:bottom w:val="nil"/>
            </w:tcBorders>
            <w:vAlign w:val="center"/>
          </w:tcPr>
          <w:p w14:paraId="67E9E782"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451,966</w:t>
            </w:r>
          </w:p>
        </w:tc>
        <w:tc>
          <w:tcPr>
            <w:tcW w:w="239" w:type="dxa"/>
            <w:tcBorders>
              <w:top w:val="nil"/>
              <w:bottom w:val="nil"/>
            </w:tcBorders>
            <w:vAlign w:val="center"/>
          </w:tcPr>
          <w:p w14:paraId="13634C48"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178" w:type="dxa"/>
            <w:tcBorders>
              <w:top w:val="nil"/>
              <w:bottom w:val="nil"/>
            </w:tcBorders>
            <w:vAlign w:val="center"/>
          </w:tcPr>
          <w:p w14:paraId="637228C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 xml:space="preserve"> 431,932 </w:t>
            </w:r>
          </w:p>
        </w:tc>
        <w:tc>
          <w:tcPr>
            <w:tcW w:w="1117" w:type="dxa"/>
            <w:tcBorders>
              <w:top w:val="nil"/>
              <w:bottom w:val="nil"/>
            </w:tcBorders>
            <w:vAlign w:val="center"/>
          </w:tcPr>
          <w:p w14:paraId="2D92D367"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(22,613)</w:t>
            </w:r>
          </w:p>
        </w:tc>
        <w:tc>
          <w:tcPr>
            <w:tcW w:w="1332" w:type="dxa"/>
            <w:tcBorders>
              <w:top w:val="nil"/>
              <w:bottom w:val="nil"/>
            </w:tcBorders>
            <w:vAlign w:val="center"/>
          </w:tcPr>
          <w:p w14:paraId="74C4D4F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(22,536)</w:t>
            </w:r>
          </w:p>
        </w:tc>
        <w:tc>
          <w:tcPr>
            <w:tcW w:w="902" w:type="dxa"/>
            <w:tcBorders>
              <w:top w:val="nil"/>
              <w:bottom w:val="nil"/>
            </w:tcBorders>
            <w:vAlign w:val="center"/>
          </w:tcPr>
          <w:p w14:paraId="3E2B94B9"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261" w:type="dxa"/>
            <w:tcBorders>
              <w:top w:val="nil"/>
              <w:bottom w:val="nil"/>
            </w:tcBorders>
            <w:vAlign w:val="center"/>
          </w:tcPr>
          <w:p w14:paraId="28F55AA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25,247</w:t>
            </w:r>
          </w:p>
        </w:tc>
        <w:tc>
          <w:tcPr>
            <w:tcW w:w="1251" w:type="dxa"/>
            <w:tcBorders>
              <w:top w:val="nil"/>
              <w:bottom w:val="nil"/>
            </w:tcBorders>
            <w:vAlign w:val="center"/>
          </w:tcPr>
          <w:p w14:paraId="67A332D2"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412,030</w:t>
            </w:r>
          </w:p>
        </w:tc>
        <w:tc>
          <w:tcPr>
            <w:tcW w:w="238" w:type="dxa"/>
            <w:tcBorders>
              <w:top w:val="nil"/>
              <w:bottom w:val="nil"/>
            </w:tcBorders>
            <w:vAlign w:val="center"/>
          </w:tcPr>
          <w:p w14:paraId="7AE19C0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78" w:type="dxa"/>
            <w:tcBorders>
              <w:top w:val="nil"/>
              <w:bottom w:val="nil"/>
            </w:tcBorders>
            <w:vAlign w:val="center"/>
          </w:tcPr>
          <w:p w14:paraId="3C2C5891"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25,247</w:t>
            </w:r>
          </w:p>
        </w:tc>
      </w:tr>
      <w:tr w:rsidR="00736E78" w:rsidRPr="00B84B0C" w14:paraId="6170EC5C" w14:textId="77777777" w:rsidTr="00736E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3DBEE6A0" w14:textId="77777777" w:rsidR="00736E78" w:rsidRPr="00B84B0C" w:rsidRDefault="00736E78" w:rsidP="00736E78">
            <w:pPr>
              <w:pStyle w:val="08-Tabelageral"/>
              <w:jc w:val="left"/>
              <w:rPr>
                <w:rFonts w:cs="Arial"/>
                <w:b w:val="0"/>
              </w:rPr>
            </w:pPr>
            <w:proofErr w:type="spellStart"/>
            <w:r w:rsidRPr="00B84B0C">
              <w:rPr>
                <w:rFonts w:cs="Arial"/>
                <w:b w:val="0"/>
              </w:rPr>
              <w:t>Brasildental</w:t>
            </w:r>
            <w:proofErr w:type="spellEnd"/>
            <w:r w:rsidRPr="00B84B0C">
              <w:rPr>
                <w:rFonts w:cs="Arial"/>
                <w:b w:val="0"/>
              </w:rPr>
              <w:t xml:space="preserve"> Operadora de Planos Odontológicos S.A.</w:t>
            </w:r>
          </w:p>
        </w:tc>
        <w:tc>
          <w:tcPr>
            <w:tcW w:w="923" w:type="dxa"/>
            <w:tcBorders>
              <w:top w:val="nil"/>
              <w:bottom w:val="nil"/>
            </w:tcBorders>
            <w:vAlign w:val="center"/>
          </w:tcPr>
          <w:p w14:paraId="5FA24FD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 xml:space="preserve"> 9,500 </w:t>
            </w:r>
          </w:p>
        </w:tc>
        <w:tc>
          <w:tcPr>
            <w:tcW w:w="1276" w:type="dxa"/>
            <w:tcBorders>
              <w:top w:val="nil"/>
              <w:bottom w:val="nil"/>
            </w:tcBorders>
            <w:vAlign w:val="center"/>
          </w:tcPr>
          <w:p w14:paraId="70DD71B2"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23,350</w:t>
            </w:r>
          </w:p>
        </w:tc>
        <w:tc>
          <w:tcPr>
            <w:tcW w:w="239" w:type="dxa"/>
            <w:tcBorders>
              <w:top w:val="nil"/>
              <w:bottom w:val="nil"/>
            </w:tcBorders>
            <w:vAlign w:val="center"/>
          </w:tcPr>
          <w:p w14:paraId="7A5FB94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78" w:type="dxa"/>
            <w:tcBorders>
              <w:top w:val="nil"/>
              <w:bottom w:val="nil"/>
            </w:tcBorders>
            <w:vAlign w:val="center"/>
          </w:tcPr>
          <w:p w14:paraId="45534C6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 xml:space="preserve"> 12,880 </w:t>
            </w:r>
          </w:p>
        </w:tc>
        <w:tc>
          <w:tcPr>
            <w:tcW w:w="1117" w:type="dxa"/>
            <w:tcBorders>
              <w:top w:val="nil"/>
              <w:bottom w:val="nil"/>
            </w:tcBorders>
            <w:vAlign w:val="center"/>
          </w:tcPr>
          <w:p w14:paraId="27A7F30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332" w:type="dxa"/>
            <w:tcBorders>
              <w:top w:val="nil"/>
              <w:bottom w:val="nil"/>
            </w:tcBorders>
            <w:vAlign w:val="center"/>
          </w:tcPr>
          <w:p w14:paraId="7122151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902" w:type="dxa"/>
            <w:tcBorders>
              <w:top w:val="nil"/>
              <w:bottom w:val="nil"/>
            </w:tcBorders>
            <w:vAlign w:val="center"/>
          </w:tcPr>
          <w:p w14:paraId="438F5E1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261" w:type="dxa"/>
            <w:tcBorders>
              <w:top w:val="nil"/>
              <w:bottom w:val="nil"/>
            </w:tcBorders>
            <w:vAlign w:val="center"/>
          </w:tcPr>
          <w:p w14:paraId="6E191FEC"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4,632</w:t>
            </w:r>
          </w:p>
        </w:tc>
        <w:tc>
          <w:tcPr>
            <w:tcW w:w="1251" w:type="dxa"/>
            <w:tcBorders>
              <w:top w:val="nil"/>
              <w:bottom w:val="nil"/>
            </w:tcBorders>
            <w:vAlign w:val="center"/>
          </w:tcPr>
          <w:p w14:paraId="54EA87D6"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17,512</w:t>
            </w:r>
          </w:p>
        </w:tc>
        <w:tc>
          <w:tcPr>
            <w:tcW w:w="238" w:type="dxa"/>
            <w:tcBorders>
              <w:top w:val="nil"/>
              <w:bottom w:val="nil"/>
            </w:tcBorders>
            <w:vAlign w:val="center"/>
          </w:tcPr>
          <w:p w14:paraId="4469F42F"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78" w:type="dxa"/>
            <w:tcBorders>
              <w:top w:val="nil"/>
              <w:bottom w:val="nil"/>
            </w:tcBorders>
            <w:vAlign w:val="center"/>
          </w:tcPr>
          <w:p w14:paraId="2FC987F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4,632</w:t>
            </w:r>
          </w:p>
        </w:tc>
      </w:tr>
      <w:tr w:rsidR="00736E78" w:rsidRPr="00B84B0C" w14:paraId="0754EF4E" w14:textId="77777777" w:rsidTr="00736E78">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44286E06" w14:textId="77777777" w:rsidR="00736E78" w:rsidRPr="00B84B0C" w:rsidRDefault="00736E78" w:rsidP="00736E78">
            <w:pPr>
              <w:pStyle w:val="08-Tabelageral"/>
              <w:jc w:val="left"/>
              <w:rPr>
                <w:rFonts w:cs="Arial"/>
                <w:b w:val="0"/>
              </w:rPr>
            </w:pPr>
            <w:r w:rsidRPr="00B84B0C">
              <w:rPr>
                <w:rFonts w:cs="Arial"/>
              </w:rPr>
              <w:t>BB Corretora de Seguros e Administradora de Bens S.A.</w:t>
            </w:r>
          </w:p>
        </w:tc>
        <w:tc>
          <w:tcPr>
            <w:tcW w:w="923" w:type="dxa"/>
            <w:tcBorders>
              <w:top w:val="nil"/>
              <w:bottom w:val="nil"/>
            </w:tcBorders>
            <w:vAlign w:val="center"/>
          </w:tcPr>
          <w:p w14:paraId="5E11A588"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bottom w:val="nil"/>
            </w:tcBorders>
            <w:vAlign w:val="center"/>
          </w:tcPr>
          <w:p w14:paraId="66084BF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39" w:type="dxa"/>
            <w:tcBorders>
              <w:top w:val="nil"/>
              <w:bottom w:val="nil"/>
            </w:tcBorders>
            <w:vAlign w:val="center"/>
          </w:tcPr>
          <w:p w14:paraId="675627DA"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178" w:type="dxa"/>
            <w:tcBorders>
              <w:top w:val="nil"/>
              <w:bottom w:val="nil"/>
            </w:tcBorders>
            <w:vAlign w:val="center"/>
          </w:tcPr>
          <w:p w14:paraId="6F43C51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117" w:type="dxa"/>
            <w:tcBorders>
              <w:top w:val="nil"/>
              <w:bottom w:val="nil"/>
            </w:tcBorders>
            <w:vAlign w:val="center"/>
          </w:tcPr>
          <w:p w14:paraId="15ECD69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32" w:type="dxa"/>
            <w:tcBorders>
              <w:top w:val="nil"/>
              <w:bottom w:val="nil"/>
            </w:tcBorders>
            <w:vAlign w:val="center"/>
          </w:tcPr>
          <w:p w14:paraId="39F1A44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902" w:type="dxa"/>
            <w:tcBorders>
              <w:top w:val="nil"/>
              <w:bottom w:val="nil"/>
            </w:tcBorders>
            <w:vAlign w:val="center"/>
          </w:tcPr>
          <w:p w14:paraId="06389CA1"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61" w:type="dxa"/>
            <w:tcBorders>
              <w:top w:val="nil"/>
              <w:bottom w:val="nil"/>
            </w:tcBorders>
            <w:vAlign w:val="center"/>
          </w:tcPr>
          <w:p w14:paraId="44DD75A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51" w:type="dxa"/>
            <w:tcBorders>
              <w:top w:val="nil"/>
              <w:bottom w:val="nil"/>
            </w:tcBorders>
            <w:vAlign w:val="center"/>
          </w:tcPr>
          <w:p w14:paraId="7EF64A3F"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38" w:type="dxa"/>
            <w:tcBorders>
              <w:top w:val="nil"/>
              <w:bottom w:val="nil"/>
            </w:tcBorders>
            <w:vAlign w:val="center"/>
          </w:tcPr>
          <w:p w14:paraId="498B4BE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78" w:type="dxa"/>
            <w:tcBorders>
              <w:top w:val="nil"/>
              <w:bottom w:val="nil"/>
            </w:tcBorders>
            <w:vAlign w:val="center"/>
          </w:tcPr>
          <w:p w14:paraId="7FEB778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r>
      <w:tr w:rsidR="00736E78" w:rsidRPr="00B84B0C" w14:paraId="0315D898" w14:textId="77777777" w:rsidTr="00736E7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606D299F" w14:textId="77777777" w:rsidR="00736E78" w:rsidRPr="00B84B0C" w:rsidRDefault="00736E78" w:rsidP="00736E78">
            <w:pPr>
              <w:pStyle w:val="08-Tabelageral"/>
              <w:jc w:val="left"/>
              <w:rPr>
                <w:rFonts w:cs="Arial"/>
                <w:b w:val="0"/>
              </w:rPr>
            </w:pPr>
            <w:proofErr w:type="spellStart"/>
            <w:r w:rsidRPr="00B84B0C">
              <w:rPr>
                <w:rFonts w:cs="Arial"/>
                <w:b w:val="0"/>
              </w:rPr>
              <w:t>Ciclic</w:t>
            </w:r>
            <w:proofErr w:type="spellEnd"/>
            <w:r w:rsidRPr="00B84B0C">
              <w:rPr>
                <w:rFonts w:cs="Arial"/>
                <w:b w:val="0"/>
              </w:rPr>
              <w:t xml:space="preserve"> Corretora de Seguros S.A.</w:t>
            </w:r>
            <w:r w:rsidRPr="00B84B0C">
              <w:rPr>
                <w:rFonts w:cs="Arial"/>
                <w:b w:val="0"/>
                <w:vertAlign w:val="superscript"/>
              </w:rPr>
              <w:t xml:space="preserve"> </w:t>
            </w:r>
          </w:p>
        </w:tc>
        <w:tc>
          <w:tcPr>
            <w:tcW w:w="923" w:type="dxa"/>
            <w:tcBorders>
              <w:top w:val="nil"/>
              <w:bottom w:val="nil"/>
            </w:tcBorders>
            <w:vAlign w:val="center"/>
          </w:tcPr>
          <w:p w14:paraId="56E2B1FF"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 xml:space="preserve"> 44,000 </w:t>
            </w:r>
          </w:p>
        </w:tc>
        <w:tc>
          <w:tcPr>
            <w:tcW w:w="1276" w:type="dxa"/>
            <w:tcBorders>
              <w:top w:val="nil"/>
              <w:bottom w:val="nil"/>
            </w:tcBorders>
            <w:vAlign w:val="center"/>
          </w:tcPr>
          <w:p w14:paraId="51D3596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16,616</w:t>
            </w:r>
          </w:p>
        </w:tc>
        <w:tc>
          <w:tcPr>
            <w:tcW w:w="239" w:type="dxa"/>
            <w:tcBorders>
              <w:top w:val="nil"/>
              <w:bottom w:val="nil"/>
            </w:tcBorders>
            <w:vAlign w:val="center"/>
          </w:tcPr>
          <w:p w14:paraId="341AA9F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78" w:type="dxa"/>
            <w:tcBorders>
              <w:top w:val="nil"/>
              <w:bottom w:val="nil"/>
            </w:tcBorders>
            <w:vAlign w:val="center"/>
          </w:tcPr>
          <w:p w14:paraId="7DF7AD9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 xml:space="preserve"> 4,798 </w:t>
            </w:r>
          </w:p>
        </w:tc>
        <w:tc>
          <w:tcPr>
            <w:tcW w:w="1117" w:type="dxa"/>
            <w:tcBorders>
              <w:top w:val="nil"/>
              <w:bottom w:val="nil"/>
            </w:tcBorders>
            <w:vAlign w:val="center"/>
          </w:tcPr>
          <w:p w14:paraId="21CA740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332" w:type="dxa"/>
            <w:tcBorders>
              <w:top w:val="nil"/>
              <w:bottom w:val="nil"/>
            </w:tcBorders>
            <w:vAlign w:val="center"/>
          </w:tcPr>
          <w:p w14:paraId="6ED2478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902" w:type="dxa"/>
            <w:tcBorders>
              <w:top w:val="nil"/>
              <w:bottom w:val="nil"/>
            </w:tcBorders>
            <w:vAlign w:val="center"/>
          </w:tcPr>
          <w:p w14:paraId="140EB9BF"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12,750</w:t>
            </w:r>
          </w:p>
        </w:tc>
        <w:tc>
          <w:tcPr>
            <w:tcW w:w="1261" w:type="dxa"/>
            <w:tcBorders>
              <w:top w:val="nil"/>
              <w:bottom w:val="nil"/>
            </w:tcBorders>
            <w:vAlign w:val="center"/>
          </w:tcPr>
          <w:p w14:paraId="13F894C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(5,087)</w:t>
            </w:r>
          </w:p>
        </w:tc>
        <w:tc>
          <w:tcPr>
            <w:tcW w:w="1251" w:type="dxa"/>
            <w:tcBorders>
              <w:top w:val="nil"/>
              <w:bottom w:val="nil"/>
            </w:tcBorders>
            <w:vAlign w:val="center"/>
          </w:tcPr>
          <w:p w14:paraId="426F64B7"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12,461</w:t>
            </w:r>
          </w:p>
        </w:tc>
        <w:tc>
          <w:tcPr>
            <w:tcW w:w="238" w:type="dxa"/>
            <w:tcBorders>
              <w:top w:val="nil"/>
              <w:bottom w:val="nil"/>
            </w:tcBorders>
            <w:vAlign w:val="center"/>
          </w:tcPr>
          <w:p w14:paraId="46778796"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78" w:type="dxa"/>
            <w:tcBorders>
              <w:top w:val="nil"/>
              <w:bottom w:val="nil"/>
            </w:tcBorders>
            <w:vAlign w:val="center"/>
          </w:tcPr>
          <w:p w14:paraId="72996DC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(5,087)</w:t>
            </w:r>
          </w:p>
        </w:tc>
      </w:tr>
      <w:tr w:rsidR="00736E78" w:rsidRPr="00B84B0C" w14:paraId="6285316E"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89" w:type="dxa"/>
            <w:tcBorders>
              <w:top w:val="nil"/>
              <w:bottom w:val="single" w:sz="2" w:space="0" w:color="8EAADB" w:themeColor="accent5" w:themeTint="99"/>
            </w:tcBorders>
            <w:vAlign w:val="center"/>
          </w:tcPr>
          <w:p w14:paraId="7822FC95" w14:textId="77777777" w:rsidR="00736E78" w:rsidRPr="00B84B0C" w:rsidRDefault="00736E78" w:rsidP="00736E78">
            <w:pPr>
              <w:pStyle w:val="08-Tabelageral"/>
              <w:jc w:val="left"/>
              <w:rPr>
                <w:rFonts w:cs="Arial"/>
              </w:rPr>
            </w:pPr>
            <w:r w:rsidRPr="00B84B0C">
              <w:rPr>
                <w:rFonts w:cs="Arial"/>
              </w:rPr>
              <w:t xml:space="preserve">Total </w:t>
            </w:r>
            <w:proofErr w:type="spellStart"/>
            <w:r w:rsidRPr="00B84B0C">
              <w:rPr>
                <w:rFonts w:cs="Arial"/>
              </w:rPr>
              <w:t>Investment</w:t>
            </w:r>
            <w:proofErr w:type="spellEnd"/>
            <w:r w:rsidRPr="00B84B0C">
              <w:rPr>
                <w:rFonts w:cs="Arial"/>
              </w:rPr>
              <w:t xml:space="preserve"> in Associates</w:t>
            </w:r>
          </w:p>
        </w:tc>
        <w:tc>
          <w:tcPr>
            <w:tcW w:w="923" w:type="dxa"/>
            <w:tcBorders>
              <w:top w:val="nil"/>
              <w:bottom w:val="single" w:sz="2" w:space="0" w:color="8EAADB" w:themeColor="accent5" w:themeTint="99"/>
            </w:tcBorders>
            <w:vAlign w:val="center"/>
          </w:tcPr>
          <w:p w14:paraId="7140D74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1,469,848 </w:t>
            </w:r>
          </w:p>
        </w:tc>
        <w:tc>
          <w:tcPr>
            <w:tcW w:w="1276" w:type="dxa"/>
            <w:tcBorders>
              <w:top w:val="nil"/>
              <w:bottom w:val="single" w:sz="2" w:space="0" w:color="8EAADB" w:themeColor="accent5" w:themeTint="99"/>
            </w:tcBorders>
            <w:vAlign w:val="center"/>
          </w:tcPr>
          <w:p w14:paraId="5F8F3547"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39" w:type="dxa"/>
            <w:tcBorders>
              <w:top w:val="nil"/>
              <w:bottom w:val="single" w:sz="2" w:space="0" w:color="8EAADB" w:themeColor="accent5" w:themeTint="99"/>
            </w:tcBorders>
            <w:vAlign w:val="center"/>
          </w:tcPr>
          <w:p w14:paraId="13FBBC1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78" w:type="dxa"/>
            <w:tcBorders>
              <w:top w:val="nil"/>
              <w:bottom w:val="single" w:sz="2" w:space="0" w:color="8EAADB" w:themeColor="accent5" w:themeTint="99"/>
            </w:tcBorders>
            <w:vAlign w:val="center"/>
          </w:tcPr>
          <w:p w14:paraId="3B6B62E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 xml:space="preserve"> 4,918,370 </w:t>
            </w:r>
          </w:p>
        </w:tc>
        <w:tc>
          <w:tcPr>
            <w:tcW w:w="1117" w:type="dxa"/>
            <w:tcBorders>
              <w:top w:val="nil"/>
              <w:bottom w:val="single" w:sz="2" w:space="0" w:color="8EAADB" w:themeColor="accent5" w:themeTint="99"/>
            </w:tcBorders>
            <w:vAlign w:val="center"/>
          </w:tcPr>
          <w:p w14:paraId="21BEC3CA"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(505,958)</w:t>
            </w:r>
          </w:p>
        </w:tc>
        <w:tc>
          <w:tcPr>
            <w:tcW w:w="1332" w:type="dxa"/>
            <w:tcBorders>
              <w:top w:val="nil"/>
              <w:bottom w:val="single" w:sz="2" w:space="0" w:color="8EAADB" w:themeColor="accent5" w:themeTint="99"/>
            </w:tcBorders>
            <w:vAlign w:val="center"/>
          </w:tcPr>
          <w:p w14:paraId="2E69DDDF"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(35,080)</w:t>
            </w:r>
          </w:p>
        </w:tc>
        <w:tc>
          <w:tcPr>
            <w:tcW w:w="902" w:type="dxa"/>
            <w:tcBorders>
              <w:top w:val="nil"/>
              <w:bottom w:val="single" w:sz="2" w:space="0" w:color="8EAADB" w:themeColor="accent5" w:themeTint="99"/>
            </w:tcBorders>
            <w:vAlign w:val="center"/>
          </w:tcPr>
          <w:p w14:paraId="2E718469"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12,750</w:t>
            </w:r>
          </w:p>
        </w:tc>
        <w:tc>
          <w:tcPr>
            <w:tcW w:w="1261" w:type="dxa"/>
            <w:tcBorders>
              <w:top w:val="nil"/>
              <w:bottom w:val="single" w:sz="2" w:space="0" w:color="8EAADB" w:themeColor="accent5" w:themeTint="99"/>
            </w:tcBorders>
            <w:vAlign w:val="center"/>
          </w:tcPr>
          <w:p w14:paraId="53F18629"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388,758</w:t>
            </w:r>
          </w:p>
        </w:tc>
        <w:tc>
          <w:tcPr>
            <w:tcW w:w="1251" w:type="dxa"/>
            <w:tcBorders>
              <w:top w:val="nil"/>
              <w:bottom w:val="single" w:sz="2" w:space="0" w:color="8EAADB" w:themeColor="accent5" w:themeTint="99"/>
            </w:tcBorders>
            <w:vAlign w:val="center"/>
          </w:tcPr>
          <w:p w14:paraId="73B4C0D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4,778,840</w:t>
            </w:r>
          </w:p>
        </w:tc>
        <w:tc>
          <w:tcPr>
            <w:tcW w:w="238" w:type="dxa"/>
            <w:tcBorders>
              <w:top w:val="nil"/>
              <w:bottom w:val="single" w:sz="2" w:space="0" w:color="8EAADB" w:themeColor="accent5" w:themeTint="99"/>
            </w:tcBorders>
            <w:vAlign w:val="center"/>
          </w:tcPr>
          <w:p w14:paraId="7855D74E"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378" w:type="dxa"/>
            <w:tcBorders>
              <w:top w:val="nil"/>
              <w:bottom w:val="single" w:sz="2" w:space="0" w:color="8EAADB" w:themeColor="accent5" w:themeTint="99"/>
            </w:tcBorders>
            <w:vAlign w:val="center"/>
          </w:tcPr>
          <w:p w14:paraId="1031D35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388,758</w:t>
            </w:r>
          </w:p>
        </w:tc>
      </w:tr>
    </w:tbl>
    <w:p w14:paraId="2AC622BA" w14:textId="77777777" w:rsidR="00736E78" w:rsidRPr="00B84B0C" w:rsidRDefault="00736E78" w:rsidP="00736E78">
      <w:pPr>
        <w:pStyle w:val="07-Legenda"/>
        <w:keepNext/>
        <w:spacing w:before="0"/>
        <w:ind w:left="0" w:firstLine="0"/>
        <w:rPr>
          <w:rFonts w:cs="Arial"/>
          <w:lang w:val="en-US"/>
        </w:rPr>
      </w:pPr>
      <w:r w:rsidRPr="00B84B0C">
        <w:rPr>
          <w:rFonts w:cs="Arial"/>
          <w:lang w:val="en-US"/>
        </w:rPr>
        <w:t>(1)</w:t>
      </w:r>
      <w:r w:rsidRPr="00B84B0C">
        <w:rPr>
          <w:rFonts w:cs="Arial"/>
          <w:lang w:val="en-US"/>
        </w:rPr>
        <w:tab/>
      </w:r>
      <w:r w:rsidRPr="00B84B0C">
        <w:rPr>
          <w:rFonts w:cs="Arial"/>
          <w:bCs/>
          <w:lang w:val="en-US"/>
        </w:rPr>
        <w:t>Stockholders' equity, in 03.31.2020,</w:t>
      </w:r>
      <w:r w:rsidRPr="00B84B0C">
        <w:rPr>
          <w:rFonts w:cs="Arial"/>
          <w:lang w:val="en-US" w:eastAsia="zh-CN"/>
        </w:rPr>
        <w:t xml:space="preserve"> not adjusted by the percentage of equity interest held by the Group.</w:t>
      </w:r>
    </w:p>
    <w:p w14:paraId="0E2F0447" w14:textId="77777777" w:rsidR="00736E78" w:rsidRPr="00B84B0C" w:rsidRDefault="00736E78" w:rsidP="00736E78">
      <w:pPr>
        <w:pStyle w:val="07-Legenda"/>
        <w:keepNext/>
        <w:tabs>
          <w:tab w:val="clear" w:pos="284"/>
          <w:tab w:val="left" w:pos="426"/>
        </w:tabs>
        <w:spacing w:before="0"/>
        <w:rPr>
          <w:rFonts w:cs="Arial"/>
          <w:lang w:val="en"/>
        </w:rPr>
      </w:pPr>
      <w:r w:rsidRPr="00B84B0C">
        <w:rPr>
          <w:rFonts w:cs="Arial"/>
          <w:lang w:val="en-US"/>
        </w:rPr>
        <w:t>(2)</w:t>
      </w:r>
      <w:r w:rsidRPr="00B84B0C">
        <w:rPr>
          <w:rFonts w:cs="Arial"/>
          <w:lang w:val="en-US"/>
        </w:rPr>
        <w:tab/>
      </w:r>
      <w:r w:rsidRPr="00B84B0C">
        <w:rPr>
          <w:rFonts w:cs="Arial"/>
          <w:lang w:val="en-US" w:eastAsia="zh-CN"/>
        </w:rPr>
        <w:t xml:space="preserve">This </w:t>
      </w:r>
      <w:r w:rsidRPr="00B84B0C">
        <w:rPr>
          <w:rFonts w:cs="Arial"/>
          <w:lang w:val="en"/>
        </w:rPr>
        <w:t xml:space="preserve">Includes in the value of the investment as of 03.31.2020, intangible assets in the net amount of amortizations of R$ 196,460 thousand </w:t>
      </w:r>
      <w:r w:rsidRPr="00B84B0C">
        <w:rPr>
          <w:rFonts w:cs="Arial"/>
          <w:lang w:val="en-US"/>
        </w:rPr>
        <w:t>(</w:t>
      </w:r>
      <w:r w:rsidRPr="00B84B0C">
        <w:rPr>
          <w:rStyle w:val="tlid-translation"/>
          <w:rFonts w:cs="Arial"/>
          <w:lang w:val="en"/>
        </w:rPr>
        <w:t>the amortized amount of R$ 3,433 thousand in 1</w:t>
      </w:r>
      <w:r w:rsidRPr="00B84B0C">
        <w:rPr>
          <w:rStyle w:val="tlid-translation"/>
          <w:rFonts w:cs="Arial"/>
          <w:vertAlign w:val="superscript"/>
          <w:lang w:val="en"/>
        </w:rPr>
        <w:t>st</w:t>
      </w:r>
      <w:r w:rsidRPr="00B84B0C">
        <w:rPr>
          <w:rStyle w:val="tlid-translation"/>
          <w:rFonts w:cs="Arial"/>
          <w:lang w:val="en"/>
        </w:rPr>
        <w:t xml:space="preserve"> quarter of 2020)</w:t>
      </w:r>
      <w:r w:rsidRPr="00B84B0C">
        <w:rPr>
          <w:rFonts w:cs="Arial"/>
          <w:lang w:val="en"/>
        </w:rPr>
        <w:t xml:space="preserve">, goodwill allocated in the amount of R$ 339,004 thousand. arising from the partnership agreement with </w:t>
      </w:r>
      <w:proofErr w:type="spellStart"/>
      <w:proofErr w:type="gramStart"/>
      <w:r w:rsidRPr="00B84B0C">
        <w:rPr>
          <w:rFonts w:cs="Arial"/>
          <w:lang w:val="en"/>
        </w:rPr>
        <w:t>Mapfre</w:t>
      </w:r>
      <w:proofErr w:type="spellEnd"/>
      <w:r w:rsidRPr="00B84B0C">
        <w:rPr>
          <w:rFonts w:cs="Arial"/>
          <w:lang w:val="en"/>
        </w:rPr>
        <w:t xml:space="preserve"> .</w:t>
      </w:r>
      <w:proofErr w:type="gramEnd"/>
    </w:p>
    <w:p w14:paraId="3CC3CEF1" w14:textId="77777777" w:rsidR="00736E78" w:rsidRPr="00B84B0C" w:rsidRDefault="00736E78" w:rsidP="00736E78">
      <w:pPr>
        <w:pStyle w:val="07-Legenda"/>
        <w:keepNext/>
        <w:spacing w:before="0"/>
        <w:ind w:left="0" w:firstLine="0"/>
        <w:rPr>
          <w:rFonts w:cs="Arial"/>
          <w:lang w:val="en-US"/>
        </w:rPr>
      </w:pPr>
      <w:r w:rsidRPr="00B84B0C">
        <w:rPr>
          <w:rFonts w:cs="Arial"/>
          <w:lang w:val="en-US"/>
        </w:rPr>
        <w:t>(3)   This includes in the value of the investment at 03.31.2020, R$ 1,855 thousand of adjustments for purposes of standardization of divergence of accounting practice adopted by the investee.</w:t>
      </w:r>
    </w:p>
    <w:p w14:paraId="3EE6C167" w14:textId="77777777" w:rsidR="00736E78" w:rsidRPr="00B84B0C" w:rsidRDefault="00736E78" w:rsidP="00736E78">
      <w:pPr>
        <w:pStyle w:val="07-Legenda"/>
        <w:keepNext/>
        <w:spacing w:before="0"/>
        <w:ind w:left="0" w:firstLine="0"/>
        <w:rPr>
          <w:rFonts w:cs="Arial"/>
          <w:lang w:val="en-US"/>
        </w:rPr>
      </w:pPr>
      <w:r w:rsidRPr="00B84B0C">
        <w:rPr>
          <w:rFonts w:cs="Arial"/>
          <w:lang w:val="en-US"/>
        </w:rPr>
        <w:t>(4)</w:t>
      </w:r>
      <w:r w:rsidRPr="00B84B0C">
        <w:rPr>
          <w:rFonts w:cs="Arial"/>
          <w:lang w:val="en-US"/>
        </w:rPr>
        <w:tab/>
        <w:t xml:space="preserve">Includes the goodwill of the investment on 12.31.2019, the goodwill of R$ 110,749 thousand, on the acquisition of the </w:t>
      </w:r>
      <w:proofErr w:type="spellStart"/>
      <w:r w:rsidRPr="00B84B0C">
        <w:rPr>
          <w:rFonts w:cs="Arial"/>
          <w:lang w:val="en-US"/>
        </w:rPr>
        <w:t>Sulacap</w:t>
      </w:r>
      <w:proofErr w:type="spellEnd"/>
      <w:r w:rsidRPr="00B84B0C">
        <w:rPr>
          <w:rFonts w:cs="Arial"/>
          <w:lang w:val="en-US"/>
        </w:rPr>
        <w:t xml:space="preserve"> stake in BB </w:t>
      </w:r>
      <w:proofErr w:type="spellStart"/>
      <w:r w:rsidRPr="00B84B0C">
        <w:rPr>
          <w:rFonts w:cs="Arial"/>
          <w:lang w:val="en-US"/>
        </w:rPr>
        <w:t>Seguros</w:t>
      </w:r>
      <w:proofErr w:type="spellEnd"/>
      <w:r w:rsidRPr="00B84B0C">
        <w:rPr>
          <w:rFonts w:cs="Arial"/>
          <w:lang w:val="en-US"/>
        </w:rPr>
        <w:t>, held on 07.22.2011.</w:t>
      </w:r>
    </w:p>
    <w:p w14:paraId="35965BB1" w14:textId="77777777" w:rsidR="00736E78" w:rsidRPr="00B84B0C" w:rsidRDefault="00736E78" w:rsidP="00736E78">
      <w:pPr>
        <w:pStyle w:val="07-Legenda"/>
        <w:keepNext/>
        <w:spacing w:before="0"/>
        <w:ind w:left="0" w:firstLine="0"/>
        <w:rPr>
          <w:rFonts w:cs="Arial"/>
        </w:rPr>
      </w:pPr>
      <w:r w:rsidRPr="00B84B0C">
        <w:rPr>
          <w:rFonts w:cs="Arial"/>
          <w:lang w:val="en-US"/>
        </w:rPr>
        <w:t>(5)</w:t>
      </w:r>
      <w:r w:rsidRPr="00B84B0C">
        <w:rPr>
          <w:rFonts w:cs="Arial"/>
          <w:lang w:val="en-US"/>
        </w:rPr>
        <w:tab/>
        <w:t xml:space="preserve">Capital contribution related to equity interest in </w:t>
      </w:r>
      <w:proofErr w:type="spellStart"/>
      <w:r w:rsidRPr="00B84B0C">
        <w:rPr>
          <w:rFonts w:cs="Arial"/>
          <w:lang w:val="en-US"/>
        </w:rPr>
        <w:t>Ciclic</w:t>
      </w:r>
      <w:proofErr w:type="spellEnd"/>
      <w:r w:rsidRPr="00B84B0C">
        <w:rPr>
          <w:rFonts w:cs="Arial"/>
          <w:lang w:val="en-US"/>
        </w:rPr>
        <w:t xml:space="preserve"> </w:t>
      </w:r>
      <w:proofErr w:type="spellStart"/>
      <w:r w:rsidRPr="00B84B0C">
        <w:rPr>
          <w:rFonts w:cs="Arial"/>
          <w:lang w:val="en-US"/>
        </w:rPr>
        <w:t>Corretora</w:t>
      </w:r>
      <w:proofErr w:type="spellEnd"/>
      <w:r w:rsidRPr="00B84B0C">
        <w:rPr>
          <w:rFonts w:cs="Arial"/>
          <w:lang w:val="en-US"/>
        </w:rPr>
        <w:t xml:space="preserve"> de </w:t>
      </w:r>
      <w:proofErr w:type="spellStart"/>
      <w:r w:rsidRPr="00B84B0C">
        <w:rPr>
          <w:rFonts w:cs="Arial"/>
          <w:lang w:val="en-US"/>
        </w:rPr>
        <w:t>Seguros</w:t>
      </w:r>
      <w:proofErr w:type="spellEnd"/>
      <w:r w:rsidRPr="00B84B0C">
        <w:rPr>
          <w:rFonts w:cs="Arial"/>
          <w:lang w:val="en-US"/>
        </w:rPr>
        <w:t xml:space="preserve"> </w:t>
      </w:r>
      <w:proofErr w:type="gramStart"/>
      <w:r w:rsidRPr="00B84B0C">
        <w:rPr>
          <w:rFonts w:cs="Arial"/>
          <w:lang w:val="en-US"/>
        </w:rPr>
        <w:t>S.A..</w:t>
      </w:r>
      <w:proofErr w:type="gramEnd"/>
    </w:p>
    <w:p w14:paraId="644875E2" w14:textId="77777777" w:rsidR="00736E78" w:rsidRPr="00B84B0C" w:rsidRDefault="00736E78" w:rsidP="00736E78">
      <w:pPr>
        <w:pStyle w:val="07-Legenda"/>
        <w:spacing w:before="0"/>
        <w:rPr>
          <w:rFonts w:cs="Arial"/>
        </w:rPr>
      </w:pPr>
    </w:p>
    <w:p w14:paraId="4ADF3E1C" w14:textId="77777777" w:rsidR="00736E78" w:rsidRPr="00B84B0C" w:rsidRDefault="00736E78" w:rsidP="00736E78">
      <w:pPr>
        <w:pStyle w:val="07-Legenda"/>
        <w:spacing w:before="0"/>
        <w:rPr>
          <w:rFonts w:cs="Arial"/>
        </w:rPr>
      </w:pPr>
    </w:p>
    <w:p w14:paraId="715E9E4C" w14:textId="77777777" w:rsidR="00736E78" w:rsidRPr="00B84B0C" w:rsidRDefault="00736E78" w:rsidP="00736E78">
      <w:pPr>
        <w:pStyle w:val="07-Legenda"/>
        <w:spacing w:before="0"/>
        <w:rPr>
          <w:rFonts w:cs="Arial"/>
        </w:rPr>
      </w:pPr>
    </w:p>
    <w:p w14:paraId="55EBB98D" w14:textId="77777777" w:rsidR="00736E78" w:rsidRPr="00B84B0C" w:rsidRDefault="00736E78" w:rsidP="00736E78">
      <w:pPr>
        <w:pStyle w:val="01-TtulodeNota"/>
        <w:spacing w:before="0" w:after="0"/>
        <w:jc w:val="left"/>
        <w:rPr>
          <w:rFonts w:cs="Arial"/>
          <w:color w:val="1F4E79" w:themeColor="accent1" w:themeShade="80"/>
        </w:rPr>
      </w:pPr>
    </w:p>
    <w:p w14:paraId="4F3A3E73" w14:textId="77777777" w:rsidR="00736E78" w:rsidRPr="00B84B0C" w:rsidRDefault="00736E78" w:rsidP="00736E78">
      <w:pPr>
        <w:pStyle w:val="06-Rmil"/>
        <w:ind w:right="-2"/>
        <w:rPr>
          <w:rFonts w:cs="Arial"/>
        </w:rPr>
      </w:pPr>
      <w:r w:rsidRPr="00B84B0C">
        <w:rPr>
          <w:rFonts w:cs="Arial"/>
        </w:rPr>
        <w:t>R$ </w:t>
      </w:r>
      <w:proofErr w:type="spellStart"/>
      <w:r w:rsidRPr="00B84B0C">
        <w:rPr>
          <w:rFonts w:cs="Arial"/>
        </w:rPr>
        <w:t>thousand</w:t>
      </w:r>
      <w:proofErr w:type="spellEnd"/>
      <w:r w:rsidRPr="00B84B0C">
        <w:rPr>
          <w:rFonts w:cs="Arial"/>
        </w:rPr>
        <w:t xml:space="preserve"> </w:t>
      </w:r>
    </w:p>
    <w:tbl>
      <w:tblPr>
        <w:tblStyle w:val="TabeladeLista6Colorida-nfase510"/>
        <w:tblW w:w="14884" w:type="dxa"/>
        <w:tblInd w:w="108" w:type="dxa"/>
        <w:tblLayout w:type="fixed"/>
        <w:tblLook w:val="04A0" w:firstRow="1" w:lastRow="0" w:firstColumn="1" w:lastColumn="0" w:noHBand="0" w:noVBand="1"/>
      </w:tblPr>
      <w:tblGrid>
        <w:gridCol w:w="3861"/>
        <w:gridCol w:w="851"/>
        <w:gridCol w:w="1275"/>
        <w:gridCol w:w="284"/>
        <w:gridCol w:w="1276"/>
        <w:gridCol w:w="1117"/>
        <w:gridCol w:w="1332"/>
        <w:gridCol w:w="811"/>
        <w:gridCol w:w="1276"/>
        <w:gridCol w:w="1276"/>
        <w:gridCol w:w="238"/>
        <w:gridCol w:w="1287"/>
      </w:tblGrid>
      <w:tr w:rsidR="00736E78" w:rsidRPr="00B84B0C" w14:paraId="376ED777" w14:textId="77777777" w:rsidTr="00076CE6">
        <w:trPr>
          <w:cnfStyle w:val="100000000000" w:firstRow="1" w:lastRow="0" w:firstColumn="0" w:lastColumn="0" w:oddVBand="0" w:evenVBand="0" w:oddHBand="0" w:evenHBand="0"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3861" w:type="dxa"/>
            <w:tcBorders>
              <w:top w:val="single" w:sz="2" w:space="0" w:color="8EAADB" w:themeColor="accent5" w:themeTint="99"/>
              <w:bottom w:val="nil"/>
            </w:tcBorders>
            <w:vAlign w:val="center"/>
          </w:tcPr>
          <w:p w14:paraId="087A8EA8" w14:textId="77777777" w:rsidR="00736E78" w:rsidRPr="00B84B0C" w:rsidRDefault="00736E78" w:rsidP="00736E78">
            <w:pPr>
              <w:rPr>
                <w:rFonts w:cs="Arial"/>
                <w:sz w:val="14"/>
                <w:szCs w:val="14"/>
              </w:rPr>
            </w:pPr>
            <w:proofErr w:type="spellStart"/>
            <w:r w:rsidRPr="00B84B0C">
              <w:rPr>
                <w:rFonts w:cs="Arial"/>
                <w:bCs w:val="0"/>
                <w:sz w:val="14"/>
                <w:szCs w:val="14"/>
              </w:rPr>
              <w:t>Company</w:t>
            </w:r>
            <w:proofErr w:type="spellEnd"/>
          </w:p>
        </w:tc>
        <w:tc>
          <w:tcPr>
            <w:tcW w:w="851" w:type="dxa"/>
            <w:tcBorders>
              <w:top w:val="single" w:sz="2" w:space="0" w:color="8EAADB" w:themeColor="accent5" w:themeTint="99"/>
              <w:bottom w:val="nil"/>
            </w:tcBorders>
            <w:vAlign w:val="center"/>
          </w:tcPr>
          <w:p w14:paraId="60BF8471"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1275" w:type="dxa"/>
            <w:tcBorders>
              <w:top w:val="single" w:sz="2" w:space="0" w:color="8EAADB" w:themeColor="accent5" w:themeTint="99"/>
              <w:bottom w:val="nil"/>
            </w:tcBorders>
            <w:vAlign w:val="center"/>
          </w:tcPr>
          <w:p w14:paraId="2E48D2D8"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p>
        </w:tc>
        <w:tc>
          <w:tcPr>
            <w:tcW w:w="284" w:type="dxa"/>
            <w:tcBorders>
              <w:top w:val="single" w:sz="2" w:space="0" w:color="8EAADB" w:themeColor="accent5" w:themeTint="99"/>
              <w:bottom w:val="nil"/>
            </w:tcBorders>
            <w:vAlign w:val="center"/>
          </w:tcPr>
          <w:p w14:paraId="3ACD829C"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8613" w:type="dxa"/>
            <w:gridSpan w:val="8"/>
            <w:tcBorders>
              <w:top w:val="single" w:sz="2" w:space="0" w:color="8EAADB" w:themeColor="accent5" w:themeTint="99"/>
              <w:bottom w:val="single" w:sz="2" w:space="0" w:color="8EAADB" w:themeColor="accent5" w:themeTint="99"/>
            </w:tcBorders>
            <w:vAlign w:val="center"/>
          </w:tcPr>
          <w:p w14:paraId="791861DA"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bCs w:val="0"/>
                <w:sz w:val="14"/>
                <w:szCs w:val="14"/>
              </w:rPr>
              <w:t>Parent</w:t>
            </w:r>
            <w:proofErr w:type="spellEnd"/>
          </w:p>
        </w:tc>
      </w:tr>
      <w:tr w:rsidR="00736E78" w:rsidRPr="00B84B0C" w14:paraId="7E26EE4D" w14:textId="77777777" w:rsidTr="00076CE6">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861" w:type="dxa"/>
            <w:tcBorders>
              <w:top w:val="nil"/>
              <w:bottom w:val="nil"/>
            </w:tcBorders>
            <w:shd w:val="clear" w:color="auto" w:fill="D9E2F3" w:themeFill="accent5" w:themeFillTint="33"/>
            <w:vAlign w:val="center"/>
          </w:tcPr>
          <w:p w14:paraId="324CC008" w14:textId="77777777" w:rsidR="00736E78" w:rsidRPr="00B84B0C" w:rsidRDefault="00736E78" w:rsidP="00736E78">
            <w:pPr>
              <w:rPr>
                <w:rFonts w:cs="Arial"/>
                <w:sz w:val="14"/>
                <w:szCs w:val="14"/>
              </w:rPr>
            </w:pPr>
          </w:p>
        </w:tc>
        <w:tc>
          <w:tcPr>
            <w:tcW w:w="851" w:type="dxa"/>
            <w:tcBorders>
              <w:top w:val="nil"/>
              <w:bottom w:val="nil"/>
            </w:tcBorders>
            <w:shd w:val="clear" w:color="auto" w:fill="D9E2F3" w:themeFill="accent5" w:themeFillTint="33"/>
            <w:vAlign w:val="center"/>
          </w:tcPr>
          <w:p w14:paraId="456FB78A"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 xml:space="preserve">Capital </w:t>
            </w:r>
          </w:p>
        </w:tc>
        <w:tc>
          <w:tcPr>
            <w:tcW w:w="1275" w:type="dxa"/>
            <w:tcBorders>
              <w:top w:val="nil"/>
              <w:bottom w:val="nil"/>
            </w:tcBorders>
            <w:shd w:val="clear" w:color="auto" w:fill="D9E2F3" w:themeFill="accent5" w:themeFillTint="33"/>
            <w:vAlign w:val="center"/>
          </w:tcPr>
          <w:p w14:paraId="69E111A8"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Stockholders</w:t>
            </w:r>
            <w:proofErr w:type="spellEnd"/>
            <w:r w:rsidRPr="00B84B0C">
              <w:rPr>
                <w:rFonts w:cs="Arial"/>
                <w:b/>
                <w:sz w:val="14"/>
                <w:szCs w:val="14"/>
              </w:rPr>
              <w:t xml:space="preserve">' </w:t>
            </w:r>
            <w:proofErr w:type="spellStart"/>
            <w:r w:rsidRPr="00B84B0C">
              <w:rPr>
                <w:rFonts w:cs="Arial"/>
                <w:b/>
                <w:sz w:val="14"/>
                <w:szCs w:val="14"/>
              </w:rPr>
              <w:t>equity</w:t>
            </w:r>
            <w:proofErr w:type="spellEnd"/>
            <w:r w:rsidRPr="00B84B0C">
              <w:rPr>
                <w:rFonts w:cs="Arial"/>
                <w:b/>
                <w:sz w:val="14"/>
                <w:szCs w:val="14"/>
              </w:rPr>
              <w:t xml:space="preserve"> </w:t>
            </w:r>
            <w:proofErr w:type="spellStart"/>
            <w:proofErr w:type="gramStart"/>
            <w:r w:rsidRPr="00B84B0C">
              <w:rPr>
                <w:rFonts w:cs="Arial"/>
                <w:b/>
                <w:sz w:val="14"/>
                <w:szCs w:val="14"/>
              </w:rPr>
              <w:t>adjusted</w:t>
            </w:r>
            <w:proofErr w:type="spellEnd"/>
            <w:r w:rsidRPr="00B84B0C">
              <w:rPr>
                <w:rFonts w:cs="Arial"/>
                <w:b/>
                <w:sz w:val="14"/>
                <w:szCs w:val="14"/>
                <w:vertAlign w:val="superscript"/>
              </w:rPr>
              <w:t>(</w:t>
            </w:r>
            <w:proofErr w:type="gramEnd"/>
            <w:r w:rsidRPr="00B84B0C">
              <w:rPr>
                <w:rFonts w:cs="Arial"/>
                <w:b/>
                <w:sz w:val="14"/>
                <w:szCs w:val="14"/>
                <w:vertAlign w:val="superscript"/>
              </w:rPr>
              <w:t>1)</w:t>
            </w:r>
            <w:r w:rsidRPr="00B84B0C">
              <w:rPr>
                <w:rFonts w:cs="Arial"/>
                <w:b/>
                <w:sz w:val="14"/>
                <w:szCs w:val="14"/>
              </w:rPr>
              <w:tab/>
            </w:r>
          </w:p>
          <w:p w14:paraId="7A6F42C7"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284" w:type="dxa"/>
            <w:tcBorders>
              <w:top w:val="nil"/>
              <w:bottom w:val="nil"/>
            </w:tcBorders>
            <w:shd w:val="clear" w:color="auto" w:fill="D9E2F3" w:themeFill="accent5" w:themeFillTint="33"/>
            <w:vAlign w:val="center"/>
          </w:tcPr>
          <w:p w14:paraId="1961C9F3"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1276" w:type="dxa"/>
            <w:tcBorders>
              <w:top w:val="nil"/>
              <w:bottom w:val="nil"/>
            </w:tcBorders>
            <w:shd w:val="clear" w:color="auto" w:fill="D9E2F3" w:themeFill="accent5" w:themeFillTint="33"/>
            <w:vAlign w:val="center"/>
          </w:tcPr>
          <w:p w14:paraId="578D3A48"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4536" w:type="dxa"/>
            <w:gridSpan w:val="4"/>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001AF2D"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roofErr w:type="spellStart"/>
            <w:r w:rsidRPr="00B84B0C">
              <w:rPr>
                <w:rFonts w:cs="Arial"/>
                <w:b/>
                <w:sz w:val="14"/>
                <w:szCs w:val="14"/>
                <w:lang w:val="en-US"/>
              </w:rPr>
              <w:t>Moviments</w:t>
            </w:r>
            <w:proofErr w:type="spellEnd"/>
            <w:r w:rsidRPr="00B84B0C">
              <w:rPr>
                <w:rFonts w:cs="Arial"/>
                <w:b/>
                <w:sz w:val="14"/>
                <w:szCs w:val="14"/>
                <w:lang w:val="en-US"/>
              </w:rPr>
              <w:t xml:space="preserve"> from Jan 01, </w:t>
            </w:r>
            <w:proofErr w:type="gramStart"/>
            <w:r w:rsidRPr="00B84B0C">
              <w:rPr>
                <w:rFonts w:cs="Arial"/>
                <w:b/>
                <w:sz w:val="14"/>
                <w:szCs w:val="14"/>
                <w:lang w:val="en-US"/>
              </w:rPr>
              <w:t>2019</w:t>
            </w:r>
            <w:proofErr w:type="gramEnd"/>
            <w:r w:rsidRPr="00B84B0C">
              <w:rPr>
                <w:rFonts w:cs="Arial"/>
                <w:b/>
                <w:sz w:val="14"/>
                <w:szCs w:val="14"/>
                <w:lang w:val="en-US"/>
              </w:rPr>
              <w:t xml:space="preserve"> to Mar 31, 2019</w:t>
            </w:r>
          </w:p>
        </w:tc>
        <w:tc>
          <w:tcPr>
            <w:tcW w:w="1276" w:type="dxa"/>
            <w:tcBorders>
              <w:top w:val="single" w:sz="2" w:space="0" w:color="8EAADB" w:themeColor="accent5" w:themeTint="99"/>
              <w:bottom w:val="nil"/>
            </w:tcBorders>
            <w:shd w:val="clear" w:color="auto" w:fill="D9E2F3" w:themeFill="accent5" w:themeFillTint="33"/>
            <w:vAlign w:val="center"/>
          </w:tcPr>
          <w:p w14:paraId="3BAA3514"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
        </w:tc>
        <w:tc>
          <w:tcPr>
            <w:tcW w:w="238" w:type="dxa"/>
            <w:tcBorders>
              <w:top w:val="single" w:sz="2" w:space="0" w:color="8EAADB" w:themeColor="accent5" w:themeTint="99"/>
              <w:bottom w:val="nil"/>
            </w:tcBorders>
            <w:shd w:val="clear" w:color="auto" w:fill="D9E2F3" w:themeFill="accent5" w:themeFillTint="33"/>
            <w:vAlign w:val="center"/>
          </w:tcPr>
          <w:p w14:paraId="0BC3110B"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
        </w:tc>
        <w:tc>
          <w:tcPr>
            <w:tcW w:w="1287"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5717F21"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Share</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Profit</w:t>
            </w:r>
          </w:p>
        </w:tc>
      </w:tr>
      <w:tr w:rsidR="00736E78" w:rsidRPr="00B84B0C" w14:paraId="73724FBE" w14:textId="77777777" w:rsidTr="00076CE6">
        <w:trPr>
          <w:cnfStyle w:val="000000010000" w:firstRow="0" w:lastRow="0" w:firstColumn="0" w:lastColumn="0" w:oddVBand="0" w:evenVBand="0" w:oddHBand="0" w:evenHBand="1"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3861" w:type="dxa"/>
            <w:tcBorders>
              <w:top w:val="nil"/>
              <w:bottom w:val="single" w:sz="4" w:space="0" w:color="8EAADB" w:themeColor="accent5" w:themeTint="99"/>
            </w:tcBorders>
            <w:vAlign w:val="center"/>
          </w:tcPr>
          <w:p w14:paraId="3690ED98" w14:textId="77777777" w:rsidR="00736E78" w:rsidRPr="00B84B0C" w:rsidRDefault="00736E78" w:rsidP="00736E78">
            <w:pPr>
              <w:rPr>
                <w:rFonts w:cs="Arial"/>
                <w:sz w:val="14"/>
                <w:szCs w:val="14"/>
              </w:rPr>
            </w:pPr>
          </w:p>
        </w:tc>
        <w:tc>
          <w:tcPr>
            <w:tcW w:w="851" w:type="dxa"/>
            <w:tcBorders>
              <w:top w:val="nil"/>
              <w:bottom w:val="single" w:sz="4" w:space="0" w:color="8EAADB" w:themeColor="accent5" w:themeTint="99"/>
            </w:tcBorders>
            <w:vAlign w:val="center"/>
          </w:tcPr>
          <w:p w14:paraId="70F7B02A"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275" w:type="dxa"/>
            <w:tcBorders>
              <w:top w:val="nil"/>
              <w:bottom w:val="single" w:sz="4" w:space="0" w:color="8EAADB" w:themeColor="accent5" w:themeTint="99"/>
            </w:tcBorders>
            <w:vAlign w:val="center"/>
          </w:tcPr>
          <w:p w14:paraId="692E3431"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284" w:type="dxa"/>
            <w:tcBorders>
              <w:top w:val="nil"/>
              <w:bottom w:val="single" w:sz="4" w:space="0" w:color="8EAADB" w:themeColor="accent5" w:themeTint="99"/>
            </w:tcBorders>
            <w:vAlign w:val="center"/>
          </w:tcPr>
          <w:p w14:paraId="2C951C3C"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276" w:type="dxa"/>
            <w:tcBorders>
              <w:top w:val="nil"/>
              <w:bottom w:val="single" w:sz="4" w:space="0" w:color="8EAADB" w:themeColor="accent5" w:themeTint="99"/>
            </w:tcBorders>
            <w:vAlign w:val="center"/>
          </w:tcPr>
          <w:p w14:paraId="6F68FADE"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Carrying </w:t>
            </w:r>
            <w:proofErr w:type="spellStart"/>
            <w:r w:rsidRPr="00B84B0C">
              <w:rPr>
                <w:rFonts w:cs="Arial"/>
                <w:b/>
                <w:sz w:val="14"/>
                <w:szCs w:val="14"/>
              </w:rPr>
              <w:t>amount</w:t>
            </w:r>
            <w:proofErr w:type="spellEnd"/>
            <w:r w:rsidRPr="00B84B0C">
              <w:rPr>
                <w:rFonts w:cs="Arial"/>
                <w:b/>
                <w:sz w:val="14"/>
                <w:szCs w:val="14"/>
              </w:rPr>
              <w:t xml:space="preserve"> </w:t>
            </w:r>
            <w:proofErr w:type="spellStart"/>
            <w:r w:rsidRPr="00B84B0C">
              <w:rPr>
                <w:rFonts w:cs="Arial"/>
                <w:b/>
                <w:sz w:val="14"/>
                <w:szCs w:val="14"/>
              </w:rPr>
              <w:t>Dec</w:t>
            </w:r>
            <w:proofErr w:type="spellEnd"/>
            <w:r w:rsidRPr="00B84B0C">
              <w:rPr>
                <w:rFonts w:cs="Arial"/>
                <w:b/>
                <w:sz w:val="14"/>
                <w:szCs w:val="14"/>
              </w:rPr>
              <w:t xml:space="preserve"> 31, 2018</w:t>
            </w:r>
          </w:p>
        </w:tc>
        <w:tc>
          <w:tcPr>
            <w:tcW w:w="1117" w:type="dxa"/>
            <w:tcBorders>
              <w:top w:val="single" w:sz="2" w:space="0" w:color="8EAADB" w:themeColor="accent5" w:themeTint="99"/>
              <w:bottom w:val="single" w:sz="2" w:space="0" w:color="8EAADB" w:themeColor="accent5" w:themeTint="99"/>
            </w:tcBorders>
            <w:vAlign w:val="center"/>
          </w:tcPr>
          <w:p w14:paraId="296D050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roofErr w:type="spellStart"/>
            <w:r w:rsidRPr="00B84B0C">
              <w:rPr>
                <w:rFonts w:cs="Arial"/>
                <w:b/>
                <w:bCs/>
                <w:color w:val="auto"/>
                <w:szCs w:val="14"/>
              </w:rPr>
              <w:t>Dividends</w:t>
            </w:r>
            <w:proofErr w:type="spellEnd"/>
          </w:p>
        </w:tc>
        <w:tc>
          <w:tcPr>
            <w:tcW w:w="1332" w:type="dxa"/>
            <w:tcBorders>
              <w:top w:val="single" w:sz="2" w:space="0" w:color="8EAADB" w:themeColor="accent5" w:themeTint="99"/>
              <w:bottom w:val="single" w:sz="2" w:space="0" w:color="8EAADB" w:themeColor="accent5" w:themeTint="99"/>
            </w:tcBorders>
            <w:vAlign w:val="center"/>
          </w:tcPr>
          <w:p w14:paraId="566659B8"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eastAsia="Times New Roman" w:cs="Arial"/>
                <w:b/>
                <w:bCs/>
                <w:color w:val="auto"/>
                <w:spacing w:val="-2"/>
                <w:sz w:val="14"/>
                <w:szCs w:val="14"/>
                <w:lang w:eastAsia="pt-BR"/>
              </w:rPr>
            </w:pPr>
            <w:proofErr w:type="spellStart"/>
            <w:r w:rsidRPr="00B84B0C">
              <w:rPr>
                <w:rFonts w:eastAsia="Times New Roman" w:cs="Arial"/>
                <w:b/>
                <w:bCs/>
                <w:color w:val="auto"/>
                <w:spacing w:val="-2"/>
                <w:sz w:val="14"/>
                <w:szCs w:val="14"/>
                <w:lang w:eastAsia="pt-BR"/>
              </w:rPr>
              <w:t>Equity</w:t>
            </w:r>
            <w:proofErr w:type="spellEnd"/>
            <w:r w:rsidRPr="00B84B0C">
              <w:rPr>
                <w:rFonts w:eastAsia="Times New Roman" w:cs="Arial"/>
                <w:b/>
                <w:bCs/>
                <w:color w:val="auto"/>
                <w:spacing w:val="-2"/>
                <w:sz w:val="14"/>
                <w:szCs w:val="14"/>
                <w:lang w:eastAsia="pt-BR"/>
              </w:rPr>
              <w:t xml:space="preserve"> </w:t>
            </w:r>
            <w:proofErr w:type="spellStart"/>
            <w:r w:rsidRPr="00B84B0C">
              <w:rPr>
                <w:rFonts w:eastAsia="Times New Roman" w:cs="Arial"/>
                <w:b/>
                <w:bCs/>
                <w:color w:val="auto"/>
                <w:spacing w:val="-2"/>
                <w:sz w:val="14"/>
                <w:szCs w:val="14"/>
                <w:lang w:eastAsia="pt-BR"/>
              </w:rPr>
              <w:t>valuation</w:t>
            </w:r>
            <w:proofErr w:type="spellEnd"/>
            <w:r w:rsidRPr="00B84B0C">
              <w:rPr>
                <w:rFonts w:eastAsia="Times New Roman" w:cs="Arial"/>
                <w:b/>
                <w:bCs/>
                <w:color w:val="auto"/>
                <w:spacing w:val="-2"/>
                <w:sz w:val="14"/>
                <w:szCs w:val="14"/>
                <w:lang w:eastAsia="pt-BR"/>
              </w:rPr>
              <w:t xml:space="preserve"> </w:t>
            </w:r>
            <w:proofErr w:type="spellStart"/>
            <w:r w:rsidRPr="00B84B0C">
              <w:rPr>
                <w:rFonts w:eastAsia="Times New Roman" w:cs="Arial"/>
                <w:b/>
                <w:bCs/>
                <w:color w:val="auto"/>
                <w:spacing w:val="-2"/>
                <w:sz w:val="14"/>
                <w:szCs w:val="14"/>
                <w:lang w:eastAsia="pt-BR"/>
              </w:rPr>
              <w:t>adjustments</w:t>
            </w:r>
            <w:proofErr w:type="spellEnd"/>
          </w:p>
        </w:tc>
        <w:tc>
          <w:tcPr>
            <w:tcW w:w="811" w:type="dxa"/>
            <w:tcBorders>
              <w:top w:val="single" w:sz="2" w:space="0" w:color="8EAADB" w:themeColor="accent5" w:themeTint="99"/>
              <w:bottom w:val="single" w:sz="2" w:space="0" w:color="8EAADB" w:themeColor="accent5" w:themeTint="99"/>
            </w:tcBorders>
            <w:vAlign w:val="center"/>
          </w:tcPr>
          <w:p w14:paraId="2F8CDDEF"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eastAsia="Times New Roman" w:cs="Arial"/>
                <w:b/>
                <w:bCs/>
                <w:color w:val="auto"/>
                <w:spacing w:val="-2"/>
                <w:sz w:val="14"/>
                <w:szCs w:val="14"/>
                <w:lang w:eastAsia="pt-BR"/>
              </w:rPr>
              <w:t xml:space="preserve">Other </w:t>
            </w:r>
            <w:proofErr w:type="spellStart"/>
            <w:r w:rsidRPr="00B84B0C">
              <w:rPr>
                <w:rFonts w:eastAsia="Times New Roman" w:cs="Arial"/>
                <w:b/>
                <w:bCs/>
                <w:color w:val="auto"/>
                <w:spacing w:val="-2"/>
                <w:sz w:val="14"/>
                <w:szCs w:val="14"/>
                <w:lang w:eastAsia="pt-BR"/>
              </w:rPr>
              <w:t>events</w:t>
            </w:r>
            <w:proofErr w:type="spellEnd"/>
            <w:r w:rsidRPr="00B84B0C">
              <w:rPr>
                <w:rFonts w:cs="Arial"/>
                <w:b/>
                <w:bCs/>
                <w:szCs w:val="14"/>
              </w:rPr>
              <w:t xml:space="preserve">    </w:t>
            </w:r>
          </w:p>
        </w:tc>
        <w:tc>
          <w:tcPr>
            <w:tcW w:w="1276" w:type="dxa"/>
            <w:tcBorders>
              <w:top w:val="single" w:sz="2" w:space="0" w:color="8EAADB" w:themeColor="accent5" w:themeTint="99"/>
              <w:bottom w:val="single" w:sz="2" w:space="0" w:color="8EAADB" w:themeColor="accent5" w:themeTint="99"/>
            </w:tcBorders>
            <w:vAlign w:val="center"/>
          </w:tcPr>
          <w:p w14:paraId="4A2AD77D"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eastAsia="Times New Roman" w:cs="Arial"/>
                <w:b/>
                <w:bCs/>
                <w:color w:val="auto"/>
                <w:spacing w:val="-2"/>
                <w:sz w:val="14"/>
                <w:szCs w:val="14"/>
                <w:lang w:eastAsia="pt-BR"/>
              </w:rPr>
            </w:pPr>
            <w:proofErr w:type="spellStart"/>
            <w:r w:rsidRPr="00B84B0C">
              <w:rPr>
                <w:rFonts w:eastAsia="Times New Roman" w:cs="Arial"/>
                <w:b/>
                <w:bCs/>
                <w:color w:val="auto"/>
                <w:spacing w:val="-2"/>
                <w:sz w:val="14"/>
                <w:szCs w:val="14"/>
                <w:lang w:eastAsia="pt-BR"/>
              </w:rPr>
              <w:t>Share</w:t>
            </w:r>
            <w:proofErr w:type="spellEnd"/>
            <w:r w:rsidRPr="00B84B0C">
              <w:rPr>
                <w:rFonts w:eastAsia="Times New Roman" w:cs="Arial"/>
                <w:b/>
                <w:bCs/>
                <w:color w:val="auto"/>
                <w:spacing w:val="-2"/>
                <w:sz w:val="14"/>
                <w:szCs w:val="14"/>
                <w:lang w:eastAsia="pt-BR"/>
              </w:rPr>
              <w:t xml:space="preserve"> </w:t>
            </w:r>
            <w:proofErr w:type="spellStart"/>
            <w:r w:rsidRPr="00B84B0C">
              <w:rPr>
                <w:rFonts w:eastAsia="Times New Roman" w:cs="Arial"/>
                <w:b/>
                <w:bCs/>
                <w:color w:val="auto"/>
                <w:spacing w:val="-2"/>
                <w:sz w:val="14"/>
                <w:szCs w:val="14"/>
                <w:lang w:eastAsia="pt-BR"/>
              </w:rPr>
              <w:t>of</w:t>
            </w:r>
            <w:proofErr w:type="spellEnd"/>
            <w:r w:rsidRPr="00B84B0C">
              <w:rPr>
                <w:rFonts w:eastAsia="Times New Roman" w:cs="Arial"/>
                <w:b/>
                <w:bCs/>
                <w:color w:val="auto"/>
                <w:spacing w:val="-2"/>
                <w:sz w:val="14"/>
                <w:szCs w:val="14"/>
                <w:lang w:eastAsia="pt-BR"/>
              </w:rPr>
              <w:t xml:space="preserve"> </w:t>
            </w:r>
            <w:proofErr w:type="spellStart"/>
            <w:r w:rsidRPr="00B84B0C">
              <w:rPr>
                <w:rFonts w:eastAsia="Times New Roman" w:cs="Arial"/>
                <w:b/>
                <w:bCs/>
                <w:color w:val="auto"/>
                <w:spacing w:val="-2"/>
                <w:sz w:val="14"/>
                <w:szCs w:val="14"/>
                <w:lang w:eastAsia="pt-BR"/>
              </w:rPr>
              <w:t>profit</w:t>
            </w:r>
            <w:proofErr w:type="spellEnd"/>
          </w:p>
        </w:tc>
        <w:tc>
          <w:tcPr>
            <w:tcW w:w="1276" w:type="dxa"/>
            <w:tcBorders>
              <w:top w:val="nil"/>
              <w:bottom w:val="single" w:sz="2" w:space="0" w:color="8EAADB" w:themeColor="accent5" w:themeTint="99"/>
            </w:tcBorders>
            <w:vAlign w:val="center"/>
          </w:tcPr>
          <w:p w14:paraId="6899C30E"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Carrying </w:t>
            </w:r>
            <w:proofErr w:type="spellStart"/>
            <w:r w:rsidRPr="00B84B0C">
              <w:rPr>
                <w:rFonts w:cs="Arial"/>
                <w:b/>
                <w:sz w:val="14"/>
                <w:szCs w:val="14"/>
              </w:rPr>
              <w:t>amount</w:t>
            </w:r>
            <w:proofErr w:type="spellEnd"/>
            <w:r w:rsidRPr="00B84B0C">
              <w:rPr>
                <w:rFonts w:cs="Arial"/>
                <w:b/>
                <w:sz w:val="14"/>
                <w:szCs w:val="14"/>
              </w:rPr>
              <w:t xml:space="preserve"> </w:t>
            </w:r>
            <w:proofErr w:type="gramStart"/>
            <w:r w:rsidRPr="00B84B0C">
              <w:rPr>
                <w:rFonts w:cs="Arial"/>
                <w:b/>
                <w:sz w:val="14"/>
                <w:szCs w:val="14"/>
              </w:rPr>
              <w:t>Mar  31</w:t>
            </w:r>
            <w:proofErr w:type="gramEnd"/>
            <w:r w:rsidRPr="00B84B0C">
              <w:rPr>
                <w:rFonts w:cs="Arial"/>
                <w:b/>
                <w:sz w:val="14"/>
                <w:szCs w:val="14"/>
              </w:rPr>
              <w:t>, 2019</w:t>
            </w:r>
          </w:p>
        </w:tc>
        <w:tc>
          <w:tcPr>
            <w:tcW w:w="238" w:type="dxa"/>
            <w:tcBorders>
              <w:top w:val="nil"/>
              <w:bottom w:val="single" w:sz="2" w:space="0" w:color="8EAADB" w:themeColor="accent5" w:themeTint="99"/>
            </w:tcBorders>
            <w:vAlign w:val="center"/>
          </w:tcPr>
          <w:p w14:paraId="6DDCD875"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287" w:type="dxa"/>
            <w:tcBorders>
              <w:top w:val="single" w:sz="2" w:space="0" w:color="8EAADB" w:themeColor="accent5" w:themeTint="99"/>
              <w:bottom w:val="single" w:sz="2" w:space="0" w:color="8EAADB" w:themeColor="accent5" w:themeTint="99"/>
            </w:tcBorders>
            <w:vAlign w:val="center"/>
          </w:tcPr>
          <w:p w14:paraId="4C6901AE"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1st </w:t>
            </w:r>
            <w:proofErr w:type="spellStart"/>
            <w:r w:rsidRPr="00B84B0C">
              <w:rPr>
                <w:rFonts w:cs="Arial"/>
                <w:b/>
                <w:sz w:val="14"/>
                <w:szCs w:val="14"/>
              </w:rPr>
              <w:t>Quarter</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2019</w:t>
            </w:r>
          </w:p>
        </w:tc>
      </w:tr>
      <w:tr w:rsidR="00736E78" w:rsidRPr="00B84B0C" w14:paraId="21D4CE5C" w14:textId="77777777" w:rsidTr="00076C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861" w:type="dxa"/>
            <w:tcBorders>
              <w:top w:val="single" w:sz="4" w:space="0" w:color="8EAADB" w:themeColor="accent5" w:themeTint="99"/>
              <w:bottom w:val="nil"/>
            </w:tcBorders>
            <w:vAlign w:val="center"/>
          </w:tcPr>
          <w:p w14:paraId="036A1C92" w14:textId="77777777" w:rsidR="00736E78" w:rsidRPr="00B84B0C" w:rsidRDefault="00736E78" w:rsidP="00736E78">
            <w:pPr>
              <w:pStyle w:val="08-Tabelageral"/>
              <w:jc w:val="left"/>
              <w:rPr>
                <w:rFonts w:cs="Arial"/>
                <w:b w:val="0"/>
                <w:bCs w:val="0"/>
                <w:szCs w:val="14"/>
              </w:rPr>
            </w:pPr>
            <w:r w:rsidRPr="00B84B0C">
              <w:rPr>
                <w:rFonts w:cs="Arial"/>
                <w:b w:val="0"/>
                <w:bCs w:val="0"/>
                <w:szCs w:val="14"/>
              </w:rPr>
              <w:t xml:space="preserve">BB Seguros Participações </w:t>
            </w:r>
            <w:proofErr w:type="gramStart"/>
            <w:r w:rsidRPr="00B84B0C">
              <w:rPr>
                <w:rFonts w:cs="Arial"/>
                <w:b w:val="0"/>
                <w:bCs w:val="0"/>
                <w:szCs w:val="14"/>
              </w:rPr>
              <w:t>S.A</w:t>
            </w:r>
            <w:proofErr w:type="gramEnd"/>
          </w:p>
        </w:tc>
        <w:tc>
          <w:tcPr>
            <w:tcW w:w="851" w:type="dxa"/>
            <w:tcBorders>
              <w:top w:val="single" w:sz="4" w:space="0" w:color="8EAADB" w:themeColor="accent5" w:themeTint="99"/>
              <w:bottom w:val="nil"/>
            </w:tcBorders>
            <w:vAlign w:val="center"/>
          </w:tcPr>
          <w:p w14:paraId="18D6B9ED"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4,210,872</w:t>
            </w:r>
          </w:p>
        </w:tc>
        <w:tc>
          <w:tcPr>
            <w:tcW w:w="1275" w:type="dxa"/>
            <w:tcBorders>
              <w:top w:val="single" w:sz="4" w:space="0" w:color="8EAADB" w:themeColor="accent5" w:themeTint="99"/>
              <w:bottom w:val="nil"/>
            </w:tcBorders>
            <w:vAlign w:val="center"/>
          </w:tcPr>
          <w:p w14:paraId="00A7650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5,654,654</w:t>
            </w:r>
          </w:p>
        </w:tc>
        <w:tc>
          <w:tcPr>
            <w:tcW w:w="284" w:type="dxa"/>
            <w:tcBorders>
              <w:top w:val="single" w:sz="4" w:space="0" w:color="8EAADB" w:themeColor="accent5" w:themeTint="99"/>
              <w:bottom w:val="nil"/>
            </w:tcBorders>
            <w:vAlign w:val="center"/>
          </w:tcPr>
          <w:p w14:paraId="30DAC22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single" w:sz="4" w:space="0" w:color="8EAADB" w:themeColor="accent5" w:themeTint="99"/>
              <w:bottom w:val="nil"/>
            </w:tcBorders>
            <w:vAlign w:val="center"/>
          </w:tcPr>
          <w:p w14:paraId="53568C56"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5,820,326</w:t>
            </w:r>
          </w:p>
        </w:tc>
        <w:tc>
          <w:tcPr>
            <w:tcW w:w="1117" w:type="dxa"/>
            <w:tcBorders>
              <w:top w:val="single" w:sz="2" w:space="0" w:color="8EAADB" w:themeColor="accent5" w:themeTint="99"/>
              <w:bottom w:val="nil"/>
            </w:tcBorders>
            <w:vAlign w:val="center"/>
          </w:tcPr>
          <w:p w14:paraId="3A52997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(700,000)</w:t>
            </w:r>
          </w:p>
        </w:tc>
        <w:tc>
          <w:tcPr>
            <w:tcW w:w="1332" w:type="dxa"/>
            <w:tcBorders>
              <w:top w:val="single" w:sz="2" w:space="0" w:color="8EAADB" w:themeColor="accent5" w:themeTint="99"/>
              <w:bottom w:val="nil"/>
            </w:tcBorders>
            <w:vAlign w:val="center"/>
          </w:tcPr>
          <w:p w14:paraId="0DD75BA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(52,088)</w:t>
            </w:r>
          </w:p>
        </w:tc>
        <w:tc>
          <w:tcPr>
            <w:tcW w:w="811" w:type="dxa"/>
            <w:tcBorders>
              <w:top w:val="single" w:sz="2" w:space="0" w:color="8EAADB" w:themeColor="accent5" w:themeTint="99"/>
              <w:bottom w:val="nil"/>
            </w:tcBorders>
            <w:vAlign w:val="center"/>
          </w:tcPr>
          <w:p w14:paraId="19E2F5B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276" w:type="dxa"/>
            <w:tcBorders>
              <w:top w:val="single" w:sz="2" w:space="0" w:color="8EAADB" w:themeColor="accent5" w:themeTint="99"/>
              <w:bottom w:val="nil"/>
            </w:tcBorders>
            <w:vAlign w:val="center"/>
          </w:tcPr>
          <w:p w14:paraId="32F88F12"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586,416</w:t>
            </w:r>
          </w:p>
        </w:tc>
        <w:tc>
          <w:tcPr>
            <w:tcW w:w="1276" w:type="dxa"/>
            <w:tcBorders>
              <w:top w:val="single" w:sz="2" w:space="0" w:color="8EAADB" w:themeColor="accent5" w:themeTint="99"/>
              <w:bottom w:val="nil"/>
            </w:tcBorders>
            <w:vAlign w:val="center"/>
          </w:tcPr>
          <w:p w14:paraId="0495847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5,654,654</w:t>
            </w:r>
          </w:p>
        </w:tc>
        <w:tc>
          <w:tcPr>
            <w:tcW w:w="238" w:type="dxa"/>
            <w:tcBorders>
              <w:top w:val="single" w:sz="2" w:space="0" w:color="8EAADB" w:themeColor="accent5" w:themeTint="99"/>
              <w:bottom w:val="nil"/>
            </w:tcBorders>
            <w:vAlign w:val="center"/>
          </w:tcPr>
          <w:p w14:paraId="7707F51D"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87" w:type="dxa"/>
            <w:tcBorders>
              <w:top w:val="single" w:sz="2" w:space="0" w:color="8EAADB" w:themeColor="accent5" w:themeTint="99"/>
              <w:bottom w:val="nil"/>
            </w:tcBorders>
            <w:vAlign w:val="center"/>
          </w:tcPr>
          <w:p w14:paraId="07534D9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586,416</w:t>
            </w:r>
          </w:p>
        </w:tc>
      </w:tr>
      <w:tr w:rsidR="00736E78" w:rsidRPr="00B84B0C" w14:paraId="0D34AEEE" w14:textId="77777777" w:rsidTr="00076C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861" w:type="dxa"/>
            <w:tcBorders>
              <w:top w:val="nil"/>
              <w:bottom w:val="nil"/>
            </w:tcBorders>
            <w:vAlign w:val="center"/>
          </w:tcPr>
          <w:p w14:paraId="7BFD68D9" w14:textId="77777777" w:rsidR="00736E78" w:rsidRPr="00B84B0C" w:rsidRDefault="00736E78" w:rsidP="00736E78">
            <w:pPr>
              <w:pStyle w:val="08-Tabelageral"/>
              <w:jc w:val="left"/>
              <w:rPr>
                <w:rFonts w:cs="Arial"/>
                <w:b w:val="0"/>
              </w:rPr>
            </w:pPr>
            <w:r w:rsidRPr="00B84B0C">
              <w:rPr>
                <w:rFonts w:cs="Arial"/>
                <w:b w:val="0"/>
              </w:rPr>
              <w:t xml:space="preserve">BB Corretora de Seguros e Administradora de Bens </w:t>
            </w:r>
            <w:proofErr w:type="gramStart"/>
            <w:r w:rsidRPr="00B84B0C">
              <w:rPr>
                <w:rFonts w:cs="Arial"/>
                <w:b w:val="0"/>
              </w:rPr>
              <w:t>S.A</w:t>
            </w:r>
            <w:proofErr w:type="gramEnd"/>
          </w:p>
        </w:tc>
        <w:tc>
          <w:tcPr>
            <w:tcW w:w="851" w:type="dxa"/>
            <w:tcBorders>
              <w:top w:val="nil"/>
              <w:bottom w:val="nil"/>
            </w:tcBorders>
            <w:vAlign w:val="center"/>
          </w:tcPr>
          <w:p w14:paraId="43AC4D5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36,211</w:t>
            </w:r>
          </w:p>
        </w:tc>
        <w:tc>
          <w:tcPr>
            <w:tcW w:w="1275" w:type="dxa"/>
            <w:tcBorders>
              <w:top w:val="nil"/>
              <w:bottom w:val="nil"/>
            </w:tcBorders>
            <w:vAlign w:val="center"/>
          </w:tcPr>
          <w:p w14:paraId="441FA38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462,531</w:t>
            </w:r>
          </w:p>
        </w:tc>
        <w:tc>
          <w:tcPr>
            <w:tcW w:w="284" w:type="dxa"/>
            <w:tcBorders>
              <w:top w:val="nil"/>
              <w:bottom w:val="nil"/>
            </w:tcBorders>
            <w:vAlign w:val="center"/>
          </w:tcPr>
          <w:p w14:paraId="0CD03561"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76" w:type="dxa"/>
            <w:tcBorders>
              <w:top w:val="nil"/>
              <w:bottom w:val="nil"/>
            </w:tcBorders>
            <w:vAlign w:val="center"/>
          </w:tcPr>
          <w:p w14:paraId="2A9C6F7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46,908</w:t>
            </w:r>
          </w:p>
        </w:tc>
        <w:tc>
          <w:tcPr>
            <w:tcW w:w="1117" w:type="dxa"/>
            <w:tcBorders>
              <w:top w:val="nil"/>
              <w:bottom w:val="nil"/>
            </w:tcBorders>
            <w:vAlign w:val="center"/>
          </w:tcPr>
          <w:p w14:paraId="4E6D7FB9"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332" w:type="dxa"/>
            <w:tcBorders>
              <w:top w:val="nil"/>
              <w:bottom w:val="nil"/>
            </w:tcBorders>
            <w:vAlign w:val="center"/>
          </w:tcPr>
          <w:p w14:paraId="59C9C55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811" w:type="dxa"/>
            <w:tcBorders>
              <w:top w:val="nil"/>
              <w:bottom w:val="nil"/>
            </w:tcBorders>
            <w:vAlign w:val="center"/>
          </w:tcPr>
          <w:p w14:paraId="2CA421A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276" w:type="dxa"/>
            <w:tcBorders>
              <w:top w:val="nil"/>
              <w:bottom w:val="nil"/>
            </w:tcBorders>
            <w:vAlign w:val="center"/>
          </w:tcPr>
          <w:p w14:paraId="2FABB9FE"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415,623</w:t>
            </w:r>
          </w:p>
        </w:tc>
        <w:tc>
          <w:tcPr>
            <w:tcW w:w="1276" w:type="dxa"/>
            <w:tcBorders>
              <w:top w:val="nil"/>
              <w:bottom w:val="nil"/>
            </w:tcBorders>
            <w:vAlign w:val="center"/>
          </w:tcPr>
          <w:p w14:paraId="6A0B1332" w14:textId="77777777" w:rsidR="00736E78" w:rsidRPr="00B84B0C" w:rsidRDefault="00736E78" w:rsidP="00736E78">
            <w:pPr>
              <w:pStyle w:val="08-Tabelageral"/>
              <w:ind w:hanging="388"/>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462,531</w:t>
            </w:r>
          </w:p>
        </w:tc>
        <w:tc>
          <w:tcPr>
            <w:tcW w:w="238" w:type="dxa"/>
            <w:tcBorders>
              <w:top w:val="nil"/>
              <w:bottom w:val="nil"/>
            </w:tcBorders>
            <w:vAlign w:val="center"/>
          </w:tcPr>
          <w:p w14:paraId="45EC61C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287" w:type="dxa"/>
            <w:tcBorders>
              <w:top w:val="nil"/>
              <w:bottom w:val="nil"/>
            </w:tcBorders>
            <w:vAlign w:val="center"/>
          </w:tcPr>
          <w:p w14:paraId="186F9F08"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415,623</w:t>
            </w:r>
          </w:p>
        </w:tc>
      </w:tr>
      <w:tr w:rsidR="00736E78" w:rsidRPr="00B84B0C" w14:paraId="20A46872" w14:textId="77777777" w:rsidTr="00076CE6">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61" w:type="dxa"/>
            <w:tcBorders>
              <w:top w:val="nil"/>
              <w:bottom w:val="single" w:sz="2" w:space="0" w:color="8EAADB" w:themeColor="accent5" w:themeTint="99"/>
            </w:tcBorders>
            <w:vAlign w:val="center"/>
          </w:tcPr>
          <w:p w14:paraId="39279CB4" w14:textId="77777777" w:rsidR="00736E78" w:rsidRPr="00B84B0C" w:rsidRDefault="00736E78" w:rsidP="00736E78">
            <w:pPr>
              <w:pStyle w:val="08-Tabelageral"/>
              <w:jc w:val="left"/>
              <w:rPr>
                <w:rFonts w:cs="Arial"/>
              </w:rPr>
            </w:pPr>
            <w:r w:rsidRPr="00B84B0C">
              <w:rPr>
                <w:rFonts w:cs="Arial"/>
              </w:rPr>
              <w:t xml:space="preserve">Total </w:t>
            </w:r>
            <w:proofErr w:type="spellStart"/>
            <w:r w:rsidRPr="00B84B0C">
              <w:rPr>
                <w:rFonts w:cs="Arial"/>
              </w:rPr>
              <w:t>Investment</w:t>
            </w:r>
            <w:proofErr w:type="spellEnd"/>
            <w:r w:rsidRPr="00B84B0C">
              <w:rPr>
                <w:rFonts w:cs="Arial"/>
              </w:rPr>
              <w:t xml:space="preserve"> in Associates</w:t>
            </w:r>
          </w:p>
        </w:tc>
        <w:tc>
          <w:tcPr>
            <w:tcW w:w="851" w:type="dxa"/>
            <w:tcBorders>
              <w:top w:val="nil"/>
              <w:bottom w:val="single" w:sz="2" w:space="0" w:color="8EAADB" w:themeColor="accent5" w:themeTint="99"/>
            </w:tcBorders>
            <w:vAlign w:val="center"/>
          </w:tcPr>
          <w:p w14:paraId="3FB380BB"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5" w:type="dxa"/>
            <w:tcBorders>
              <w:top w:val="nil"/>
              <w:bottom w:val="single" w:sz="2" w:space="0" w:color="8EAADB" w:themeColor="accent5" w:themeTint="99"/>
            </w:tcBorders>
            <w:vAlign w:val="center"/>
          </w:tcPr>
          <w:p w14:paraId="645E498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84" w:type="dxa"/>
            <w:tcBorders>
              <w:top w:val="nil"/>
              <w:bottom w:val="single" w:sz="2" w:space="0" w:color="8EAADB" w:themeColor="accent5" w:themeTint="99"/>
            </w:tcBorders>
            <w:vAlign w:val="center"/>
          </w:tcPr>
          <w:p w14:paraId="1037470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76" w:type="dxa"/>
            <w:tcBorders>
              <w:top w:val="nil"/>
              <w:bottom w:val="single" w:sz="2" w:space="0" w:color="8EAADB" w:themeColor="accent5" w:themeTint="99"/>
            </w:tcBorders>
            <w:vAlign w:val="center"/>
          </w:tcPr>
          <w:p w14:paraId="33AC13CF"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5,867,234</w:t>
            </w:r>
          </w:p>
        </w:tc>
        <w:tc>
          <w:tcPr>
            <w:tcW w:w="1117" w:type="dxa"/>
            <w:tcBorders>
              <w:top w:val="nil"/>
              <w:bottom w:val="single" w:sz="2" w:space="0" w:color="8EAADB" w:themeColor="accent5" w:themeTint="99"/>
            </w:tcBorders>
            <w:vAlign w:val="center"/>
          </w:tcPr>
          <w:p w14:paraId="6B80BE3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(700,000)</w:t>
            </w:r>
          </w:p>
        </w:tc>
        <w:tc>
          <w:tcPr>
            <w:tcW w:w="1332" w:type="dxa"/>
            <w:tcBorders>
              <w:top w:val="nil"/>
              <w:bottom w:val="single" w:sz="2" w:space="0" w:color="8EAADB" w:themeColor="accent5" w:themeTint="99"/>
            </w:tcBorders>
            <w:vAlign w:val="center"/>
          </w:tcPr>
          <w:p w14:paraId="450F4CC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(52,088)</w:t>
            </w:r>
          </w:p>
        </w:tc>
        <w:tc>
          <w:tcPr>
            <w:tcW w:w="811" w:type="dxa"/>
            <w:tcBorders>
              <w:top w:val="nil"/>
              <w:bottom w:val="single" w:sz="2" w:space="0" w:color="8EAADB" w:themeColor="accent5" w:themeTint="99"/>
            </w:tcBorders>
            <w:vAlign w:val="center"/>
          </w:tcPr>
          <w:p w14:paraId="7700683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w:t>
            </w:r>
          </w:p>
        </w:tc>
        <w:tc>
          <w:tcPr>
            <w:tcW w:w="1276" w:type="dxa"/>
            <w:tcBorders>
              <w:top w:val="nil"/>
              <w:bottom w:val="single" w:sz="2" w:space="0" w:color="8EAADB" w:themeColor="accent5" w:themeTint="99"/>
            </w:tcBorders>
            <w:vAlign w:val="center"/>
          </w:tcPr>
          <w:p w14:paraId="65AC1472"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1,002,039</w:t>
            </w:r>
          </w:p>
        </w:tc>
        <w:tc>
          <w:tcPr>
            <w:tcW w:w="1276" w:type="dxa"/>
            <w:tcBorders>
              <w:top w:val="nil"/>
              <w:bottom w:val="single" w:sz="2" w:space="0" w:color="8EAADB" w:themeColor="accent5" w:themeTint="99"/>
            </w:tcBorders>
            <w:vAlign w:val="center"/>
          </w:tcPr>
          <w:p w14:paraId="1599586C"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6,117,185</w:t>
            </w:r>
          </w:p>
        </w:tc>
        <w:tc>
          <w:tcPr>
            <w:tcW w:w="238" w:type="dxa"/>
            <w:tcBorders>
              <w:top w:val="nil"/>
              <w:bottom w:val="single" w:sz="2" w:space="0" w:color="8EAADB" w:themeColor="accent5" w:themeTint="99"/>
            </w:tcBorders>
            <w:vAlign w:val="center"/>
          </w:tcPr>
          <w:p w14:paraId="36E1D62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87" w:type="dxa"/>
            <w:tcBorders>
              <w:top w:val="nil"/>
              <w:bottom w:val="single" w:sz="2" w:space="0" w:color="8EAADB" w:themeColor="accent5" w:themeTint="99"/>
            </w:tcBorders>
            <w:vAlign w:val="center"/>
          </w:tcPr>
          <w:p w14:paraId="10E0F1A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b/>
                <w:szCs w:val="14"/>
              </w:rPr>
              <w:t>1,002,039</w:t>
            </w:r>
          </w:p>
        </w:tc>
      </w:tr>
    </w:tbl>
    <w:p w14:paraId="5E4794C9" w14:textId="77777777" w:rsidR="00736E78" w:rsidRPr="00B84B0C" w:rsidRDefault="00736E78" w:rsidP="00736E78">
      <w:pPr>
        <w:pStyle w:val="01-TtulodeNota"/>
        <w:spacing w:before="0" w:after="0"/>
        <w:jc w:val="right"/>
        <w:rPr>
          <w:rFonts w:cs="Arial"/>
          <w:sz w:val="12"/>
          <w:szCs w:val="12"/>
        </w:rPr>
      </w:pPr>
    </w:p>
    <w:p w14:paraId="7B23C5C6" w14:textId="77777777" w:rsidR="00736E78" w:rsidRPr="00B84B0C" w:rsidRDefault="00736E78" w:rsidP="00736E78">
      <w:pPr>
        <w:pStyle w:val="06-Rmil"/>
        <w:ind w:right="-2"/>
        <w:rPr>
          <w:rFonts w:cs="Arial"/>
        </w:rPr>
      </w:pPr>
      <w:r w:rsidRPr="00B84B0C">
        <w:rPr>
          <w:rFonts w:cs="Arial"/>
        </w:rPr>
        <w:t>R$ </w:t>
      </w:r>
      <w:proofErr w:type="spellStart"/>
      <w:r w:rsidRPr="00B84B0C">
        <w:rPr>
          <w:rFonts w:cs="Arial"/>
        </w:rPr>
        <w:t>thousand</w:t>
      </w:r>
      <w:proofErr w:type="spellEnd"/>
      <w:r w:rsidRPr="00B84B0C">
        <w:rPr>
          <w:rFonts w:cs="Arial"/>
        </w:rPr>
        <w:t xml:space="preserve"> </w:t>
      </w:r>
    </w:p>
    <w:tbl>
      <w:tblPr>
        <w:tblStyle w:val="TabeladeLista6Colorida-nfase510"/>
        <w:tblW w:w="14884" w:type="dxa"/>
        <w:tblInd w:w="108" w:type="dxa"/>
        <w:tblLayout w:type="fixed"/>
        <w:tblLook w:val="04A0" w:firstRow="1" w:lastRow="0" w:firstColumn="1" w:lastColumn="0" w:noHBand="0" w:noVBand="1"/>
      </w:tblPr>
      <w:tblGrid>
        <w:gridCol w:w="3789"/>
        <w:gridCol w:w="923"/>
        <w:gridCol w:w="1276"/>
        <w:gridCol w:w="239"/>
        <w:gridCol w:w="1302"/>
        <w:gridCol w:w="1010"/>
        <w:gridCol w:w="1332"/>
        <w:gridCol w:w="971"/>
        <w:gridCol w:w="1184"/>
        <w:gridCol w:w="1251"/>
        <w:gridCol w:w="238"/>
        <w:gridCol w:w="1369"/>
      </w:tblGrid>
      <w:tr w:rsidR="00736E78" w:rsidRPr="00B84B0C" w14:paraId="6755637A" w14:textId="77777777" w:rsidTr="00076CE6">
        <w:trPr>
          <w:cnfStyle w:val="100000000000" w:firstRow="1" w:lastRow="0" w:firstColumn="0" w:lastColumn="0" w:oddVBand="0" w:evenVBand="0" w:oddHBand="0" w:evenHBand="0" w:firstRowFirstColumn="0" w:firstRowLastColumn="0" w:lastRowFirstColumn="0" w:lastRowLastColumn="0"/>
          <w:trHeight w:hRule="exact" w:val="539"/>
        </w:trPr>
        <w:tc>
          <w:tcPr>
            <w:cnfStyle w:val="001000000000" w:firstRow="0" w:lastRow="0" w:firstColumn="1" w:lastColumn="0" w:oddVBand="0" w:evenVBand="0" w:oddHBand="0" w:evenHBand="0" w:firstRowFirstColumn="0" w:firstRowLastColumn="0" w:lastRowFirstColumn="0" w:lastRowLastColumn="0"/>
            <w:tcW w:w="3789" w:type="dxa"/>
            <w:tcBorders>
              <w:top w:val="single" w:sz="2" w:space="0" w:color="8EAADB" w:themeColor="accent5" w:themeTint="99"/>
              <w:bottom w:val="nil"/>
            </w:tcBorders>
            <w:vAlign w:val="center"/>
          </w:tcPr>
          <w:p w14:paraId="26672635" w14:textId="77777777" w:rsidR="00736E78" w:rsidRPr="00B84B0C" w:rsidRDefault="00736E78" w:rsidP="00736E78">
            <w:pPr>
              <w:rPr>
                <w:rFonts w:cs="Arial"/>
                <w:sz w:val="14"/>
                <w:szCs w:val="14"/>
              </w:rPr>
            </w:pPr>
            <w:proofErr w:type="spellStart"/>
            <w:r w:rsidRPr="00B84B0C">
              <w:rPr>
                <w:rFonts w:cs="Arial"/>
                <w:bCs w:val="0"/>
                <w:sz w:val="14"/>
                <w:szCs w:val="14"/>
              </w:rPr>
              <w:t>Company</w:t>
            </w:r>
            <w:proofErr w:type="spellEnd"/>
          </w:p>
        </w:tc>
        <w:tc>
          <w:tcPr>
            <w:tcW w:w="923" w:type="dxa"/>
            <w:tcBorders>
              <w:top w:val="single" w:sz="2" w:space="0" w:color="8EAADB" w:themeColor="accent5" w:themeTint="99"/>
              <w:bottom w:val="nil"/>
            </w:tcBorders>
            <w:vAlign w:val="center"/>
          </w:tcPr>
          <w:p w14:paraId="5E317AAC"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1276" w:type="dxa"/>
            <w:tcBorders>
              <w:top w:val="single" w:sz="2" w:space="0" w:color="8EAADB" w:themeColor="accent5" w:themeTint="99"/>
              <w:bottom w:val="nil"/>
            </w:tcBorders>
            <w:vAlign w:val="center"/>
          </w:tcPr>
          <w:p w14:paraId="2B3BF3E6"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p>
        </w:tc>
        <w:tc>
          <w:tcPr>
            <w:tcW w:w="239" w:type="dxa"/>
            <w:tcBorders>
              <w:top w:val="single" w:sz="2" w:space="0" w:color="8EAADB" w:themeColor="accent5" w:themeTint="99"/>
              <w:bottom w:val="nil"/>
            </w:tcBorders>
            <w:vAlign w:val="center"/>
          </w:tcPr>
          <w:p w14:paraId="3608891C"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8657" w:type="dxa"/>
            <w:gridSpan w:val="8"/>
            <w:tcBorders>
              <w:top w:val="single" w:sz="2" w:space="0" w:color="8EAADB" w:themeColor="accent5" w:themeTint="99"/>
              <w:bottom w:val="single" w:sz="2" w:space="0" w:color="8EAADB" w:themeColor="accent5" w:themeTint="99"/>
            </w:tcBorders>
            <w:vAlign w:val="center"/>
          </w:tcPr>
          <w:p w14:paraId="0080C6C0"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bCs w:val="0"/>
                <w:sz w:val="14"/>
                <w:szCs w:val="14"/>
              </w:rPr>
              <w:t>Consolidated</w:t>
            </w:r>
            <w:proofErr w:type="spellEnd"/>
          </w:p>
        </w:tc>
      </w:tr>
      <w:tr w:rsidR="00736E78" w:rsidRPr="00B84B0C" w14:paraId="1FBF8FE3" w14:textId="77777777" w:rsidTr="00076CE6">
        <w:trPr>
          <w:cnfStyle w:val="000000100000" w:firstRow="0" w:lastRow="0" w:firstColumn="0" w:lastColumn="0" w:oddVBand="0" w:evenVBand="0" w:oddHBand="1" w:evenHBand="0" w:firstRowFirstColumn="0" w:firstRowLastColumn="0" w:lastRowFirstColumn="0" w:lastRowLastColumn="0"/>
          <w:trHeight w:hRule="exact" w:val="57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shd w:val="clear" w:color="auto" w:fill="D9E2F3" w:themeFill="accent5" w:themeFillTint="33"/>
            <w:vAlign w:val="center"/>
          </w:tcPr>
          <w:p w14:paraId="51D63435" w14:textId="77777777" w:rsidR="00736E78" w:rsidRPr="00B84B0C" w:rsidRDefault="00736E78" w:rsidP="00736E78">
            <w:pPr>
              <w:rPr>
                <w:rFonts w:cs="Arial"/>
                <w:sz w:val="14"/>
                <w:szCs w:val="14"/>
              </w:rPr>
            </w:pPr>
          </w:p>
        </w:tc>
        <w:tc>
          <w:tcPr>
            <w:tcW w:w="923" w:type="dxa"/>
            <w:tcBorders>
              <w:top w:val="nil"/>
              <w:bottom w:val="nil"/>
            </w:tcBorders>
            <w:shd w:val="clear" w:color="auto" w:fill="D9E2F3" w:themeFill="accent5" w:themeFillTint="33"/>
            <w:vAlign w:val="center"/>
          </w:tcPr>
          <w:p w14:paraId="219DC859"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Capital</w:t>
            </w:r>
          </w:p>
        </w:tc>
        <w:tc>
          <w:tcPr>
            <w:tcW w:w="1276" w:type="dxa"/>
            <w:tcBorders>
              <w:top w:val="nil"/>
              <w:bottom w:val="nil"/>
            </w:tcBorders>
            <w:shd w:val="clear" w:color="auto" w:fill="D9E2F3" w:themeFill="accent5" w:themeFillTint="33"/>
            <w:vAlign w:val="center"/>
          </w:tcPr>
          <w:p w14:paraId="3D1BB1CF"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Stockholders</w:t>
            </w:r>
            <w:proofErr w:type="spellEnd"/>
            <w:r w:rsidRPr="00B84B0C">
              <w:rPr>
                <w:rFonts w:cs="Arial"/>
                <w:b/>
                <w:sz w:val="14"/>
                <w:szCs w:val="14"/>
              </w:rPr>
              <w:t xml:space="preserve">' </w:t>
            </w:r>
            <w:proofErr w:type="spellStart"/>
            <w:r w:rsidRPr="00B84B0C">
              <w:rPr>
                <w:rFonts w:cs="Arial"/>
                <w:b/>
                <w:sz w:val="14"/>
                <w:szCs w:val="14"/>
              </w:rPr>
              <w:t>equity</w:t>
            </w:r>
            <w:proofErr w:type="spellEnd"/>
            <w:r w:rsidRPr="00B84B0C">
              <w:rPr>
                <w:rFonts w:cs="Arial"/>
                <w:b/>
                <w:sz w:val="14"/>
                <w:szCs w:val="14"/>
              </w:rPr>
              <w:t xml:space="preserve"> </w:t>
            </w:r>
            <w:proofErr w:type="spellStart"/>
            <w:proofErr w:type="gramStart"/>
            <w:r w:rsidRPr="00B84B0C">
              <w:rPr>
                <w:rFonts w:cs="Arial"/>
                <w:b/>
                <w:sz w:val="14"/>
                <w:szCs w:val="14"/>
              </w:rPr>
              <w:t>adjusted</w:t>
            </w:r>
            <w:proofErr w:type="spellEnd"/>
            <w:r w:rsidRPr="00B84B0C">
              <w:rPr>
                <w:rFonts w:cs="Arial"/>
                <w:b/>
                <w:sz w:val="14"/>
                <w:szCs w:val="14"/>
                <w:vertAlign w:val="superscript"/>
              </w:rPr>
              <w:t>(</w:t>
            </w:r>
            <w:proofErr w:type="gramEnd"/>
            <w:r w:rsidRPr="00B84B0C">
              <w:rPr>
                <w:rFonts w:cs="Arial"/>
                <w:b/>
                <w:sz w:val="14"/>
                <w:szCs w:val="14"/>
                <w:vertAlign w:val="superscript"/>
              </w:rPr>
              <w:t>1)</w:t>
            </w:r>
            <w:r w:rsidRPr="00B84B0C">
              <w:rPr>
                <w:rFonts w:cs="Arial"/>
                <w:b/>
                <w:sz w:val="14"/>
                <w:szCs w:val="14"/>
              </w:rPr>
              <w:tab/>
            </w:r>
          </w:p>
          <w:p w14:paraId="6A8123DE"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239" w:type="dxa"/>
            <w:tcBorders>
              <w:top w:val="nil"/>
              <w:bottom w:val="nil"/>
            </w:tcBorders>
            <w:shd w:val="clear" w:color="auto" w:fill="D9E2F3" w:themeFill="accent5" w:themeFillTint="33"/>
            <w:vAlign w:val="center"/>
          </w:tcPr>
          <w:p w14:paraId="7749FB66"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1302" w:type="dxa"/>
            <w:tcBorders>
              <w:top w:val="nil"/>
              <w:bottom w:val="nil"/>
            </w:tcBorders>
            <w:shd w:val="clear" w:color="auto" w:fill="D9E2F3" w:themeFill="accent5" w:themeFillTint="33"/>
            <w:vAlign w:val="center"/>
          </w:tcPr>
          <w:p w14:paraId="6C3E6CA4"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4497" w:type="dxa"/>
            <w:gridSpan w:val="4"/>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1DAC1B2"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roofErr w:type="spellStart"/>
            <w:r w:rsidRPr="00B84B0C">
              <w:rPr>
                <w:rFonts w:cs="Arial"/>
                <w:b/>
                <w:sz w:val="14"/>
                <w:szCs w:val="14"/>
                <w:lang w:val="en-US"/>
              </w:rPr>
              <w:t>Moviments</w:t>
            </w:r>
            <w:proofErr w:type="spellEnd"/>
            <w:r w:rsidRPr="00B84B0C">
              <w:rPr>
                <w:rFonts w:cs="Arial"/>
                <w:b/>
                <w:sz w:val="14"/>
                <w:szCs w:val="14"/>
                <w:lang w:val="en-US"/>
              </w:rPr>
              <w:t xml:space="preserve"> from Jan 01, </w:t>
            </w:r>
            <w:proofErr w:type="gramStart"/>
            <w:r w:rsidRPr="00B84B0C">
              <w:rPr>
                <w:rFonts w:cs="Arial"/>
                <w:b/>
                <w:sz w:val="14"/>
                <w:szCs w:val="14"/>
                <w:lang w:val="en-US"/>
              </w:rPr>
              <w:t>2019</w:t>
            </w:r>
            <w:proofErr w:type="gramEnd"/>
            <w:r w:rsidRPr="00B84B0C">
              <w:rPr>
                <w:rFonts w:cs="Arial"/>
                <w:b/>
                <w:sz w:val="14"/>
                <w:szCs w:val="14"/>
                <w:lang w:val="en-US"/>
              </w:rPr>
              <w:t xml:space="preserve"> to Mar 31, 2019</w:t>
            </w:r>
          </w:p>
        </w:tc>
        <w:tc>
          <w:tcPr>
            <w:tcW w:w="1251" w:type="dxa"/>
            <w:tcBorders>
              <w:top w:val="single" w:sz="2" w:space="0" w:color="8EAADB" w:themeColor="accent5" w:themeTint="99"/>
              <w:bottom w:val="nil"/>
            </w:tcBorders>
            <w:shd w:val="clear" w:color="auto" w:fill="D9E2F3" w:themeFill="accent5" w:themeFillTint="33"/>
            <w:vAlign w:val="center"/>
          </w:tcPr>
          <w:p w14:paraId="304595B8"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
        </w:tc>
        <w:tc>
          <w:tcPr>
            <w:tcW w:w="238" w:type="dxa"/>
            <w:tcBorders>
              <w:top w:val="single" w:sz="2" w:space="0" w:color="8EAADB" w:themeColor="accent5" w:themeTint="99"/>
              <w:bottom w:val="nil"/>
            </w:tcBorders>
            <w:shd w:val="clear" w:color="auto" w:fill="D9E2F3" w:themeFill="accent5" w:themeFillTint="33"/>
            <w:vAlign w:val="center"/>
          </w:tcPr>
          <w:p w14:paraId="788D7554"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lang w:val="en-US"/>
              </w:rPr>
            </w:pPr>
          </w:p>
        </w:tc>
        <w:tc>
          <w:tcPr>
            <w:tcW w:w="1369"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5DB0E46"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Share</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Profit</w:t>
            </w:r>
          </w:p>
        </w:tc>
      </w:tr>
      <w:tr w:rsidR="00736E78" w:rsidRPr="00B84B0C" w14:paraId="10245E82" w14:textId="77777777" w:rsidTr="00076CE6">
        <w:trPr>
          <w:cnfStyle w:val="000000010000" w:firstRow="0" w:lastRow="0" w:firstColumn="0" w:lastColumn="0" w:oddVBand="0" w:evenVBand="0" w:oddHBand="0" w:evenHBand="1"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3789" w:type="dxa"/>
            <w:tcBorders>
              <w:top w:val="nil"/>
              <w:bottom w:val="single" w:sz="4" w:space="0" w:color="8EAADB" w:themeColor="accent5" w:themeTint="99"/>
            </w:tcBorders>
            <w:vAlign w:val="center"/>
          </w:tcPr>
          <w:p w14:paraId="12FFC5FE" w14:textId="77777777" w:rsidR="00736E78" w:rsidRPr="00B84B0C" w:rsidRDefault="00736E78" w:rsidP="00736E78">
            <w:pPr>
              <w:rPr>
                <w:rFonts w:cs="Arial"/>
                <w:sz w:val="14"/>
                <w:szCs w:val="14"/>
              </w:rPr>
            </w:pPr>
          </w:p>
        </w:tc>
        <w:tc>
          <w:tcPr>
            <w:tcW w:w="923" w:type="dxa"/>
            <w:tcBorders>
              <w:top w:val="nil"/>
              <w:bottom w:val="single" w:sz="4" w:space="0" w:color="8EAADB" w:themeColor="accent5" w:themeTint="99"/>
            </w:tcBorders>
            <w:vAlign w:val="center"/>
          </w:tcPr>
          <w:p w14:paraId="795B6288"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276" w:type="dxa"/>
            <w:tcBorders>
              <w:top w:val="nil"/>
              <w:bottom w:val="single" w:sz="4" w:space="0" w:color="8EAADB" w:themeColor="accent5" w:themeTint="99"/>
            </w:tcBorders>
            <w:vAlign w:val="center"/>
          </w:tcPr>
          <w:p w14:paraId="41E003A0"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239" w:type="dxa"/>
            <w:tcBorders>
              <w:top w:val="nil"/>
              <w:bottom w:val="single" w:sz="4" w:space="0" w:color="8EAADB" w:themeColor="accent5" w:themeTint="99"/>
            </w:tcBorders>
            <w:vAlign w:val="center"/>
          </w:tcPr>
          <w:p w14:paraId="49F7F3A8"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302" w:type="dxa"/>
            <w:tcBorders>
              <w:top w:val="nil"/>
              <w:bottom w:val="single" w:sz="4" w:space="0" w:color="8EAADB" w:themeColor="accent5" w:themeTint="99"/>
            </w:tcBorders>
            <w:vAlign w:val="center"/>
          </w:tcPr>
          <w:p w14:paraId="484B4866"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Carrying </w:t>
            </w:r>
            <w:proofErr w:type="spellStart"/>
            <w:r w:rsidRPr="00B84B0C">
              <w:rPr>
                <w:rFonts w:cs="Arial"/>
                <w:b/>
                <w:sz w:val="14"/>
                <w:szCs w:val="14"/>
              </w:rPr>
              <w:t>amount</w:t>
            </w:r>
            <w:proofErr w:type="spellEnd"/>
            <w:r w:rsidRPr="00B84B0C">
              <w:rPr>
                <w:rFonts w:cs="Arial"/>
                <w:b/>
                <w:sz w:val="14"/>
                <w:szCs w:val="14"/>
              </w:rPr>
              <w:t xml:space="preserve"> </w:t>
            </w:r>
            <w:proofErr w:type="spellStart"/>
            <w:r w:rsidRPr="00B84B0C">
              <w:rPr>
                <w:rFonts w:cs="Arial"/>
                <w:b/>
                <w:sz w:val="14"/>
                <w:szCs w:val="14"/>
              </w:rPr>
              <w:t>Dec</w:t>
            </w:r>
            <w:proofErr w:type="spellEnd"/>
            <w:r w:rsidRPr="00B84B0C">
              <w:rPr>
                <w:rFonts w:cs="Arial"/>
                <w:b/>
                <w:sz w:val="14"/>
                <w:szCs w:val="14"/>
              </w:rPr>
              <w:t xml:space="preserve"> 31, 2018</w:t>
            </w:r>
          </w:p>
        </w:tc>
        <w:tc>
          <w:tcPr>
            <w:tcW w:w="1010" w:type="dxa"/>
            <w:tcBorders>
              <w:top w:val="single" w:sz="2" w:space="0" w:color="8EAADB" w:themeColor="accent5" w:themeTint="99"/>
              <w:bottom w:val="single" w:sz="2" w:space="0" w:color="8EAADB" w:themeColor="accent5" w:themeTint="99"/>
            </w:tcBorders>
            <w:vAlign w:val="center"/>
          </w:tcPr>
          <w:p w14:paraId="0B255F21"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roofErr w:type="spellStart"/>
            <w:r w:rsidRPr="00B84B0C">
              <w:rPr>
                <w:rFonts w:cs="Arial"/>
                <w:b/>
                <w:bCs/>
                <w:color w:val="auto"/>
                <w:szCs w:val="14"/>
              </w:rPr>
              <w:t>Dividends</w:t>
            </w:r>
            <w:proofErr w:type="spellEnd"/>
          </w:p>
        </w:tc>
        <w:tc>
          <w:tcPr>
            <w:tcW w:w="1332" w:type="dxa"/>
            <w:tcBorders>
              <w:top w:val="single" w:sz="2" w:space="0" w:color="8EAADB" w:themeColor="accent5" w:themeTint="99"/>
              <w:bottom w:val="single" w:sz="2" w:space="0" w:color="8EAADB" w:themeColor="accent5" w:themeTint="99"/>
            </w:tcBorders>
            <w:vAlign w:val="center"/>
          </w:tcPr>
          <w:p w14:paraId="33BF21F2"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roofErr w:type="spellStart"/>
            <w:r w:rsidRPr="00B84B0C">
              <w:rPr>
                <w:rFonts w:eastAsia="Times New Roman" w:cs="Arial"/>
                <w:b/>
                <w:bCs/>
                <w:color w:val="auto"/>
                <w:spacing w:val="-2"/>
                <w:sz w:val="14"/>
                <w:szCs w:val="14"/>
                <w:lang w:eastAsia="pt-BR"/>
              </w:rPr>
              <w:t>Equity</w:t>
            </w:r>
            <w:proofErr w:type="spellEnd"/>
            <w:r w:rsidRPr="00B84B0C">
              <w:rPr>
                <w:rFonts w:eastAsia="Times New Roman" w:cs="Arial"/>
                <w:b/>
                <w:bCs/>
                <w:color w:val="auto"/>
                <w:spacing w:val="-2"/>
                <w:sz w:val="14"/>
                <w:szCs w:val="14"/>
                <w:lang w:eastAsia="pt-BR"/>
              </w:rPr>
              <w:t xml:space="preserve"> </w:t>
            </w:r>
            <w:proofErr w:type="spellStart"/>
            <w:r w:rsidRPr="00B84B0C">
              <w:rPr>
                <w:rFonts w:eastAsia="Times New Roman" w:cs="Arial"/>
                <w:b/>
                <w:bCs/>
                <w:color w:val="auto"/>
                <w:spacing w:val="-2"/>
                <w:sz w:val="14"/>
                <w:szCs w:val="14"/>
                <w:lang w:eastAsia="pt-BR"/>
              </w:rPr>
              <w:t>valuation</w:t>
            </w:r>
            <w:proofErr w:type="spellEnd"/>
            <w:r w:rsidRPr="00B84B0C">
              <w:rPr>
                <w:rFonts w:eastAsia="Times New Roman" w:cs="Arial"/>
                <w:b/>
                <w:bCs/>
                <w:color w:val="auto"/>
                <w:spacing w:val="-2"/>
                <w:sz w:val="14"/>
                <w:szCs w:val="14"/>
                <w:lang w:eastAsia="pt-BR"/>
              </w:rPr>
              <w:t xml:space="preserve"> </w:t>
            </w:r>
            <w:proofErr w:type="spellStart"/>
            <w:r w:rsidRPr="00B84B0C">
              <w:rPr>
                <w:rFonts w:eastAsia="Times New Roman" w:cs="Arial"/>
                <w:b/>
                <w:bCs/>
                <w:color w:val="auto"/>
                <w:spacing w:val="-2"/>
                <w:sz w:val="14"/>
                <w:szCs w:val="14"/>
                <w:lang w:eastAsia="pt-BR"/>
              </w:rPr>
              <w:t>adjustments</w:t>
            </w:r>
            <w:proofErr w:type="spellEnd"/>
          </w:p>
        </w:tc>
        <w:tc>
          <w:tcPr>
            <w:tcW w:w="971" w:type="dxa"/>
            <w:tcBorders>
              <w:top w:val="single" w:sz="2" w:space="0" w:color="8EAADB" w:themeColor="accent5" w:themeTint="99"/>
              <w:bottom w:val="single" w:sz="2" w:space="0" w:color="8EAADB" w:themeColor="accent5" w:themeTint="99"/>
            </w:tcBorders>
            <w:vAlign w:val="center"/>
          </w:tcPr>
          <w:p w14:paraId="46861A27"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eastAsia="Times New Roman" w:cs="Arial"/>
                <w:b/>
                <w:bCs/>
                <w:color w:val="auto"/>
                <w:spacing w:val="-2"/>
                <w:sz w:val="14"/>
                <w:szCs w:val="14"/>
                <w:lang w:eastAsia="pt-BR"/>
              </w:rPr>
              <w:t xml:space="preserve">Other </w:t>
            </w:r>
            <w:proofErr w:type="spellStart"/>
            <w:r w:rsidRPr="00B84B0C">
              <w:rPr>
                <w:rFonts w:eastAsia="Times New Roman" w:cs="Arial"/>
                <w:b/>
                <w:bCs/>
                <w:color w:val="auto"/>
                <w:spacing w:val="-2"/>
                <w:sz w:val="14"/>
                <w:szCs w:val="14"/>
                <w:lang w:eastAsia="pt-BR"/>
              </w:rPr>
              <w:t>events</w:t>
            </w:r>
            <w:proofErr w:type="spellEnd"/>
          </w:p>
        </w:tc>
        <w:tc>
          <w:tcPr>
            <w:tcW w:w="1184" w:type="dxa"/>
            <w:tcBorders>
              <w:top w:val="single" w:sz="2" w:space="0" w:color="8EAADB" w:themeColor="accent5" w:themeTint="99"/>
              <w:bottom w:val="single" w:sz="2" w:space="0" w:color="8EAADB" w:themeColor="accent5" w:themeTint="99"/>
            </w:tcBorders>
            <w:vAlign w:val="center"/>
          </w:tcPr>
          <w:p w14:paraId="21A630D2"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roofErr w:type="spellStart"/>
            <w:r w:rsidRPr="00B84B0C">
              <w:rPr>
                <w:rFonts w:eastAsia="Times New Roman" w:cs="Arial"/>
                <w:b/>
                <w:bCs/>
                <w:color w:val="auto"/>
                <w:spacing w:val="-2"/>
                <w:sz w:val="14"/>
                <w:szCs w:val="14"/>
                <w:lang w:eastAsia="pt-BR"/>
              </w:rPr>
              <w:t>Share</w:t>
            </w:r>
            <w:proofErr w:type="spellEnd"/>
            <w:r w:rsidRPr="00B84B0C">
              <w:rPr>
                <w:rFonts w:eastAsia="Times New Roman" w:cs="Arial"/>
                <w:b/>
                <w:bCs/>
                <w:color w:val="auto"/>
                <w:spacing w:val="-2"/>
                <w:sz w:val="14"/>
                <w:szCs w:val="14"/>
                <w:lang w:eastAsia="pt-BR"/>
              </w:rPr>
              <w:t xml:space="preserve"> </w:t>
            </w:r>
            <w:proofErr w:type="spellStart"/>
            <w:r w:rsidRPr="00B84B0C">
              <w:rPr>
                <w:rFonts w:eastAsia="Times New Roman" w:cs="Arial"/>
                <w:b/>
                <w:bCs/>
                <w:color w:val="auto"/>
                <w:spacing w:val="-2"/>
                <w:sz w:val="14"/>
                <w:szCs w:val="14"/>
                <w:lang w:eastAsia="pt-BR"/>
              </w:rPr>
              <w:t>of</w:t>
            </w:r>
            <w:proofErr w:type="spellEnd"/>
            <w:r w:rsidRPr="00B84B0C">
              <w:rPr>
                <w:rFonts w:eastAsia="Times New Roman" w:cs="Arial"/>
                <w:b/>
                <w:bCs/>
                <w:color w:val="auto"/>
                <w:spacing w:val="-2"/>
                <w:sz w:val="14"/>
                <w:szCs w:val="14"/>
                <w:lang w:eastAsia="pt-BR"/>
              </w:rPr>
              <w:t xml:space="preserve"> </w:t>
            </w:r>
            <w:proofErr w:type="spellStart"/>
            <w:r w:rsidRPr="00B84B0C">
              <w:rPr>
                <w:rFonts w:eastAsia="Times New Roman" w:cs="Arial"/>
                <w:b/>
                <w:bCs/>
                <w:color w:val="auto"/>
                <w:spacing w:val="-2"/>
                <w:sz w:val="14"/>
                <w:szCs w:val="14"/>
                <w:lang w:eastAsia="pt-BR"/>
              </w:rPr>
              <w:t>profit</w:t>
            </w:r>
            <w:proofErr w:type="spellEnd"/>
          </w:p>
        </w:tc>
        <w:tc>
          <w:tcPr>
            <w:tcW w:w="1251" w:type="dxa"/>
            <w:tcBorders>
              <w:top w:val="nil"/>
              <w:bottom w:val="single" w:sz="2" w:space="0" w:color="8EAADB" w:themeColor="accent5" w:themeTint="99"/>
            </w:tcBorders>
            <w:vAlign w:val="center"/>
          </w:tcPr>
          <w:p w14:paraId="7FABBC48"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Carrying </w:t>
            </w:r>
            <w:proofErr w:type="spellStart"/>
            <w:r w:rsidRPr="00B84B0C">
              <w:rPr>
                <w:rFonts w:cs="Arial"/>
                <w:b/>
                <w:sz w:val="14"/>
                <w:szCs w:val="14"/>
              </w:rPr>
              <w:t>amount</w:t>
            </w:r>
            <w:proofErr w:type="spellEnd"/>
            <w:r w:rsidRPr="00B84B0C">
              <w:rPr>
                <w:rFonts w:cs="Arial"/>
                <w:b/>
                <w:sz w:val="14"/>
                <w:szCs w:val="14"/>
              </w:rPr>
              <w:t xml:space="preserve"> </w:t>
            </w:r>
            <w:proofErr w:type="gramStart"/>
            <w:r w:rsidRPr="00B84B0C">
              <w:rPr>
                <w:rFonts w:cs="Arial"/>
                <w:b/>
                <w:sz w:val="14"/>
                <w:szCs w:val="14"/>
              </w:rPr>
              <w:t>Mar  31</w:t>
            </w:r>
            <w:proofErr w:type="gramEnd"/>
            <w:r w:rsidRPr="00B84B0C">
              <w:rPr>
                <w:rFonts w:cs="Arial"/>
                <w:b/>
                <w:sz w:val="14"/>
                <w:szCs w:val="14"/>
              </w:rPr>
              <w:t>, 2019</w:t>
            </w:r>
          </w:p>
        </w:tc>
        <w:tc>
          <w:tcPr>
            <w:tcW w:w="238" w:type="dxa"/>
            <w:tcBorders>
              <w:top w:val="nil"/>
              <w:bottom w:val="single" w:sz="2" w:space="0" w:color="8EAADB" w:themeColor="accent5" w:themeTint="99"/>
            </w:tcBorders>
            <w:vAlign w:val="center"/>
          </w:tcPr>
          <w:p w14:paraId="7A6307BF"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1369" w:type="dxa"/>
            <w:tcBorders>
              <w:top w:val="single" w:sz="2" w:space="0" w:color="8EAADB" w:themeColor="accent5" w:themeTint="99"/>
              <w:bottom w:val="single" w:sz="2" w:space="0" w:color="8EAADB" w:themeColor="accent5" w:themeTint="99"/>
            </w:tcBorders>
            <w:vAlign w:val="center"/>
          </w:tcPr>
          <w:p w14:paraId="442D1250"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 xml:space="preserve">1st </w:t>
            </w:r>
            <w:proofErr w:type="spellStart"/>
            <w:r w:rsidRPr="00B84B0C">
              <w:rPr>
                <w:rFonts w:cs="Arial"/>
                <w:b/>
                <w:sz w:val="14"/>
                <w:szCs w:val="14"/>
              </w:rPr>
              <w:t>Quarter</w:t>
            </w:r>
            <w:proofErr w:type="spellEnd"/>
            <w:r w:rsidRPr="00B84B0C">
              <w:rPr>
                <w:rFonts w:cs="Arial"/>
                <w:b/>
                <w:sz w:val="14"/>
                <w:szCs w:val="14"/>
              </w:rPr>
              <w:t xml:space="preserve"> </w:t>
            </w:r>
            <w:proofErr w:type="spellStart"/>
            <w:r w:rsidRPr="00B84B0C">
              <w:rPr>
                <w:rFonts w:cs="Arial"/>
                <w:b/>
                <w:sz w:val="14"/>
                <w:szCs w:val="14"/>
              </w:rPr>
              <w:t>of</w:t>
            </w:r>
            <w:proofErr w:type="spellEnd"/>
            <w:r w:rsidRPr="00B84B0C">
              <w:rPr>
                <w:rFonts w:cs="Arial"/>
                <w:b/>
                <w:sz w:val="14"/>
                <w:szCs w:val="14"/>
              </w:rPr>
              <w:t xml:space="preserve"> 2019</w:t>
            </w:r>
          </w:p>
        </w:tc>
      </w:tr>
      <w:tr w:rsidR="00736E78" w:rsidRPr="00B84B0C" w14:paraId="64A2FCD8" w14:textId="77777777" w:rsidTr="00076C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single" w:sz="4" w:space="0" w:color="8EAADB" w:themeColor="accent5" w:themeTint="99"/>
              <w:bottom w:val="nil"/>
            </w:tcBorders>
            <w:vAlign w:val="center"/>
          </w:tcPr>
          <w:p w14:paraId="5E4A53BA" w14:textId="77777777" w:rsidR="00736E78" w:rsidRPr="00B84B0C" w:rsidRDefault="00736E78" w:rsidP="00736E78">
            <w:pPr>
              <w:pStyle w:val="08-Tabelageral"/>
              <w:jc w:val="left"/>
              <w:rPr>
                <w:rFonts w:cs="Arial"/>
                <w:bCs w:val="0"/>
                <w:szCs w:val="14"/>
              </w:rPr>
            </w:pPr>
            <w:r w:rsidRPr="00B84B0C">
              <w:rPr>
                <w:rFonts w:cs="Arial"/>
                <w:bCs w:val="0"/>
                <w:szCs w:val="14"/>
              </w:rPr>
              <w:t>BB Seguros Participações S.A.</w:t>
            </w:r>
          </w:p>
        </w:tc>
        <w:tc>
          <w:tcPr>
            <w:tcW w:w="923" w:type="dxa"/>
            <w:tcBorders>
              <w:top w:val="single" w:sz="4" w:space="0" w:color="8EAADB" w:themeColor="accent5" w:themeTint="99"/>
              <w:bottom w:val="nil"/>
            </w:tcBorders>
            <w:vAlign w:val="center"/>
          </w:tcPr>
          <w:p w14:paraId="647AF0BE"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76" w:type="dxa"/>
            <w:tcBorders>
              <w:top w:val="single" w:sz="4" w:space="0" w:color="8EAADB" w:themeColor="accent5" w:themeTint="99"/>
              <w:bottom w:val="nil"/>
            </w:tcBorders>
            <w:vAlign w:val="center"/>
          </w:tcPr>
          <w:p w14:paraId="5B72919F"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239" w:type="dxa"/>
            <w:tcBorders>
              <w:top w:val="single" w:sz="4" w:space="0" w:color="8EAADB" w:themeColor="accent5" w:themeTint="99"/>
              <w:bottom w:val="nil"/>
            </w:tcBorders>
            <w:vAlign w:val="center"/>
          </w:tcPr>
          <w:p w14:paraId="5549707B"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02" w:type="dxa"/>
            <w:tcBorders>
              <w:top w:val="single" w:sz="4" w:space="0" w:color="8EAADB" w:themeColor="accent5" w:themeTint="99"/>
              <w:bottom w:val="nil"/>
            </w:tcBorders>
            <w:vAlign w:val="center"/>
          </w:tcPr>
          <w:p w14:paraId="7D6CF1D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10" w:type="dxa"/>
            <w:tcBorders>
              <w:top w:val="single" w:sz="2" w:space="0" w:color="8EAADB" w:themeColor="accent5" w:themeTint="99"/>
              <w:bottom w:val="nil"/>
            </w:tcBorders>
            <w:vAlign w:val="center"/>
          </w:tcPr>
          <w:p w14:paraId="578729DC"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32" w:type="dxa"/>
            <w:tcBorders>
              <w:top w:val="single" w:sz="2" w:space="0" w:color="8EAADB" w:themeColor="accent5" w:themeTint="99"/>
              <w:bottom w:val="nil"/>
            </w:tcBorders>
            <w:vAlign w:val="center"/>
          </w:tcPr>
          <w:p w14:paraId="775DCBE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971" w:type="dxa"/>
            <w:tcBorders>
              <w:top w:val="single" w:sz="2" w:space="0" w:color="8EAADB" w:themeColor="accent5" w:themeTint="99"/>
              <w:bottom w:val="nil"/>
            </w:tcBorders>
            <w:vAlign w:val="center"/>
          </w:tcPr>
          <w:p w14:paraId="6463C40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84" w:type="dxa"/>
            <w:tcBorders>
              <w:top w:val="single" w:sz="2" w:space="0" w:color="8EAADB" w:themeColor="accent5" w:themeTint="99"/>
              <w:bottom w:val="nil"/>
            </w:tcBorders>
            <w:vAlign w:val="center"/>
          </w:tcPr>
          <w:p w14:paraId="6264A82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51" w:type="dxa"/>
            <w:tcBorders>
              <w:top w:val="single" w:sz="2" w:space="0" w:color="8EAADB" w:themeColor="accent5" w:themeTint="99"/>
              <w:bottom w:val="nil"/>
            </w:tcBorders>
            <w:vAlign w:val="center"/>
          </w:tcPr>
          <w:p w14:paraId="4A937E97"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238" w:type="dxa"/>
            <w:tcBorders>
              <w:top w:val="single" w:sz="2" w:space="0" w:color="8EAADB" w:themeColor="accent5" w:themeTint="99"/>
              <w:bottom w:val="nil"/>
            </w:tcBorders>
            <w:vAlign w:val="center"/>
          </w:tcPr>
          <w:p w14:paraId="176C36F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69" w:type="dxa"/>
            <w:tcBorders>
              <w:top w:val="single" w:sz="2" w:space="0" w:color="8EAADB" w:themeColor="accent5" w:themeTint="99"/>
              <w:bottom w:val="nil"/>
            </w:tcBorders>
            <w:vAlign w:val="center"/>
          </w:tcPr>
          <w:p w14:paraId="2D850F26"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r>
      <w:tr w:rsidR="00736E78" w:rsidRPr="00B84B0C" w14:paraId="41A4DB85" w14:textId="77777777" w:rsidTr="00076C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5BCAD4B7" w14:textId="77777777" w:rsidR="00736E78" w:rsidRPr="00B84B0C" w:rsidRDefault="00736E78" w:rsidP="00736E78">
            <w:pPr>
              <w:pStyle w:val="08-Tabelageral"/>
              <w:jc w:val="left"/>
              <w:rPr>
                <w:rFonts w:cs="Arial"/>
                <w:b w:val="0"/>
                <w:bCs w:val="0"/>
                <w:szCs w:val="14"/>
              </w:rPr>
            </w:pPr>
            <w:r w:rsidRPr="00B84B0C">
              <w:rPr>
                <w:rFonts w:cs="Arial"/>
                <w:b w:val="0"/>
                <w:bCs w:val="0"/>
                <w:szCs w:val="14"/>
              </w:rPr>
              <w:t xml:space="preserve">BB Mapfre Participações </w:t>
            </w:r>
            <w:proofErr w:type="gramStart"/>
            <w:r w:rsidRPr="00B84B0C">
              <w:rPr>
                <w:rFonts w:cs="Arial"/>
                <w:b w:val="0"/>
                <w:bCs w:val="0"/>
                <w:szCs w:val="14"/>
              </w:rPr>
              <w:t>S.A.</w:t>
            </w:r>
            <w:r w:rsidRPr="00B84B0C">
              <w:rPr>
                <w:rFonts w:cs="Arial"/>
                <w:b w:val="0"/>
                <w:bCs w:val="0"/>
                <w:szCs w:val="14"/>
                <w:vertAlign w:val="superscript"/>
              </w:rPr>
              <w:t>(</w:t>
            </w:r>
            <w:proofErr w:type="gramEnd"/>
            <w:r w:rsidRPr="00B84B0C">
              <w:rPr>
                <w:rFonts w:cs="Arial"/>
                <w:b w:val="0"/>
                <w:bCs w:val="0"/>
                <w:szCs w:val="14"/>
                <w:vertAlign w:val="superscript"/>
              </w:rPr>
              <w:t>2)</w:t>
            </w:r>
          </w:p>
        </w:tc>
        <w:tc>
          <w:tcPr>
            <w:tcW w:w="923" w:type="dxa"/>
            <w:tcBorders>
              <w:top w:val="nil"/>
              <w:bottom w:val="nil"/>
            </w:tcBorders>
            <w:vAlign w:val="center"/>
          </w:tcPr>
          <w:p w14:paraId="0F4F600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1,422,278</w:t>
            </w:r>
          </w:p>
        </w:tc>
        <w:tc>
          <w:tcPr>
            <w:tcW w:w="1276" w:type="dxa"/>
            <w:tcBorders>
              <w:top w:val="nil"/>
              <w:bottom w:val="nil"/>
            </w:tcBorders>
            <w:vAlign w:val="center"/>
          </w:tcPr>
          <w:p w14:paraId="732497F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2,133,474</w:t>
            </w:r>
          </w:p>
        </w:tc>
        <w:tc>
          <w:tcPr>
            <w:tcW w:w="239" w:type="dxa"/>
            <w:tcBorders>
              <w:top w:val="nil"/>
              <w:bottom w:val="nil"/>
            </w:tcBorders>
            <w:vAlign w:val="center"/>
          </w:tcPr>
          <w:p w14:paraId="5DE6658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02" w:type="dxa"/>
            <w:tcBorders>
              <w:top w:val="nil"/>
              <w:bottom w:val="nil"/>
            </w:tcBorders>
            <w:vAlign w:val="center"/>
          </w:tcPr>
          <w:p w14:paraId="6AD29A1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2,174,718</w:t>
            </w:r>
          </w:p>
        </w:tc>
        <w:tc>
          <w:tcPr>
            <w:tcW w:w="1010" w:type="dxa"/>
            <w:tcBorders>
              <w:top w:val="nil"/>
              <w:bottom w:val="nil"/>
            </w:tcBorders>
            <w:vAlign w:val="center"/>
          </w:tcPr>
          <w:p w14:paraId="2C6DD28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(258,333)</w:t>
            </w:r>
          </w:p>
        </w:tc>
        <w:tc>
          <w:tcPr>
            <w:tcW w:w="1332" w:type="dxa"/>
            <w:tcBorders>
              <w:top w:val="nil"/>
              <w:bottom w:val="nil"/>
            </w:tcBorders>
            <w:vAlign w:val="center"/>
          </w:tcPr>
          <w:p w14:paraId="0C322FD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(46,113)</w:t>
            </w:r>
          </w:p>
        </w:tc>
        <w:tc>
          <w:tcPr>
            <w:tcW w:w="971" w:type="dxa"/>
            <w:tcBorders>
              <w:top w:val="nil"/>
              <w:bottom w:val="nil"/>
            </w:tcBorders>
            <w:vAlign w:val="center"/>
          </w:tcPr>
          <w:p w14:paraId="7C61A6F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1184" w:type="dxa"/>
            <w:tcBorders>
              <w:top w:val="nil"/>
              <w:bottom w:val="nil"/>
            </w:tcBorders>
            <w:vAlign w:val="center"/>
          </w:tcPr>
          <w:p w14:paraId="495022F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226,211</w:t>
            </w:r>
          </w:p>
        </w:tc>
        <w:tc>
          <w:tcPr>
            <w:tcW w:w="1251" w:type="dxa"/>
            <w:tcBorders>
              <w:top w:val="nil"/>
              <w:bottom w:val="nil"/>
            </w:tcBorders>
            <w:vAlign w:val="center"/>
          </w:tcPr>
          <w:p w14:paraId="225AE6C1"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2,096,483</w:t>
            </w:r>
          </w:p>
        </w:tc>
        <w:tc>
          <w:tcPr>
            <w:tcW w:w="238" w:type="dxa"/>
            <w:tcBorders>
              <w:top w:val="nil"/>
              <w:bottom w:val="nil"/>
            </w:tcBorders>
            <w:vAlign w:val="center"/>
          </w:tcPr>
          <w:p w14:paraId="14533F5A"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69" w:type="dxa"/>
            <w:tcBorders>
              <w:top w:val="nil"/>
              <w:bottom w:val="nil"/>
            </w:tcBorders>
            <w:vAlign w:val="center"/>
          </w:tcPr>
          <w:p w14:paraId="58B20CE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226,211</w:t>
            </w:r>
          </w:p>
        </w:tc>
      </w:tr>
      <w:tr w:rsidR="00736E78" w:rsidRPr="00B84B0C" w14:paraId="49F6C6E7" w14:textId="77777777" w:rsidTr="00076C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6C86579A"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Brasilprev</w:t>
            </w:r>
            <w:proofErr w:type="spellEnd"/>
            <w:r w:rsidRPr="00B84B0C">
              <w:rPr>
                <w:rFonts w:cs="Arial"/>
                <w:b w:val="0"/>
                <w:bCs w:val="0"/>
                <w:szCs w:val="14"/>
              </w:rPr>
              <w:t xml:space="preserve"> Seguros e Previdência S.A.</w:t>
            </w:r>
          </w:p>
        </w:tc>
        <w:tc>
          <w:tcPr>
            <w:tcW w:w="923" w:type="dxa"/>
            <w:tcBorders>
              <w:top w:val="nil"/>
              <w:bottom w:val="nil"/>
            </w:tcBorders>
            <w:vAlign w:val="center"/>
          </w:tcPr>
          <w:p w14:paraId="78DBAA6D"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1,402,269</w:t>
            </w:r>
          </w:p>
        </w:tc>
        <w:tc>
          <w:tcPr>
            <w:tcW w:w="1276" w:type="dxa"/>
            <w:tcBorders>
              <w:top w:val="nil"/>
              <w:bottom w:val="nil"/>
            </w:tcBorders>
            <w:vAlign w:val="center"/>
          </w:tcPr>
          <w:p w14:paraId="1E25FEA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2,967,542</w:t>
            </w:r>
          </w:p>
        </w:tc>
        <w:tc>
          <w:tcPr>
            <w:tcW w:w="239" w:type="dxa"/>
            <w:tcBorders>
              <w:top w:val="nil"/>
              <w:bottom w:val="nil"/>
            </w:tcBorders>
            <w:vAlign w:val="center"/>
          </w:tcPr>
          <w:p w14:paraId="32A610AD"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02" w:type="dxa"/>
            <w:tcBorders>
              <w:top w:val="nil"/>
              <w:bottom w:val="nil"/>
            </w:tcBorders>
            <w:vAlign w:val="center"/>
          </w:tcPr>
          <w:p w14:paraId="27DA7A7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2,133,724</w:t>
            </w:r>
          </w:p>
        </w:tc>
        <w:tc>
          <w:tcPr>
            <w:tcW w:w="1010" w:type="dxa"/>
            <w:tcBorders>
              <w:top w:val="nil"/>
              <w:bottom w:val="nil"/>
            </w:tcBorders>
            <w:vAlign w:val="center"/>
          </w:tcPr>
          <w:p w14:paraId="0398005F"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(218,098)</w:t>
            </w:r>
          </w:p>
        </w:tc>
        <w:tc>
          <w:tcPr>
            <w:tcW w:w="1332" w:type="dxa"/>
            <w:tcBorders>
              <w:top w:val="nil"/>
              <w:bottom w:val="nil"/>
            </w:tcBorders>
            <w:vAlign w:val="center"/>
          </w:tcPr>
          <w:p w14:paraId="7952DC47"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517</w:t>
            </w:r>
          </w:p>
        </w:tc>
        <w:tc>
          <w:tcPr>
            <w:tcW w:w="971" w:type="dxa"/>
            <w:tcBorders>
              <w:top w:val="nil"/>
              <w:bottom w:val="nil"/>
            </w:tcBorders>
            <w:vAlign w:val="center"/>
          </w:tcPr>
          <w:p w14:paraId="7AD99097"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w:t>
            </w:r>
          </w:p>
        </w:tc>
        <w:tc>
          <w:tcPr>
            <w:tcW w:w="1184" w:type="dxa"/>
            <w:tcBorders>
              <w:top w:val="nil"/>
              <w:bottom w:val="nil"/>
            </w:tcBorders>
            <w:vAlign w:val="center"/>
          </w:tcPr>
          <w:p w14:paraId="078CFA5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286,534</w:t>
            </w:r>
          </w:p>
        </w:tc>
        <w:tc>
          <w:tcPr>
            <w:tcW w:w="1251" w:type="dxa"/>
            <w:tcBorders>
              <w:top w:val="nil"/>
              <w:bottom w:val="nil"/>
            </w:tcBorders>
            <w:vAlign w:val="center"/>
          </w:tcPr>
          <w:p w14:paraId="466D0E2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2,202,677</w:t>
            </w:r>
          </w:p>
        </w:tc>
        <w:tc>
          <w:tcPr>
            <w:tcW w:w="238" w:type="dxa"/>
            <w:tcBorders>
              <w:top w:val="nil"/>
              <w:bottom w:val="nil"/>
            </w:tcBorders>
            <w:vAlign w:val="center"/>
          </w:tcPr>
          <w:p w14:paraId="60C50EF6"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69" w:type="dxa"/>
            <w:tcBorders>
              <w:top w:val="nil"/>
              <w:bottom w:val="nil"/>
            </w:tcBorders>
            <w:vAlign w:val="center"/>
          </w:tcPr>
          <w:p w14:paraId="02DBEBE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286,534</w:t>
            </w:r>
          </w:p>
        </w:tc>
      </w:tr>
      <w:tr w:rsidR="00736E78" w:rsidRPr="00B84B0C" w14:paraId="0D97EF0A" w14:textId="77777777" w:rsidTr="00076C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1B3963AA" w14:textId="77777777" w:rsidR="00736E78" w:rsidRPr="00B84B0C" w:rsidRDefault="00736E78" w:rsidP="00736E78">
            <w:pPr>
              <w:pStyle w:val="08-Tabelageral"/>
              <w:jc w:val="left"/>
              <w:rPr>
                <w:rFonts w:cs="Arial"/>
                <w:b w:val="0"/>
                <w:bCs w:val="0"/>
                <w:szCs w:val="14"/>
              </w:rPr>
            </w:pPr>
            <w:r w:rsidRPr="00B84B0C">
              <w:rPr>
                <w:rFonts w:cs="Arial"/>
                <w:b w:val="0"/>
                <w:bCs w:val="0"/>
                <w:szCs w:val="14"/>
              </w:rPr>
              <w:t xml:space="preserve">IRB-Brasil Resseguros S.A.  </w:t>
            </w:r>
            <w:r w:rsidRPr="00B84B0C">
              <w:rPr>
                <w:rFonts w:cs="Arial"/>
                <w:b w:val="0"/>
                <w:bCs w:val="0"/>
                <w:szCs w:val="14"/>
                <w:vertAlign w:val="superscript"/>
              </w:rPr>
              <w:t>(3)</w:t>
            </w:r>
          </w:p>
        </w:tc>
        <w:tc>
          <w:tcPr>
            <w:tcW w:w="923" w:type="dxa"/>
            <w:tcBorders>
              <w:top w:val="nil"/>
              <w:bottom w:val="nil"/>
            </w:tcBorders>
            <w:vAlign w:val="center"/>
          </w:tcPr>
          <w:p w14:paraId="03B12FC7"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1,953,080</w:t>
            </w:r>
          </w:p>
        </w:tc>
        <w:tc>
          <w:tcPr>
            <w:tcW w:w="1276" w:type="dxa"/>
            <w:tcBorders>
              <w:top w:val="nil"/>
              <w:bottom w:val="nil"/>
            </w:tcBorders>
            <w:vAlign w:val="center"/>
          </w:tcPr>
          <w:p w14:paraId="3F828F8E"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3,660,938</w:t>
            </w:r>
          </w:p>
        </w:tc>
        <w:tc>
          <w:tcPr>
            <w:tcW w:w="239" w:type="dxa"/>
            <w:tcBorders>
              <w:top w:val="nil"/>
              <w:bottom w:val="nil"/>
            </w:tcBorders>
            <w:vAlign w:val="center"/>
          </w:tcPr>
          <w:p w14:paraId="0EC9FF2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02" w:type="dxa"/>
            <w:tcBorders>
              <w:top w:val="nil"/>
              <w:bottom w:val="nil"/>
            </w:tcBorders>
            <w:vAlign w:val="center"/>
          </w:tcPr>
          <w:p w14:paraId="764E0FFF"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623,603</w:t>
            </w:r>
          </w:p>
        </w:tc>
        <w:tc>
          <w:tcPr>
            <w:tcW w:w="1010" w:type="dxa"/>
            <w:tcBorders>
              <w:top w:val="nil"/>
              <w:bottom w:val="nil"/>
            </w:tcBorders>
            <w:vAlign w:val="center"/>
          </w:tcPr>
          <w:p w14:paraId="2BC89682"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(98,825)</w:t>
            </w:r>
          </w:p>
        </w:tc>
        <w:tc>
          <w:tcPr>
            <w:tcW w:w="1332" w:type="dxa"/>
            <w:tcBorders>
              <w:top w:val="nil"/>
              <w:bottom w:val="nil"/>
            </w:tcBorders>
            <w:vAlign w:val="center"/>
          </w:tcPr>
          <w:p w14:paraId="4942D038"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(6,492)</w:t>
            </w:r>
          </w:p>
        </w:tc>
        <w:tc>
          <w:tcPr>
            <w:tcW w:w="971" w:type="dxa"/>
            <w:tcBorders>
              <w:top w:val="nil"/>
              <w:bottom w:val="nil"/>
            </w:tcBorders>
            <w:vAlign w:val="center"/>
          </w:tcPr>
          <w:p w14:paraId="233AC9C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1184" w:type="dxa"/>
            <w:tcBorders>
              <w:top w:val="nil"/>
              <w:bottom w:val="nil"/>
            </w:tcBorders>
            <w:vAlign w:val="center"/>
          </w:tcPr>
          <w:p w14:paraId="215B1A61"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49,443</w:t>
            </w:r>
          </w:p>
        </w:tc>
        <w:tc>
          <w:tcPr>
            <w:tcW w:w="1251" w:type="dxa"/>
            <w:tcBorders>
              <w:top w:val="nil"/>
              <w:bottom w:val="nil"/>
            </w:tcBorders>
            <w:vAlign w:val="center"/>
          </w:tcPr>
          <w:p w14:paraId="3F0FBB3A"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567,729</w:t>
            </w:r>
          </w:p>
        </w:tc>
        <w:tc>
          <w:tcPr>
            <w:tcW w:w="238" w:type="dxa"/>
            <w:tcBorders>
              <w:top w:val="nil"/>
              <w:bottom w:val="nil"/>
            </w:tcBorders>
            <w:vAlign w:val="center"/>
          </w:tcPr>
          <w:p w14:paraId="598E7E8E"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69" w:type="dxa"/>
            <w:tcBorders>
              <w:top w:val="nil"/>
              <w:bottom w:val="nil"/>
            </w:tcBorders>
            <w:vAlign w:val="center"/>
          </w:tcPr>
          <w:p w14:paraId="4A99E94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49,443</w:t>
            </w:r>
          </w:p>
        </w:tc>
      </w:tr>
      <w:tr w:rsidR="00736E78" w:rsidRPr="00B84B0C" w14:paraId="698ECA19" w14:textId="77777777" w:rsidTr="00076C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18BA11BA"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Brasilcap</w:t>
            </w:r>
            <w:proofErr w:type="spellEnd"/>
            <w:r w:rsidRPr="00B84B0C">
              <w:rPr>
                <w:rFonts w:cs="Arial"/>
                <w:b w:val="0"/>
                <w:bCs w:val="0"/>
                <w:szCs w:val="14"/>
              </w:rPr>
              <w:t xml:space="preserve"> Capitalização S.A. </w:t>
            </w:r>
            <w:r w:rsidRPr="00B84B0C">
              <w:rPr>
                <w:rFonts w:cs="Arial"/>
                <w:b w:val="0"/>
                <w:bCs w:val="0"/>
                <w:szCs w:val="14"/>
                <w:vertAlign w:val="superscript"/>
              </w:rPr>
              <w:t>(4)</w:t>
            </w:r>
          </w:p>
        </w:tc>
        <w:tc>
          <w:tcPr>
            <w:tcW w:w="923" w:type="dxa"/>
            <w:tcBorders>
              <w:top w:val="nil"/>
              <w:bottom w:val="nil"/>
            </w:tcBorders>
            <w:vAlign w:val="center"/>
          </w:tcPr>
          <w:p w14:paraId="3546BDCD"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231,264</w:t>
            </w:r>
          </w:p>
        </w:tc>
        <w:tc>
          <w:tcPr>
            <w:tcW w:w="1276" w:type="dxa"/>
            <w:tcBorders>
              <w:top w:val="nil"/>
              <w:bottom w:val="nil"/>
            </w:tcBorders>
            <w:vAlign w:val="center"/>
          </w:tcPr>
          <w:p w14:paraId="75EC21E8"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401,837</w:t>
            </w:r>
          </w:p>
        </w:tc>
        <w:tc>
          <w:tcPr>
            <w:tcW w:w="239" w:type="dxa"/>
            <w:tcBorders>
              <w:top w:val="nil"/>
              <w:bottom w:val="nil"/>
            </w:tcBorders>
            <w:vAlign w:val="center"/>
          </w:tcPr>
          <w:p w14:paraId="7EDDC99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02" w:type="dxa"/>
            <w:tcBorders>
              <w:top w:val="nil"/>
              <w:bottom w:val="nil"/>
            </w:tcBorders>
            <w:vAlign w:val="center"/>
          </w:tcPr>
          <w:p w14:paraId="1D8AF5D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364,804</w:t>
            </w:r>
          </w:p>
        </w:tc>
        <w:tc>
          <w:tcPr>
            <w:tcW w:w="1010" w:type="dxa"/>
            <w:tcBorders>
              <w:top w:val="nil"/>
              <w:bottom w:val="nil"/>
            </w:tcBorders>
            <w:vAlign w:val="center"/>
          </w:tcPr>
          <w:p w14:paraId="77058F5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(7,602)</w:t>
            </w:r>
          </w:p>
        </w:tc>
        <w:tc>
          <w:tcPr>
            <w:tcW w:w="1332" w:type="dxa"/>
            <w:tcBorders>
              <w:top w:val="nil"/>
              <w:bottom w:val="nil"/>
            </w:tcBorders>
            <w:vAlign w:val="center"/>
          </w:tcPr>
          <w:p w14:paraId="2B5A02AF"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w:t>
            </w:r>
          </w:p>
        </w:tc>
        <w:tc>
          <w:tcPr>
            <w:tcW w:w="971" w:type="dxa"/>
            <w:tcBorders>
              <w:top w:val="nil"/>
              <w:bottom w:val="nil"/>
            </w:tcBorders>
            <w:vAlign w:val="center"/>
          </w:tcPr>
          <w:p w14:paraId="3725BF07"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w:t>
            </w:r>
          </w:p>
        </w:tc>
        <w:tc>
          <w:tcPr>
            <w:tcW w:w="1184" w:type="dxa"/>
            <w:tcBorders>
              <w:top w:val="nil"/>
              <w:bottom w:val="nil"/>
            </w:tcBorders>
            <w:vAlign w:val="center"/>
          </w:tcPr>
          <w:p w14:paraId="3E1E460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21,411</w:t>
            </w:r>
          </w:p>
        </w:tc>
        <w:tc>
          <w:tcPr>
            <w:tcW w:w="1251" w:type="dxa"/>
            <w:tcBorders>
              <w:top w:val="nil"/>
              <w:bottom w:val="nil"/>
            </w:tcBorders>
            <w:vAlign w:val="center"/>
          </w:tcPr>
          <w:p w14:paraId="2A70AC18"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378,613</w:t>
            </w:r>
          </w:p>
        </w:tc>
        <w:tc>
          <w:tcPr>
            <w:tcW w:w="238" w:type="dxa"/>
            <w:tcBorders>
              <w:top w:val="nil"/>
              <w:bottom w:val="nil"/>
            </w:tcBorders>
            <w:vAlign w:val="center"/>
          </w:tcPr>
          <w:p w14:paraId="3F86E7BD"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369" w:type="dxa"/>
            <w:tcBorders>
              <w:top w:val="nil"/>
              <w:bottom w:val="nil"/>
            </w:tcBorders>
            <w:vAlign w:val="center"/>
          </w:tcPr>
          <w:p w14:paraId="3575216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21,411</w:t>
            </w:r>
          </w:p>
        </w:tc>
      </w:tr>
      <w:tr w:rsidR="00736E78" w:rsidRPr="00B84B0C" w14:paraId="087BD310" w14:textId="77777777" w:rsidTr="00076C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25EC19F1"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Brasildental</w:t>
            </w:r>
            <w:proofErr w:type="spellEnd"/>
            <w:r w:rsidRPr="00B84B0C">
              <w:rPr>
                <w:rFonts w:cs="Arial"/>
                <w:b w:val="0"/>
                <w:bCs w:val="0"/>
                <w:szCs w:val="14"/>
              </w:rPr>
              <w:t xml:space="preserve"> Operadora de Planos Odontológicos </w:t>
            </w:r>
            <w:proofErr w:type="gramStart"/>
            <w:r w:rsidRPr="00B84B0C">
              <w:rPr>
                <w:rFonts w:cs="Arial"/>
                <w:b w:val="0"/>
                <w:bCs w:val="0"/>
                <w:szCs w:val="14"/>
              </w:rPr>
              <w:t>S.A</w:t>
            </w:r>
            <w:proofErr w:type="gramEnd"/>
          </w:p>
        </w:tc>
        <w:tc>
          <w:tcPr>
            <w:tcW w:w="923" w:type="dxa"/>
            <w:tcBorders>
              <w:top w:val="nil"/>
              <w:bottom w:val="nil"/>
            </w:tcBorders>
            <w:vAlign w:val="center"/>
          </w:tcPr>
          <w:p w14:paraId="6DAC0BD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 xml:space="preserve">9,500 </w:t>
            </w:r>
          </w:p>
        </w:tc>
        <w:tc>
          <w:tcPr>
            <w:tcW w:w="1276" w:type="dxa"/>
            <w:tcBorders>
              <w:top w:val="nil"/>
              <w:bottom w:val="nil"/>
            </w:tcBorders>
            <w:vAlign w:val="center"/>
          </w:tcPr>
          <w:p w14:paraId="7C500AE7"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20,006</w:t>
            </w:r>
          </w:p>
        </w:tc>
        <w:tc>
          <w:tcPr>
            <w:tcW w:w="239" w:type="dxa"/>
            <w:tcBorders>
              <w:top w:val="nil"/>
              <w:bottom w:val="nil"/>
            </w:tcBorders>
            <w:vAlign w:val="center"/>
          </w:tcPr>
          <w:p w14:paraId="25BF363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02" w:type="dxa"/>
            <w:tcBorders>
              <w:top w:val="nil"/>
              <w:bottom w:val="nil"/>
            </w:tcBorders>
            <w:vAlign w:val="center"/>
          </w:tcPr>
          <w:p w14:paraId="3390481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10,395</w:t>
            </w:r>
          </w:p>
        </w:tc>
        <w:tc>
          <w:tcPr>
            <w:tcW w:w="1010" w:type="dxa"/>
            <w:tcBorders>
              <w:top w:val="nil"/>
              <w:bottom w:val="nil"/>
            </w:tcBorders>
            <w:vAlign w:val="center"/>
          </w:tcPr>
          <w:p w14:paraId="412A0E8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1332" w:type="dxa"/>
            <w:tcBorders>
              <w:top w:val="nil"/>
              <w:bottom w:val="nil"/>
            </w:tcBorders>
            <w:vAlign w:val="center"/>
          </w:tcPr>
          <w:p w14:paraId="057BC35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971" w:type="dxa"/>
            <w:tcBorders>
              <w:top w:val="nil"/>
              <w:bottom w:val="nil"/>
            </w:tcBorders>
            <w:vAlign w:val="center"/>
          </w:tcPr>
          <w:p w14:paraId="7801648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w:t>
            </w:r>
          </w:p>
        </w:tc>
        <w:tc>
          <w:tcPr>
            <w:tcW w:w="1184" w:type="dxa"/>
            <w:tcBorders>
              <w:top w:val="nil"/>
              <w:bottom w:val="nil"/>
            </w:tcBorders>
            <w:vAlign w:val="center"/>
          </w:tcPr>
          <w:p w14:paraId="68796D6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4,609</w:t>
            </w:r>
          </w:p>
        </w:tc>
        <w:tc>
          <w:tcPr>
            <w:tcW w:w="1251" w:type="dxa"/>
            <w:tcBorders>
              <w:top w:val="nil"/>
              <w:bottom w:val="nil"/>
            </w:tcBorders>
            <w:vAlign w:val="center"/>
          </w:tcPr>
          <w:p w14:paraId="1567A9DE"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15,004</w:t>
            </w:r>
          </w:p>
        </w:tc>
        <w:tc>
          <w:tcPr>
            <w:tcW w:w="238" w:type="dxa"/>
            <w:tcBorders>
              <w:top w:val="nil"/>
              <w:bottom w:val="nil"/>
            </w:tcBorders>
            <w:vAlign w:val="center"/>
          </w:tcPr>
          <w:p w14:paraId="44EC772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369" w:type="dxa"/>
            <w:tcBorders>
              <w:top w:val="nil"/>
              <w:bottom w:val="nil"/>
            </w:tcBorders>
            <w:vAlign w:val="center"/>
          </w:tcPr>
          <w:p w14:paraId="3EA2D96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rPr>
              <w:t>4,609</w:t>
            </w:r>
          </w:p>
        </w:tc>
      </w:tr>
      <w:tr w:rsidR="00736E78" w:rsidRPr="00B84B0C" w14:paraId="649E33B0" w14:textId="77777777" w:rsidTr="00076CE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115CC397" w14:textId="77777777" w:rsidR="00736E78" w:rsidRPr="00B84B0C" w:rsidRDefault="00736E78" w:rsidP="00736E78">
            <w:pPr>
              <w:pStyle w:val="08-Tabelageral"/>
              <w:jc w:val="left"/>
              <w:rPr>
                <w:rFonts w:cs="Arial"/>
                <w:bCs w:val="0"/>
                <w:szCs w:val="14"/>
              </w:rPr>
            </w:pPr>
            <w:r w:rsidRPr="00B84B0C">
              <w:rPr>
                <w:rFonts w:cs="Arial"/>
                <w:bCs w:val="0"/>
                <w:szCs w:val="14"/>
              </w:rPr>
              <w:t>BB Corretora de Seguros e Administradora de Bens S.A.</w:t>
            </w:r>
          </w:p>
        </w:tc>
        <w:tc>
          <w:tcPr>
            <w:tcW w:w="923" w:type="dxa"/>
            <w:tcBorders>
              <w:top w:val="nil"/>
              <w:bottom w:val="nil"/>
            </w:tcBorders>
            <w:vAlign w:val="center"/>
          </w:tcPr>
          <w:p w14:paraId="2EC822D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276" w:type="dxa"/>
            <w:tcBorders>
              <w:top w:val="nil"/>
              <w:bottom w:val="nil"/>
            </w:tcBorders>
            <w:vAlign w:val="center"/>
          </w:tcPr>
          <w:p w14:paraId="4EEE5C2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39" w:type="dxa"/>
            <w:tcBorders>
              <w:top w:val="nil"/>
              <w:bottom w:val="nil"/>
            </w:tcBorders>
            <w:vAlign w:val="center"/>
          </w:tcPr>
          <w:p w14:paraId="295295F8"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302" w:type="dxa"/>
            <w:tcBorders>
              <w:top w:val="nil"/>
              <w:bottom w:val="nil"/>
            </w:tcBorders>
            <w:vAlign w:val="center"/>
          </w:tcPr>
          <w:p w14:paraId="6050155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010" w:type="dxa"/>
            <w:tcBorders>
              <w:top w:val="nil"/>
              <w:bottom w:val="nil"/>
            </w:tcBorders>
            <w:vAlign w:val="center"/>
          </w:tcPr>
          <w:p w14:paraId="7B4FD16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332" w:type="dxa"/>
            <w:tcBorders>
              <w:top w:val="nil"/>
              <w:bottom w:val="nil"/>
            </w:tcBorders>
            <w:vAlign w:val="center"/>
          </w:tcPr>
          <w:p w14:paraId="4020F64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971" w:type="dxa"/>
            <w:tcBorders>
              <w:top w:val="nil"/>
              <w:bottom w:val="nil"/>
            </w:tcBorders>
            <w:vAlign w:val="center"/>
          </w:tcPr>
          <w:p w14:paraId="4B94822B"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184" w:type="dxa"/>
            <w:tcBorders>
              <w:top w:val="nil"/>
              <w:bottom w:val="nil"/>
            </w:tcBorders>
            <w:vAlign w:val="center"/>
          </w:tcPr>
          <w:p w14:paraId="1B5281F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251" w:type="dxa"/>
            <w:tcBorders>
              <w:top w:val="nil"/>
              <w:bottom w:val="nil"/>
            </w:tcBorders>
            <w:vAlign w:val="center"/>
          </w:tcPr>
          <w:p w14:paraId="474FB79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238" w:type="dxa"/>
            <w:tcBorders>
              <w:top w:val="nil"/>
              <w:bottom w:val="nil"/>
            </w:tcBorders>
            <w:vAlign w:val="center"/>
          </w:tcPr>
          <w:p w14:paraId="584403A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369" w:type="dxa"/>
            <w:tcBorders>
              <w:top w:val="nil"/>
              <w:bottom w:val="nil"/>
            </w:tcBorders>
            <w:vAlign w:val="center"/>
          </w:tcPr>
          <w:p w14:paraId="444D4D6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r>
      <w:tr w:rsidR="00736E78" w:rsidRPr="00B84B0C" w14:paraId="7A779B18" w14:textId="77777777" w:rsidTr="00076CE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789" w:type="dxa"/>
            <w:tcBorders>
              <w:top w:val="nil"/>
              <w:bottom w:val="nil"/>
            </w:tcBorders>
            <w:vAlign w:val="center"/>
          </w:tcPr>
          <w:p w14:paraId="2431E2A5"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Ciclic</w:t>
            </w:r>
            <w:proofErr w:type="spellEnd"/>
            <w:r w:rsidRPr="00B84B0C">
              <w:rPr>
                <w:rFonts w:cs="Arial"/>
                <w:b w:val="0"/>
                <w:bCs w:val="0"/>
                <w:szCs w:val="14"/>
              </w:rPr>
              <w:t xml:space="preserve"> Corretora de Seguros S.A.</w:t>
            </w:r>
          </w:p>
        </w:tc>
        <w:tc>
          <w:tcPr>
            <w:tcW w:w="923" w:type="dxa"/>
            <w:tcBorders>
              <w:top w:val="nil"/>
              <w:bottom w:val="nil"/>
            </w:tcBorders>
            <w:vAlign w:val="center"/>
          </w:tcPr>
          <w:p w14:paraId="28D0A983"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 xml:space="preserve"> 26,999 </w:t>
            </w:r>
          </w:p>
        </w:tc>
        <w:tc>
          <w:tcPr>
            <w:tcW w:w="1276" w:type="dxa"/>
            <w:tcBorders>
              <w:top w:val="nil"/>
              <w:bottom w:val="nil"/>
            </w:tcBorders>
            <w:vAlign w:val="center"/>
          </w:tcPr>
          <w:p w14:paraId="6803CAB3"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23,386</w:t>
            </w:r>
          </w:p>
        </w:tc>
        <w:tc>
          <w:tcPr>
            <w:tcW w:w="239" w:type="dxa"/>
            <w:tcBorders>
              <w:top w:val="nil"/>
              <w:bottom w:val="nil"/>
            </w:tcBorders>
            <w:vAlign w:val="center"/>
          </w:tcPr>
          <w:p w14:paraId="74841322"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302" w:type="dxa"/>
            <w:tcBorders>
              <w:top w:val="nil"/>
              <w:bottom w:val="nil"/>
            </w:tcBorders>
            <w:vAlign w:val="center"/>
          </w:tcPr>
          <w:p w14:paraId="09DF04F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19,072</w:t>
            </w:r>
          </w:p>
        </w:tc>
        <w:tc>
          <w:tcPr>
            <w:tcW w:w="1010" w:type="dxa"/>
            <w:tcBorders>
              <w:top w:val="nil"/>
              <w:bottom w:val="nil"/>
            </w:tcBorders>
            <w:vAlign w:val="center"/>
          </w:tcPr>
          <w:p w14:paraId="4BCDB305"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w:t>
            </w:r>
          </w:p>
        </w:tc>
        <w:tc>
          <w:tcPr>
            <w:tcW w:w="1332" w:type="dxa"/>
            <w:tcBorders>
              <w:top w:val="nil"/>
              <w:bottom w:val="nil"/>
            </w:tcBorders>
            <w:vAlign w:val="center"/>
          </w:tcPr>
          <w:p w14:paraId="2D59B15E"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w:t>
            </w:r>
          </w:p>
        </w:tc>
        <w:tc>
          <w:tcPr>
            <w:tcW w:w="971" w:type="dxa"/>
            <w:tcBorders>
              <w:top w:val="nil"/>
              <w:bottom w:val="nil"/>
            </w:tcBorders>
            <w:vAlign w:val="center"/>
          </w:tcPr>
          <w:p w14:paraId="64F621D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w:t>
            </w:r>
          </w:p>
        </w:tc>
        <w:tc>
          <w:tcPr>
            <w:tcW w:w="1184" w:type="dxa"/>
            <w:tcBorders>
              <w:top w:val="nil"/>
              <w:bottom w:val="nil"/>
            </w:tcBorders>
            <w:vAlign w:val="center"/>
          </w:tcPr>
          <w:p w14:paraId="517DF666"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rPr>
              <w:t>(1,535)</w:t>
            </w:r>
          </w:p>
        </w:tc>
        <w:tc>
          <w:tcPr>
            <w:tcW w:w="1251" w:type="dxa"/>
            <w:tcBorders>
              <w:top w:val="nil"/>
              <w:bottom w:val="nil"/>
            </w:tcBorders>
            <w:vAlign w:val="center"/>
          </w:tcPr>
          <w:p w14:paraId="68627C19"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17,537</w:t>
            </w:r>
          </w:p>
        </w:tc>
        <w:tc>
          <w:tcPr>
            <w:tcW w:w="238" w:type="dxa"/>
            <w:tcBorders>
              <w:top w:val="nil"/>
              <w:bottom w:val="nil"/>
            </w:tcBorders>
            <w:vAlign w:val="center"/>
          </w:tcPr>
          <w:p w14:paraId="253FAB2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p>
        </w:tc>
        <w:tc>
          <w:tcPr>
            <w:tcW w:w="1369" w:type="dxa"/>
            <w:tcBorders>
              <w:top w:val="nil"/>
              <w:bottom w:val="nil"/>
            </w:tcBorders>
            <w:vAlign w:val="center"/>
          </w:tcPr>
          <w:p w14:paraId="169558A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(1,535)</w:t>
            </w:r>
          </w:p>
        </w:tc>
      </w:tr>
      <w:tr w:rsidR="00736E78" w:rsidRPr="00B84B0C" w14:paraId="33D5F5BC" w14:textId="77777777" w:rsidTr="00076CE6">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89" w:type="dxa"/>
            <w:tcBorders>
              <w:top w:val="nil"/>
              <w:bottom w:val="single" w:sz="2" w:space="0" w:color="8EAADB" w:themeColor="accent5" w:themeTint="99"/>
            </w:tcBorders>
            <w:vAlign w:val="center"/>
          </w:tcPr>
          <w:p w14:paraId="5985D50A" w14:textId="77777777" w:rsidR="00736E78" w:rsidRPr="00B84B0C" w:rsidRDefault="00736E78" w:rsidP="00736E78">
            <w:pPr>
              <w:pStyle w:val="08-Tabelageral"/>
              <w:jc w:val="left"/>
              <w:rPr>
                <w:rFonts w:cs="Arial"/>
                <w:b w:val="0"/>
                <w:bCs w:val="0"/>
                <w:szCs w:val="14"/>
              </w:rPr>
            </w:pPr>
            <w:r w:rsidRPr="00B84B0C">
              <w:rPr>
                <w:rFonts w:cs="Arial"/>
              </w:rPr>
              <w:t xml:space="preserve">Total </w:t>
            </w:r>
            <w:proofErr w:type="spellStart"/>
            <w:r w:rsidRPr="00B84B0C">
              <w:rPr>
                <w:rFonts w:cs="Arial"/>
              </w:rPr>
              <w:t>Investment</w:t>
            </w:r>
            <w:proofErr w:type="spellEnd"/>
            <w:r w:rsidRPr="00B84B0C">
              <w:rPr>
                <w:rFonts w:cs="Arial"/>
              </w:rPr>
              <w:t xml:space="preserve"> in Associates</w:t>
            </w:r>
          </w:p>
        </w:tc>
        <w:tc>
          <w:tcPr>
            <w:tcW w:w="923" w:type="dxa"/>
            <w:tcBorders>
              <w:top w:val="nil"/>
              <w:bottom w:val="single" w:sz="2" w:space="0" w:color="8EAADB" w:themeColor="accent5" w:themeTint="99"/>
            </w:tcBorders>
            <w:vAlign w:val="center"/>
          </w:tcPr>
          <w:p w14:paraId="7E4ABB1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76" w:type="dxa"/>
            <w:tcBorders>
              <w:top w:val="nil"/>
              <w:bottom w:val="single" w:sz="2" w:space="0" w:color="8EAADB" w:themeColor="accent5" w:themeTint="99"/>
            </w:tcBorders>
            <w:vAlign w:val="center"/>
          </w:tcPr>
          <w:p w14:paraId="13F7849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239" w:type="dxa"/>
            <w:tcBorders>
              <w:top w:val="nil"/>
              <w:bottom w:val="single" w:sz="2" w:space="0" w:color="8EAADB" w:themeColor="accent5" w:themeTint="99"/>
            </w:tcBorders>
            <w:vAlign w:val="center"/>
          </w:tcPr>
          <w:p w14:paraId="19A69A28"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02" w:type="dxa"/>
            <w:tcBorders>
              <w:top w:val="nil"/>
              <w:bottom w:val="single" w:sz="2" w:space="0" w:color="8EAADB" w:themeColor="accent5" w:themeTint="99"/>
            </w:tcBorders>
            <w:vAlign w:val="center"/>
          </w:tcPr>
          <w:p w14:paraId="2774A95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5,326,316</w:t>
            </w:r>
          </w:p>
        </w:tc>
        <w:tc>
          <w:tcPr>
            <w:tcW w:w="1010" w:type="dxa"/>
            <w:tcBorders>
              <w:top w:val="nil"/>
              <w:bottom w:val="single" w:sz="2" w:space="0" w:color="8EAADB" w:themeColor="accent5" w:themeTint="99"/>
            </w:tcBorders>
            <w:vAlign w:val="center"/>
          </w:tcPr>
          <w:p w14:paraId="4190C937"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(582,858)</w:t>
            </w:r>
          </w:p>
        </w:tc>
        <w:tc>
          <w:tcPr>
            <w:tcW w:w="1332" w:type="dxa"/>
            <w:tcBorders>
              <w:top w:val="nil"/>
              <w:bottom w:val="single" w:sz="2" w:space="0" w:color="8EAADB" w:themeColor="accent5" w:themeTint="99"/>
            </w:tcBorders>
            <w:vAlign w:val="center"/>
          </w:tcPr>
          <w:p w14:paraId="6A842AA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(52,088)</w:t>
            </w:r>
          </w:p>
        </w:tc>
        <w:tc>
          <w:tcPr>
            <w:tcW w:w="971" w:type="dxa"/>
            <w:tcBorders>
              <w:top w:val="nil"/>
              <w:bottom w:val="single" w:sz="2" w:space="0" w:color="8EAADB" w:themeColor="accent5" w:themeTint="99"/>
            </w:tcBorders>
            <w:vAlign w:val="center"/>
          </w:tcPr>
          <w:p w14:paraId="6B663E09"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84" w:type="dxa"/>
            <w:tcBorders>
              <w:top w:val="nil"/>
              <w:bottom w:val="single" w:sz="2" w:space="0" w:color="8EAADB" w:themeColor="accent5" w:themeTint="99"/>
            </w:tcBorders>
            <w:vAlign w:val="center"/>
          </w:tcPr>
          <w:p w14:paraId="4C66BD87"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586,673</w:t>
            </w:r>
          </w:p>
        </w:tc>
        <w:tc>
          <w:tcPr>
            <w:tcW w:w="1251" w:type="dxa"/>
            <w:tcBorders>
              <w:top w:val="nil"/>
              <w:bottom w:val="single" w:sz="2" w:space="0" w:color="8EAADB" w:themeColor="accent5" w:themeTint="99"/>
            </w:tcBorders>
            <w:vAlign w:val="center"/>
          </w:tcPr>
          <w:p w14:paraId="1C81D15E"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5,278,043</w:t>
            </w:r>
          </w:p>
        </w:tc>
        <w:tc>
          <w:tcPr>
            <w:tcW w:w="238" w:type="dxa"/>
            <w:tcBorders>
              <w:top w:val="nil"/>
              <w:bottom w:val="single" w:sz="2" w:space="0" w:color="8EAADB" w:themeColor="accent5" w:themeTint="99"/>
            </w:tcBorders>
            <w:vAlign w:val="center"/>
          </w:tcPr>
          <w:p w14:paraId="3B49B726"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69" w:type="dxa"/>
            <w:tcBorders>
              <w:top w:val="nil"/>
              <w:bottom w:val="single" w:sz="2" w:space="0" w:color="8EAADB" w:themeColor="accent5" w:themeTint="99"/>
            </w:tcBorders>
            <w:vAlign w:val="center"/>
          </w:tcPr>
          <w:p w14:paraId="160408E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586,673</w:t>
            </w:r>
          </w:p>
        </w:tc>
      </w:tr>
    </w:tbl>
    <w:p w14:paraId="3240FE25" w14:textId="77777777" w:rsidR="00736E78" w:rsidRPr="00B84B0C" w:rsidRDefault="00736E78" w:rsidP="00736E78">
      <w:pPr>
        <w:pStyle w:val="07-Legenda"/>
        <w:spacing w:before="0"/>
        <w:rPr>
          <w:rFonts w:cs="Arial"/>
          <w:lang w:val="en-US"/>
        </w:rPr>
      </w:pPr>
      <w:r w:rsidRPr="00B84B0C">
        <w:rPr>
          <w:rFonts w:cs="Arial"/>
          <w:lang w:val="en-US"/>
        </w:rPr>
        <w:t>(1)</w:t>
      </w:r>
      <w:r w:rsidRPr="00B84B0C">
        <w:rPr>
          <w:rFonts w:cs="Arial"/>
          <w:lang w:val="en-US"/>
        </w:rPr>
        <w:tab/>
        <w:t>Stockholders' equity, in 03.31.2019, not adjusted by the percentage of equity interest held by the Group.</w:t>
      </w:r>
    </w:p>
    <w:p w14:paraId="0262AAE9" w14:textId="77777777" w:rsidR="00736E78" w:rsidRPr="00B84B0C" w:rsidRDefault="00736E78" w:rsidP="00736E78">
      <w:pPr>
        <w:pStyle w:val="07-Legenda"/>
        <w:spacing w:before="0"/>
        <w:rPr>
          <w:rFonts w:cs="Arial"/>
          <w:lang w:val="en-US"/>
        </w:rPr>
      </w:pPr>
      <w:r w:rsidRPr="00B84B0C">
        <w:rPr>
          <w:rFonts w:cs="Arial"/>
          <w:lang w:val="en-US"/>
        </w:rPr>
        <w:t>(2)</w:t>
      </w:r>
      <w:r w:rsidRPr="00B84B0C">
        <w:rPr>
          <w:rFonts w:cs="Arial"/>
          <w:lang w:val="en-US"/>
        </w:rPr>
        <w:tab/>
        <w:t xml:space="preserve">This Includes in the value of the investment as of 03.31.2019 intangible assets in the net amount of amortizations of R$ 209,921 thousand (the amortized amount of R$ 3,342 thousand in 1st quarter of 2019), goodwill allocated in the amount of R$ 339,004 thousand. arising from the partnership agreement with </w:t>
      </w:r>
      <w:proofErr w:type="spellStart"/>
      <w:r w:rsidRPr="00B84B0C">
        <w:rPr>
          <w:rFonts w:cs="Arial"/>
          <w:lang w:val="en-US"/>
        </w:rPr>
        <w:t>Mapfre</w:t>
      </w:r>
      <w:proofErr w:type="spellEnd"/>
      <w:r w:rsidRPr="00B84B0C">
        <w:rPr>
          <w:rFonts w:cs="Arial"/>
          <w:lang w:val="en-US"/>
        </w:rPr>
        <w:t xml:space="preserve"> and R$ 52,335 thousand of adjustments for purposes of standardization of divergence of accounting practice adopted by the </w:t>
      </w:r>
      <w:proofErr w:type="gramStart"/>
      <w:r w:rsidRPr="00B84B0C">
        <w:rPr>
          <w:rFonts w:cs="Arial"/>
          <w:lang w:val="en-US"/>
        </w:rPr>
        <w:t>investee..</w:t>
      </w:r>
      <w:proofErr w:type="gramEnd"/>
    </w:p>
    <w:p w14:paraId="1E435B7A" w14:textId="77777777" w:rsidR="00736E78" w:rsidRPr="00B84B0C" w:rsidRDefault="00736E78" w:rsidP="00736E78">
      <w:pPr>
        <w:pStyle w:val="07-Legenda"/>
        <w:spacing w:before="0"/>
        <w:rPr>
          <w:rFonts w:cs="Arial"/>
          <w:lang w:val="en-US"/>
        </w:rPr>
      </w:pPr>
      <w:r w:rsidRPr="00B84B0C">
        <w:rPr>
          <w:rFonts w:cs="Arial"/>
          <w:szCs w:val="14"/>
          <w:lang w:val="en-US"/>
        </w:rPr>
        <w:t>(3</w:t>
      </w:r>
      <w:r w:rsidRPr="00B84B0C">
        <w:rPr>
          <w:rFonts w:cs="Arial"/>
          <w:lang w:val="en-US"/>
        </w:rPr>
        <w:t xml:space="preserve">)   This includes in the value of the investment at 03.31.2019 intangible assets in the net amount of amortizations of R$ 5,279 thousand. On July 23, </w:t>
      </w:r>
      <w:proofErr w:type="gramStart"/>
      <w:r w:rsidRPr="00B84B0C">
        <w:rPr>
          <w:rFonts w:cs="Arial"/>
          <w:lang w:val="en-US"/>
        </w:rPr>
        <w:t>2019</w:t>
      </w:r>
      <w:proofErr w:type="gramEnd"/>
      <w:r w:rsidRPr="00B84B0C">
        <w:rPr>
          <w:rFonts w:cs="Arial"/>
          <w:lang w:val="en-US"/>
        </w:rPr>
        <w:t xml:space="preserve"> BB </w:t>
      </w:r>
      <w:proofErr w:type="spellStart"/>
      <w:r w:rsidRPr="00B84B0C">
        <w:rPr>
          <w:rFonts w:cs="Arial"/>
          <w:lang w:val="en-US"/>
        </w:rPr>
        <w:t>Seguros</w:t>
      </w:r>
      <w:proofErr w:type="spellEnd"/>
      <w:r w:rsidRPr="00B84B0C">
        <w:rPr>
          <w:rFonts w:cs="Arial"/>
          <w:lang w:val="en-US"/>
        </w:rPr>
        <w:t xml:space="preserve"> sold all the shares held in IRB-</w:t>
      </w:r>
      <w:proofErr w:type="spellStart"/>
      <w:r w:rsidRPr="00B84B0C">
        <w:rPr>
          <w:rFonts w:cs="Arial"/>
          <w:lang w:val="en-US"/>
        </w:rPr>
        <w:t>Brasil</w:t>
      </w:r>
      <w:proofErr w:type="spellEnd"/>
      <w:r w:rsidRPr="00B84B0C">
        <w:rPr>
          <w:rFonts w:cs="Arial"/>
          <w:lang w:val="en-US"/>
        </w:rPr>
        <w:t xml:space="preserve"> </w:t>
      </w:r>
      <w:proofErr w:type="spellStart"/>
      <w:r w:rsidRPr="00B84B0C">
        <w:rPr>
          <w:rFonts w:cs="Arial"/>
          <w:lang w:val="en-US"/>
        </w:rPr>
        <w:t>Resseguros</w:t>
      </w:r>
      <w:proofErr w:type="spellEnd"/>
      <w:r w:rsidRPr="00B84B0C">
        <w:rPr>
          <w:rFonts w:cs="Arial"/>
          <w:lang w:val="en-US"/>
        </w:rPr>
        <w:t xml:space="preserve"> S.A., as per Note 2.a.</w:t>
      </w:r>
    </w:p>
    <w:p w14:paraId="19191EF5" w14:textId="77777777" w:rsidR="00736E78" w:rsidRPr="00B84B0C" w:rsidRDefault="00736E78" w:rsidP="00736E78">
      <w:pPr>
        <w:pStyle w:val="07-Legenda"/>
        <w:spacing w:before="0"/>
        <w:rPr>
          <w:rFonts w:cs="Arial"/>
          <w:lang w:val="en-US"/>
        </w:rPr>
      </w:pPr>
      <w:r w:rsidRPr="00B84B0C">
        <w:rPr>
          <w:rFonts w:cs="Arial"/>
          <w:lang w:val="en-US"/>
        </w:rPr>
        <w:t>(4)</w:t>
      </w:r>
      <w:r w:rsidRPr="00B84B0C">
        <w:rPr>
          <w:rFonts w:cs="Arial"/>
          <w:lang w:val="en-US"/>
        </w:rPr>
        <w:tab/>
        <w:t xml:space="preserve">Includes the goodwill of the investment on 12.31.2018 the goodwill of R$ 110,749 thousand, on the acquisition of the </w:t>
      </w:r>
      <w:proofErr w:type="spellStart"/>
      <w:r w:rsidRPr="00B84B0C">
        <w:rPr>
          <w:rFonts w:cs="Arial"/>
          <w:lang w:val="en-US"/>
        </w:rPr>
        <w:t>Sulacap</w:t>
      </w:r>
      <w:proofErr w:type="spellEnd"/>
      <w:r w:rsidRPr="00B84B0C">
        <w:rPr>
          <w:rFonts w:cs="Arial"/>
          <w:lang w:val="en-US"/>
        </w:rPr>
        <w:t xml:space="preserve"> stake in BB </w:t>
      </w:r>
      <w:proofErr w:type="spellStart"/>
      <w:r w:rsidRPr="00B84B0C">
        <w:rPr>
          <w:rFonts w:cs="Arial"/>
          <w:lang w:val="en-US"/>
        </w:rPr>
        <w:t>Seguros</w:t>
      </w:r>
      <w:proofErr w:type="spellEnd"/>
      <w:r w:rsidRPr="00B84B0C">
        <w:rPr>
          <w:rFonts w:cs="Arial"/>
          <w:lang w:val="en-US"/>
        </w:rPr>
        <w:t xml:space="preserve">, held on </w:t>
      </w:r>
      <w:proofErr w:type="spellStart"/>
      <w:r w:rsidRPr="00B84B0C">
        <w:rPr>
          <w:rFonts w:cs="Arial"/>
          <w:lang w:val="en-US"/>
        </w:rPr>
        <w:t>july</w:t>
      </w:r>
      <w:proofErr w:type="spellEnd"/>
      <w:r w:rsidRPr="00B84B0C">
        <w:rPr>
          <w:rFonts w:cs="Arial"/>
          <w:lang w:val="en-US"/>
        </w:rPr>
        <w:t xml:space="preserve"> 22, 2011.</w:t>
      </w:r>
    </w:p>
    <w:p w14:paraId="73C559FE" w14:textId="77777777" w:rsidR="00736E78" w:rsidRPr="00B84B0C" w:rsidRDefault="00736E78" w:rsidP="00736E78">
      <w:pPr>
        <w:pStyle w:val="07-Legenda"/>
        <w:spacing w:before="0"/>
        <w:ind w:left="0" w:firstLine="0"/>
        <w:jc w:val="left"/>
        <w:rPr>
          <w:rFonts w:cs="Arial"/>
          <w:lang w:val="en" w:eastAsia="zh-CN"/>
        </w:rPr>
      </w:pPr>
    </w:p>
    <w:p w14:paraId="751A5FEE" w14:textId="77777777" w:rsidR="00736E78" w:rsidRPr="00B84B0C" w:rsidRDefault="00736E78" w:rsidP="00736E78">
      <w:pPr>
        <w:pStyle w:val="07-Legenda"/>
        <w:spacing w:before="0"/>
        <w:rPr>
          <w:rFonts w:cs="Arial"/>
          <w:lang w:val="en-US"/>
        </w:rPr>
      </w:pPr>
    </w:p>
    <w:p w14:paraId="0FDF14A4" w14:textId="77777777" w:rsidR="00736E78" w:rsidRPr="00B84B0C" w:rsidRDefault="00736E78" w:rsidP="00736E78">
      <w:pPr>
        <w:pStyle w:val="07-Legenda"/>
        <w:spacing w:before="0"/>
        <w:rPr>
          <w:rFonts w:cs="Arial"/>
          <w:lang w:val="en-US"/>
        </w:rPr>
      </w:pPr>
    </w:p>
    <w:p w14:paraId="7C278FB2" w14:textId="77777777" w:rsidR="00736E78" w:rsidRPr="00B84B0C" w:rsidRDefault="00736E78" w:rsidP="00736E78">
      <w:pPr>
        <w:pStyle w:val="07-Legenda"/>
        <w:spacing w:before="0"/>
        <w:rPr>
          <w:rFonts w:cs="Arial"/>
          <w:lang w:val="en-US"/>
        </w:rPr>
      </w:pPr>
    </w:p>
    <w:p w14:paraId="14C0A1BE" w14:textId="77777777" w:rsidR="00736E78" w:rsidRPr="00B84B0C" w:rsidRDefault="00736E78">
      <w:pPr>
        <w:rPr>
          <w:rFonts w:eastAsia="Times New Roman" w:cs="Arial"/>
          <w:spacing w:val="-2"/>
          <w:sz w:val="14"/>
          <w:szCs w:val="18"/>
          <w:lang w:val="en-US" w:eastAsia="pt-BR"/>
        </w:rPr>
      </w:pPr>
      <w:r w:rsidRPr="00B84B0C">
        <w:rPr>
          <w:rFonts w:cs="Arial"/>
          <w:lang w:val="en-US"/>
        </w:rPr>
        <w:br w:type="page"/>
      </w:r>
    </w:p>
    <w:p w14:paraId="3D09B616" w14:textId="77777777" w:rsidR="00736E78" w:rsidRPr="00B84B0C" w:rsidRDefault="00736E78" w:rsidP="00736E78">
      <w:pPr>
        <w:pStyle w:val="01-TtulodeNota"/>
        <w:jc w:val="left"/>
        <w:rPr>
          <w:rFonts w:cs="Arial"/>
          <w:color w:val="1F4E79" w:themeColor="accent1" w:themeShade="80"/>
          <w:lang w:val="en-US"/>
        </w:rPr>
      </w:pPr>
      <w:r w:rsidRPr="00B84B0C">
        <w:rPr>
          <w:rFonts w:cs="Arial"/>
          <w:color w:val="1F4E79" w:themeColor="accent1" w:themeShade="80"/>
          <w:lang w:val="en-US"/>
        </w:rPr>
        <w:lastRenderedPageBreak/>
        <w:t>b) Information</w:t>
      </w:r>
    </w:p>
    <w:p w14:paraId="389B4F72" w14:textId="77777777" w:rsidR="00736E78" w:rsidRPr="00B84B0C" w:rsidRDefault="00736E78" w:rsidP="00736E78">
      <w:pPr>
        <w:pStyle w:val="05-Textonormal"/>
        <w:spacing w:line="240" w:lineRule="auto"/>
        <w:rPr>
          <w:rFonts w:cs="Arial"/>
          <w:spacing w:val="0"/>
          <w:szCs w:val="20"/>
          <w:lang w:val="en-US" w:eastAsia="zh-CN"/>
        </w:rPr>
      </w:pPr>
      <w:r w:rsidRPr="00B84B0C">
        <w:rPr>
          <w:rFonts w:cs="Arial"/>
          <w:spacing w:val="0"/>
          <w:szCs w:val="20"/>
          <w:lang w:val="en-US" w:eastAsia="zh-CN"/>
        </w:rPr>
        <w:t>Dividends on equity capital receivable and interest on equity received from investments in Parent were R$ 1,972,721 thousand (R$ 1,221,089 thousand of 1st quarter of 2019) and in consolidated R$ 505,956 thousand (R$ 484,033 thousand of 1st quarter of 2020).</w:t>
      </w:r>
    </w:p>
    <w:p w14:paraId="3943A002" w14:textId="77777777" w:rsidR="00736E78" w:rsidRPr="00B84B0C" w:rsidRDefault="00736E78" w:rsidP="00736E78">
      <w:pPr>
        <w:pStyle w:val="05-Textonormal"/>
        <w:spacing w:line="240" w:lineRule="auto"/>
        <w:rPr>
          <w:rFonts w:cs="Arial"/>
          <w:spacing w:val="0"/>
          <w:szCs w:val="20"/>
          <w:lang w:val="en-US" w:eastAsia="zh-CN"/>
        </w:rPr>
      </w:pPr>
      <w:r w:rsidRPr="00B84B0C">
        <w:rPr>
          <w:rFonts w:cs="Arial"/>
          <w:spacing w:val="0"/>
          <w:szCs w:val="20"/>
          <w:lang w:val="en-US" w:eastAsia="zh-CN"/>
        </w:rPr>
        <w:t>On March 31, 2020, the shares of the investments mentioned above are not regularly traded on stock exchanges. Any of investments mentioned above presented significant restrictions to transfer resources in dividends by cash or to repay loans or advances.</w:t>
      </w:r>
    </w:p>
    <w:p w14:paraId="725E2D2A" w14:textId="77777777" w:rsidR="00736E78" w:rsidRPr="00B84B0C" w:rsidRDefault="00736E78" w:rsidP="00736E78">
      <w:pPr>
        <w:pStyle w:val="05-Textonormal"/>
        <w:spacing w:line="240" w:lineRule="auto"/>
        <w:rPr>
          <w:rFonts w:cs="Arial"/>
          <w:spacing w:val="0"/>
          <w:szCs w:val="20"/>
          <w:lang w:val="en-US" w:eastAsia="zh-CN"/>
        </w:rPr>
      </w:pPr>
      <w:r w:rsidRPr="00B84B0C">
        <w:rPr>
          <w:rFonts w:cs="Arial"/>
          <w:spacing w:val="0"/>
          <w:szCs w:val="20"/>
          <w:lang w:val="en-US" w:eastAsia="zh-CN"/>
        </w:rPr>
        <w:t>The investees are valued using the equity method and there is no indication of operating discontinuity.</w:t>
      </w:r>
    </w:p>
    <w:p w14:paraId="21F78631" w14:textId="77777777" w:rsidR="00736E78" w:rsidRPr="00B84B0C" w:rsidRDefault="00736E78" w:rsidP="00736E78">
      <w:pPr>
        <w:pStyle w:val="05-Textonormal"/>
        <w:spacing w:line="240" w:lineRule="auto"/>
        <w:rPr>
          <w:rFonts w:cs="Arial"/>
          <w:spacing w:val="0"/>
          <w:szCs w:val="20"/>
          <w:lang w:val="en-US" w:eastAsia="zh-CN"/>
        </w:rPr>
      </w:pPr>
      <w:r w:rsidRPr="00B84B0C">
        <w:rPr>
          <w:rFonts w:cs="Arial"/>
          <w:spacing w:val="0"/>
          <w:szCs w:val="20"/>
          <w:lang w:val="en-US" w:eastAsia="zh-CN"/>
        </w:rPr>
        <w:t xml:space="preserve">Investments in shareholdings in the companies BB </w:t>
      </w:r>
      <w:proofErr w:type="spellStart"/>
      <w:r w:rsidRPr="00B84B0C">
        <w:rPr>
          <w:rFonts w:cs="Arial"/>
          <w:spacing w:val="0"/>
          <w:szCs w:val="20"/>
          <w:lang w:val="en-US" w:eastAsia="zh-CN"/>
        </w:rPr>
        <w:t>Seguros</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Participações</w:t>
      </w:r>
      <w:proofErr w:type="spellEnd"/>
      <w:r w:rsidRPr="00B84B0C">
        <w:rPr>
          <w:rFonts w:cs="Arial"/>
          <w:spacing w:val="0"/>
          <w:szCs w:val="20"/>
          <w:lang w:val="en-US" w:eastAsia="zh-CN"/>
        </w:rPr>
        <w:t xml:space="preserve"> S.A. and BB </w:t>
      </w:r>
      <w:proofErr w:type="spellStart"/>
      <w:r w:rsidRPr="00B84B0C">
        <w:rPr>
          <w:rFonts w:cs="Arial"/>
          <w:spacing w:val="0"/>
          <w:szCs w:val="20"/>
          <w:lang w:val="en-US" w:eastAsia="zh-CN"/>
        </w:rPr>
        <w:t>Corretora</w:t>
      </w:r>
      <w:proofErr w:type="spellEnd"/>
      <w:r w:rsidRPr="00B84B0C">
        <w:rPr>
          <w:rFonts w:cs="Arial"/>
          <w:spacing w:val="0"/>
          <w:szCs w:val="20"/>
          <w:lang w:val="en-US" w:eastAsia="zh-CN"/>
        </w:rPr>
        <w:t xml:space="preserve"> de </w:t>
      </w:r>
      <w:proofErr w:type="spellStart"/>
      <w:r w:rsidRPr="00B84B0C">
        <w:rPr>
          <w:rFonts w:cs="Arial"/>
          <w:spacing w:val="0"/>
          <w:szCs w:val="20"/>
          <w:lang w:val="en-US" w:eastAsia="zh-CN"/>
        </w:rPr>
        <w:t>Seguros</w:t>
      </w:r>
      <w:proofErr w:type="spellEnd"/>
      <w:r w:rsidRPr="00B84B0C">
        <w:rPr>
          <w:rFonts w:cs="Arial"/>
          <w:spacing w:val="0"/>
          <w:szCs w:val="20"/>
          <w:lang w:val="en-US" w:eastAsia="zh-CN"/>
        </w:rPr>
        <w:t xml:space="preserve"> e </w:t>
      </w:r>
      <w:proofErr w:type="spellStart"/>
      <w:r w:rsidRPr="00B84B0C">
        <w:rPr>
          <w:rFonts w:cs="Arial"/>
          <w:spacing w:val="0"/>
          <w:szCs w:val="20"/>
          <w:lang w:val="en-US" w:eastAsia="zh-CN"/>
        </w:rPr>
        <w:t>Gestão</w:t>
      </w:r>
      <w:proofErr w:type="spellEnd"/>
      <w:r w:rsidRPr="00B84B0C">
        <w:rPr>
          <w:rFonts w:cs="Arial"/>
          <w:spacing w:val="0"/>
          <w:szCs w:val="20"/>
          <w:lang w:val="en-US" w:eastAsia="zh-CN"/>
        </w:rPr>
        <w:t xml:space="preserve"> de Bens S.A are evaluated as investments in subsidiaries.</w:t>
      </w:r>
    </w:p>
    <w:p w14:paraId="2FE3C8DD" w14:textId="77777777" w:rsidR="00736E78" w:rsidRPr="00B84B0C" w:rsidRDefault="00736E78" w:rsidP="00736E78">
      <w:pPr>
        <w:pStyle w:val="05-Textonormal"/>
        <w:spacing w:line="240" w:lineRule="auto"/>
        <w:rPr>
          <w:rFonts w:cs="Arial"/>
          <w:spacing w:val="0"/>
          <w:szCs w:val="20"/>
          <w:lang w:val="en-US" w:eastAsia="zh-CN"/>
        </w:rPr>
      </w:pPr>
      <w:r w:rsidRPr="00B84B0C">
        <w:rPr>
          <w:rFonts w:cs="Arial"/>
          <w:spacing w:val="0"/>
          <w:szCs w:val="20"/>
          <w:lang w:val="en-US" w:eastAsia="zh-CN"/>
        </w:rPr>
        <w:t xml:space="preserve">The investments in equity interests in the companies BB </w:t>
      </w:r>
      <w:proofErr w:type="spellStart"/>
      <w:r w:rsidRPr="00B84B0C">
        <w:rPr>
          <w:rFonts w:cs="Arial"/>
          <w:spacing w:val="0"/>
          <w:szCs w:val="20"/>
          <w:lang w:val="en-US" w:eastAsia="zh-CN"/>
        </w:rPr>
        <w:t>Mapfre</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Participações</w:t>
      </w:r>
      <w:proofErr w:type="spellEnd"/>
      <w:r w:rsidRPr="00B84B0C">
        <w:rPr>
          <w:rFonts w:cs="Arial"/>
          <w:spacing w:val="0"/>
          <w:szCs w:val="20"/>
          <w:lang w:val="en-US" w:eastAsia="zh-CN"/>
        </w:rPr>
        <w:t xml:space="preserve"> S.A., </w:t>
      </w:r>
      <w:proofErr w:type="spellStart"/>
      <w:r w:rsidRPr="00B84B0C">
        <w:rPr>
          <w:rFonts w:cs="Arial"/>
          <w:spacing w:val="0"/>
          <w:szCs w:val="20"/>
          <w:lang w:val="en-US" w:eastAsia="zh-CN"/>
        </w:rPr>
        <w:t>Brasilprev</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Seguros</w:t>
      </w:r>
      <w:proofErr w:type="spellEnd"/>
      <w:r w:rsidRPr="00B84B0C">
        <w:rPr>
          <w:rFonts w:cs="Arial"/>
          <w:spacing w:val="0"/>
          <w:szCs w:val="20"/>
          <w:lang w:val="en-US" w:eastAsia="zh-CN"/>
        </w:rPr>
        <w:t xml:space="preserve"> e </w:t>
      </w:r>
      <w:proofErr w:type="spellStart"/>
      <w:r w:rsidRPr="00B84B0C">
        <w:rPr>
          <w:rFonts w:cs="Arial"/>
          <w:spacing w:val="0"/>
          <w:szCs w:val="20"/>
          <w:lang w:val="en-US" w:eastAsia="zh-CN"/>
        </w:rPr>
        <w:t>Previdência</w:t>
      </w:r>
      <w:proofErr w:type="spellEnd"/>
      <w:r w:rsidRPr="00B84B0C">
        <w:rPr>
          <w:rFonts w:cs="Arial"/>
          <w:spacing w:val="0"/>
          <w:szCs w:val="20"/>
          <w:lang w:val="en-US" w:eastAsia="zh-CN"/>
        </w:rPr>
        <w:t xml:space="preserve"> S.A., </w:t>
      </w:r>
      <w:proofErr w:type="spellStart"/>
      <w:r w:rsidRPr="00B84B0C">
        <w:rPr>
          <w:rFonts w:cs="Arial"/>
          <w:spacing w:val="0"/>
          <w:szCs w:val="20"/>
          <w:lang w:val="en-US" w:eastAsia="zh-CN"/>
        </w:rPr>
        <w:t>Brasilcap</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Capitalização</w:t>
      </w:r>
      <w:proofErr w:type="spellEnd"/>
      <w:r w:rsidRPr="00B84B0C">
        <w:rPr>
          <w:rFonts w:cs="Arial"/>
          <w:spacing w:val="0"/>
          <w:szCs w:val="20"/>
          <w:lang w:val="en-US" w:eastAsia="zh-CN"/>
        </w:rPr>
        <w:t xml:space="preserve"> S.A., </w:t>
      </w:r>
      <w:proofErr w:type="spellStart"/>
      <w:r w:rsidRPr="00B84B0C">
        <w:rPr>
          <w:rFonts w:cs="Arial"/>
          <w:spacing w:val="0"/>
          <w:szCs w:val="20"/>
          <w:lang w:val="en-US" w:eastAsia="zh-CN"/>
        </w:rPr>
        <w:t>Brasildental</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Operadora</w:t>
      </w:r>
      <w:proofErr w:type="spellEnd"/>
      <w:r w:rsidRPr="00B84B0C">
        <w:rPr>
          <w:rFonts w:cs="Arial"/>
          <w:spacing w:val="0"/>
          <w:szCs w:val="20"/>
          <w:lang w:val="en-US" w:eastAsia="zh-CN"/>
        </w:rPr>
        <w:t xml:space="preserve"> de </w:t>
      </w:r>
      <w:proofErr w:type="spellStart"/>
      <w:r w:rsidRPr="00B84B0C">
        <w:rPr>
          <w:rFonts w:cs="Arial"/>
          <w:spacing w:val="0"/>
          <w:szCs w:val="20"/>
          <w:lang w:val="en-US" w:eastAsia="zh-CN"/>
        </w:rPr>
        <w:t>Planos</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Odontológicos</w:t>
      </w:r>
      <w:proofErr w:type="spellEnd"/>
      <w:r w:rsidRPr="00B84B0C">
        <w:rPr>
          <w:rFonts w:cs="Arial"/>
          <w:spacing w:val="0"/>
          <w:szCs w:val="20"/>
          <w:lang w:val="en-US" w:eastAsia="zh-CN"/>
        </w:rPr>
        <w:t xml:space="preserve"> S.A. and </w:t>
      </w:r>
      <w:proofErr w:type="spellStart"/>
      <w:r w:rsidRPr="00B84B0C">
        <w:rPr>
          <w:rFonts w:cs="Arial"/>
          <w:spacing w:val="0"/>
          <w:szCs w:val="20"/>
          <w:lang w:val="en-US" w:eastAsia="zh-CN"/>
        </w:rPr>
        <w:t>Ciclic</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Corretora</w:t>
      </w:r>
      <w:proofErr w:type="spellEnd"/>
      <w:r w:rsidRPr="00B84B0C">
        <w:rPr>
          <w:rFonts w:cs="Arial"/>
          <w:spacing w:val="0"/>
          <w:szCs w:val="20"/>
          <w:lang w:val="en-US" w:eastAsia="zh-CN"/>
        </w:rPr>
        <w:t xml:space="preserve"> de </w:t>
      </w:r>
      <w:proofErr w:type="spellStart"/>
      <w:r w:rsidRPr="00B84B0C">
        <w:rPr>
          <w:rFonts w:cs="Arial"/>
          <w:spacing w:val="0"/>
          <w:szCs w:val="20"/>
          <w:lang w:val="en-US" w:eastAsia="zh-CN"/>
        </w:rPr>
        <w:t>Seguros</w:t>
      </w:r>
      <w:proofErr w:type="spellEnd"/>
      <w:r w:rsidRPr="00B84B0C">
        <w:rPr>
          <w:rFonts w:cs="Arial"/>
          <w:spacing w:val="0"/>
          <w:szCs w:val="20"/>
          <w:lang w:val="en-US" w:eastAsia="zh-CN"/>
        </w:rPr>
        <w:t xml:space="preserve"> S.A. are evaluated as investments associates and joint ventures.</w:t>
      </w:r>
    </w:p>
    <w:p w14:paraId="509D8F90" w14:textId="77777777" w:rsidR="00736E78" w:rsidRPr="00B84B0C" w:rsidRDefault="00736E78" w:rsidP="00736E78">
      <w:pPr>
        <w:pStyle w:val="05-Textonormal"/>
        <w:spacing w:line="240" w:lineRule="auto"/>
        <w:rPr>
          <w:rFonts w:cs="Arial"/>
          <w:spacing w:val="0"/>
          <w:szCs w:val="20"/>
          <w:lang w:val="en-US" w:eastAsia="zh-CN"/>
        </w:rPr>
      </w:pPr>
      <w:r w:rsidRPr="00B84B0C">
        <w:rPr>
          <w:rFonts w:cs="Arial"/>
          <w:spacing w:val="0"/>
          <w:szCs w:val="20"/>
          <w:lang w:val="en-US" w:eastAsia="zh-CN"/>
        </w:rPr>
        <w:t xml:space="preserve">There were no adjustments for the purpose of standardizing the accounting practices adopted by the investees </w:t>
      </w:r>
      <w:proofErr w:type="spellStart"/>
      <w:r w:rsidRPr="00B84B0C">
        <w:rPr>
          <w:rFonts w:cs="Arial"/>
          <w:spacing w:val="0"/>
          <w:szCs w:val="20"/>
          <w:lang w:val="en-US" w:eastAsia="zh-CN"/>
        </w:rPr>
        <w:t>Brasilcap</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Capitalização</w:t>
      </w:r>
      <w:proofErr w:type="spellEnd"/>
      <w:r w:rsidRPr="00B84B0C">
        <w:rPr>
          <w:rFonts w:cs="Arial"/>
          <w:spacing w:val="0"/>
          <w:szCs w:val="20"/>
          <w:lang w:val="en-US" w:eastAsia="zh-CN"/>
        </w:rPr>
        <w:t xml:space="preserve"> S.A. and </w:t>
      </w:r>
      <w:proofErr w:type="spellStart"/>
      <w:r w:rsidRPr="00B84B0C">
        <w:rPr>
          <w:rFonts w:cs="Arial"/>
          <w:spacing w:val="0"/>
          <w:szCs w:val="20"/>
          <w:lang w:val="en-US" w:eastAsia="zh-CN"/>
        </w:rPr>
        <w:t>Brasildental</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Operadora</w:t>
      </w:r>
      <w:proofErr w:type="spellEnd"/>
      <w:r w:rsidRPr="00B84B0C">
        <w:rPr>
          <w:rFonts w:cs="Arial"/>
          <w:spacing w:val="0"/>
          <w:szCs w:val="20"/>
          <w:lang w:val="en-US" w:eastAsia="zh-CN"/>
        </w:rPr>
        <w:t xml:space="preserve"> de </w:t>
      </w:r>
      <w:proofErr w:type="spellStart"/>
      <w:r w:rsidRPr="00B84B0C">
        <w:rPr>
          <w:rFonts w:cs="Arial"/>
          <w:spacing w:val="0"/>
          <w:szCs w:val="20"/>
          <w:lang w:val="en-US" w:eastAsia="zh-CN"/>
        </w:rPr>
        <w:t>Planos</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Odontológicas</w:t>
      </w:r>
      <w:proofErr w:type="spellEnd"/>
      <w:r w:rsidRPr="00B84B0C">
        <w:rPr>
          <w:rFonts w:cs="Arial"/>
          <w:spacing w:val="0"/>
          <w:szCs w:val="20"/>
          <w:lang w:val="en-US" w:eastAsia="zh-CN"/>
        </w:rPr>
        <w:t xml:space="preserve"> S.A</w:t>
      </w:r>
      <w:proofErr w:type="gramStart"/>
      <w:r w:rsidRPr="00B84B0C">
        <w:rPr>
          <w:rFonts w:cs="Arial"/>
          <w:spacing w:val="0"/>
          <w:szCs w:val="20"/>
          <w:lang w:val="en-US" w:eastAsia="zh-CN"/>
        </w:rPr>
        <w:t xml:space="preserve"> ..</w:t>
      </w:r>
      <w:proofErr w:type="gramEnd"/>
    </w:p>
    <w:p w14:paraId="479979E1" w14:textId="77777777" w:rsidR="00736E78" w:rsidRPr="00B84B0C" w:rsidRDefault="00736E78" w:rsidP="00736E78">
      <w:pPr>
        <w:pStyle w:val="05-Textonormal"/>
        <w:spacing w:line="240" w:lineRule="auto"/>
        <w:rPr>
          <w:rFonts w:cs="Arial"/>
          <w:spacing w:val="0"/>
          <w:szCs w:val="20"/>
          <w:lang w:val="en-US" w:eastAsia="zh-CN"/>
        </w:rPr>
      </w:pPr>
      <w:r w:rsidRPr="00B84B0C">
        <w:rPr>
          <w:rFonts w:cs="Arial"/>
          <w:spacing w:val="0"/>
          <w:szCs w:val="20"/>
          <w:lang w:val="en-US" w:eastAsia="zh-CN"/>
        </w:rPr>
        <w:t xml:space="preserve">BB </w:t>
      </w:r>
      <w:proofErr w:type="spellStart"/>
      <w:r w:rsidRPr="00B84B0C">
        <w:rPr>
          <w:rFonts w:cs="Arial"/>
          <w:spacing w:val="0"/>
          <w:szCs w:val="20"/>
          <w:lang w:val="en-US" w:eastAsia="zh-CN"/>
        </w:rPr>
        <w:t>Mapfre</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Participações</w:t>
      </w:r>
      <w:proofErr w:type="spellEnd"/>
      <w:r w:rsidRPr="00B84B0C">
        <w:rPr>
          <w:rFonts w:cs="Arial"/>
          <w:spacing w:val="0"/>
          <w:szCs w:val="20"/>
          <w:lang w:val="en-US" w:eastAsia="zh-CN"/>
        </w:rPr>
        <w:t xml:space="preserve"> S.A. adopts IFRS in its accounting information. Therefore, it makes the necessary adjustments to standardize the practices adopted by its subsidiaries, </w:t>
      </w:r>
      <w:proofErr w:type="spellStart"/>
      <w:r w:rsidRPr="00B84B0C">
        <w:rPr>
          <w:rFonts w:cs="Arial"/>
          <w:spacing w:val="0"/>
          <w:szCs w:val="20"/>
          <w:lang w:val="en-US" w:eastAsia="zh-CN"/>
        </w:rPr>
        <w:t>Brasilseg</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Companhia</w:t>
      </w:r>
      <w:proofErr w:type="spellEnd"/>
      <w:r w:rsidRPr="00B84B0C">
        <w:rPr>
          <w:rFonts w:cs="Arial"/>
          <w:spacing w:val="0"/>
          <w:szCs w:val="20"/>
          <w:lang w:val="en-US" w:eastAsia="zh-CN"/>
        </w:rPr>
        <w:t xml:space="preserve"> de </w:t>
      </w:r>
      <w:proofErr w:type="spellStart"/>
      <w:r w:rsidRPr="00B84B0C">
        <w:rPr>
          <w:rFonts w:cs="Arial"/>
          <w:spacing w:val="0"/>
          <w:szCs w:val="20"/>
          <w:lang w:val="en-US" w:eastAsia="zh-CN"/>
        </w:rPr>
        <w:t>Seguros</w:t>
      </w:r>
      <w:proofErr w:type="spellEnd"/>
      <w:r w:rsidRPr="00B84B0C">
        <w:rPr>
          <w:rFonts w:cs="Arial"/>
          <w:spacing w:val="0"/>
          <w:szCs w:val="20"/>
          <w:lang w:val="en-US" w:eastAsia="zh-CN"/>
        </w:rPr>
        <w:t xml:space="preserve"> S.A. and </w:t>
      </w:r>
      <w:proofErr w:type="spellStart"/>
      <w:r w:rsidRPr="00B84B0C">
        <w:rPr>
          <w:rFonts w:cs="Arial"/>
          <w:spacing w:val="0"/>
          <w:szCs w:val="20"/>
          <w:lang w:val="en-US" w:eastAsia="zh-CN"/>
        </w:rPr>
        <w:t>Aliança</w:t>
      </w:r>
      <w:proofErr w:type="spellEnd"/>
      <w:r w:rsidRPr="00B84B0C">
        <w:rPr>
          <w:rFonts w:cs="Arial"/>
          <w:spacing w:val="0"/>
          <w:szCs w:val="20"/>
          <w:lang w:val="en-US" w:eastAsia="zh-CN"/>
        </w:rPr>
        <w:t xml:space="preserve"> do </w:t>
      </w:r>
      <w:proofErr w:type="spellStart"/>
      <w:r w:rsidRPr="00B84B0C">
        <w:rPr>
          <w:rFonts w:cs="Arial"/>
          <w:spacing w:val="0"/>
          <w:szCs w:val="20"/>
          <w:lang w:val="en-US" w:eastAsia="zh-CN"/>
        </w:rPr>
        <w:t>Brasil</w:t>
      </w:r>
      <w:proofErr w:type="spellEnd"/>
      <w:r w:rsidRPr="00B84B0C">
        <w:rPr>
          <w:rFonts w:cs="Arial"/>
          <w:spacing w:val="0"/>
          <w:szCs w:val="20"/>
          <w:lang w:val="en-US" w:eastAsia="zh-CN"/>
        </w:rPr>
        <w:t xml:space="preserve"> </w:t>
      </w:r>
      <w:proofErr w:type="spellStart"/>
      <w:r w:rsidRPr="00B84B0C">
        <w:rPr>
          <w:rFonts w:cs="Arial"/>
          <w:spacing w:val="0"/>
          <w:szCs w:val="20"/>
          <w:lang w:val="en-US" w:eastAsia="zh-CN"/>
        </w:rPr>
        <w:t>Seguros</w:t>
      </w:r>
      <w:proofErr w:type="spellEnd"/>
      <w:r w:rsidRPr="00B84B0C">
        <w:rPr>
          <w:rFonts w:cs="Arial"/>
          <w:spacing w:val="0"/>
          <w:szCs w:val="20"/>
          <w:lang w:val="en-US" w:eastAsia="zh-CN"/>
        </w:rPr>
        <w:t xml:space="preserve"> S.A., which adopt the accounting standards defined by SUSEP.</w:t>
      </w:r>
    </w:p>
    <w:p w14:paraId="65E57C29" w14:textId="77777777" w:rsidR="00736E78" w:rsidRPr="00B84B0C" w:rsidRDefault="00736E78" w:rsidP="00736E78">
      <w:pPr>
        <w:pStyle w:val="05-Textonormal"/>
        <w:spacing w:line="240" w:lineRule="auto"/>
        <w:rPr>
          <w:rFonts w:cs="Arial"/>
          <w:spacing w:val="0"/>
          <w:sz w:val="2"/>
          <w:szCs w:val="2"/>
          <w:lang w:val="en-US" w:eastAsia="zh-CN"/>
        </w:rPr>
      </w:pPr>
    </w:p>
    <w:p w14:paraId="2FD91F6A" w14:textId="77777777" w:rsidR="00736E78" w:rsidRPr="00B84B0C" w:rsidRDefault="00736E78" w:rsidP="00736E78">
      <w:pPr>
        <w:pStyle w:val="01-TtulodeNota"/>
        <w:spacing w:before="0" w:after="0"/>
        <w:jc w:val="left"/>
        <w:rPr>
          <w:rFonts w:cs="Arial"/>
          <w:color w:val="1F4E79" w:themeColor="accent1" w:themeShade="80"/>
          <w:sz w:val="2"/>
          <w:szCs w:val="2"/>
          <w:lang w:val="en-US"/>
        </w:rPr>
      </w:pPr>
      <w:r w:rsidRPr="00B84B0C">
        <w:rPr>
          <w:rFonts w:cs="Arial"/>
          <w:color w:val="1F4E79" w:themeColor="accent1" w:themeShade="80"/>
          <w:lang w:val="en-US"/>
        </w:rPr>
        <w:t xml:space="preserve">c) Description of the Operational Context of Equity Investments, by Business Segment </w:t>
      </w:r>
    </w:p>
    <w:p w14:paraId="3796FC47" w14:textId="77777777" w:rsidR="00736E78" w:rsidRPr="00B84B0C" w:rsidRDefault="00736E78" w:rsidP="00736E78">
      <w:pPr>
        <w:rPr>
          <w:rFonts w:cs="Arial"/>
          <w:sz w:val="2"/>
          <w:szCs w:val="2"/>
          <w:lang w:val="en-US" w:eastAsia="pt-BR"/>
        </w:rPr>
      </w:pPr>
    </w:p>
    <w:tbl>
      <w:tblPr>
        <w:tblStyle w:val="TabeladeLista6Colorida-nfase510"/>
        <w:tblW w:w="14884" w:type="dxa"/>
        <w:tblInd w:w="108" w:type="dxa"/>
        <w:tblLayout w:type="fixed"/>
        <w:tblLook w:val="04A0" w:firstRow="1" w:lastRow="0" w:firstColumn="1" w:lastColumn="0" w:noHBand="0" w:noVBand="1"/>
      </w:tblPr>
      <w:tblGrid>
        <w:gridCol w:w="3538"/>
        <w:gridCol w:w="9395"/>
        <w:gridCol w:w="851"/>
        <w:gridCol w:w="1100"/>
      </w:tblGrid>
      <w:tr w:rsidR="00736E78" w:rsidRPr="00B84B0C" w14:paraId="2335173B" w14:textId="77777777" w:rsidTr="00736E7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single" w:sz="2" w:space="0" w:color="8EAADB" w:themeColor="accent5" w:themeTint="99"/>
              <w:bottom w:val="nil"/>
            </w:tcBorders>
            <w:vAlign w:val="center"/>
          </w:tcPr>
          <w:p w14:paraId="3658F04F" w14:textId="77777777" w:rsidR="00736E78" w:rsidRPr="00B84B0C" w:rsidRDefault="00736E78" w:rsidP="00736E78">
            <w:pPr>
              <w:rPr>
                <w:rFonts w:cs="Arial"/>
                <w:b w:val="0"/>
                <w:sz w:val="14"/>
                <w:szCs w:val="14"/>
                <w:lang w:val="en-US"/>
              </w:rPr>
            </w:pPr>
          </w:p>
        </w:tc>
        <w:tc>
          <w:tcPr>
            <w:tcW w:w="9395" w:type="dxa"/>
            <w:tcBorders>
              <w:top w:val="single" w:sz="2" w:space="0" w:color="8EAADB" w:themeColor="accent5" w:themeTint="99"/>
              <w:bottom w:val="nil"/>
            </w:tcBorders>
            <w:vAlign w:val="center"/>
          </w:tcPr>
          <w:p w14:paraId="0D07C93D"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lang w:val="en-US"/>
              </w:rPr>
            </w:pPr>
          </w:p>
        </w:tc>
        <w:tc>
          <w:tcPr>
            <w:tcW w:w="1951" w:type="dxa"/>
            <w:gridSpan w:val="2"/>
            <w:tcBorders>
              <w:top w:val="single" w:sz="2" w:space="0" w:color="8EAADB" w:themeColor="accent5" w:themeTint="99"/>
              <w:bottom w:val="single" w:sz="2" w:space="0" w:color="8EAADB" w:themeColor="accent5" w:themeTint="99"/>
            </w:tcBorders>
            <w:vAlign w:val="center"/>
          </w:tcPr>
          <w:p w14:paraId="7EBFE806"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B84B0C">
              <w:rPr>
                <w:rFonts w:cs="Arial"/>
                <w:lang w:val="en-US"/>
              </w:rPr>
              <w:t xml:space="preserve">% </w:t>
            </w:r>
            <w:proofErr w:type="gramStart"/>
            <w:r w:rsidRPr="00B84B0C">
              <w:rPr>
                <w:rFonts w:cs="Arial"/>
                <w:lang w:val="en-US"/>
              </w:rPr>
              <w:t>of</w:t>
            </w:r>
            <w:proofErr w:type="gramEnd"/>
            <w:r w:rsidRPr="00B84B0C">
              <w:rPr>
                <w:rFonts w:cs="Arial"/>
                <w:lang w:val="en-US"/>
              </w:rPr>
              <w:t xml:space="preserve"> total share</w:t>
            </w:r>
          </w:p>
        </w:tc>
      </w:tr>
      <w:tr w:rsidR="00736E78" w:rsidRPr="00B84B0C" w14:paraId="781D4617"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shd w:val="clear" w:color="auto" w:fill="D9E2F3" w:themeFill="accent5" w:themeFillTint="33"/>
            <w:vAlign w:val="center"/>
          </w:tcPr>
          <w:p w14:paraId="46C8FF63" w14:textId="77777777" w:rsidR="00736E78" w:rsidRPr="00B84B0C" w:rsidRDefault="00736E78" w:rsidP="00736E78">
            <w:pPr>
              <w:pStyle w:val="08-Tabelageral"/>
              <w:jc w:val="left"/>
              <w:rPr>
                <w:rFonts w:cs="Arial"/>
                <w:b w:val="0"/>
                <w:lang w:val="en-US"/>
              </w:rPr>
            </w:pPr>
            <w:r w:rsidRPr="00B84B0C">
              <w:rPr>
                <w:rFonts w:cs="Arial"/>
                <w:lang w:val="en-US"/>
              </w:rPr>
              <w:t>Segment/Line of business</w:t>
            </w:r>
          </w:p>
        </w:tc>
        <w:tc>
          <w:tcPr>
            <w:tcW w:w="9395" w:type="dxa"/>
            <w:tcBorders>
              <w:top w:val="nil"/>
              <w:bottom w:val="nil"/>
            </w:tcBorders>
            <w:shd w:val="clear" w:color="auto" w:fill="D9E2F3" w:themeFill="accent5" w:themeFillTint="33"/>
            <w:vAlign w:val="center"/>
          </w:tcPr>
          <w:p w14:paraId="27FA4159"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lang w:val="en-US"/>
              </w:rPr>
              <w:t>Description</w:t>
            </w:r>
          </w:p>
        </w:tc>
        <w:tc>
          <w:tcPr>
            <w:tcW w:w="1951"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6A9B8A4"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roofErr w:type="spellStart"/>
            <w:r w:rsidRPr="00B84B0C">
              <w:rPr>
                <w:rFonts w:cs="Arial"/>
                <w:b/>
                <w:sz w:val="14"/>
                <w:szCs w:val="14"/>
              </w:rPr>
              <w:t>March</w:t>
            </w:r>
            <w:proofErr w:type="spellEnd"/>
            <w:r w:rsidRPr="00B84B0C">
              <w:rPr>
                <w:rFonts w:cs="Arial"/>
                <w:b/>
                <w:sz w:val="14"/>
                <w:szCs w:val="14"/>
              </w:rPr>
              <w:t xml:space="preserve"> 31,2020</w:t>
            </w:r>
          </w:p>
        </w:tc>
      </w:tr>
      <w:tr w:rsidR="00736E78" w:rsidRPr="00B84B0C" w14:paraId="780E776C" w14:textId="77777777" w:rsidTr="00736E78">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single" w:sz="4" w:space="0" w:color="8EAADB" w:themeColor="accent5" w:themeTint="99"/>
            </w:tcBorders>
            <w:vAlign w:val="center"/>
          </w:tcPr>
          <w:p w14:paraId="1616CA62" w14:textId="77777777" w:rsidR="00736E78" w:rsidRPr="00B84B0C" w:rsidRDefault="00736E78" w:rsidP="00736E78">
            <w:pPr>
              <w:rPr>
                <w:rFonts w:cs="Arial"/>
                <w:sz w:val="14"/>
                <w:szCs w:val="14"/>
              </w:rPr>
            </w:pPr>
          </w:p>
        </w:tc>
        <w:tc>
          <w:tcPr>
            <w:tcW w:w="9395" w:type="dxa"/>
            <w:tcBorders>
              <w:top w:val="nil"/>
              <w:bottom w:val="single" w:sz="4" w:space="0" w:color="8EAADB" w:themeColor="accent5" w:themeTint="99"/>
            </w:tcBorders>
            <w:vAlign w:val="center"/>
          </w:tcPr>
          <w:p w14:paraId="035EC5FB" w14:textId="77777777" w:rsidR="00736E78" w:rsidRPr="00B84B0C" w:rsidRDefault="00736E78" w:rsidP="00736E78">
            <w:pPr>
              <w:pStyle w:val="08-Tabelageral"/>
              <w:jc w:val="left"/>
              <w:cnfStyle w:val="000000010000" w:firstRow="0" w:lastRow="0" w:firstColumn="0" w:lastColumn="0" w:oddVBand="0" w:evenVBand="0" w:oddHBand="0" w:evenHBand="1" w:firstRowFirstColumn="0" w:firstRowLastColumn="0" w:lastRowFirstColumn="0" w:lastRowLastColumn="0"/>
              <w:rPr>
                <w:rFonts w:cs="Arial"/>
                <w:b/>
                <w:szCs w:val="14"/>
              </w:rPr>
            </w:pPr>
          </w:p>
        </w:tc>
        <w:tc>
          <w:tcPr>
            <w:tcW w:w="851" w:type="dxa"/>
            <w:tcBorders>
              <w:top w:val="single" w:sz="2" w:space="0" w:color="8EAADB" w:themeColor="accent5" w:themeTint="99"/>
              <w:bottom w:val="single" w:sz="4" w:space="0" w:color="8EAADB" w:themeColor="accent5" w:themeTint="99"/>
            </w:tcBorders>
            <w:vAlign w:val="center"/>
          </w:tcPr>
          <w:p w14:paraId="65DDE062"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Total</w:t>
            </w:r>
          </w:p>
        </w:tc>
        <w:tc>
          <w:tcPr>
            <w:tcW w:w="1100" w:type="dxa"/>
            <w:tcBorders>
              <w:top w:val="single" w:sz="2" w:space="0" w:color="8EAADB" w:themeColor="accent5" w:themeTint="99"/>
              <w:bottom w:val="single" w:sz="4" w:space="0" w:color="8EAADB" w:themeColor="accent5" w:themeTint="99"/>
            </w:tcBorders>
            <w:vAlign w:val="center"/>
          </w:tcPr>
          <w:p w14:paraId="0BF60445" w14:textId="77777777" w:rsidR="00736E78" w:rsidRPr="00B84B0C" w:rsidRDefault="00736E78" w:rsidP="00736E78">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Common</w:t>
            </w:r>
          </w:p>
        </w:tc>
      </w:tr>
      <w:tr w:rsidR="00736E78" w:rsidRPr="00B84B0C" w14:paraId="1A88B749"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8EAADB" w:themeColor="accent5" w:themeTint="99"/>
              <w:bottom w:val="nil"/>
            </w:tcBorders>
            <w:vAlign w:val="center"/>
          </w:tcPr>
          <w:p w14:paraId="5E085874" w14:textId="77777777" w:rsidR="00736E78" w:rsidRPr="00B84B0C" w:rsidRDefault="00736E78" w:rsidP="00736E78">
            <w:pPr>
              <w:pStyle w:val="08-Tabelageral"/>
              <w:jc w:val="left"/>
              <w:rPr>
                <w:rFonts w:cs="Arial"/>
                <w:bCs w:val="0"/>
                <w:szCs w:val="14"/>
              </w:rPr>
            </w:pPr>
            <w:r w:rsidRPr="00B84B0C">
              <w:rPr>
                <w:rStyle w:val="tlid-translation"/>
                <w:rFonts w:cs="Arial"/>
                <w:lang w:val="en"/>
              </w:rPr>
              <w:t>Security segment</w:t>
            </w:r>
          </w:p>
        </w:tc>
        <w:tc>
          <w:tcPr>
            <w:tcW w:w="9395" w:type="dxa"/>
            <w:tcBorders>
              <w:top w:val="single" w:sz="4" w:space="0" w:color="8EAADB" w:themeColor="accent5" w:themeTint="99"/>
              <w:bottom w:val="nil"/>
            </w:tcBorders>
            <w:vAlign w:val="center"/>
          </w:tcPr>
          <w:p w14:paraId="01363B7A"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851" w:type="dxa"/>
            <w:tcBorders>
              <w:top w:val="single" w:sz="4" w:space="0" w:color="8EAADB" w:themeColor="accent5" w:themeTint="99"/>
              <w:bottom w:val="nil"/>
            </w:tcBorders>
            <w:vAlign w:val="center"/>
          </w:tcPr>
          <w:p w14:paraId="189468ED"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00" w:type="dxa"/>
            <w:tcBorders>
              <w:top w:val="single" w:sz="4" w:space="0" w:color="8EAADB" w:themeColor="accent5" w:themeTint="99"/>
              <w:bottom w:val="nil"/>
            </w:tcBorders>
          </w:tcPr>
          <w:p w14:paraId="108A090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r>
      <w:tr w:rsidR="00736E78" w:rsidRPr="00B84B0C" w14:paraId="51DC8F23" w14:textId="77777777" w:rsidTr="00736E78">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09EC18AB" w14:textId="77777777" w:rsidR="00736E78" w:rsidRPr="00B84B0C" w:rsidRDefault="00736E78" w:rsidP="00736E78">
            <w:pPr>
              <w:pStyle w:val="08-Tabelageral"/>
              <w:jc w:val="left"/>
              <w:rPr>
                <w:rFonts w:cs="Arial"/>
                <w:szCs w:val="14"/>
              </w:rPr>
            </w:pPr>
            <w:r w:rsidRPr="00B84B0C">
              <w:rPr>
                <w:rFonts w:cs="Arial"/>
                <w:b w:val="0"/>
                <w:bCs w:val="0"/>
                <w:szCs w:val="14"/>
              </w:rPr>
              <w:t>BB Seguros Participações S.A.</w:t>
            </w:r>
          </w:p>
        </w:tc>
        <w:tc>
          <w:tcPr>
            <w:tcW w:w="9395" w:type="dxa"/>
            <w:tcBorders>
              <w:top w:val="nil"/>
              <w:bottom w:val="nil"/>
            </w:tcBorders>
            <w:vAlign w:val="center"/>
          </w:tcPr>
          <w:p w14:paraId="417B093D" w14:textId="77777777" w:rsidR="00736E78" w:rsidRPr="00B84B0C" w:rsidRDefault="00736E78" w:rsidP="00736E78">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lang w:val="en-US"/>
              </w:rPr>
            </w:pPr>
            <w:r w:rsidRPr="00B84B0C">
              <w:rPr>
                <w:rStyle w:val="tlid-translation"/>
                <w:rFonts w:cs="Arial"/>
                <w:lang w:val="en"/>
              </w:rPr>
              <w:t>Holding company of insurance, capitalization companies, open private pension entities and companies that operate health care plans.</w:t>
            </w:r>
          </w:p>
        </w:tc>
        <w:tc>
          <w:tcPr>
            <w:tcW w:w="851" w:type="dxa"/>
            <w:tcBorders>
              <w:top w:val="nil"/>
              <w:bottom w:val="nil"/>
            </w:tcBorders>
            <w:vAlign w:val="center"/>
          </w:tcPr>
          <w:p w14:paraId="281E3254"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100.00</w:t>
            </w:r>
          </w:p>
        </w:tc>
        <w:tc>
          <w:tcPr>
            <w:tcW w:w="1100" w:type="dxa"/>
            <w:tcBorders>
              <w:top w:val="nil"/>
              <w:bottom w:val="nil"/>
            </w:tcBorders>
            <w:vAlign w:val="center"/>
          </w:tcPr>
          <w:p w14:paraId="297D957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100.00</w:t>
            </w:r>
          </w:p>
        </w:tc>
      </w:tr>
      <w:tr w:rsidR="00736E78" w:rsidRPr="00B84B0C" w14:paraId="3B8900D6"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156C0A6F" w14:textId="77777777" w:rsidR="00736E78" w:rsidRPr="00B84B0C" w:rsidRDefault="00736E78" w:rsidP="00736E78">
            <w:pPr>
              <w:pStyle w:val="08-Tabelageral"/>
              <w:jc w:val="left"/>
              <w:rPr>
                <w:rFonts w:cs="Arial"/>
                <w:bCs w:val="0"/>
                <w:szCs w:val="14"/>
                <w:lang w:val="en-US"/>
              </w:rPr>
            </w:pPr>
            <w:r w:rsidRPr="00B84B0C">
              <w:rPr>
                <w:rStyle w:val="tlid-translation"/>
                <w:rFonts w:cs="Arial"/>
                <w:lang w:val="en"/>
              </w:rPr>
              <w:t>Insurance - Life, housing, rural and property</w:t>
            </w:r>
          </w:p>
        </w:tc>
        <w:tc>
          <w:tcPr>
            <w:tcW w:w="9395" w:type="dxa"/>
            <w:tcBorders>
              <w:top w:val="nil"/>
              <w:bottom w:val="nil"/>
            </w:tcBorders>
            <w:vAlign w:val="center"/>
          </w:tcPr>
          <w:p w14:paraId="6CD8FA32"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bCs/>
                <w:szCs w:val="14"/>
                <w:lang w:val="en-US"/>
              </w:rPr>
            </w:pPr>
          </w:p>
        </w:tc>
        <w:tc>
          <w:tcPr>
            <w:tcW w:w="851" w:type="dxa"/>
            <w:tcBorders>
              <w:top w:val="nil"/>
              <w:bottom w:val="nil"/>
            </w:tcBorders>
            <w:vAlign w:val="center"/>
          </w:tcPr>
          <w:p w14:paraId="5B03410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100" w:type="dxa"/>
            <w:tcBorders>
              <w:top w:val="nil"/>
              <w:bottom w:val="nil"/>
            </w:tcBorders>
          </w:tcPr>
          <w:p w14:paraId="26E1B27C"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szCs w:val="14"/>
                <w:lang w:val="en-US"/>
              </w:rPr>
            </w:pPr>
          </w:p>
        </w:tc>
      </w:tr>
      <w:tr w:rsidR="00736E78" w:rsidRPr="00B84B0C" w14:paraId="6E9ECE30" w14:textId="77777777" w:rsidTr="00736E78">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11F1D7A7" w14:textId="77777777" w:rsidR="00736E78" w:rsidRPr="00B84B0C" w:rsidRDefault="00736E78" w:rsidP="00736E78">
            <w:pPr>
              <w:pStyle w:val="08-Tabelageral"/>
              <w:jc w:val="left"/>
              <w:rPr>
                <w:rFonts w:cs="Arial"/>
                <w:b w:val="0"/>
                <w:bCs w:val="0"/>
                <w:szCs w:val="14"/>
              </w:rPr>
            </w:pPr>
            <w:r w:rsidRPr="00B84B0C">
              <w:rPr>
                <w:rFonts w:cs="Arial"/>
                <w:b w:val="0"/>
                <w:bCs w:val="0"/>
                <w:szCs w:val="14"/>
              </w:rPr>
              <w:t>BB Mapfre Participações S.A.</w:t>
            </w:r>
          </w:p>
        </w:tc>
        <w:tc>
          <w:tcPr>
            <w:tcW w:w="9395" w:type="dxa"/>
            <w:tcBorders>
              <w:top w:val="nil"/>
              <w:bottom w:val="nil"/>
            </w:tcBorders>
            <w:vAlign w:val="center"/>
          </w:tcPr>
          <w:p w14:paraId="05EAE735" w14:textId="77777777" w:rsidR="00736E78" w:rsidRPr="00B84B0C" w:rsidRDefault="00736E78" w:rsidP="00736E78">
            <w:pPr>
              <w:pStyle w:val="08-Tabelageral"/>
              <w:spacing w:after="0"/>
              <w:jc w:val="left"/>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iCs/>
                <w:lang w:val="en-US"/>
              </w:rPr>
              <w:t>Acting as a holding company for the other companies which deal with life. real state and agricultural insurance.</w:t>
            </w:r>
          </w:p>
        </w:tc>
        <w:tc>
          <w:tcPr>
            <w:tcW w:w="851" w:type="dxa"/>
            <w:tcBorders>
              <w:top w:val="nil"/>
              <w:bottom w:val="nil"/>
            </w:tcBorders>
            <w:vAlign w:val="center"/>
          </w:tcPr>
          <w:p w14:paraId="1FB47EF3"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74.99</w:t>
            </w:r>
          </w:p>
        </w:tc>
        <w:tc>
          <w:tcPr>
            <w:tcW w:w="1100" w:type="dxa"/>
            <w:tcBorders>
              <w:top w:val="nil"/>
              <w:bottom w:val="nil"/>
            </w:tcBorders>
            <w:vAlign w:val="center"/>
          </w:tcPr>
          <w:p w14:paraId="6A76E792"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49.99</w:t>
            </w:r>
          </w:p>
        </w:tc>
      </w:tr>
      <w:tr w:rsidR="00736E78" w:rsidRPr="00B84B0C" w14:paraId="4EE35DF8"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5D58F4D5"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Brasilseg</w:t>
            </w:r>
            <w:proofErr w:type="spellEnd"/>
            <w:r w:rsidRPr="00B84B0C">
              <w:rPr>
                <w:rFonts w:cs="Arial"/>
                <w:b w:val="0"/>
                <w:bCs w:val="0"/>
                <w:szCs w:val="14"/>
              </w:rPr>
              <w:t xml:space="preserve"> Companhia de Seguros S.A.</w:t>
            </w:r>
          </w:p>
        </w:tc>
        <w:tc>
          <w:tcPr>
            <w:tcW w:w="9395" w:type="dxa"/>
            <w:tcBorders>
              <w:top w:val="nil"/>
              <w:bottom w:val="nil"/>
            </w:tcBorders>
            <w:vAlign w:val="center"/>
          </w:tcPr>
          <w:p w14:paraId="38B570B6" w14:textId="77777777" w:rsidR="00736E78" w:rsidRPr="00B84B0C" w:rsidRDefault="00736E78" w:rsidP="00736E78">
            <w:pPr>
              <w:pStyle w:val="08-Tabelageral"/>
              <w:spacing w:after="0"/>
              <w:jc w:val="left"/>
              <w:cnfStyle w:val="000000100000" w:firstRow="0" w:lastRow="0" w:firstColumn="0" w:lastColumn="0" w:oddVBand="0" w:evenVBand="0" w:oddHBand="1" w:evenHBand="0" w:firstRowFirstColumn="0" w:firstRowLastColumn="0" w:lastRowFirstColumn="0" w:lastRowLastColumn="0"/>
              <w:rPr>
                <w:rFonts w:cs="Arial"/>
                <w:iCs/>
                <w:lang w:val="en-US"/>
              </w:rPr>
            </w:pPr>
            <w:r w:rsidRPr="00B84B0C">
              <w:rPr>
                <w:rFonts w:cs="Arial"/>
                <w:iCs/>
                <w:lang w:val="en-US"/>
              </w:rPr>
              <w:t>Acting in the personal risk segment. rural and housing insurance.</w:t>
            </w:r>
          </w:p>
        </w:tc>
        <w:tc>
          <w:tcPr>
            <w:tcW w:w="851" w:type="dxa"/>
            <w:tcBorders>
              <w:top w:val="nil"/>
              <w:bottom w:val="nil"/>
            </w:tcBorders>
            <w:vAlign w:val="center"/>
          </w:tcPr>
          <w:p w14:paraId="23B1CE16"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B84B0C">
              <w:rPr>
                <w:rFonts w:cs="Arial"/>
                <w:bCs/>
              </w:rPr>
              <w:t>74.99</w:t>
            </w:r>
          </w:p>
        </w:tc>
        <w:tc>
          <w:tcPr>
            <w:tcW w:w="1100" w:type="dxa"/>
            <w:tcBorders>
              <w:top w:val="nil"/>
              <w:bottom w:val="nil"/>
            </w:tcBorders>
            <w:vAlign w:val="center"/>
          </w:tcPr>
          <w:p w14:paraId="773BDEE8"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B84B0C">
              <w:rPr>
                <w:rFonts w:cs="Arial"/>
                <w:bCs/>
              </w:rPr>
              <w:t>49.99</w:t>
            </w:r>
          </w:p>
        </w:tc>
      </w:tr>
      <w:tr w:rsidR="00736E78" w:rsidRPr="00B84B0C" w14:paraId="09AAF46E" w14:textId="77777777" w:rsidTr="00736E78">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0398DE52" w14:textId="77777777" w:rsidR="00736E78" w:rsidRPr="00B84B0C" w:rsidRDefault="00736E78" w:rsidP="00736E78">
            <w:pPr>
              <w:pStyle w:val="08-Tabelageral"/>
              <w:jc w:val="left"/>
              <w:rPr>
                <w:rFonts w:cs="Arial"/>
                <w:b w:val="0"/>
                <w:bCs w:val="0"/>
                <w:szCs w:val="14"/>
              </w:rPr>
            </w:pPr>
            <w:r w:rsidRPr="00B84B0C">
              <w:rPr>
                <w:rFonts w:cs="Arial"/>
                <w:b w:val="0"/>
                <w:bCs w:val="0"/>
                <w:szCs w:val="14"/>
              </w:rPr>
              <w:t>Aliança do Brasil Seguros S.A.</w:t>
            </w:r>
          </w:p>
        </w:tc>
        <w:tc>
          <w:tcPr>
            <w:tcW w:w="9395" w:type="dxa"/>
            <w:tcBorders>
              <w:top w:val="nil"/>
              <w:bottom w:val="nil"/>
            </w:tcBorders>
            <w:vAlign w:val="center"/>
          </w:tcPr>
          <w:p w14:paraId="1A95A07F" w14:textId="77777777" w:rsidR="00736E78" w:rsidRPr="00B84B0C" w:rsidRDefault="00736E78" w:rsidP="00736E78">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84B0C">
              <w:rPr>
                <w:rFonts w:cs="Arial"/>
                <w:lang w:val="en-US"/>
              </w:rPr>
              <w:t>Acting in the life insurance segment in general.</w:t>
            </w:r>
          </w:p>
        </w:tc>
        <w:tc>
          <w:tcPr>
            <w:tcW w:w="851" w:type="dxa"/>
            <w:tcBorders>
              <w:top w:val="nil"/>
              <w:bottom w:val="nil"/>
            </w:tcBorders>
            <w:vAlign w:val="center"/>
          </w:tcPr>
          <w:p w14:paraId="793ADE28"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74.99</w:t>
            </w:r>
          </w:p>
        </w:tc>
        <w:tc>
          <w:tcPr>
            <w:tcW w:w="1100" w:type="dxa"/>
            <w:tcBorders>
              <w:top w:val="nil"/>
              <w:bottom w:val="nil"/>
            </w:tcBorders>
            <w:vAlign w:val="center"/>
          </w:tcPr>
          <w:p w14:paraId="6269A34F"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49.99</w:t>
            </w:r>
          </w:p>
        </w:tc>
      </w:tr>
      <w:tr w:rsidR="00736E78" w:rsidRPr="00B84B0C" w14:paraId="4F65058F"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7E6FD48F" w14:textId="77777777" w:rsidR="00736E78" w:rsidRPr="00B84B0C" w:rsidRDefault="00736E78" w:rsidP="00736E78">
            <w:pPr>
              <w:pStyle w:val="08-Tabelageral"/>
              <w:jc w:val="left"/>
              <w:rPr>
                <w:rFonts w:cs="Arial"/>
                <w:bCs w:val="0"/>
                <w:szCs w:val="14"/>
              </w:rPr>
            </w:pPr>
            <w:r w:rsidRPr="00B84B0C">
              <w:rPr>
                <w:rFonts w:cs="Arial"/>
                <w:lang w:val="en-US"/>
              </w:rPr>
              <w:t>Capitalization</w:t>
            </w:r>
          </w:p>
        </w:tc>
        <w:tc>
          <w:tcPr>
            <w:tcW w:w="9395" w:type="dxa"/>
            <w:tcBorders>
              <w:top w:val="nil"/>
              <w:bottom w:val="nil"/>
            </w:tcBorders>
            <w:vAlign w:val="center"/>
          </w:tcPr>
          <w:p w14:paraId="233A5F6C"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851" w:type="dxa"/>
            <w:tcBorders>
              <w:top w:val="nil"/>
              <w:bottom w:val="nil"/>
            </w:tcBorders>
            <w:vAlign w:val="center"/>
          </w:tcPr>
          <w:p w14:paraId="116B744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c>
          <w:tcPr>
            <w:tcW w:w="1100" w:type="dxa"/>
            <w:tcBorders>
              <w:top w:val="nil"/>
              <w:bottom w:val="nil"/>
            </w:tcBorders>
            <w:vAlign w:val="center"/>
          </w:tcPr>
          <w:p w14:paraId="62576FB3"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r>
      <w:tr w:rsidR="00736E78" w:rsidRPr="00B84B0C" w14:paraId="3D4A244F" w14:textId="77777777" w:rsidTr="00736E78">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71932F7D"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Brasilcap</w:t>
            </w:r>
            <w:proofErr w:type="spellEnd"/>
            <w:r w:rsidRPr="00B84B0C">
              <w:rPr>
                <w:rFonts w:cs="Arial"/>
                <w:b w:val="0"/>
                <w:bCs w:val="0"/>
                <w:szCs w:val="14"/>
              </w:rPr>
              <w:t xml:space="preserve"> Capitalização S.A.</w:t>
            </w:r>
          </w:p>
        </w:tc>
        <w:tc>
          <w:tcPr>
            <w:tcW w:w="9395" w:type="dxa"/>
            <w:tcBorders>
              <w:top w:val="nil"/>
              <w:bottom w:val="nil"/>
            </w:tcBorders>
            <w:vAlign w:val="center"/>
          </w:tcPr>
          <w:p w14:paraId="3691C7DF" w14:textId="77777777" w:rsidR="00736E78" w:rsidRPr="00B84B0C" w:rsidRDefault="00736E78" w:rsidP="00736E78">
            <w:pPr>
              <w:pStyle w:val="08-Tabelageral"/>
              <w:spacing w:after="0"/>
              <w:jc w:val="left"/>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snapToGrid w:val="0"/>
                <w:lang w:val="en-US"/>
              </w:rPr>
              <w:t>Deals with capitalization plans and other products and services that capitalization companies are allowed to provide.</w:t>
            </w:r>
          </w:p>
        </w:tc>
        <w:tc>
          <w:tcPr>
            <w:tcW w:w="851" w:type="dxa"/>
            <w:tcBorders>
              <w:top w:val="nil"/>
              <w:bottom w:val="nil"/>
            </w:tcBorders>
            <w:vAlign w:val="center"/>
          </w:tcPr>
          <w:p w14:paraId="11AD7A6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66.66</w:t>
            </w:r>
          </w:p>
        </w:tc>
        <w:tc>
          <w:tcPr>
            <w:tcW w:w="1100" w:type="dxa"/>
            <w:tcBorders>
              <w:top w:val="nil"/>
              <w:bottom w:val="nil"/>
            </w:tcBorders>
            <w:vAlign w:val="center"/>
          </w:tcPr>
          <w:p w14:paraId="473E54DB"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49.99</w:t>
            </w:r>
          </w:p>
        </w:tc>
      </w:tr>
      <w:tr w:rsidR="00736E78" w:rsidRPr="00B84B0C" w14:paraId="580E105B"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605FC0DD" w14:textId="77777777" w:rsidR="00736E78" w:rsidRPr="00B84B0C" w:rsidRDefault="00736E78" w:rsidP="00736E78">
            <w:pPr>
              <w:pStyle w:val="08-Tabelageral"/>
              <w:jc w:val="left"/>
              <w:rPr>
                <w:rFonts w:cs="Arial"/>
                <w:bCs w:val="0"/>
                <w:szCs w:val="14"/>
              </w:rPr>
            </w:pPr>
            <w:r w:rsidRPr="00B84B0C">
              <w:rPr>
                <w:rFonts w:cs="Arial"/>
                <w:lang w:val="en-US"/>
              </w:rPr>
              <w:t>Private Pension Plans</w:t>
            </w:r>
          </w:p>
        </w:tc>
        <w:tc>
          <w:tcPr>
            <w:tcW w:w="9395" w:type="dxa"/>
            <w:tcBorders>
              <w:top w:val="nil"/>
              <w:bottom w:val="nil"/>
            </w:tcBorders>
            <w:vAlign w:val="center"/>
          </w:tcPr>
          <w:p w14:paraId="5476DA24"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851" w:type="dxa"/>
            <w:tcBorders>
              <w:top w:val="nil"/>
              <w:bottom w:val="nil"/>
            </w:tcBorders>
            <w:vAlign w:val="center"/>
          </w:tcPr>
          <w:p w14:paraId="6E9B7A95"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c>
          <w:tcPr>
            <w:tcW w:w="1100" w:type="dxa"/>
            <w:tcBorders>
              <w:top w:val="nil"/>
              <w:bottom w:val="nil"/>
            </w:tcBorders>
            <w:vAlign w:val="center"/>
          </w:tcPr>
          <w:p w14:paraId="5DBA885C"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r>
      <w:tr w:rsidR="00736E78" w:rsidRPr="00B84B0C" w14:paraId="18555BAC" w14:textId="77777777" w:rsidTr="00736E78">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2E965238"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Brasilprev</w:t>
            </w:r>
            <w:proofErr w:type="spellEnd"/>
            <w:r w:rsidRPr="00B84B0C">
              <w:rPr>
                <w:rFonts w:cs="Arial"/>
                <w:b w:val="0"/>
                <w:bCs w:val="0"/>
                <w:szCs w:val="14"/>
              </w:rPr>
              <w:t xml:space="preserve"> Seguros e Previdência S.A. </w:t>
            </w:r>
          </w:p>
        </w:tc>
        <w:tc>
          <w:tcPr>
            <w:tcW w:w="9395" w:type="dxa"/>
            <w:tcBorders>
              <w:top w:val="nil"/>
              <w:bottom w:val="nil"/>
            </w:tcBorders>
            <w:vAlign w:val="center"/>
          </w:tcPr>
          <w:p w14:paraId="57DCFC0B" w14:textId="77777777" w:rsidR="00736E78" w:rsidRPr="00B84B0C" w:rsidRDefault="00736E78" w:rsidP="00736E78">
            <w:pPr>
              <w:pStyle w:val="08-Tabelageral"/>
              <w:spacing w:after="0"/>
              <w:jc w:val="left"/>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snapToGrid w:val="0"/>
                <w:lang w:val="en-US"/>
              </w:rPr>
              <w:t>Deals with life insurance with survivor coverage and with private retirement and benefit plans.</w:t>
            </w:r>
          </w:p>
        </w:tc>
        <w:tc>
          <w:tcPr>
            <w:tcW w:w="851" w:type="dxa"/>
            <w:tcBorders>
              <w:top w:val="nil"/>
              <w:bottom w:val="nil"/>
            </w:tcBorders>
            <w:vAlign w:val="center"/>
          </w:tcPr>
          <w:p w14:paraId="53BE19B2"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74.99</w:t>
            </w:r>
          </w:p>
        </w:tc>
        <w:tc>
          <w:tcPr>
            <w:tcW w:w="1100" w:type="dxa"/>
            <w:tcBorders>
              <w:top w:val="nil"/>
              <w:bottom w:val="nil"/>
            </w:tcBorders>
            <w:vAlign w:val="center"/>
          </w:tcPr>
          <w:p w14:paraId="3EECAA7D"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49.99</w:t>
            </w:r>
          </w:p>
        </w:tc>
      </w:tr>
      <w:tr w:rsidR="00736E78" w:rsidRPr="00B84B0C" w14:paraId="4D8226BC"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1DAA9C4B" w14:textId="77777777" w:rsidR="00736E78" w:rsidRPr="00B84B0C" w:rsidRDefault="00736E78" w:rsidP="00736E78">
            <w:pPr>
              <w:pStyle w:val="08-Tabelageral"/>
              <w:jc w:val="left"/>
              <w:rPr>
                <w:rFonts w:cs="Arial"/>
                <w:bCs w:val="0"/>
                <w:szCs w:val="14"/>
              </w:rPr>
            </w:pPr>
            <w:r w:rsidRPr="00B84B0C">
              <w:rPr>
                <w:rFonts w:cs="Arial"/>
                <w:lang w:val="en-US"/>
              </w:rPr>
              <w:t>Health Segment</w:t>
            </w:r>
          </w:p>
        </w:tc>
        <w:tc>
          <w:tcPr>
            <w:tcW w:w="9395" w:type="dxa"/>
            <w:tcBorders>
              <w:top w:val="nil"/>
              <w:bottom w:val="nil"/>
            </w:tcBorders>
            <w:vAlign w:val="center"/>
          </w:tcPr>
          <w:p w14:paraId="353AB5AD"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851" w:type="dxa"/>
            <w:tcBorders>
              <w:top w:val="nil"/>
              <w:bottom w:val="nil"/>
            </w:tcBorders>
            <w:vAlign w:val="center"/>
          </w:tcPr>
          <w:p w14:paraId="28586BD1"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c>
          <w:tcPr>
            <w:tcW w:w="1100" w:type="dxa"/>
            <w:tcBorders>
              <w:top w:val="nil"/>
              <w:bottom w:val="nil"/>
            </w:tcBorders>
            <w:vAlign w:val="center"/>
          </w:tcPr>
          <w:p w14:paraId="632CECB7"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r>
      <w:tr w:rsidR="00736E78" w:rsidRPr="00B84B0C" w14:paraId="704B5785" w14:textId="77777777" w:rsidTr="00736E78">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1514D69D"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Brasildental</w:t>
            </w:r>
            <w:proofErr w:type="spellEnd"/>
            <w:r w:rsidRPr="00B84B0C">
              <w:rPr>
                <w:rFonts w:cs="Arial"/>
                <w:b w:val="0"/>
                <w:bCs w:val="0"/>
                <w:szCs w:val="14"/>
              </w:rPr>
              <w:t xml:space="preserve"> Operadora de Planos Odontológicos S.A.</w:t>
            </w:r>
          </w:p>
        </w:tc>
        <w:tc>
          <w:tcPr>
            <w:tcW w:w="9395" w:type="dxa"/>
            <w:tcBorders>
              <w:top w:val="nil"/>
              <w:bottom w:val="nil"/>
            </w:tcBorders>
            <w:vAlign w:val="center"/>
          </w:tcPr>
          <w:p w14:paraId="5B79F01E" w14:textId="77777777" w:rsidR="00736E78" w:rsidRPr="00B84B0C" w:rsidRDefault="00736E78" w:rsidP="00736E78">
            <w:pPr>
              <w:pStyle w:val="08-Tabelageral"/>
              <w:spacing w:after="0"/>
              <w:jc w:val="left"/>
              <w:cnfStyle w:val="000000010000" w:firstRow="0" w:lastRow="0" w:firstColumn="0" w:lastColumn="0" w:oddVBand="0" w:evenVBand="0" w:oddHBand="0" w:evenHBand="1" w:firstRowFirstColumn="0" w:firstRowLastColumn="0" w:lastRowFirstColumn="0" w:lastRowLastColumn="0"/>
              <w:rPr>
                <w:rFonts w:cs="Arial"/>
                <w:lang w:val="en-US"/>
              </w:rPr>
            </w:pPr>
            <w:r w:rsidRPr="00B84B0C">
              <w:rPr>
                <w:rFonts w:cs="Arial"/>
                <w:lang w:val="en-US"/>
              </w:rPr>
              <w:t xml:space="preserve">Selling plans of </w:t>
            </w:r>
            <w:proofErr w:type="spellStart"/>
            <w:r w:rsidRPr="00B84B0C">
              <w:rPr>
                <w:rFonts w:cs="Arial"/>
                <w:lang w:val="en-US"/>
              </w:rPr>
              <w:t>odontological</w:t>
            </w:r>
            <w:proofErr w:type="spellEnd"/>
            <w:r w:rsidRPr="00B84B0C">
              <w:rPr>
                <w:rFonts w:cs="Arial"/>
                <w:lang w:val="en-US"/>
              </w:rPr>
              <w:t xml:space="preserve"> assistance.</w:t>
            </w:r>
          </w:p>
        </w:tc>
        <w:tc>
          <w:tcPr>
            <w:tcW w:w="851" w:type="dxa"/>
            <w:tcBorders>
              <w:top w:val="nil"/>
              <w:bottom w:val="nil"/>
            </w:tcBorders>
            <w:vAlign w:val="center"/>
          </w:tcPr>
          <w:p w14:paraId="6FFD99BE"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74.99</w:t>
            </w:r>
          </w:p>
        </w:tc>
        <w:tc>
          <w:tcPr>
            <w:tcW w:w="1100" w:type="dxa"/>
            <w:tcBorders>
              <w:top w:val="nil"/>
              <w:bottom w:val="nil"/>
            </w:tcBorders>
            <w:vAlign w:val="center"/>
          </w:tcPr>
          <w:p w14:paraId="6F000EF9"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49.99</w:t>
            </w:r>
          </w:p>
        </w:tc>
      </w:tr>
      <w:tr w:rsidR="00736E78" w:rsidRPr="00B84B0C" w14:paraId="4BA877EF"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15698D45" w14:textId="77777777" w:rsidR="00736E78" w:rsidRPr="00B84B0C" w:rsidRDefault="00736E78" w:rsidP="00736E78">
            <w:pPr>
              <w:pStyle w:val="08-Tabelageral"/>
              <w:jc w:val="left"/>
              <w:rPr>
                <w:rFonts w:cs="Arial"/>
                <w:bCs w:val="0"/>
                <w:szCs w:val="14"/>
              </w:rPr>
            </w:pPr>
            <w:r w:rsidRPr="00B84B0C">
              <w:rPr>
                <w:rFonts w:cs="Arial"/>
                <w:lang w:val="en-US"/>
              </w:rPr>
              <w:t>Brokerage Segment</w:t>
            </w:r>
          </w:p>
        </w:tc>
        <w:tc>
          <w:tcPr>
            <w:tcW w:w="9395" w:type="dxa"/>
            <w:tcBorders>
              <w:top w:val="nil"/>
              <w:bottom w:val="nil"/>
            </w:tcBorders>
            <w:vAlign w:val="center"/>
          </w:tcPr>
          <w:p w14:paraId="0D5D3E9A"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851" w:type="dxa"/>
            <w:tcBorders>
              <w:top w:val="nil"/>
              <w:bottom w:val="nil"/>
            </w:tcBorders>
            <w:vAlign w:val="center"/>
          </w:tcPr>
          <w:p w14:paraId="4D3745B4"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c>
          <w:tcPr>
            <w:tcW w:w="1100" w:type="dxa"/>
            <w:tcBorders>
              <w:top w:val="nil"/>
              <w:bottom w:val="nil"/>
            </w:tcBorders>
            <w:vAlign w:val="center"/>
          </w:tcPr>
          <w:p w14:paraId="5C79E73A"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p>
        </w:tc>
      </w:tr>
      <w:tr w:rsidR="00736E78" w:rsidRPr="00B84B0C" w14:paraId="0F0F4830" w14:textId="77777777" w:rsidTr="00736E78">
        <w:trPr>
          <w:cnfStyle w:val="000000010000" w:firstRow="0" w:lastRow="0" w:firstColumn="0" w:lastColumn="0" w:oddVBand="0" w:evenVBand="0" w:oddHBand="0" w:evenHBand="1"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nil"/>
            </w:tcBorders>
            <w:vAlign w:val="center"/>
          </w:tcPr>
          <w:p w14:paraId="190DD9D4" w14:textId="77777777" w:rsidR="00736E78" w:rsidRPr="00B84B0C" w:rsidRDefault="00736E78" w:rsidP="00736E78">
            <w:pPr>
              <w:pStyle w:val="08-Tabelageral"/>
              <w:jc w:val="left"/>
              <w:rPr>
                <w:rFonts w:cs="Arial"/>
                <w:b w:val="0"/>
                <w:bCs w:val="0"/>
                <w:szCs w:val="14"/>
              </w:rPr>
            </w:pPr>
            <w:r w:rsidRPr="00B84B0C">
              <w:rPr>
                <w:rFonts w:cs="Arial"/>
                <w:b w:val="0"/>
                <w:bCs w:val="0"/>
                <w:szCs w:val="14"/>
              </w:rPr>
              <w:t>BB Corretora de Seguros e Adm. de Bens S.A.</w:t>
            </w:r>
          </w:p>
        </w:tc>
        <w:tc>
          <w:tcPr>
            <w:tcW w:w="9395" w:type="dxa"/>
            <w:tcBorders>
              <w:top w:val="nil"/>
              <w:bottom w:val="nil"/>
            </w:tcBorders>
            <w:vAlign w:val="center"/>
          </w:tcPr>
          <w:p w14:paraId="436A50DD" w14:textId="77777777" w:rsidR="00736E78" w:rsidRPr="00B84B0C" w:rsidRDefault="00736E78" w:rsidP="00736E78">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B84B0C">
              <w:rPr>
                <w:rFonts w:cs="Arial"/>
                <w:lang w:val="en-US"/>
              </w:rPr>
              <w:t>Brokerage of health. life and non-life insurance. capitalization plans. private retirement plans and asset management.</w:t>
            </w:r>
          </w:p>
        </w:tc>
        <w:tc>
          <w:tcPr>
            <w:tcW w:w="851" w:type="dxa"/>
            <w:tcBorders>
              <w:top w:val="nil"/>
              <w:bottom w:val="nil"/>
            </w:tcBorders>
            <w:vAlign w:val="center"/>
          </w:tcPr>
          <w:p w14:paraId="60AD06A0"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100.00</w:t>
            </w:r>
          </w:p>
        </w:tc>
        <w:tc>
          <w:tcPr>
            <w:tcW w:w="1100" w:type="dxa"/>
            <w:tcBorders>
              <w:top w:val="nil"/>
              <w:bottom w:val="nil"/>
            </w:tcBorders>
            <w:vAlign w:val="center"/>
          </w:tcPr>
          <w:p w14:paraId="68E407E2"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Cs/>
              </w:rPr>
            </w:pPr>
            <w:r w:rsidRPr="00B84B0C">
              <w:rPr>
                <w:rFonts w:cs="Arial"/>
                <w:bCs/>
              </w:rPr>
              <w:t>100.00</w:t>
            </w:r>
          </w:p>
        </w:tc>
      </w:tr>
      <w:tr w:rsidR="00736E78" w:rsidRPr="00B84B0C" w14:paraId="006A35A6" w14:textId="77777777" w:rsidTr="00736E78">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538" w:type="dxa"/>
            <w:tcBorders>
              <w:top w:val="nil"/>
              <w:bottom w:val="single" w:sz="2" w:space="0" w:color="8EAADB" w:themeColor="accent5" w:themeTint="99"/>
            </w:tcBorders>
          </w:tcPr>
          <w:p w14:paraId="5851202B" w14:textId="77777777" w:rsidR="00736E78" w:rsidRPr="00B84B0C" w:rsidRDefault="00736E78" w:rsidP="00736E78">
            <w:pPr>
              <w:pStyle w:val="08-Tabelageral"/>
              <w:jc w:val="left"/>
              <w:rPr>
                <w:rFonts w:cs="Arial"/>
                <w:b w:val="0"/>
                <w:bCs w:val="0"/>
                <w:szCs w:val="14"/>
              </w:rPr>
            </w:pPr>
            <w:proofErr w:type="spellStart"/>
            <w:r w:rsidRPr="00B84B0C">
              <w:rPr>
                <w:rFonts w:cs="Arial"/>
                <w:b w:val="0"/>
                <w:bCs w:val="0"/>
                <w:szCs w:val="14"/>
              </w:rPr>
              <w:t>Ciclic</w:t>
            </w:r>
            <w:proofErr w:type="spellEnd"/>
            <w:r w:rsidRPr="00B84B0C">
              <w:rPr>
                <w:rFonts w:cs="Arial"/>
                <w:b w:val="0"/>
                <w:bCs w:val="0"/>
                <w:szCs w:val="14"/>
              </w:rPr>
              <w:t xml:space="preserve"> Corretora de Seguros S.A.</w:t>
            </w:r>
          </w:p>
        </w:tc>
        <w:tc>
          <w:tcPr>
            <w:tcW w:w="9395" w:type="dxa"/>
            <w:tcBorders>
              <w:top w:val="nil"/>
              <w:bottom w:val="single" w:sz="2" w:space="0" w:color="8EAADB" w:themeColor="accent5" w:themeTint="99"/>
            </w:tcBorders>
            <w:vAlign w:val="center"/>
          </w:tcPr>
          <w:p w14:paraId="3B4BFD72"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lang w:val="en-US"/>
              </w:rPr>
            </w:pPr>
            <w:r w:rsidRPr="00B84B0C">
              <w:rPr>
                <w:rStyle w:val="tlid-translation"/>
                <w:rFonts w:cs="Arial"/>
                <w:lang w:val="en"/>
              </w:rPr>
              <w:t>Brokerage of private pension products, travel insurance and residential assistance in the digital channel.</w:t>
            </w:r>
          </w:p>
        </w:tc>
        <w:tc>
          <w:tcPr>
            <w:tcW w:w="851" w:type="dxa"/>
            <w:tcBorders>
              <w:top w:val="nil"/>
              <w:bottom w:val="single" w:sz="2" w:space="0" w:color="8EAADB" w:themeColor="accent5" w:themeTint="99"/>
            </w:tcBorders>
            <w:vAlign w:val="center"/>
          </w:tcPr>
          <w:p w14:paraId="6D46C080"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B84B0C">
              <w:rPr>
                <w:rFonts w:cs="Arial"/>
                <w:bCs/>
              </w:rPr>
              <w:t>74.99</w:t>
            </w:r>
          </w:p>
        </w:tc>
        <w:tc>
          <w:tcPr>
            <w:tcW w:w="1100" w:type="dxa"/>
            <w:tcBorders>
              <w:top w:val="nil"/>
              <w:bottom w:val="single" w:sz="2" w:space="0" w:color="8EAADB" w:themeColor="accent5" w:themeTint="99"/>
            </w:tcBorders>
            <w:vAlign w:val="center"/>
          </w:tcPr>
          <w:p w14:paraId="4E53D048" w14:textId="77777777" w:rsidR="00736E78" w:rsidRPr="00B84B0C" w:rsidRDefault="00736E78" w:rsidP="00736E78">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B84B0C">
              <w:rPr>
                <w:rFonts w:cs="Arial"/>
                <w:bCs/>
              </w:rPr>
              <w:t>49.99</w:t>
            </w:r>
          </w:p>
        </w:tc>
      </w:tr>
    </w:tbl>
    <w:p w14:paraId="7339CADD" w14:textId="77777777" w:rsidR="00736E78" w:rsidRPr="00B84B0C" w:rsidRDefault="00736E78" w:rsidP="00736E78">
      <w:pPr>
        <w:pStyle w:val="05-Textonormal"/>
        <w:spacing w:before="0" w:after="80" w:line="240" w:lineRule="auto"/>
        <w:rPr>
          <w:rFonts w:cs="Arial"/>
          <w:sz w:val="2"/>
          <w:szCs w:val="2"/>
          <w:lang w:val="en-US" w:eastAsia="zh-CN"/>
        </w:rPr>
      </w:pPr>
    </w:p>
    <w:p w14:paraId="51E8BCAF" w14:textId="2C3B1FA5" w:rsidR="00736E78" w:rsidRPr="00B84B0C" w:rsidRDefault="00736E78" w:rsidP="00736E78">
      <w:pPr>
        <w:pStyle w:val="05-Textonormal"/>
        <w:spacing w:before="0" w:after="80" w:line="240" w:lineRule="auto"/>
        <w:rPr>
          <w:rFonts w:cs="Arial"/>
          <w:lang w:val="en-US" w:eastAsia="zh-CN"/>
        </w:rPr>
      </w:pPr>
      <w:r w:rsidRPr="00B84B0C">
        <w:rPr>
          <w:rFonts w:cs="Arial"/>
          <w:lang w:val="en-US" w:eastAsia="zh-CN"/>
        </w:rPr>
        <w:t xml:space="preserve">On July 23, </w:t>
      </w:r>
      <w:proofErr w:type="gramStart"/>
      <w:r w:rsidRPr="00B84B0C">
        <w:rPr>
          <w:rFonts w:cs="Arial"/>
          <w:lang w:val="en-US" w:eastAsia="zh-CN"/>
        </w:rPr>
        <w:t>2019</w:t>
      </w:r>
      <w:proofErr w:type="gramEnd"/>
      <w:r w:rsidRPr="00B84B0C">
        <w:rPr>
          <w:rFonts w:cs="Arial"/>
          <w:lang w:val="en-US" w:eastAsia="zh-CN"/>
        </w:rPr>
        <w:t xml:space="preserve"> BB </w:t>
      </w:r>
      <w:proofErr w:type="spellStart"/>
      <w:r w:rsidRPr="00B84B0C">
        <w:rPr>
          <w:rFonts w:cs="Arial"/>
          <w:lang w:val="en-US" w:eastAsia="zh-CN"/>
        </w:rPr>
        <w:t>Seguros</w:t>
      </w:r>
      <w:proofErr w:type="spellEnd"/>
      <w:r w:rsidRPr="00B84B0C">
        <w:rPr>
          <w:rFonts w:cs="Arial"/>
          <w:lang w:val="en-US" w:eastAsia="zh-CN"/>
        </w:rPr>
        <w:t xml:space="preserve"> sold all the shares held in IRB-</w:t>
      </w:r>
      <w:proofErr w:type="spellStart"/>
      <w:r w:rsidRPr="00B84B0C">
        <w:rPr>
          <w:rFonts w:cs="Arial"/>
          <w:lang w:val="en-US" w:eastAsia="zh-CN"/>
        </w:rPr>
        <w:t>Brasil</w:t>
      </w:r>
      <w:proofErr w:type="spellEnd"/>
      <w:r w:rsidRPr="00B84B0C">
        <w:rPr>
          <w:rFonts w:cs="Arial"/>
          <w:lang w:val="en-US" w:eastAsia="zh-CN"/>
        </w:rPr>
        <w:t xml:space="preserve"> </w:t>
      </w:r>
      <w:proofErr w:type="spellStart"/>
      <w:r w:rsidRPr="00B84B0C">
        <w:rPr>
          <w:rFonts w:cs="Arial"/>
          <w:lang w:val="en-US" w:eastAsia="zh-CN"/>
        </w:rPr>
        <w:t>Resseguros</w:t>
      </w:r>
      <w:proofErr w:type="spellEnd"/>
      <w:r w:rsidRPr="00B84B0C">
        <w:rPr>
          <w:rFonts w:cs="Arial"/>
          <w:lang w:val="en-US" w:eastAsia="zh-CN"/>
        </w:rPr>
        <w:t xml:space="preserve"> S.A, as per Note 2.a.</w:t>
      </w:r>
    </w:p>
    <w:p w14:paraId="689B6789" w14:textId="77777777" w:rsidR="00736E78" w:rsidRPr="00B84B0C" w:rsidRDefault="00736E78" w:rsidP="00736E78">
      <w:pPr>
        <w:pStyle w:val="07-Legenda"/>
        <w:spacing w:before="0"/>
        <w:rPr>
          <w:rFonts w:cs="Arial"/>
          <w:lang w:val="en-US"/>
        </w:rPr>
        <w:sectPr w:rsidR="00736E78" w:rsidRPr="00B84B0C" w:rsidSect="00076CE6">
          <w:headerReference w:type="even" r:id="rId22"/>
          <w:headerReference w:type="default" r:id="rId23"/>
          <w:footerReference w:type="default" r:id="rId24"/>
          <w:headerReference w:type="first" r:id="rId25"/>
          <w:footerReference w:type="first" r:id="rId26"/>
          <w:type w:val="oddPage"/>
          <w:pgSz w:w="16838" w:h="11906" w:orient="landscape" w:code="9"/>
          <w:pgMar w:top="1134" w:right="1134" w:bottom="1134" w:left="851" w:header="851" w:footer="284" w:gutter="0"/>
          <w:cols w:space="708"/>
          <w:titlePg/>
          <w:docGrid w:linePitch="360"/>
        </w:sectPr>
      </w:pPr>
    </w:p>
    <w:p w14:paraId="2CDFEB2E" w14:textId="77777777" w:rsidR="00736E78" w:rsidRPr="00B84B0C" w:rsidRDefault="00736E78" w:rsidP="00736E78">
      <w:pPr>
        <w:pStyle w:val="01-TtulodeNota"/>
        <w:spacing w:before="0" w:after="0"/>
        <w:jc w:val="left"/>
        <w:rPr>
          <w:rFonts w:cs="Arial"/>
          <w:color w:val="1F4E79" w:themeColor="accent1" w:themeShade="80"/>
          <w:lang w:val="en-US"/>
        </w:rPr>
      </w:pPr>
      <w:r w:rsidRPr="00B84B0C">
        <w:rPr>
          <w:rFonts w:cs="Arial"/>
          <w:color w:val="1F4E79" w:themeColor="accent1" w:themeShade="80"/>
          <w:lang w:val="en-US"/>
        </w:rPr>
        <w:lastRenderedPageBreak/>
        <w:t xml:space="preserve">d) </w:t>
      </w:r>
      <w:proofErr w:type="spellStart"/>
      <w:r w:rsidRPr="00B84B0C">
        <w:rPr>
          <w:rFonts w:cs="Arial"/>
          <w:color w:val="1F4E79" w:themeColor="accent1" w:themeShade="80"/>
          <w:lang w:val="en-US"/>
        </w:rPr>
        <w:t>Summarised</w:t>
      </w:r>
      <w:proofErr w:type="spellEnd"/>
      <w:r w:rsidRPr="00B84B0C">
        <w:rPr>
          <w:rFonts w:cs="Arial"/>
          <w:color w:val="1F4E79" w:themeColor="accent1" w:themeShade="80"/>
          <w:lang w:val="en-US"/>
        </w:rPr>
        <w:t xml:space="preserve"> Income Information of Investments in Accordance with International Financial Report Standards </w:t>
      </w:r>
    </w:p>
    <w:p w14:paraId="254E1995" w14:textId="77777777" w:rsidR="00736E78" w:rsidRPr="00B84B0C" w:rsidRDefault="00736E78" w:rsidP="00736E78">
      <w:pPr>
        <w:spacing w:after="0" w:line="240" w:lineRule="auto"/>
        <w:rPr>
          <w:rFonts w:eastAsia="Times New Roman" w:cs="Arial"/>
          <w:b/>
          <w:color w:val="1F4E79" w:themeColor="accent1" w:themeShade="80"/>
          <w:spacing w:val="-2"/>
          <w:sz w:val="20"/>
          <w:szCs w:val="20"/>
          <w:lang w:val="en-US" w:eastAsia="pt-BR"/>
        </w:rPr>
      </w:pPr>
    </w:p>
    <w:p w14:paraId="403822C0" w14:textId="77777777" w:rsidR="00736E78" w:rsidRPr="00B84B0C" w:rsidRDefault="00736E78" w:rsidP="00736E78">
      <w:pPr>
        <w:spacing w:after="0" w:line="240" w:lineRule="auto"/>
        <w:jc w:val="both"/>
        <w:rPr>
          <w:rFonts w:eastAsia="Times New Roman" w:cs="Arial"/>
          <w:bCs/>
          <w:spacing w:val="-2"/>
          <w:szCs w:val="18"/>
          <w:lang w:val="en-US" w:eastAsia="pt-BR"/>
        </w:rPr>
      </w:pPr>
      <w:r w:rsidRPr="00B84B0C">
        <w:rPr>
          <w:rFonts w:eastAsia="Times New Roman" w:cs="Arial"/>
          <w:bCs/>
          <w:spacing w:val="-2"/>
          <w:szCs w:val="18"/>
          <w:lang w:val="en-US" w:eastAsia="pt-BR"/>
        </w:rPr>
        <w:t>The amounts initially presented refer to the investee's financial statements in accordance with the respective accounting practices. Adjustments to IFRS compliance are included in business combination adjustments.</w:t>
      </w:r>
    </w:p>
    <w:p w14:paraId="4499ED60" w14:textId="77777777" w:rsidR="00736E78" w:rsidRPr="00B84B0C" w:rsidRDefault="00736E78" w:rsidP="00736E78">
      <w:pPr>
        <w:spacing w:after="0" w:line="240" w:lineRule="auto"/>
        <w:rPr>
          <w:rFonts w:eastAsia="Times New Roman" w:cs="Arial"/>
          <w:b/>
          <w:color w:val="1F4E79" w:themeColor="accent1" w:themeShade="80"/>
          <w:spacing w:val="-2"/>
          <w:sz w:val="20"/>
          <w:szCs w:val="20"/>
          <w:lang w:val="en-US" w:eastAsia="pt-BR"/>
        </w:rPr>
      </w:pPr>
    </w:p>
    <w:p w14:paraId="60345C9B" w14:textId="77777777" w:rsidR="00736E78" w:rsidRPr="00B84B0C" w:rsidRDefault="00736E78" w:rsidP="00736E78">
      <w:pPr>
        <w:spacing w:after="0" w:line="240" w:lineRule="auto"/>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t>d.1) BB Mapfre Participações</w:t>
      </w:r>
    </w:p>
    <w:p w14:paraId="53D19341" w14:textId="77777777" w:rsidR="00736E78" w:rsidRPr="00B84B0C" w:rsidRDefault="00736E78" w:rsidP="00736E78">
      <w:pPr>
        <w:pStyle w:val="06-Rmil"/>
        <w:ind w:right="-2"/>
        <w:rPr>
          <w:rFonts w:cs="Arial"/>
        </w:rPr>
      </w:pPr>
      <w:r w:rsidRPr="00B84B0C">
        <w:rPr>
          <w:rFonts w:cs="Arial"/>
        </w:rPr>
        <w:t>R$ </w:t>
      </w:r>
      <w:proofErr w:type="spellStart"/>
      <w:r w:rsidRPr="00B84B0C">
        <w:rPr>
          <w:rFonts w:cs="Arial"/>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3749"/>
        <w:gridCol w:w="1927"/>
        <w:gridCol w:w="1927"/>
        <w:gridCol w:w="2036"/>
      </w:tblGrid>
      <w:tr w:rsidR="00736E78" w:rsidRPr="00B84B0C" w14:paraId="2E1C2554" w14:textId="77777777" w:rsidTr="00736E78">
        <w:trPr>
          <w:cnfStyle w:val="100000000000" w:firstRow="1" w:lastRow="0" w:firstColumn="0" w:lastColumn="0" w:oddVBand="0" w:evenVBand="0" w:oddHBand="0" w:evenHBand="0" w:firstRowFirstColumn="0" w:firstRowLastColumn="0" w:lastRowFirstColumn="0" w:lastRowLastColumn="0"/>
          <w:trHeight w:hRule="exact" w:val="467"/>
        </w:trPr>
        <w:tc>
          <w:tcPr>
            <w:cnfStyle w:val="001000000000" w:firstRow="0" w:lastRow="0" w:firstColumn="1" w:lastColumn="0" w:oddVBand="0" w:evenVBand="0" w:oddHBand="0" w:evenHBand="0" w:firstRowFirstColumn="0" w:firstRowLastColumn="0" w:lastRowFirstColumn="0" w:lastRowLastColumn="0"/>
            <w:tcW w:w="3749" w:type="dxa"/>
            <w:tcBorders>
              <w:top w:val="single" w:sz="2" w:space="0" w:color="8EAADB" w:themeColor="accent5" w:themeTint="99"/>
              <w:bottom w:val="single" w:sz="2" w:space="0" w:color="8EAADB" w:themeColor="accent5" w:themeTint="99"/>
            </w:tcBorders>
            <w:vAlign w:val="center"/>
            <w:hideMark/>
          </w:tcPr>
          <w:p w14:paraId="2A0B0280" w14:textId="77777777" w:rsidR="00736E78" w:rsidRPr="00B84B0C" w:rsidRDefault="00736E78" w:rsidP="00736E78">
            <w:pPr>
              <w:jc w:val="center"/>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2020</w:t>
            </w:r>
          </w:p>
        </w:tc>
        <w:tc>
          <w:tcPr>
            <w:tcW w:w="1927" w:type="dxa"/>
            <w:tcBorders>
              <w:top w:val="single" w:sz="2" w:space="0" w:color="8EAADB" w:themeColor="accent5" w:themeTint="99"/>
              <w:bottom w:val="single" w:sz="2" w:space="0" w:color="8EAADB" w:themeColor="accent5" w:themeTint="99"/>
            </w:tcBorders>
            <w:vAlign w:val="center"/>
            <w:hideMark/>
          </w:tcPr>
          <w:p w14:paraId="036BB2D5"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Aliança do Brasil Seguros</w:t>
            </w:r>
          </w:p>
        </w:tc>
        <w:tc>
          <w:tcPr>
            <w:tcW w:w="1927" w:type="dxa"/>
            <w:tcBorders>
              <w:top w:val="single" w:sz="2" w:space="0" w:color="8EAADB" w:themeColor="accent5" w:themeTint="99"/>
              <w:bottom w:val="single" w:sz="2" w:space="0" w:color="8EAADB" w:themeColor="accent5" w:themeTint="99"/>
            </w:tcBorders>
            <w:vAlign w:val="center"/>
            <w:hideMark/>
          </w:tcPr>
          <w:p w14:paraId="55B8500C"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Brasilseg</w:t>
            </w:r>
            <w:proofErr w:type="spellEnd"/>
            <w:r w:rsidRPr="00B84B0C">
              <w:rPr>
                <w:rFonts w:cs="Arial"/>
                <w:sz w:val="14"/>
                <w:szCs w:val="14"/>
              </w:rPr>
              <w:t xml:space="preserve"> Companhia de Seguros</w:t>
            </w:r>
          </w:p>
        </w:tc>
        <w:tc>
          <w:tcPr>
            <w:tcW w:w="2036" w:type="dxa"/>
            <w:tcBorders>
              <w:top w:val="single" w:sz="2" w:space="0" w:color="8EAADB" w:themeColor="accent5" w:themeTint="99"/>
              <w:bottom w:val="single" w:sz="2" w:space="0" w:color="8EAADB" w:themeColor="accent5" w:themeTint="99"/>
            </w:tcBorders>
            <w:vAlign w:val="center"/>
            <w:hideMark/>
          </w:tcPr>
          <w:p w14:paraId="1AE3BED1"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BB Mapfre </w:t>
            </w:r>
            <w:proofErr w:type="gramStart"/>
            <w:r w:rsidRPr="00B84B0C">
              <w:rPr>
                <w:rFonts w:cs="Arial"/>
                <w:sz w:val="14"/>
                <w:szCs w:val="14"/>
              </w:rPr>
              <w:t>Participações</w:t>
            </w:r>
            <w:r w:rsidRPr="00B84B0C">
              <w:rPr>
                <w:rFonts w:cs="Arial"/>
                <w:sz w:val="14"/>
                <w:szCs w:val="14"/>
                <w:vertAlign w:val="superscript"/>
              </w:rPr>
              <w:t>(</w:t>
            </w:r>
            <w:proofErr w:type="gramEnd"/>
            <w:r w:rsidRPr="00B84B0C">
              <w:rPr>
                <w:rFonts w:cs="Arial"/>
                <w:sz w:val="14"/>
                <w:szCs w:val="14"/>
                <w:vertAlign w:val="superscript"/>
              </w:rPr>
              <w:t>1)</w:t>
            </w:r>
          </w:p>
        </w:tc>
      </w:tr>
      <w:tr w:rsidR="00736E78" w:rsidRPr="00B84B0C" w14:paraId="66EA94FD"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single" w:sz="2" w:space="0" w:color="8EAADB" w:themeColor="accent5" w:themeTint="99"/>
              <w:left w:val="nil"/>
              <w:bottom w:val="nil"/>
              <w:right w:val="nil"/>
            </w:tcBorders>
            <w:hideMark/>
          </w:tcPr>
          <w:p w14:paraId="08D0D359" w14:textId="77777777" w:rsidR="00736E78" w:rsidRPr="00B84B0C" w:rsidRDefault="00736E78" w:rsidP="00736E78">
            <w:pPr>
              <w:rPr>
                <w:rFonts w:eastAsia="Times New Roman" w:cs="Arial"/>
                <w:bCs w:val="0"/>
                <w:color w:val="auto"/>
                <w:spacing w:val="-2"/>
                <w:sz w:val="14"/>
                <w:szCs w:val="18"/>
                <w:lang w:eastAsia="pt-BR"/>
              </w:rPr>
            </w:pPr>
            <w:r w:rsidRPr="00B84B0C">
              <w:rPr>
                <w:rFonts w:eastAsia="Times New Roman" w:cs="Arial"/>
                <w:bCs w:val="0"/>
                <w:color w:val="auto"/>
                <w:spacing w:val="-2"/>
                <w:sz w:val="14"/>
                <w:szCs w:val="18"/>
                <w:lang w:eastAsia="pt-BR"/>
              </w:rPr>
              <w:t xml:space="preserve">Income </w:t>
            </w:r>
          </w:p>
        </w:tc>
        <w:tc>
          <w:tcPr>
            <w:tcW w:w="1927" w:type="dxa"/>
            <w:tcBorders>
              <w:top w:val="single" w:sz="2" w:space="0" w:color="8EAADB" w:themeColor="accent5" w:themeTint="99"/>
              <w:left w:val="nil"/>
              <w:bottom w:val="nil"/>
              <w:right w:val="nil"/>
            </w:tcBorders>
            <w:hideMark/>
          </w:tcPr>
          <w:p w14:paraId="4E48A9EA"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6"/>
              </w:rPr>
            </w:pPr>
            <w:r w:rsidRPr="00B84B0C">
              <w:rPr>
                <w:rFonts w:cs="Arial"/>
                <w:b/>
                <w:bCs/>
                <w:sz w:val="14"/>
                <w:szCs w:val="14"/>
              </w:rPr>
              <w:t xml:space="preserve"> 129,324 </w:t>
            </w:r>
          </w:p>
        </w:tc>
        <w:tc>
          <w:tcPr>
            <w:tcW w:w="1927" w:type="dxa"/>
            <w:tcBorders>
              <w:top w:val="single" w:sz="2" w:space="0" w:color="8EAADB" w:themeColor="accent5" w:themeTint="99"/>
              <w:left w:val="nil"/>
              <w:bottom w:val="nil"/>
              <w:right w:val="nil"/>
            </w:tcBorders>
            <w:hideMark/>
          </w:tcPr>
          <w:p w14:paraId="54AB52C5"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6"/>
              </w:rPr>
            </w:pPr>
            <w:r w:rsidRPr="00B84B0C">
              <w:rPr>
                <w:rFonts w:cs="Arial"/>
                <w:b/>
                <w:bCs/>
                <w:sz w:val="14"/>
                <w:szCs w:val="14"/>
              </w:rPr>
              <w:t xml:space="preserve"> 2,029,090 </w:t>
            </w:r>
          </w:p>
        </w:tc>
        <w:tc>
          <w:tcPr>
            <w:tcW w:w="2036" w:type="dxa"/>
            <w:tcBorders>
              <w:top w:val="single" w:sz="2" w:space="0" w:color="8EAADB" w:themeColor="accent5" w:themeTint="99"/>
              <w:left w:val="nil"/>
              <w:bottom w:val="nil"/>
              <w:right w:val="nil"/>
            </w:tcBorders>
            <w:hideMark/>
          </w:tcPr>
          <w:p w14:paraId="4B93247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6"/>
              </w:rPr>
            </w:pPr>
            <w:r w:rsidRPr="00B84B0C">
              <w:rPr>
                <w:rFonts w:cs="Arial"/>
                <w:b/>
                <w:bCs/>
                <w:sz w:val="14"/>
                <w:szCs w:val="14"/>
              </w:rPr>
              <w:t xml:space="preserve"> 2,158,414 </w:t>
            </w:r>
          </w:p>
        </w:tc>
      </w:tr>
      <w:tr w:rsidR="00736E78" w:rsidRPr="00B84B0C" w14:paraId="4687E927"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50628ABF" w14:textId="77777777" w:rsidR="00736E78" w:rsidRPr="00B84B0C" w:rsidRDefault="00736E78" w:rsidP="00736E78">
            <w:pPr>
              <w:rPr>
                <w:rFonts w:eastAsia="Times New Roman" w:cs="Arial"/>
                <w:b w:val="0"/>
                <w:bCs w:val="0"/>
                <w:color w:val="auto"/>
                <w:spacing w:val="-2"/>
                <w:sz w:val="14"/>
                <w:szCs w:val="18"/>
                <w:lang w:eastAsia="pt-BR"/>
              </w:rPr>
            </w:pPr>
            <w:proofErr w:type="spellStart"/>
            <w:r w:rsidRPr="00B84B0C">
              <w:rPr>
                <w:rFonts w:eastAsia="Times New Roman" w:cs="Arial"/>
                <w:b w:val="0"/>
                <w:bCs w:val="0"/>
                <w:color w:val="auto"/>
                <w:spacing w:val="-2"/>
                <w:sz w:val="14"/>
                <w:szCs w:val="18"/>
                <w:lang w:eastAsia="pt-BR"/>
              </w:rPr>
              <w:t>Interest</w:t>
            </w:r>
            <w:proofErr w:type="spellEnd"/>
            <w:r w:rsidRPr="00B84B0C">
              <w:rPr>
                <w:rFonts w:eastAsia="Times New Roman" w:cs="Arial"/>
                <w:b w:val="0"/>
                <w:bCs w:val="0"/>
                <w:color w:val="auto"/>
                <w:spacing w:val="-2"/>
                <w:sz w:val="14"/>
                <w:szCs w:val="18"/>
                <w:lang w:eastAsia="pt-BR"/>
              </w:rPr>
              <w:t xml:space="preserve"> income</w:t>
            </w:r>
          </w:p>
        </w:tc>
        <w:tc>
          <w:tcPr>
            <w:tcW w:w="1927" w:type="dxa"/>
            <w:tcBorders>
              <w:top w:val="nil"/>
              <w:left w:val="nil"/>
              <w:bottom w:val="nil"/>
              <w:right w:val="nil"/>
            </w:tcBorders>
            <w:hideMark/>
          </w:tcPr>
          <w:p w14:paraId="6F719D3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 xml:space="preserve"> 3,174 </w:t>
            </w:r>
          </w:p>
        </w:tc>
        <w:tc>
          <w:tcPr>
            <w:tcW w:w="1927" w:type="dxa"/>
            <w:tcBorders>
              <w:top w:val="nil"/>
              <w:left w:val="nil"/>
              <w:bottom w:val="nil"/>
              <w:right w:val="nil"/>
            </w:tcBorders>
            <w:hideMark/>
          </w:tcPr>
          <w:p w14:paraId="74AA6E3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 xml:space="preserve"> 41,359 </w:t>
            </w:r>
          </w:p>
        </w:tc>
        <w:tc>
          <w:tcPr>
            <w:tcW w:w="2036" w:type="dxa"/>
            <w:tcBorders>
              <w:top w:val="nil"/>
              <w:left w:val="nil"/>
              <w:bottom w:val="nil"/>
              <w:right w:val="nil"/>
            </w:tcBorders>
            <w:hideMark/>
          </w:tcPr>
          <w:p w14:paraId="49546A89"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 xml:space="preserve"> 44,533 </w:t>
            </w:r>
          </w:p>
        </w:tc>
      </w:tr>
      <w:tr w:rsidR="00736E78" w:rsidRPr="00B84B0C" w14:paraId="31E79381"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67085FC6" w14:textId="77777777" w:rsidR="00736E78" w:rsidRPr="00B84B0C" w:rsidRDefault="00736E78" w:rsidP="00736E78">
            <w:pPr>
              <w:rPr>
                <w:rFonts w:eastAsia="Times New Roman" w:cs="Arial"/>
                <w:b w:val="0"/>
                <w:bCs w:val="0"/>
                <w:color w:val="auto"/>
                <w:spacing w:val="-2"/>
                <w:sz w:val="14"/>
                <w:szCs w:val="18"/>
                <w:lang w:eastAsia="pt-BR"/>
              </w:rPr>
            </w:pPr>
            <w:proofErr w:type="spellStart"/>
            <w:r w:rsidRPr="00B84B0C">
              <w:rPr>
                <w:rFonts w:eastAsia="Times New Roman" w:cs="Arial"/>
                <w:b w:val="0"/>
                <w:bCs w:val="0"/>
                <w:color w:val="auto"/>
                <w:spacing w:val="-2"/>
                <w:sz w:val="14"/>
                <w:szCs w:val="18"/>
                <w:lang w:eastAsia="pt-BR"/>
              </w:rPr>
              <w:t>Interest</w:t>
            </w:r>
            <w:proofErr w:type="spellEnd"/>
            <w:r w:rsidRPr="00B84B0C">
              <w:rPr>
                <w:rFonts w:eastAsia="Times New Roman" w:cs="Arial"/>
                <w:b w:val="0"/>
                <w:bCs w:val="0"/>
                <w:color w:val="auto"/>
                <w:spacing w:val="-2"/>
                <w:sz w:val="14"/>
                <w:szCs w:val="18"/>
                <w:lang w:eastAsia="pt-BR"/>
              </w:rPr>
              <w:t xml:space="preserve"> </w:t>
            </w:r>
            <w:proofErr w:type="spellStart"/>
            <w:r w:rsidRPr="00B84B0C">
              <w:rPr>
                <w:rFonts w:eastAsia="Times New Roman" w:cs="Arial"/>
                <w:b w:val="0"/>
                <w:bCs w:val="0"/>
                <w:color w:val="auto"/>
                <w:spacing w:val="-2"/>
                <w:sz w:val="14"/>
                <w:szCs w:val="18"/>
                <w:lang w:eastAsia="pt-BR"/>
              </w:rPr>
              <w:t>expense</w:t>
            </w:r>
            <w:proofErr w:type="spellEnd"/>
          </w:p>
        </w:tc>
        <w:tc>
          <w:tcPr>
            <w:tcW w:w="1927" w:type="dxa"/>
            <w:tcBorders>
              <w:top w:val="nil"/>
              <w:left w:val="nil"/>
              <w:bottom w:val="nil"/>
              <w:right w:val="nil"/>
            </w:tcBorders>
            <w:hideMark/>
          </w:tcPr>
          <w:p w14:paraId="474F0A44"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 xml:space="preserve"> 1,249 </w:t>
            </w:r>
          </w:p>
        </w:tc>
        <w:tc>
          <w:tcPr>
            <w:tcW w:w="1927" w:type="dxa"/>
            <w:tcBorders>
              <w:top w:val="nil"/>
              <w:left w:val="nil"/>
              <w:bottom w:val="nil"/>
              <w:right w:val="nil"/>
            </w:tcBorders>
            <w:hideMark/>
          </w:tcPr>
          <w:p w14:paraId="3E49BCA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 xml:space="preserve"> (2,619)</w:t>
            </w:r>
          </w:p>
        </w:tc>
        <w:tc>
          <w:tcPr>
            <w:tcW w:w="2036" w:type="dxa"/>
            <w:tcBorders>
              <w:top w:val="nil"/>
              <w:left w:val="nil"/>
              <w:bottom w:val="nil"/>
              <w:right w:val="nil"/>
            </w:tcBorders>
            <w:hideMark/>
          </w:tcPr>
          <w:p w14:paraId="2DD7265D"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 xml:space="preserve"> (1,370)</w:t>
            </w:r>
          </w:p>
        </w:tc>
      </w:tr>
      <w:tr w:rsidR="00736E78" w:rsidRPr="00B84B0C" w14:paraId="44E47447"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1C128DEA" w14:textId="77777777" w:rsidR="00736E78" w:rsidRPr="00B84B0C" w:rsidRDefault="00736E78" w:rsidP="00736E78">
            <w:pPr>
              <w:rPr>
                <w:rFonts w:eastAsia="Times New Roman" w:cs="Arial"/>
                <w:b w:val="0"/>
                <w:bCs w:val="0"/>
                <w:color w:val="auto"/>
                <w:spacing w:val="-2"/>
                <w:sz w:val="14"/>
                <w:szCs w:val="18"/>
                <w:lang w:eastAsia="pt-BR"/>
              </w:rPr>
            </w:pPr>
            <w:proofErr w:type="spellStart"/>
            <w:r w:rsidRPr="00B84B0C">
              <w:rPr>
                <w:rFonts w:eastAsia="Times New Roman" w:cs="Arial"/>
                <w:b w:val="0"/>
                <w:bCs w:val="0"/>
                <w:color w:val="auto"/>
                <w:spacing w:val="-2"/>
                <w:sz w:val="14"/>
                <w:szCs w:val="18"/>
                <w:lang w:eastAsia="pt-BR"/>
              </w:rPr>
              <w:t>Depreciation</w:t>
            </w:r>
            <w:proofErr w:type="spellEnd"/>
            <w:r w:rsidRPr="00B84B0C">
              <w:rPr>
                <w:rFonts w:eastAsia="Times New Roman" w:cs="Arial"/>
                <w:b w:val="0"/>
                <w:bCs w:val="0"/>
                <w:color w:val="auto"/>
                <w:spacing w:val="-2"/>
                <w:sz w:val="14"/>
                <w:szCs w:val="18"/>
                <w:lang w:eastAsia="pt-BR"/>
              </w:rPr>
              <w:t xml:space="preserve"> </w:t>
            </w:r>
            <w:proofErr w:type="spellStart"/>
            <w:r w:rsidRPr="00B84B0C">
              <w:rPr>
                <w:rFonts w:eastAsia="Times New Roman" w:cs="Arial"/>
                <w:b w:val="0"/>
                <w:bCs w:val="0"/>
                <w:color w:val="auto"/>
                <w:spacing w:val="-2"/>
                <w:sz w:val="14"/>
                <w:szCs w:val="18"/>
                <w:lang w:eastAsia="pt-BR"/>
              </w:rPr>
              <w:t>and</w:t>
            </w:r>
            <w:proofErr w:type="spellEnd"/>
            <w:r w:rsidRPr="00B84B0C">
              <w:rPr>
                <w:rFonts w:eastAsia="Times New Roman" w:cs="Arial"/>
                <w:b w:val="0"/>
                <w:bCs w:val="0"/>
                <w:color w:val="auto"/>
                <w:spacing w:val="-2"/>
                <w:sz w:val="14"/>
                <w:szCs w:val="18"/>
                <w:lang w:eastAsia="pt-BR"/>
              </w:rPr>
              <w:t xml:space="preserve"> </w:t>
            </w:r>
            <w:proofErr w:type="spellStart"/>
            <w:r w:rsidRPr="00B84B0C">
              <w:rPr>
                <w:rFonts w:eastAsia="Times New Roman" w:cs="Arial"/>
                <w:b w:val="0"/>
                <w:bCs w:val="0"/>
                <w:color w:val="auto"/>
                <w:spacing w:val="-2"/>
                <w:sz w:val="14"/>
                <w:szCs w:val="18"/>
                <w:lang w:eastAsia="pt-BR"/>
              </w:rPr>
              <w:t>amortization</w:t>
            </w:r>
            <w:proofErr w:type="spellEnd"/>
          </w:p>
        </w:tc>
        <w:tc>
          <w:tcPr>
            <w:tcW w:w="1927" w:type="dxa"/>
            <w:tcBorders>
              <w:top w:val="nil"/>
              <w:left w:val="nil"/>
              <w:bottom w:val="nil"/>
              <w:right w:val="nil"/>
            </w:tcBorders>
            <w:hideMark/>
          </w:tcPr>
          <w:p w14:paraId="0EDAF98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 xml:space="preserve"> (1,557)</w:t>
            </w:r>
          </w:p>
        </w:tc>
        <w:tc>
          <w:tcPr>
            <w:tcW w:w="1927" w:type="dxa"/>
            <w:tcBorders>
              <w:top w:val="nil"/>
              <w:left w:val="nil"/>
              <w:bottom w:val="nil"/>
              <w:right w:val="nil"/>
            </w:tcBorders>
            <w:hideMark/>
          </w:tcPr>
          <w:p w14:paraId="01A2F69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 xml:space="preserve"> (10,153)</w:t>
            </w:r>
          </w:p>
        </w:tc>
        <w:tc>
          <w:tcPr>
            <w:tcW w:w="2036" w:type="dxa"/>
            <w:tcBorders>
              <w:top w:val="nil"/>
              <w:left w:val="nil"/>
              <w:bottom w:val="nil"/>
              <w:right w:val="nil"/>
            </w:tcBorders>
            <w:hideMark/>
          </w:tcPr>
          <w:p w14:paraId="63DA3307"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 xml:space="preserve"> (11,710)</w:t>
            </w:r>
          </w:p>
        </w:tc>
      </w:tr>
      <w:tr w:rsidR="00736E78" w:rsidRPr="00B84B0C" w14:paraId="1AA5F395"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0B4D99D8" w14:textId="77777777" w:rsidR="00736E78" w:rsidRPr="00B84B0C" w:rsidRDefault="00736E78" w:rsidP="00736E78">
            <w:pPr>
              <w:rPr>
                <w:rFonts w:eastAsia="Times New Roman" w:cs="Arial"/>
                <w:b w:val="0"/>
                <w:bCs w:val="0"/>
                <w:color w:val="auto"/>
                <w:spacing w:val="-2"/>
                <w:sz w:val="14"/>
                <w:szCs w:val="18"/>
                <w:lang w:val="en-US" w:eastAsia="pt-BR"/>
              </w:rPr>
            </w:pPr>
            <w:r w:rsidRPr="00B84B0C">
              <w:rPr>
                <w:rFonts w:eastAsia="Times New Roman" w:cs="Arial"/>
                <w:b w:val="0"/>
                <w:bCs w:val="0"/>
                <w:color w:val="auto"/>
                <w:spacing w:val="-2"/>
                <w:sz w:val="14"/>
                <w:szCs w:val="18"/>
                <w:lang w:val="en-US" w:eastAsia="pt-BR"/>
              </w:rPr>
              <w:t xml:space="preserve">Income tax and social contribution </w:t>
            </w:r>
          </w:p>
        </w:tc>
        <w:tc>
          <w:tcPr>
            <w:tcW w:w="1927" w:type="dxa"/>
            <w:tcBorders>
              <w:top w:val="nil"/>
              <w:left w:val="nil"/>
              <w:bottom w:val="nil"/>
              <w:right w:val="nil"/>
            </w:tcBorders>
            <w:hideMark/>
          </w:tcPr>
          <w:p w14:paraId="3B13A2F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lang w:val="en-US"/>
              </w:rPr>
              <w:t xml:space="preserve"> </w:t>
            </w:r>
            <w:r w:rsidRPr="00B84B0C">
              <w:rPr>
                <w:rFonts w:cs="Arial"/>
                <w:sz w:val="14"/>
                <w:szCs w:val="14"/>
              </w:rPr>
              <w:t>(9,300)</w:t>
            </w:r>
          </w:p>
        </w:tc>
        <w:tc>
          <w:tcPr>
            <w:tcW w:w="1927" w:type="dxa"/>
            <w:tcBorders>
              <w:top w:val="nil"/>
              <w:left w:val="nil"/>
              <w:bottom w:val="nil"/>
              <w:right w:val="nil"/>
            </w:tcBorders>
            <w:hideMark/>
          </w:tcPr>
          <w:p w14:paraId="7B600A70"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 xml:space="preserve"> (124,192)</w:t>
            </w:r>
          </w:p>
        </w:tc>
        <w:tc>
          <w:tcPr>
            <w:tcW w:w="2036" w:type="dxa"/>
            <w:tcBorders>
              <w:top w:val="nil"/>
              <w:left w:val="nil"/>
              <w:bottom w:val="nil"/>
              <w:right w:val="nil"/>
            </w:tcBorders>
            <w:hideMark/>
          </w:tcPr>
          <w:p w14:paraId="2E7D5EAE"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 xml:space="preserve"> (132,707)</w:t>
            </w:r>
          </w:p>
        </w:tc>
      </w:tr>
      <w:tr w:rsidR="00736E78" w:rsidRPr="00B84B0C" w14:paraId="656FC939"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6B7E61B6" w14:textId="77777777" w:rsidR="00736E78" w:rsidRPr="00B84B0C" w:rsidRDefault="00736E78" w:rsidP="00736E78">
            <w:pPr>
              <w:rPr>
                <w:rFonts w:eastAsia="Times New Roman" w:cs="Arial"/>
                <w:bCs w:val="0"/>
                <w:color w:val="auto"/>
                <w:spacing w:val="-2"/>
                <w:sz w:val="14"/>
                <w:szCs w:val="18"/>
                <w:lang w:val="en-US" w:eastAsia="pt-BR"/>
              </w:rPr>
            </w:pPr>
            <w:r w:rsidRPr="00B84B0C">
              <w:rPr>
                <w:rFonts w:eastAsia="Times New Roman" w:cs="Arial"/>
                <w:bCs w:val="0"/>
                <w:color w:val="auto"/>
                <w:spacing w:val="-2"/>
                <w:sz w:val="14"/>
                <w:szCs w:val="18"/>
                <w:lang w:val="en-US" w:eastAsia="pt-BR"/>
              </w:rPr>
              <w:t>Net income for the period</w:t>
            </w:r>
          </w:p>
        </w:tc>
        <w:tc>
          <w:tcPr>
            <w:tcW w:w="1927" w:type="dxa"/>
            <w:tcBorders>
              <w:top w:val="nil"/>
              <w:left w:val="nil"/>
              <w:bottom w:val="nil"/>
              <w:right w:val="nil"/>
            </w:tcBorders>
            <w:hideMark/>
          </w:tcPr>
          <w:p w14:paraId="6A776100"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lang w:val="en-US"/>
              </w:rPr>
              <w:t xml:space="preserve"> </w:t>
            </w:r>
            <w:r w:rsidRPr="00B84B0C">
              <w:rPr>
                <w:rFonts w:cs="Arial"/>
                <w:b/>
                <w:bCs/>
                <w:sz w:val="14"/>
                <w:szCs w:val="14"/>
              </w:rPr>
              <w:t xml:space="preserve">14,001 </w:t>
            </w:r>
          </w:p>
        </w:tc>
        <w:tc>
          <w:tcPr>
            <w:tcW w:w="1927" w:type="dxa"/>
            <w:tcBorders>
              <w:top w:val="nil"/>
              <w:left w:val="nil"/>
              <w:bottom w:val="nil"/>
              <w:right w:val="nil"/>
            </w:tcBorders>
            <w:hideMark/>
          </w:tcPr>
          <w:p w14:paraId="00D12DC5"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 xml:space="preserve"> 315,625 </w:t>
            </w:r>
          </w:p>
        </w:tc>
        <w:tc>
          <w:tcPr>
            <w:tcW w:w="2036" w:type="dxa"/>
            <w:tcBorders>
              <w:top w:val="nil"/>
              <w:left w:val="nil"/>
              <w:bottom w:val="nil"/>
              <w:right w:val="nil"/>
            </w:tcBorders>
            <w:hideMark/>
          </w:tcPr>
          <w:p w14:paraId="73D5A033"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 xml:space="preserve"> 328,312 </w:t>
            </w:r>
          </w:p>
        </w:tc>
      </w:tr>
      <w:tr w:rsidR="00736E78" w:rsidRPr="00B84B0C" w14:paraId="07C27EB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0C878F77" w14:textId="77777777" w:rsidR="00736E78" w:rsidRPr="00B84B0C" w:rsidRDefault="00736E78" w:rsidP="00736E78">
            <w:pPr>
              <w:rPr>
                <w:rFonts w:eastAsia="Times New Roman" w:cs="Arial"/>
                <w:b w:val="0"/>
                <w:bCs w:val="0"/>
                <w:color w:val="auto"/>
                <w:spacing w:val="-2"/>
                <w:sz w:val="14"/>
                <w:szCs w:val="18"/>
                <w:lang w:eastAsia="pt-BR"/>
              </w:rPr>
            </w:pPr>
            <w:r w:rsidRPr="00B84B0C">
              <w:rPr>
                <w:rFonts w:eastAsia="Times New Roman" w:cs="Arial"/>
                <w:b w:val="0"/>
                <w:bCs w:val="0"/>
                <w:color w:val="auto"/>
                <w:spacing w:val="-2"/>
                <w:sz w:val="14"/>
                <w:szCs w:val="18"/>
                <w:lang w:eastAsia="pt-BR"/>
              </w:rPr>
              <w:t xml:space="preserve">Other </w:t>
            </w:r>
            <w:proofErr w:type="spellStart"/>
            <w:r w:rsidRPr="00B84B0C">
              <w:rPr>
                <w:rFonts w:eastAsia="Times New Roman" w:cs="Arial"/>
                <w:b w:val="0"/>
                <w:bCs w:val="0"/>
                <w:color w:val="auto"/>
                <w:spacing w:val="-2"/>
                <w:sz w:val="14"/>
                <w:szCs w:val="18"/>
                <w:lang w:eastAsia="pt-BR"/>
              </w:rPr>
              <w:t>comprehensive</w:t>
            </w:r>
            <w:proofErr w:type="spellEnd"/>
            <w:r w:rsidRPr="00B84B0C">
              <w:rPr>
                <w:rFonts w:eastAsia="Times New Roman" w:cs="Arial"/>
                <w:b w:val="0"/>
                <w:bCs w:val="0"/>
                <w:color w:val="auto"/>
                <w:spacing w:val="-2"/>
                <w:sz w:val="14"/>
                <w:szCs w:val="18"/>
                <w:lang w:eastAsia="pt-BR"/>
              </w:rPr>
              <w:t xml:space="preserve"> income</w:t>
            </w:r>
          </w:p>
        </w:tc>
        <w:tc>
          <w:tcPr>
            <w:tcW w:w="1927" w:type="dxa"/>
            <w:tcBorders>
              <w:top w:val="nil"/>
              <w:left w:val="nil"/>
              <w:bottom w:val="nil"/>
              <w:right w:val="nil"/>
            </w:tcBorders>
            <w:hideMark/>
          </w:tcPr>
          <w:p w14:paraId="47977018"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 xml:space="preserve"> (14)</w:t>
            </w:r>
          </w:p>
        </w:tc>
        <w:tc>
          <w:tcPr>
            <w:tcW w:w="1927" w:type="dxa"/>
            <w:tcBorders>
              <w:top w:val="nil"/>
              <w:left w:val="nil"/>
              <w:bottom w:val="nil"/>
              <w:right w:val="nil"/>
            </w:tcBorders>
            <w:hideMark/>
          </w:tcPr>
          <w:p w14:paraId="17B4147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 xml:space="preserve"> (15,512)</w:t>
            </w:r>
          </w:p>
        </w:tc>
        <w:tc>
          <w:tcPr>
            <w:tcW w:w="2036" w:type="dxa"/>
            <w:tcBorders>
              <w:top w:val="nil"/>
              <w:left w:val="nil"/>
              <w:bottom w:val="nil"/>
              <w:right w:val="nil"/>
            </w:tcBorders>
            <w:hideMark/>
          </w:tcPr>
          <w:p w14:paraId="728231EE"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 xml:space="preserve"> (31,052)</w:t>
            </w:r>
          </w:p>
        </w:tc>
      </w:tr>
      <w:tr w:rsidR="00736E78" w:rsidRPr="00B84B0C" w14:paraId="77FEFDF5"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4B83BA59" w14:textId="77777777" w:rsidR="00736E78" w:rsidRPr="00B84B0C" w:rsidRDefault="00736E78" w:rsidP="00736E78">
            <w:pPr>
              <w:rPr>
                <w:rFonts w:eastAsia="Times New Roman" w:cs="Arial"/>
                <w:bCs w:val="0"/>
                <w:color w:val="auto"/>
                <w:spacing w:val="-2"/>
                <w:sz w:val="14"/>
                <w:szCs w:val="18"/>
                <w:lang w:val="en-US" w:eastAsia="pt-BR"/>
              </w:rPr>
            </w:pPr>
            <w:r w:rsidRPr="00B84B0C">
              <w:rPr>
                <w:rFonts w:eastAsia="Times New Roman" w:cs="Arial"/>
                <w:bCs w:val="0"/>
                <w:color w:val="auto"/>
                <w:spacing w:val="-2"/>
                <w:sz w:val="14"/>
                <w:szCs w:val="18"/>
                <w:lang w:val="en-US" w:eastAsia="pt-BR"/>
              </w:rPr>
              <w:t>Comprehensive income in the period</w:t>
            </w:r>
          </w:p>
        </w:tc>
        <w:tc>
          <w:tcPr>
            <w:tcW w:w="1927" w:type="dxa"/>
            <w:tcBorders>
              <w:top w:val="nil"/>
              <w:left w:val="nil"/>
              <w:bottom w:val="nil"/>
              <w:right w:val="nil"/>
            </w:tcBorders>
            <w:hideMark/>
          </w:tcPr>
          <w:p w14:paraId="1790C4F2"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lang w:val="en-US"/>
              </w:rPr>
              <w:t xml:space="preserve"> </w:t>
            </w:r>
            <w:r w:rsidRPr="00B84B0C">
              <w:rPr>
                <w:rFonts w:cs="Arial"/>
                <w:b/>
                <w:bCs/>
                <w:sz w:val="14"/>
                <w:szCs w:val="14"/>
              </w:rPr>
              <w:t xml:space="preserve">13,987 </w:t>
            </w:r>
          </w:p>
        </w:tc>
        <w:tc>
          <w:tcPr>
            <w:tcW w:w="1927" w:type="dxa"/>
            <w:tcBorders>
              <w:top w:val="nil"/>
              <w:left w:val="nil"/>
              <w:bottom w:val="nil"/>
              <w:right w:val="nil"/>
            </w:tcBorders>
            <w:hideMark/>
          </w:tcPr>
          <w:p w14:paraId="27E03ED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 xml:space="preserve"> 300,113 </w:t>
            </w:r>
          </w:p>
        </w:tc>
        <w:tc>
          <w:tcPr>
            <w:tcW w:w="2036" w:type="dxa"/>
            <w:tcBorders>
              <w:top w:val="nil"/>
              <w:left w:val="nil"/>
              <w:bottom w:val="nil"/>
              <w:right w:val="nil"/>
            </w:tcBorders>
            <w:hideMark/>
          </w:tcPr>
          <w:p w14:paraId="60D8CB60"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 xml:space="preserve"> 297,260 </w:t>
            </w:r>
          </w:p>
        </w:tc>
      </w:tr>
      <w:tr w:rsidR="00736E78" w:rsidRPr="00B84B0C" w14:paraId="3EA3389E"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0C61A947" w14:textId="77777777" w:rsidR="00736E78" w:rsidRPr="00B84B0C" w:rsidRDefault="00736E78" w:rsidP="00736E78">
            <w:pPr>
              <w:rPr>
                <w:rFonts w:eastAsia="Times New Roman" w:cs="Arial"/>
                <w:bCs w:val="0"/>
                <w:color w:val="auto"/>
                <w:spacing w:val="-2"/>
                <w:sz w:val="14"/>
                <w:szCs w:val="18"/>
                <w:lang w:val="en-US" w:eastAsia="pt-BR"/>
              </w:rPr>
            </w:pPr>
            <w:r w:rsidRPr="00B84B0C">
              <w:rPr>
                <w:rFonts w:eastAsia="Times New Roman" w:cs="Arial"/>
                <w:bCs w:val="0"/>
                <w:color w:val="auto"/>
                <w:spacing w:val="-2"/>
                <w:sz w:val="14"/>
                <w:szCs w:val="18"/>
                <w:lang w:val="en-US" w:eastAsia="pt-BR"/>
              </w:rPr>
              <w:t xml:space="preserve">Net income attributable to BB </w:t>
            </w:r>
            <w:proofErr w:type="spellStart"/>
            <w:r w:rsidRPr="00B84B0C">
              <w:rPr>
                <w:rFonts w:eastAsia="Times New Roman" w:cs="Arial"/>
                <w:bCs w:val="0"/>
                <w:color w:val="auto"/>
                <w:spacing w:val="-2"/>
                <w:sz w:val="14"/>
                <w:szCs w:val="18"/>
                <w:lang w:val="en-US" w:eastAsia="pt-BR"/>
              </w:rPr>
              <w:t>Seguridade</w:t>
            </w:r>
            <w:proofErr w:type="spellEnd"/>
          </w:p>
        </w:tc>
        <w:tc>
          <w:tcPr>
            <w:tcW w:w="1927" w:type="dxa"/>
            <w:tcBorders>
              <w:top w:val="nil"/>
              <w:left w:val="nil"/>
              <w:bottom w:val="nil"/>
              <w:right w:val="nil"/>
            </w:tcBorders>
            <w:hideMark/>
          </w:tcPr>
          <w:p w14:paraId="19A7B348"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lang w:val="en-US"/>
              </w:rPr>
              <w:t xml:space="preserve"> </w:t>
            </w:r>
            <w:r w:rsidRPr="00B84B0C">
              <w:rPr>
                <w:rFonts w:cs="Arial"/>
                <w:b/>
                <w:bCs/>
                <w:sz w:val="14"/>
                <w:szCs w:val="14"/>
              </w:rPr>
              <w:t xml:space="preserve">10,499 </w:t>
            </w:r>
          </w:p>
        </w:tc>
        <w:tc>
          <w:tcPr>
            <w:tcW w:w="1927" w:type="dxa"/>
            <w:tcBorders>
              <w:top w:val="nil"/>
              <w:left w:val="nil"/>
              <w:bottom w:val="nil"/>
              <w:right w:val="nil"/>
            </w:tcBorders>
            <w:hideMark/>
          </w:tcPr>
          <w:p w14:paraId="51958442"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 xml:space="preserve"> 236,687 </w:t>
            </w:r>
          </w:p>
        </w:tc>
        <w:tc>
          <w:tcPr>
            <w:tcW w:w="2036" w:type="dxa"/>
            <w:tcBorders>
              <w:top w:val="nil"/>
              <w:left w:val="nil"/>
              <w:bottom w:val="nil"/>
              <w:right w:val="nil"/>
            </w:tcBorders>
            <w:hideMark/>
          </w:tcPr>
          <w:p w14:paraId="6FFFAD2B"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 xml:space="preserve"> 246,202 </w:t>
            </w:r>
          </w:p>
        </w:tc>
      </w:tr>
      <w:tr w:rsidR="00736E78" w:rsidRPr="00B84B0C" w14:paraId="7AD3AC13"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16BFD1C1" w14:textId="77777777" w:rsidR="00736E78" w:rsidRPr="00B84B0C" w:rsidRDefault="00736E78" w:rsidP="00736E78">
            <w:pPr>
              <w:rPr>
                <w:rFonts w:eastAsia="Times New Roman" w:cs="Arial"/>
                <w:b w:val="0"/>
                <w:bCs w:val="0"/>
                <w:color w:val="auto"/>
                <w:spacing w:val="-2"/>
                <w:sz w:val="14"/>
                <w:szCs w:val="18"/>
                <w:lang w:val="en-US" w:eastAsia="pt-BR"/>
              </w:rPr>
            </w:pPr>
            <w:r w:rsidRPr="00B84B0C">
              <w:rPr>
                <w:rFonts w:eastAsia="Times New Roman" w:cs="Arial"/>
                <w:b w:val="0"/>
                <w:bCs w:val="0"/>
                <w:color w:val="auto"/>
                <w:spacing w:val="-2"/>
                <w:sz w:val="14"/>
                <w:szCs w:val="18"/>
                <w:lang w:val="en-US" w:eastAsia="pt-BR"/>
              </w:rPr>
              <w:t>Adjustments of the business combination</w:t>
            </w:r>
          </w:p>
        </w:tc>
        <w:tc>
          <w:tcPr>
            <w:tcW w:w="1927" w:type="dxa"/>
            <w:tcBorders>
              <w:top w:val="nil"/>
              <w:left w:val="nil"/>
              <w:bottom w:val="nil"/>
              <w:right w:val="nil"/>
            </w:tcBorders>
            <w:hideMark/>
          </w:tcPr>
          <w:p w14:paraId="57DE901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Cs/>
                <w:color w:val="000000"/>
                <w:sz w:val="14"/>
                <w:szCs w:val="16"/>
              </w:rPr>
            </w:pPr>
            <w:r w:rsidRPr="00B84B0C">
              <w:rPr>
                <w:rFonts w:cs="Arial"/>
                <w:sz w:val="14"/>
                <w:szCs w:val="14"/>
              </w:rPr>
              <w:t xml:space="preserve">--   </w:t>
            </w:r>
          </w:p>
        </w:tc>
        <w:tc>
          <w:tcPr>
            <w:tcW w:w="1927" w:type="dxa"/>
            <w:tcBorders>
              <w:top w:val="nil"/>
              <w:left w:val="nil"/>
              <w:bottom w:val="nil"/>
              <w:right w:val="nil"/>
            </w:tcBorders>
            <w:hideMark/>
          </w:tcPr>
          <w:p w14:paraId="104B687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Cs/>
                <w:color w:val="000000"/>
                <w:sz w:val="14"/>
                <w:szCs w:val="16"/>
              </w:rPr>
            </w:pPr>
            <w:r w:rsidRPr="00B84B0C">
              <w:rPr>
                <w:rFonts w:cs="Arial"/>
                <w:sz w:val="14"/>
                <w:szCs w:val="14"/>
              </w:rPr>
              <w:t>--</w:t>
            </w:r>
          </w:p>
        </w:tc>
        <w:tc>
          <w:tcPr>
            <w:tcW w:w="2036" w:type="dxa"/>
            <w:tcBorders>
              <w:top w:val="nil"/>
              <w:left w:val="nil"/>
              <w:bottom w:val="nil"/>
              <w:right w:val="nil"/>
            </w:tcBorders>
            <w:hideMark/>
          </w:tcPr>
          <w:p w14:paraId="37F2DB4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Cs/>
                <w:color w:val="000000"/>
                <w:sz w:val="14"/>
                <w:szCs w:val="16"/>
              </w:rPr>
            </w:pPr>
            <w:r w:rsidRPr="00B84B0C">
              <w:rPr>
                <w:rFonts w:cs="Arial"/>
                <w:sz w:val="14"/>
                <w:szCs w:val="14"/>
              </w:rPr>
              <w:t xml:space="preserve"> (3,433)</w:t>
            </w:r>
          </w:p>
        </w:tc>
      </w:tr>
      <w:tr w:rsidR="00736E78" w:rsidRPr="00B84B0C" w14:paraId="20C6684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single" w:sz="2" w:space="0" w:color="8EAADB" w:themeColor="accent5" w:themeTint="99"/>
              <w:right w:val="nil"/>
            </w:tcBorders>
            <w:hideMark/>
          </w:tcPr>
          <w:p w14:paraId="257D6152" w14:textId="77777777" w:rsidR="00736E78" w:rsidRPr="00B84B0C" w:rsidRDefault="00736E78" w:rsidP="00736E78">
            <w:pPr>
              <w:rPr>
                <w:rFonts w:eastAsia="Times New Roman" w:cs="Arial"/>
                <w:bCs w:val="0"/>
                <w:color w:val="auto"/>
                <w:spacing w:val="-2"/>
                <w:sz w:val="14"/>
                <w:szCs w:val="18"/>
                <w:lang w:eastAsia="pt-BR"/>
              </w:rPr>
            </w:pPr>
            <w:proofErr w:type="spellStart"/>
            <w:r w:rsidRPr="00B84B0C">
              <w:rPr>
                <w:rFonts w:eastAsia="Times New Roman" w:cs="Arial"/>
                <w:bCs w:val="0"/>
                <w:color w:val="auto"/>
                <w:spacing w:val="-2"/>
                <w:sz w:val="14"/>
                <w:szCs w:val="18"/>
                <w:lang w:eastAsia="pt-BR"/>
              </w:rPr>
              <w:t>Equity</w:t>
            </w:r>
            <w:proofErr w:type="spellEnd"/>
            <w:r w:rsidRPr="00B84B0C">
              <w:rPr>
                <w:rFonts w:eastAsia="Times New Roman" w:cs="Arial"/>
                <w:bCs w:val="0"/>
                <w:color w:val="auto"/>
                <w:spacing w:val="-2"/>
                <w:sz w:val="14"/>
                <w:szCs w:val="18"/>
                <w:lang w:eastAsia="pt-BR"/>
              </w:rPr>
              <w:t xml:space="preserve"> income</w:t>
            </w:r>
          </w:p>
        </w:tc>
        <w:tc>
          <w:tcPr>
            <w:tcW w:w="1927" w:type="dxa"/>
            <w:tcBorders>
              <w:top w:val="nil"/>
              <w:left w:val="nil"/>
              <w:bottom w:val="single" w:sz="2" w:space="0" w:color="8EAADB" w:themeColor="accent5" w:themeTint="99"/>
              <w:right w:val="nil"/>
            </w:tcBorders>
            <w:hideMark/>
          </w:tcPr>
          <w:p w14:paraId="560B498D"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 xml:space="preserve"> 10,499 </w:t>
            </w:r>
          </w:p>
        </w:tc>
        <w:tc>
          <w:tcPr>
            <w:tcW w:w="1927" w:type="dxa"/>
            <w:tcBorders>
              <w:top w:val="nil"/>
              <w:left w:val="nil"/>
              <w:bottom w:val="single" w:sz="2" w:space="0" w:color="8EAADB" w:themeColor="accent5" w:themeTint="99"/>
              <w:right w:val="nil"/>
            </w:tcBorders>
            <w:hideMark/>
          </w:tcPr>
          <w:p w14:paraId="0A1179F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 xml:space="preserve"> 236,687 </w:t>
            </w:r>
          </w:p>
        </w:tc>
        <w:tc>
          <w:tcPr>
            <w:tcW w:w="2036" w:type="dxa"/>
            <w:tcBorders>
              <w:top w:val="nil"/>
              <w:left w:val="nil"/>
              <w:bottom w:val="single" w:sz="2" w:space="0" w:color="8EAADB" w:themeColor="accent5" w:themeTint="99"/>
              <w:right w:val="nil"/>
            </w:tcBorders>
            <w:hideMark/>
          </w:tcPr>
          <w:p w14:paraId="5B81E1F5"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 xml:space="preserve"> 242,768 </w:t>
            </w:r>
          </w:p>
        </w:tc>
      </w:tr>
    </w:tbl>
    <w:p w14:paraId="769BDB7C" w14:textId="77777777" w:rsidR="00736E78" w:rsidRPr="00B84B0C" w:rsidRDefault="00736E78" w:rsidP="00736E78">
      <w:pPr>
        <w:pStyle w:val="PargrafodaLista"/>
        <w:numPr>
          <w:ilvl w:val="0"/>
          <w:numId w:val="35"/>
        </w:numPr>
        <w:spacing w:after="160" w:line="256" w:lineRule="auto"/>
        <w:rPr>
          <w:rStyle w:val="hps"/>
          <w:rFonts w:ascii="Arial" w:eastAsia="Times New Roman" w:hAnsi="Arial" w:cs="Arial"/>
          <w:spacing w:val="-2"/>
          <w:sz w:val="14"/>
          <w:szCs w:val="18"/>
          <w:lang w:val="en-US" w:eastAsia="pt-BR"/>
        </w:rPr>
      </w:pPr>
      <w:r w:rsidRPr="00B84B0C">
        <w:rPr>
          <w:rStyle w:val="hps"/>
          <w:rFonts w:ascii="Arial" w:eastAsia="Times New Roman" w:hAnsi="Arial" w:cs="Arial"/>
          <w:spacing w:val="-2"/>
          <w:sz w:val="14"/>
          <w:szCs w:val="18"/>
          <w:lang w:val="en" w:eastAsia="pt-BR"/>
        </w:rPr>
        <w:t>It presents the consolidated</w:t>
      </w:r>
      <w:r w:rsidRPr="00B84B0C">
        <w:rPr>
          <w:rStyle w:val="hps"/>
          <w:rFonts w:ascii="Arial" w:eastAsia="Times New Roman" w:hAnsi="Arial" w:cs="Arial"/>
          <w:spacing w:val="-2"/>
          <w:sz w:val="14"/>
          <w:szCs w:val="18"/>
          <w:lang w:val="en-US" w:eastAsia="pt-BR"/>
        </w:rPr>
        <w:t xml:space="preserve"> </w:t>
      </w:r>
      <w:r w:rsidRPr="00B84B0C">
        <w:rPr>
          <w:rStyle w:val="hps"/>
          <w:rFonts w:ascii="Arial" w:eastAsia="Times New Roman" w:hAnsi="Arial" w:cs="Arial"/>
          <w:spacing w:val="-2"/>
          <w:sz w:val="14"/>
          <w:szCs w:val="18"/>
          <w:lang w:val="en" w:eastAsia="pt-BR"/>
        </w:rPr>
        <w:t>balances</w:t>
      </w:r>
      <w:r w:rsidRPr="00B84B0C">
        <w:rPr>
          <w:rStyle w:val="hps"/>
          <w:rFonts w:ascii="Arial" w:eastAsia="Times New Roman" w:hAnsi="Arial" w:cs="Arial"/>
          <w:spacing w:val="-2"/>
          <w:sz w:val="14"/>
          <w:szCs w:val="18"/>
          <w:lang w:val="en-US" w:eastAsia="pt-BR"/>
        </w:rPr>
        <w:t xml:space="preserve"> </w:t>
      </w:r>
      <w:r w:rsidRPr="00B84B0C">
        <w:rPr>
          <w:rStyle w:val="hps"/>
          <w:rFonts w:ascii="Arial" w:eastAsia="Times New Roman" w:hAnsi="Arial" w:cs="Arial"/>
          <w:spacing w:val="-2"/>
          <w:sz w:val="14"/>
          <w:szCs w:val="18"/>
          <w:lang w:val="en" w:eastAsia="pt-BR"/>
        </w:rPr>
        <w:t>of</w:t>
      </w:r>
      <w:r w:rsidRPr="00B84B0C">
        <w:rPr>
          <w:rStyle w:val="hps"/>
          <w:rFonts w:ascii="Arial" w:eastAsia="Times New Roman" w:hAnsi="Arial" w:cs="Arial"/>
          <w:spacing w:val="-2"/>
          <w:sz w:val="14"/>
          <w:szCs w:val="18"/>
          <w:lang w:val="en-US" w:eastAsia="pt-BR"/>
        </w:rPr>
        <w:t xml:space="preserve"> </w:t>
      </w:r>
      <w:r w:rsidRPr="00B84B0C">
        <w:rPr>
          <w:rStyle w:val="hps"/>
          <w:rFonts w:ascii="Arial" w:eastAsia="Times New Roman" w:hAnsi="Arial" w:cs="Arial"/>
          <w:spacing w:val="-2"/>
          <w:sz w:val="14"/>
          <w:szCs w:val="18"/>
          <w:lang w:val="en" w:eastAsia="pt-BR"/>
        </w:rPr>
        <w:t>BB</w:t>
      </w:r>
      <w:r w:rsidRPr="00B84B0C">
        <w:rPr>
          <w:rStyle w:val="hps"/>
          <w:rFonts w:ascii="Arial" w:eastAsia="Times New Roman" w:hAnsi="Arial" w:cs="Arial"/>
          <w:spacing w:val="-2"/>
          <w:sz w:val="14"/>
          <w:szCs w:val="18"/>
          <w:lang w:val="en-US" w:eastAsia="pt-BR"/>
        </w:rPr>
        <w:t xml:space="preserve"> </w:t>
      </w:r>
      <w:proofErr w:type="spellStart"/>
      <w:r w:rsidRPr="00B84B0C">
        <w:rPr>
          <w:rStyle w:val="hps"/>
          <w:rFonts w:ascii="Arial" w:eastAsia="Times New Roman" w:hAnsi="Arial" w:cs="Arial"/>
          <w:spacing w:val="-2"/>
          <w:sz w:val="14"/>
          <w:szCs w:val="18"/>
          <w:lang w:val="en" w:eastAsia="pt-BR"/>
        </w:rPr>
        <w:t>Mapfre</w:t>
      </w:r>
      <w:proofErr w:type="spellEnd"/>
      <w:r w:rsidRPr="00B84B0C">
        <w:rPr>
          <w:rStyle w:val="hps"/>
          <w:rFonts w:ascii="Arial" w:eastAsia="Times New Roman" w:hAnsi="Arial" w:cs="Arial"/>
          <w:spacing w:val="-2"/>
          <w:sz w:val="14"/>
          <w:szCs w:val="18"/>
          <w:lang w:val="en-US" w:eastAsia="pt-BR"/>
        </w:rPr>
        <w:t xml:space="preserve"> </w:t>
      </w:r>
      <w:proofErr w:type="spellStart"/>
      <w:r w:rsidRPr="00B84B0C">
        <w:rPr>
          <w:rStyle w:val="hps"/>
          <w:rFonts w:ascii="Arial" w:eastAsia="Times New Roman" w:hAnsi="Arial" w:cs="Arial"/>
          <w:spacing w:val="-2"/>
          <w:sz w:val="14"/>
          <w:szCs w:val="18"/>
          <w:lang w:val="en-US" w:eastAsia="pt-BR"/>
        </w:rPr>
        <w:t>Participações</w:t>
      </w:r>
      <w:proofErr w:type="spellEnd"/>
      <w:r w:rsidRPr="00B84B0C">
        <w:rPr>
          <w:rStyle w:val="hps"/>
          <w:rFonts w:ascii="Arial" w:eastAsia="Times New Roman" w:hAnsi="Arial" w:cs="Arial"/>
          <w:spacing w:val="-2"/>
          <w:sz w:val="14"/>
          <w:szCs w:val="18"/>
          <w:lang w:val="en-US" w:eastAsia="pt-BR"/>
        </w:rPr>
        <w:t>.</w:t>
      </w:r>
    </w:p>
    <w:p w14:paraId="544026DF" w14:textId="77777777" w:rsidR="00736E78" w:rsidRPr="00B84B0C" w:rsidRDefault="00736E78" w:rsidP="00736E78">
      <w:pPr>
        <w:spacing w:line="256" w:lineRule="auto"/>
        <w:rPr>
          <w:rStyle w:val="hps"/>
          <w:rFonts w:cs="Arial"/>
          <w:lang w:val="en-US"/>
        </w:rPr>
      </w:pPr>
    </w:p>
    <w:p w14:paraId="3C20188C" w14:textId="77777777" w:rsidR="00736E78" w:rsidRPr="00B84B0C" w:rsidRDefault="00736E78" w:rsidP="00736E78">
      <w:pPr>
        <w:pStyle w:val="06-Rmil"/>
        <w:ind w:right="-2"/>
        <w:rPr>
          <w:rFonts w:cs="Arial"/>
        </w:rPr>
      </w:pPr>
      <w:r w:rsidRPr="00B84B0C">
        <w:rPr>
          <w:rFonts w:cs="Arial"/>
        </w:rPr>
        <w:t>R$ </w:t>
      </w:r>
      <w:proofErr w:type="spellStart"/>
      <w:r w:rsidRPr="00B84B0C">
        <w:rPr>
          <w:rFonts w:cs="Arial"/>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3749"/>
        <w:gridCol w:w="1927"/>
        <w:gridCol w:w="1927"/>
        <w:gridCol w:w="2036"/>
      </w:tblGrid>
      <w:tr w:rsidR="00736E78" w:rsidRPr="00B84B0C" w14:paraId="27B10B46" w14:textId="77777777" w:rsidTr="00736E78">
        <w:trPr>
          <w:cnfStyle w:val="100000000000" w:firstRow="1" w:lastRow="0" w:firstColumn="0" w:lastColumn="0" w:oddVBand="0" w:evenVBand="0" w:oddHBand="0" w:evenHBand="0" w:firstRowFirstColumn="0" w:firstRowLastColumn="0" w:lastRowFirstColumn="0" w:lastRowLastColumn="0"/>
          <w:trHeight w:hRule="exact" w:val="467"/>
        </w:trPr>
        <w:tc>
          <w:tcPr>
            <w:cnfStyle w:val="001000000000" w:firstRow="0" w:lastRow="0" w:firstColumn="1" w:lastColumn="0" w:oddVBand="0" w:evenVBand="0" w:oddHBand="0" w:evenHBand="0" w:firstRowFirstColumn="0" w:firstRowLastColumn="0" w:lastRowFirstColumn="0" w:lastRowLastColumn="0"/>
            <w:tcW w:w="3749" w:type="dxa"/>
            <w:tcBorders>
              <w:top w:val="single" w:sz="2" w:space="0" w:color="8EAADB" w:themeColor="accent5" w:themeTint="99"/>
              <w:bottom w:val="single" w:sz="2" w:space="0" w:color="8EAADB" w:themeColor="accent5" w:themeTint="99"/>
            </w:tcBorders>
            <w:vAlign w:val="center"/>
            <w:hideMark/>
          </w:tcPr>
          <w:p w14:paraId="365A7D0A" w14:textId="77777777" w:rsidR="00736E78" w:rsidRPr="00B84B0C" w:rsidRDefault="00736E78" w:rsidP="00736E78">
            <w:pPr>
              <w:jc w:val="center"/>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2019</w:t>
            </w:r>
          </w:p>
        </w:tc>
        <w:tc>
          <w:tcPr>
            <w:tcW w:w="1927" w:type="dxa"/>
            <w:tcBorders>
              <w:top w:val="single" w:sz="2" w:space="0" w:color="8EAADB" w:themeColor="accent5" w:themeTint="99"/>
              <w:bottom w:val="single" w:sz="2" w:space="0" w:color="8EAADB" w:themeColor="accent5" w:themeTint="99"/>
            </w:tcBorders>
            <w:vAlign w:val="center"/>
            <w:hideMark/>
          </w:tcPr>
          <w:p w14:paraId="487BBBBA"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Aliança do Brasil Seguros</w:t>
            </w:r>
          </w:p>
        </w:tc>
        <w:tc>
          <w:tcPr>
            <w:tcW w:w="1927" w:type="dxa"/>
            <w:tcBorders>
              <w:top w:val="single" w:sz="2" w:space="0" w:color="8EAADB" w:themeColor="accent5" w:themeTint="99"/>
              <w:bottom w:val="single" w:sz="2" w:space="0" w:color="8EAADB" w:themeColor="accent5" w:themeTint="99"/>
            </w:tcBorders>
            <w:vAlign w:val="center"/>
            <w:hideMark/>
          </w:tcPr>
          <w:p w14:paraId="4DDDB945"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Brasilseg</w:t>
            </w:r>
            <w:proofErr w:type="spellEnd"/>
            <w:r w:rsidRPr="00B84B0C">
              <w:rPr>
                <w:rFonts w:cs="Arial"/>
                <w:sz w:val="14"/>
                <w:szCs w:val="14"/>
              </w:rPr>
              <w:t xml:space="preserve"> Companhia de Seguros</w:t>
            </w:r>
          </w:p>
        </w:tc>
        <w:tc>
          <w:tcPr>
            <w:tcW w:w="2036" w:type="dxa"/>
            <w:tcBorders>
              <w:top w:val="single" w:sz="2" w:space="0" w:color="8EAADB" w:themeColor="accent5" w:themeTint="99"/>
              <w:bottom w:val="single" w:sz="2" w:space="0" w:color="8EAADB" w:themeColor="accent5" w:themeTint="99"/>
            </w:tcBorders>
            <w:vAlign w:val="center"/>
            <w:hideMark/>
          </w:tcPr>
          <w:p w14:paraId="4E1958B8" w14:textId="77777777" w:rsidR="00736E78" w:rsidRPr="00B84B0C" w:rsidRDefault="00736E78" w:rsidP="00736E78">
            <w:pPr>
              <w:ind w:hanging="446"/>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BB Mapfre</w:t>
            </w:r>
          </w:p>
          <w:p w14:paraId="3D6D5DB7"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gramStart"/>
            <w:r w:rsidRPr="00B84B0C">
              <w:rPr>
                <w:rFonts w:cs="Arial"/>
                <w:sz w:val="14"/>
                <w:szCs w:val="14"/>
              </w:rPr>
              <w:t>Participações</w:t>
            </w:r>
            <w:r w:rsidRPr="00B84B0C">
              <w:rPr>
                <w:rFonts w:cs="Arial"/>
                <w:sz w:val="14"/>
                <w:szCs w:val="14"/>
                <w:vertAlign w:val="superscript"/>
              </w:rPr>
              <w:t>(</w:t>
            </w:r>
            <w:proofErr w:type="gramEnd"/>
            <w:r w:rsidRPr="00B84B0C">
              <w:rPr>
                <w:rFonts w:cs="Arial"/>
                <w:sz w:val="14"/>
                <w:szCs w:val="14"/>
                <w:vertAlign w:val="superscript"/>
              </w:rPr>
              <w:t>1)</w:t>
            </w:r>
          </w:p>
        </w:tc>
      </w:tr>
      <w:tr w:rsidR="00736E78" w:rsidRPr="00B84B0C" w14:paraId="19B6FEB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single" w:sz="2" w:space="0" w:color="8EAADB" w:themeColor="accent5" w:themeTint="99"/>
              <w:left w:val="nil"/>
              <w:bottom w:val="nil"/>
              <w:right w:val="nil"/>
            </w:tcBorders>
            <w:hideMark/>
          </w:tcPr>
          <w:p w14:paraId="4E0A5572" w14:textId="77777777" w:rsidR="00736E78" w:rsidRPr="00B84B0C" w:rsidRDefault="00736E78" w:rsidP="00736E78">
            <w:pPr>
              <w:rPr>
                <w:rFonts w:eastAsia="Times New Roman" w:cs="Arial"/>
                <w:bCs w:val="0"/>
                <w:color w:val="auto"/>
                <w:spacing w:val="-2"/>
                <w:sz w:val="14"/>
                <w:szCs w:val="18"/>
                <w:lang w:eastAsia="pt-BR"/>
              </w:rPr>
            </w:pPr>
            <w:r w:rsidRPr="00B84B0C">
              <w:rPr>
                <w:rFonts w:eastAsia="Times New Roman" w:cs="Arial"/>
                <w:bCs w:val="0"/>
                <w:color w:val="auto"/>
                <w:spacing w:val="-2"/>
                <w:sz w:val="14"/>
                <w:szCs w:val="18"/>
                <w:lang w:eastAsia="pt-BR"/>
              </w:rPr>
              <w:t xml:space="preserve">Income </w:t>
            </w:r>
          </w:p>
        </w:tc>
        <w:tc>
          <w:tcPr>
            <w:tcW w:w="1927" w:type="dxa"/>
            <w:tcBorders>
              <w:top w:val="single" w:sz="2" w:space="0" w:color="8EAADB" w:themeColor="accent5" w:themeTint="99"/>
              <w:left w:val="nil"/>
              <w:bottom w:val="nil"/>
              <w:right w:val="nil"/>
            </w:tcBorders>
            <w:vAlign w:val="center"/>
          </w:tcPr>
          <w:p w14:paraId="7D7CC828"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6"/>
              </w:rPr>
            </w:pPr>
            <w:r w:rsidRPr="00B84B0C">
              <w:rPr>
                <w:rFonts w:cs="Arial"/>
                <w:b/>
                <w:bCs/>
                <w:sz w:val="14"/>
                <w:szCs w:val="14"/>
              </w:rPr>
              <w:t>137,314</w:t>
            </w:r>
          </w:p>
        </w:tc>
        <w:tc>
          <w:tcPr>
            <w:tcW w:w="1927" w:type="dxa"/>
            <w:tcBorders>
              <w:top w:val="single" w:sz="2" w:space="0" w:color="8EAADB" w:themeColor="accent5" w:themeTint="99"/>
              <w:left w:val="nil"/>
              <w:bottom w:val="nil"/>
              <w:right w:val="nil"/>
            </w:tcBorders>
            <w:vAlign w:val="center"/>
          </w:tcPr>
          <w:p w14:paraId="3717AD41"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6"/>
              </w:rPr>
            </w:pPr>
            <w:r w:rsidRPr="00B84B0C">
              <w:rPr>
                <w:rFonts w:cs="Arial"/>
                <w:b/>
                <w:bCs/>
                <w:sz w:val="14"/>
                <w:szCs w:val="14"/>
              </w:rPr>
              <w:t>1,725,620</w:t>
            </w:r>
          </w:p>
        </w:tc>
        <w:tc>
          <w:tcPr>
            <w:tcW w:w="2036" w:type="dxa"/>
            <w:tcBorders>
              <w:top w:val="single" w:sz="2" w:space="0" w:color="8EAADB" w:themeColor="accent5" w:themeTint="99"/>
              <w:left w:val="nil"/>
              <w:bottom w:val="nil"/>
              <w:right w:val="nil"/>
            </w:tcBorders>
            <w:vAlign w:val="center"/>
          </w:tcPr>
          <w:p w14:paraId="225E60D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6"/>
              </w:rPr>
            </w:pPr>
            <w:r w:rsidRPr="00B84B0C">
              <w:rPr>
                <w:rFonts w:cs="Arial"/>
                <w:b/>
                <w:bCs/>
                <w:sz w:val="14"/>
                <w:szCs w:val="14"/>
              </w:rPr>
              <w:t>1,862,934</w:t>
            </w:r>
          </w:p>
        </w:tc>
      </w:tr>
      <w:tr w:rsidR="00736E78" w:rsidRPr="00B84B0C" w14:paraId="1DD22399"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1C5672B2" w14:textId="77777777" w:rsidR="00736E78" w:rsidRPr="00B84B0C" w:rsidRDefault="00736E78" w:rsidP="00736E78">
            <w:pPr>
              <w:rPr>
                <w:rFonts w:eastAsia="Times New Roman" w:cs="Arial"/>
                <w:b w:val="0"/>
                <w:bCs w:val="0"/>
                <w:color w:val="auto"/>
                <w:spacing w:val="-2"/>
                <w:sz w:val="14"/>
                <w:szCs w:val="18"/>
                <w:lang w:eastAsia="pt-BR"/>
              </w:rPr>
            </w:pPr>
            <w:proofErr w:type="spellStart"/>
            <w:r w:rsidRPr="00B84B0C">
              <w:rPr>
                <w:rFonts w:eastAsia="Times New Roman" w:cs="Arial"/>
                <w:b w:val="0"/>
                <w:bCs w:val="0"/>
                <w:color w:val="auto"/>
                <w:spacing w:val="-2"/>
                <w:sz w:val="14"/>
                <w:szCs w:val="18"/>
                <w:lang w:eastAsia="pt-BR"/>
              </w:rPr>
              <w:t>Interest</w:t>
            </w:r>
            <w:proofErr w:type="spellEnd"/>
            <w:r w:rsidRPr="00B84B0C">
              <w:rPr>
                <w:rFonts w:eastAsia="Times New Roman" w:cs="Arial"/>
                <w:b w:val="0"/>
                <w:bCs w:val="0"/>
                <w:color w:val="auto"/>
                <w:spacing w:val="-2"/>
                <w:sz w:val="14"/>
                <w:szCs w:val="18"/>
                <w:lang w:eastAsia="pt-BR"/>
              </w:rPr>
              <w:t xml:space="preserve"> income</w:t>
            </w:r>
          </w:p>
        </w:tc>
        <w:tc>
          <w:tcPr>
            <w:tcW w:w="1927" w:type="dxa"/>
            <w:tcBorders>
              <w:top w:val="nil"/>
              <w:left w:val="nil"/>
              <w:bottom w:val="nil"/>
              <w:right w:val="nil"/>
            </w:tcBorders>
            <w:vAlign w:val="center"/>
          </w:tcPr>
          <w:p w14:paraId="3B7AE3B1"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3,665</w:t>
            </w:r>
          </w:p>
        </w:tc>
        <w:tc>
          <w:tcPr>
            <w:tcW w:w="1927" w:type="dxa"/>
            <w:tcBorders>
              <w:top w:val="nil"/>
              <w:left w:val="nil"/>
              <w:bottom w:val="nil"/>
              <w:right w:val="nil"/>
            </w:tcBorders>
            <w:vAlign w:val="center"/>
          </w:tcPr>
          <w:p w14:paraId="747DCCA6"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64,947</w:t>
            </w:r>
          </w:p>
        </w:tc>
        <w:tc>
          <w:tcPr>
            <w:tcW w:w="2036" w:type="dxa"/>
            <w:tcBorders>
              <w:top w:val="nil"/>
              <w:left w:val="nil"/>
              <w:bottom w:val="nil"/>
              <w:right w:val="nil"/>
            </w:tcBorders>
            <w:vAlign w:val="center"/>
          </w:tcPr>
          <w:p w14:paraId="1920E3D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68,612</w:t>
            </w:r>
          </w:p>
        </w:tc>
      </w:tr>
      <w:tr w:rsidR="00736E78" w:rsidRPr="00B84B0C" w14:paraId="17E0E40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21AC72A9" w14:textId="77777777" w:rsidR="00736E78" w:rsidRPr="00B84B0C" w:rsidRDefault="00736E78" w:rsidP="00736E78">
            <w:pPr>
              <w:rPr>
                <w:rFonts w:eastAsia="Times New Roman" w:cs="Arial"/>
                <w:b w:val="0"/>
                <w:bCs w:val="0"/>
                <w:color w:val="auto"/>
                <w:spacing w:val="-2"/>
                <w:sz w:val="14"/>
                <w:szCs w:val="18"/>
                <w:lang w:eastAsia="pt-BR"/>
              </w:rPr>
            </w:pPr>
            <w:proofErr w:type="spellStart"/>
            <w:r w:rsidRPr="00B84B0C">
              <w:rPr>
                <w:rFonts w:eastAsia="Times New Roman" w:cs="Arial"/>
                <w:b w:val="0"/>
                <w:bCs w:val="0"/>
                <w:color w:val="auto"/>
                <w:spacing w:val="-2"/>
                <w:sz w:val="14"/>
                <w:szCs w:val="18"/>
                <w:lang w:eastAsia="pt-BR"/>
              </w:rPr>
              <w:t>Interest</w:t>
            </w:r>
            <w:proofErr w:type="spellEnd"/>
            <w:r w:rsidRPr="00B84B0C">
              <w:rPr>
                <w:rFonts w:eastAsia="Times New Roman" w:cs="Arial"/>
                <w:b w:val="0"/>
                <w:bCs w:val="0"/>
                <w:color w:val="auto"/>
                <w:spacing w:val="-2"/>
                <w:sz w:val="14"/>
                <w:szCs w:val="18"/>
                <w:lang w:eastAsia="pt-BR"/>
              </w:rPr>
              <w:t xml:space="preserve"> </w:t>
            </w:r>
            <w:proofErr w:type="spellStart"/>
            <w:r w:rsidRPr="00B84B0C">
              <w:rPr>
                <w:rFonts w:eastAsia="Times New Roman" w:cs="Arial"/>
                <w:b w:val="0"/>
                <w:bCs w:val="0"/>
                <w:color w:val="auto"/>
                <w:spacing w:val="-2"/>
                <w:sz w:val="14"/>
                <w:szCs w:val="18"/>
                <w:lang w:eastAsia="pt-BR"/>
              </w:rPr>
              <w:t>expense</w:t>
            </w:r>
            <w:proofErr w:type="spellEnd"/>
          </w:p>
        </w:tc>
        <w:tc>
          <w:tcPr>
            <w:tcW w:w="1927" w:type="dxa"/>
            <w:tcBorders>
              <w:top w:val="nil"/>
              <w:left w:val="nil"/>
              <w:bottom w:val="nil"/>
              <w:right w:val="nil"/>
            </w:tcBorders>
            <w:vAlign w:val="center"/>
          </w:tcPr>
          <w:p w14:paraId="6FB77B35"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4,419</w:t>
            </w:r>
          </w:p>
        </w:tc>
        <w:tc>
          <w:tcPr>
            <w:tcW w:w="1927" w:type="dxa"/>
            <w:tcBorders>
              <w:top w:val="nil"/>
              <w:left w:val="nil"/>
              <w:bottom w:val="nil"/>
              <w:right w:val="nil"/>
            </w:tcBorders>
            <w:vAlign w:val="center"/>
          </w:tcPr>
          <w:p w14:paraId="6CFE9AD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20,105</w:t>
            </w:r>
          </w:p>
        </w:tc>
        <w:tc>
          <w:tcPr>
            <w:tcW w:w="2036" w:type="dxa"/>
            <w:tcBorders>
              <w:top w:val="nil"/>
              <w:left w:val="nil"/>
              <w:bottom w:val="nil"/>
              <w:right w:val="nil"/>
            </w:tcBorders>
            <w:vAlign w:val="center"/>
          </w:tcPr>
          <w:p w14:paraId="7E86E3D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24,524</w:t>
            </w:r>
          </w:p>
        </w:tc>
      </w:tr>
      <w:tr w:rsidR="00736E78" w:rsidRPr="00B84B0C" w14:paraId="2746E30C"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299826A0" w14:textId="77777777" w:rsidR="00736E78" w:rsidRPr="00B84B0C" w:rsidRDefault="00736E78" w:rsidP="00736E78">
            <w:pPr>
              <w:rPr>
                <w:rFonts w:eastAsia="Times New Roman" w:cs="Arial"/>
                <w:b w:val="0"/>
                <w:bCs w:val="0"/>
                <w:color w:val="auto"/>
                <w:spacing w:val="-2"/>
                <w:sz w:val="14"/>
                <w:szCs w:val="18"/>
                <w:lang w:eastAsia="pt-BR"/>
              </w:rPr>
            </w:pPr>
            <w:proofErr w:type="spellStart"/>
            <w:r w:rsidRPr="00B84B0C">
              <w:rPr>
                <w:rFonts w:eastAsia="Times New Roman" w:cs="Arial"/>
                <w:b w:val="0"/>
                <w:bCs w:val="0"/>
                <w:color w:val="auto"/>
                <w:spacing w:val="-2"/>
                <w:sz w:val="14"/>
                <w:szCs w:val="18"/>
                <w:lang w:eastAsia="pt-BR"/>
              </w:rPr>
              <w:t>Depreciation</w:t>
            </w:r>
            <w:proofErr w:type="spellEnd"/>
            <w:r w:rsidRPr="00B84B0C">
              <w:rPr>
                <w:rFonts w:eastAsia="Times New Roman" w:cs="Arial"/>
                <w:b w:val="0"/>
                <w:bCs w:val="0"/>
                <w:color w:val="auto"/>
                <w:spacing w:val="-2"/>
                <w:sz w:val="14"/>
                <w:szCs w:val="18"/>
                <w:lang w:eastAsia="pt-BR"/>
              </w:rPr>
              <w:t xml:space="preserve"> </w:t>
            </w:r>
            <w:proofErr w:type="spellStart"/>
            <w:r w:rsidRPr="00B84B0C">
              <w:rPr>
                <w:rFonts w:eastAsia="Times New Roman" w:cs="Arial"/>
                <w:b w:val="0"/>
                <w:bCs w:val="0"/>
                <w:color w:val="auto"/>
                <w:spacing w:val="-2"/>
                <w:sz w:val="14"/>
                <w:szCs w:val="18"/>
                <w:lang w:eastAsia="pt-BR"/>
              </w:rPr>
              <w:t>and</w:t>
            </w:r>
            <w:proofErr w:type="spellEnd"/>
            <w:r w:rsidRPr="00B84B0C">
              <w:rPr>
                <w:rFonts w:eastAsia="Times New Roman" w:cs="Arial"/>
                <w:b w:val="0"/>
                <w:bCs w:val="0"/>
                <w:color w:val="auto"/>
                <w:spacing w:val="-2"/>
                <w:sz w:val="14"/>
                <w:szCs w:val="18"/>
                <w:lang w:eastAsia="pt-BR"/>
              </w:rPr>
              <w:t xml:space="preserve"> </w:t>
            </w:r>
            <w:proofErr w:type="spellStart"/>
            <w:r w:rsidRPr="00B84B0C">
              <w:rPr>
                <w:rFonts w:eastAsia="Times New Roman" w:cs="Arial"/>
                <w:b w:val="0"/>
                <w:bCs w:val="0"/>
                <w:color w:val="auto"/>
                <w:spacing w:val="-2"/>
                <w:sz w:val="14"/>
                <w:szCs w:val="18"/>
                <w:lang w:eastAsia="pt-BR"/>
              </w:rPr>
              <w:t>amortization</w:t>
            </w:r>
            <w:proofErr w:type="spellEnd"/>
          </w:p>
        </w:tc>
        <w:tc>
          <w:tcPr>
            <w:tcW w:w="1927" w:type="dxa"/>
            <w:tcBorders>
              <w:top w:val="nil"/>
              <w:left w:val="nil"/>
              <w:bottom w:val="nil"/>
              <w:right w:val="nil"/>
            </w:tcBorders>
            <w:vAlign w:val="center"/>
          </w:tcPr>
          <w:p w14:paraId="4D0E924E"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(2,044)</w:t>
            </w:r>
          </w:p>
        </w:tc>
        <w:tc>
          <w:tcPr>
            <w:tcW w:w="1927" w:type="dxa"/>
            <w:tcBorders>
              <w:top w:val="nil"/>
              <w:left w:val="nil"/>
              <w:bottom w:val="nil"/>
              <w:right w:val="nil"/>
            </w:tcBorders>
            <w:vAlign w:val="center"/>
          </w:tcPr>
          <w:p w14:paraId="430F8D6E"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(10,574)</w:t>
            </w:r>
          </w:p>
        </w:tc>
        <w:tc>
          <w:tcPr>
            <w:tcW w:w="2036" w:type="dxa"/>
            <w:tcBorders>
              <w:top w:val="nil"/>
              <w:left w:val="nil"/>
              <w:bottom w:val="nil"/>
              <w:right w:val="nil"/>
            </w:tcBorders>
            <w:vAlign w:val="center"/>
          </w:tcPr>
          <w:p w14:paraId="46B19FA9"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(12,618)</w:t>
            </w:r>
          </w:p>
        </w:tc>
      </w:tr>
      <w:tr w:rsidR="00736E78" w:rsidRPr="00B84B0C" w14:paraId="10EE6D05"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6581163A" w14:textId="77777777" w:rsidR="00736E78" w:rsidRPr="00B84B0C" w:rsidRDefault="00736E78" w:rsidP="00736E78">
            <w:pPr>
              <w:rPr>
                <w:rFonts w:eastAsia="Times New Roman" w:cs="Arial"/>
                <w:b w:val="0"/>
                <w:bCs w:val="0"/>
                <w:color w:val="auto"/>
                <w:spacing w:val="-2"/>
                <w:sz w:val="14"/>
                <w:szCs w:val="18"/>
                <w:lang w:val="en-US" w:eastAsia="pt-BR"/>
              </w:rPr>
            </w:pPr>
            <w:r w:rsidRPr="00B84B0C">
              <w:rPr>
                <w:rFonts w:eastAsia="Times New Roman" w:cs="Arial"/>
                <w:b w:val="0"/>
                <w:bCs w:val="0"/>
                <w:color w:val="auto"/>
                <w:spacing w:val="-2"/>
                <w:sz w:val="14"/>
                <w:szCs w:val="18"/>
                <w:lang w:val="en-US" w:eastAsia="pt-BR"/>
              </w:rPr>
              <w:t xml:space="preserve">Income tax and social contribution </w:t>
            </w:r>
          </w:p>
        </w:tc>
        <w:tc>
          <w:tcPr>
            <w:tcW w:w="1927" w:type="dxa"/>
            <w:tcBorders>
              <w:top w:val="nil"/>
              <w:left w:val="nil"/>
              <w:bottom w:val="nil"/>
              <w:right w:val="nil"/>
            </w:tcBorders>
            <w:vAlign w:val="center"/>
          </w:tcPr>
          <w:p w14:paraId="243EAB3A"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(13,528)</w:t>
            </w:r>
          </w:p>
        </w:tc>
        <w:tc>
          <w:tcPr>
            <w:tcW w:w="1927" w:type="dxa"/>
            <w:tcBorders>
              <w:top w:val="nil"/>
              <w:left w:val="nil"/>
              <w:bottom w:val="nil"/>
              <w:right w:val="nil"/>
            </w:tcBorders>
            <w:vAlign w:val="center"/>
          </w:tcPr>
          <w:p w14:paraId="133BA91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(140,109)</w:t>
            </w:r>
          </w:p>
        </w:tc>
        <w:tc>
          <w:tcPr>
            <w:tcW w:w="2036" w:type="dxa"/>
            <w:tcBorders>
              <w:top w:val="nil"/>
              <w:left w:val="nil"/>
              <w:bottom w:val="nil"/>
              <w:right w:val="nil"/>
            </w:tcBorders>
            <w:vAlign w:val="center"/>
          </w:tcPr>
          <w:p w14:paraId="72D282BC"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(152,963)</w:t>
            </w:r>
          </w:p>
        </w:tc>
      </w:tr>
      <w:tr w:rsidR="00736E78" w:rsidRPr="00B84B0C" w14:paraId="7059451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25D92313" w14:textId="77777777" w:rsidR="00736E78" w:rsidRPr="00B84B0C" w:rsidRDefault="00736E78" w:rsidP="00736E78">
            <w:pPr>
              <w:rPr>
                <w:rFonts w:eastAsia="Times New Roman" w:cs="Arial"/>
                <w:bCs w:val="0"/>
                <w:color w:val="auto"/>
                <w:spacing w:val="-2"/>
                <w:sz w:val="14"/>
                <w:szCs w:val="18"/>
                <w:lang w:val="en-US" w:eastAsia="pt-BR"/>
              </w:rPr>
            </w:pPr>
            <w:r w:rsidRPr="00B84B0C">
              <w:rPr>
                <w:rFonts w:eastAsia="Times New Roman" w:cs="Arial"/>
                <w:bCs w:val="0"/>
                <w:color w:val="auto"/>
                <w:spacing w:val="-2"/>
                <w:sz w:val="14"/>
                <w:szCs w:val="18"/>
                <w:lang w:val="en-US" w:eastAsia="pt-BR"/>
              </w:rPr>
              <w:t>Net income for the period</w:t>
            </w:r>
          </w:p>
        </w:tc>
        <w:tc>
          <w:tcPr>
            <w:tcW w:w="1927" w:type="dxa"/>
            <w:tcBorders>
              <w:top w:val="nil"/>
              <w:left w:val="nil"/>
              <w:bottom w:val="nil"/>
              <w:right w:val="nil"/>
            </w:tcBorders>
            <w:vAlign w:val="center"/>
          </w:tcPr>
          <w:p w14:paraId="1623439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20,346</w:t>
            </w:r>
          </w:p>
        </w:tc>
        <w:tc>
          <w:tcPr>
            <w:tcW w:w="1927" w:type="dxa"/>
            <w:tcBorders>
              <w:top w:val="nil"/>
              <w:left w:val="nil"/>
              <w:bottom w:val="nil"/>
              <w:right w:val="nil"/>
            </w:tcBorders>
            <w:vAlign w:val="center"/>
          </w:tcPr>
          <w:p w14:paraId="61E55185"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286,830</w:t>
            </w:r>
          </w:p>
        </w:tc>
        <w:tc>
          <w:tcPr>
            <w:tcW w:w="2036" w:type="dxa"/>
            <w:tcBorders>
              <w:top w:val="nil"/>
              <w:left w:val="nil"/>
              <w:bottom w:val="nil"/>
              <w:right w:val="nil"/>
            </w:tcBorders>
            <w:vAlign w:val="center"/>
          </w:tcPr>
          <w:p w14:paraId="35754EB5"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306,111</w:t>
            </w:r>
          </w:p>
        </w:tc>
      </w:tr>
      <w:tr w:rsidR="00736E78" w:rsidRPr="00B84B0C" w14:paraId="167A4E3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2BBCDDFF" w14:textId="77777777" w:rsidR="00736E78" w:rsidRPr="00B84B0C" w:rsidRDefault="00736E78" w:rsidP="00736E78">
            <w:pPr>
              <w:rPr>
                <w:rFonts w:eastAsia="Times New Roman" w:cs="Arial"/>
                <w:b w:val="0"/>
                <w:bCs w:val="0"/>
                <w:color w:val="auto"/>
                <w:spacing w:val="-2"/>
                <w:sz w:val="14"/>
                <w:szCs w:val="18"/>
                <w:lang w:eastAsia="pt-BR"/>
              </w:rPr>
            </w:pPr>
            <w:r w:rsidRPr="00B84B0C">
              <w:rPr>
                <w:rFonts w:eastAsia="Times New Roman" w:cs="Arial"/>
                <w:b w:val="0"/>
                <w:bCs w:val="0"/>
                <w:color w:val="auto"/>
                <w:spacing w:val="-2"/>
                <w:sz w:val="14"/>
                <w:szCs w:val="18"/>
                <w:lang w:eastAsia="pt-BR"/>
              </w:rPr>
              <w:t xml:space="preserve">Other </w:t>
            </w:r>
            <w:proofErr w:type="spellStart"/>
            <w:r w:rsidRPr="00B84B0C">
              <w:rPr>
                <w:rFonts w:eastAsia="Times New Roman" w:cs="Arial"/>
                <w:b w:val="0"/>
                <w:bCs w:val="0"/>
                <w:color w:val="auto"/>
                <w:spacing w:val="-2"/>
                <w:sz w:val="14"/>
                <w:szCs w:val="18"/>
                <w:lang w:eastAsia="pt-BR"/>
              </w:rPr>
              <w:t>comprehensive</w:t>
            </w:r>
            <w:proofErr w:type="spellEnd"/>
            <w:r w:rsidRPr="00B84B0C">
              <w:rPr>
                <w:rFonts w:eastAsia="Times New Roman" w:cs="Arial"/>
                <w:b w:val="0"/>
                <w:bCs w:val="0"/>
                <w:color w:val="auto"/>
                <w:spacing w:val="-2"/>
                <w:sz w:val="14"/>
                <w:szCs w:val="18"/>
                <w:lang w:eastAsia="pt-BR"/>
              </w:rPr>
              <w:t xml:space="preserve"> income</w:t>
            </w:r>
          </w:p>
        </w:tc>
        <w:tc>
          <w:tcPr>
            <w:tcW w:w="1927" w:type="dxa"/>
            <w:tcBorders>
              <w:top w:val="nil"/>
              <w:left w:val="nil"/>
              <w:bottom w:val="nil"/>
              <w:right w:val="nil"/>
            </w:tcBorders>
            <w:vAlign w:val="center"/>
          </w:tcPr>
          <w:p w14:paraId="079D5AAE"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1</w:t>
            </w:r>
          </w:p>
        </w:tc>
        <w:tc>
          <w:tcPr>
            <w:tcW w:w="1927" w:type="dxa"/>
            <w:tcBorders>
              <w:top w:val="nil"/>
              <w:left w:val="nil"/>
              <w:bottom w:val="nil"/>
              <w:right w:val="nil"/>
            </w:tcBorders>
            <w:vAlign w:val="center"/>
          </w:tcPr>
          <w:p w14:paraId="3AAC6CEC"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(16,889)</w:t>
            </w:r>
          </w:p>
        </w:tc>
        <w:tc>
          <w:tcPr>
            <w:tcW w:w="2036" w:type="dxa"/>
            <w:tcBorders>
              <w:top w:val="nil"/>
              <w:left w:val="nil"/>
              <w:bottom w:val="nil"/>
              <w:right w:val="nil"/>
            </w:tcBorders>
            <w:vAlign w:val="center"/>
          </w:tcPr>
          <w:p w14:paraId="03DB7DEB"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6"/>
              </w:rPr>
            </w:pPr>
            <w:r w:rsidRPr="00B84B0C">
              <w:rPr>
                <w:rFonts w:cs="Arial"/>
                <w:sz w:val="14"/>
                <w:szCs w:val="14"/>
              </w:rPr>
              <w:t>(33,775)</w:t>
            </w:r>
          </w:p>
        </w:tc>
      </w:tr>
      <w:tr w:rsidR="00736E78" w:rsidRPr="00B84B0C" w14:paraId="3F442AB3"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6D17E733" w14:textId="77777777" w:rsidR="00736E78" w:rsidRPr="00B84B0C" w:rsidRDefault="00736E78" w:rsidP="00736E78">
            <w:pPr>
              <w:rPr>
                <w:rFonts w:eastAsia="Times New Roman" w:cs="Arial"/>
                <w:bCs w:val="0"/>
                <w:color w:val="auto"/>
                <w:spacing w:val="-2"/>
                <w:sz w:val="14"/>
                <w:szCs w:val="18"/>
                <w:lang w:val="en-US" w:eastAsia="pt-BR"/>
              </w:rPr>
            </w:pPr>
            <w:r w:rsidRPr="00B84B0C">
              <w:rPr>
                <w:rFonts w:eastAsia="Times New Roman" w:cs="Arial"/>
                <w:bCs w:val="0"/>
                <w:color w:val="auto"/>
                <w:spacing w:val="-2"/>
                <w:sz w:val="14"/>
                <w:szCs w:val="18"/>
                <w:lang w:val="en-US" w:eastAsia="pt-BR"/>
              </w:rPr>
              <w:t>Comprehensive income in the period</w:t>
            </w:r>
          </w:p>
        </w:tc>
        <w:tc>
          <w:tcPr>
            <w:tcW w:w="1927" w:type="dxa"/>
            <w:tcBorders>
              <w:top w:val="nil"/>
              <w:left w:val="nil"/>
              <w:bottom w:val="nil"/>
              <w:right w:val="nil"/>
            </w:tcBorders>
            <w:vAlign w:val="center"/>
          </w:tcPr>
          <w:p w14:paraId="490D917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20,347</w:t>
            </w:r>
          </w:p>
        </w:tc>
        <w:tc>
          <w:tcPr>
            <w:tcW w:w="1927" w:type="dxa"/>
            <w:tcBorders>
              <w:top w:val="nil"/>
              <w:left w:val="nil"/>
              <w:bottom w:val="nil"/>
              <w:right w:val="nil"/>
            </w:tcBorders>
            <w:vAlign w:val="center"/>
          </w:tcPr>
          <w:p w14:paraId="2891E7C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269,941</w:t>
            </w:r>
          </w:p>
        </w:tc>
        <w:tc>
          <w:tcPr>
            <w:tcW w:w="2036" w:type="dxa"/>
            <w:tcBorders>
              <w:top w:val="nil"/>
              <w:left w:val="nil"/>
              <w:bottom w:val="nil"/>
              <w:right w:val="nil"/>
            </w:tcBorders>
            <w:vAlign w:val="center"/>
          </w:tcPr>
          <w:p w14:paraId="0075B8EE"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6"/>
              </w:rPr>
            </w:pPr>
            <w:r w:rsidRPr="00B84B0C">
              <w:rPr>
                <w:rFonts w:cs="Arial"/>
                <w:b/>
                <w:bCs/>
                <w:sz w:val="14"/>
                <w:szCs w:val="14"/>
              </w:rPr>
              <w:t>272,336</w:t>
            </w:r>
          </w:p>
        </w:tc>
      </w:tr>
      <w:tr w:rsidR="00736E78" w:rsidRPr="00B84B0C" w14:paraId="2CEEDF40"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3526DD43" w14:textId="77777777" w:rsidR="00736E78" w:rsidRPr="00B84B0C" w:rsidRDefault="00736E78" w:rsidP="00736E78">
            <w:pPr>
              <w:rPr>
                <w:rFonts w:eastAsia="Times New Roman" w:cs="Arial"/>
                <w:bCs w:val="0"/>
                <w:color w:val="auto"/>
                <w:spacing w:val="-2"/>
                <w:sz w:val="14"/>
                <w:szCs w:val="18"/>
                <w:lang w:val="en-US" w:eastAsia="pt-BR"/>
              </w:rPr>
            </w:pPr>
            <w:r w:rsidRPr="00B84B0C">
              <w:rPr>
                <w:rFonts w:eastAsia="Times New Roman" w:cs="Arial"/>
                <w:bCs w:val="0"/>
                <w:color w:val="auto"/>
                <w:spacing w:val="-2"/>
                <w:sz w:val="14"/>
                <w:szCs w:val="18"/>
                <w:lang w:val="en-US" w:eastAsia="pt-BR"/>
              </w:rPr>
              <w:t xml:space="preserve">Net income attributable to BB </w:t>
            </w:r>
            <w:proofErr w:type="spellStart"/>
            <w:r w:rsidRPr="00B84B0C">
              <w:rPr>
                <w:rFonts w:eastAsia="Times New Roman" w:cs="Arial"/>
                <w:bCs w:val="0"/>
                <w:color w:val="auto"/>
                <w:spacing w:val="-2"/>
                <w:sz w:val="14"/>
                <w:szCs w:val="18"/>
                <w:lang w:val="en-US" w:eastAsia="pt-BR"/>
              </w:rPr>
              <w:t>Seguridade</w:t>
            </w:r>
            <w:proofErr w:type="spellEnd"/>
          </w:p>
        </w:tc>
        <w:tc>
          <w:tcPr>
            <w:tcW w:w="1927" w:type="dxa"/>
            <w:tcBorders>
              <w:top w:val="nil"/>
              <w:left w:val="nil"/>
              <w:bottom w:val="nil"/>
              <w:right w:val="nil"/>
            </w:tcBorders>
            <w:vAlign w:val="center"/>
          </w:tcPr>
          <w:p w14:paraId="2F03162D"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15,257</w:t>
            </w:r>
          </w:p>
        </w:tc>
        <w:tc>
          <w:tcPr>
            <w:tcW w:w="1927" w:type="dxa"/>
            <w:tcBorders>
              <w:top w:val="nil"/>
              <w:left w:val="nil"/>
              <w:bottom w:val="nil"/>
              <w:right w:val="nil"/>
            </w:tcBorders>
            <w:vAlign w:val="center"/>
          </w:tcPr>
          <w:p w14:paraId="2476971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215,094</w:t>
            </w:r>
          </w:p>
        </w:tc>
        <w:tc>
          <w:tcPr>
            <w:tcW w:w="2036" w:type="dxa"/>
            <w:tcBorders>
              <w:top w:val="nil"/>
              <w:left w:val="nil"/>
              <w:bottom w:val="nil"/>
              <w:right w:val="nil"/>
            </w:tcBorders>
            <w:vAlign w:val="center"/>
          </w:tcPr>
          <w:p w14:paraId="748EFF8E"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229,553</w:t>
            </w:r>
          </w:p>
        </w:tc>
      </w:tr>
      <w:tr w:rsidR="00736E78" w:rsidRPr="00B84B0C" w14:paraId="436041C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nil"/>
              <w:right w:val="nil"/>
            </w:tcBorders>
            <w:hideMark/>
          </w:tcPr>
          <w:p w14:paraId="62F76D0B" w14:textId="77777777" w:rsidR="00736E78" w:rsidRPr="00B84B0C" w:rsidRDefault="00736E78" w:rsidP="00736E78">
            <w:pPr>
              <w:rPr>
                <w:rFonts w:eastAsia="Times New Roman" w:cs="Arial"/>
                <w:b w:val="0"/>
                <w:bCs w:val="0"/>
                <w:color w:val="auto"/>
                <w:spacing w:val="-2"/>
                <w:sz w:val="14"/>
                <w:szCs w:val="18"/>
                <w:lang w:val="en-US" w:eastAsia="pt-BR"/>
              </w:rPr>
            </w:pPr>
            <w:r w:rsidRPr="00B84B0C">
              <w:rPr>
                <w:rFonts w:eastAsia="Times New Roman" w:cs="Arial"/>
                <w:b w:val="0"/>
                <w:bCs w:val="0"/>
                <w:color w:val="auto"/>
                <w:spacing w:val="-2"/>
                <w:sz w:val="14"/>
                <w:szCs w:val="18"/>
                <w:lang w:val="en-US" w:eastAsia="pt-BR"/>
              </w:rPr>
              <w:t>Adjustments of the business combination</w:t>
            </w:r>
          </w:p>
        </w:tc>
        <w:tc>
          <w:tcPr>
            <w:tcW w:w="1927" w:type="dxa"/>
            <w:tcBorders>
              <w:top w:val="nil"/>
              <w:left w:val="nil"/>
              <w:bottom w:val="nil"/>
              <w:right w:val="nil"/>
            </w:tcBorders>
            <w:vAlign w:val="center"/>
          </w:tcPr>
          <w:p w14:paraId="491F342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w:t>
            </w:r>
          </w:p>
        </w:tc>
        <w:tc>
          <w:tcPr>
            <w:tcW w:w="1927" w:type="dxa"/>
            <w:tcBorders>
              <w:top w:val="nil"/>
              <w:left w:val="nil"/>
              <w:bottom w:val="nil"/>
              <w:right w:val="nil"/>
            </w:tcBorders>
            <w:vAlign w:val="center"/>
          </w:tcPr>
          <w:p w14:paraId="4D21CC36"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w:t>
            </w:r>
          </w:p>
        </w:tc>
        <w:tc>
          <w:tcPr>
            <w:tcW w:w="2036" w:type="dxa"/>
            <w:tcBorders>
              <w:top w:val="nil"/>
              <w:left w:val="nil"/>
              <w:bottom w:val="nil"/>
              <w:right w:val="nil"/>
            </w:tcBorders>
            <w:vAlign w:val="center"/>
          </w:tcPr>
          <w:p w14:paraId="24A404FE"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6"/>
              </w:rPr>
            </w:pPr>
            <w:r w:rsidRPr="00B84B0C">
              <w:rPr>
                <w:rFonts w:cs="Arial"/>
                <w:sz w:val="14"/>
                <w:szCs w:val="14"/>
              </w:rPr>
              <w:t>(3,342)</w:t>
            </w:r>
          </w:p>
        </w:tc>
      </w:tr>
      <w:tr w:rsidR="00736E78" w:rsidRPr="00B84B0C" w14:paraId="7067974A"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749" w:type="dxa"/>
            <w:tcBorders>
              <w:top w:val="nil"/>
              <w:left w:val="nil"/>
              <w:bottom w:val="single" w:sz="2" w:space="0" w:color="8EAADB" w:themeColor="accent5" w:themeTint="99"/>
              <w:right w:val="nil"/>
            </w:tcBorders>
            <w:hideMark/>
          </w:tcPr>
          <w:p w14:paraId="5EC8C117" w14:textId="77777777" w:rsidR="00736E78" w:rsidRPr="00B84B0C" w:rsidRDefault="00736E78" w:rsidP="00736E78">
            <w:pPr>
              <w:rPr>
                <w:rFonts w:eastAsia="Times New Roman" w:cs="Arial"/>
                <w:bCs w:val="0"/>
                <w:color w:val="auto"/>
                <w:spacing w:val="-2"/>
                <w:sz w:val="14"/>
                <w:szCs w:val="18"/>
                <w:lang w:eastAsia="pt-BR"/>
              </w:rPr>
            </w:pPr>
            <w:proofErr w:type="spellStart"/>
            <w:r w:rsidRPr="00B84B0C">
              <w:rPr>
                <w:rFonts w:eastAsia="Times New Roman" w:cs="Arial"/>
                <w:bCs w:val="0"/>
                <w:color w:val="auto"/>
                <w:spacing w:val="-2"/>
                <w:sz w:val="14"/>
                <w:szCs w:val="18"/>
                <w:lang w:eastAsia="pt-BR"/>
              </w:rPr>
              <w:t>Equity</w:t>
            </w:r>
            <w:proofErr w:type="spellEnd"/>
            <w:r w:rsidRPr="00B84B0C">
              <w:rPr>
                <w:rFonts w:eastAsia="Times New Roman" w:cs="Arial"/>
                <w:bCs w:val="0"/>
                <w:color w:val="auto"/>
                <w:spacing w:val="-2"/>
                <w:sz w:val="14"/>
                <w:szCs w:val="18"/>
                <w:lang w:eastAsia="pt-BR"/>
              </w:rPr>
              <w:t xml:space="preserve"> income</w:t>
            </w:r>
          </w:p>
        </w:tc>
        <w:tc>
          <w:tcPr>
            <w:tcW w:w="1927" w:type="dxa"/>
            <w:tcBorders>
              <w:top w:val="nil"/>
              <w:left w:val="nil"/>
              <w:bottom w:val="single" w:sz="2" w:space="0" w:color="8EAADB" w:themeColor="accent5" w:themeTint="99"/>
              <w:right w:val="nil"/>
            </w:tcBorders>
            <w:vAlign w:val="center"/>
          </w:tcPr>
          <w:p w14:paraId="56A47FF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15,257</w:t>
            </w:r>
          </w:p>
        </w:tc>
        <w:tc>
          <w:tcPr>
            <w:tcW w:w="1927" w:type="dxa"/>
            <w:tcBorders>
              <w:top w:val="nil"/>
              <w:left w:val="nil"/>
              <w:bottom w:val="single" w:sz="2" w:space="0" w:color="8EAADB" w:themeColor="accent5" w:themeTint="99"/>
              <w:right w:val="nil"/>
            </w:tcBorders>
            <w:vAlign w:val="center"/>
          </w:tcPr>
          <w:p w14:paraId="7FCE4D84"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215,094</w:t>
            </w:r>
          </w:p>
        </w:tc>
        <w:tc>
          <w:tcPr>
            <w:tcW w:w="2036" w:type="dxa"/>
            <w:tcBorders>
              <w:top w:val="nil"/>
              <w:left w:val="nil"/>
              <w:bottom w:val="single" w:sz="2" w:space="0" w:color="8EAADB" w:themeColor="accent5" w:themeTint="99"/>
              <w:right w:val="nil"/>
            </w:tcBorders>
            <w:vAlign w:val="center"/>
          </w:tcPr>
          <w:p w14:paraId="2880CDE5"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6"/>
              </w:rPr>
            </w:pPr>
            <w:r w:rsidRPr="00B84B0C">
              <w:rPr>
                <w:rFonts w:cs="Arial"/>
                <w:b/>
                <w:bCs/>
                <w:sz w:val="14"/>
                <w:szCs w:val="14"/>
              </w:rPr>
              <w:t>226,211</w:t>
            </w:r>
          </w:p>
        </w:tc>
      </w:tr>
    </w:tbl>
    <w:p w14:paraId="5123EE90" w14:textId="77777777" w:rsidR="00736E78" w:rsidRPr="00B84B0C" w:rsidRDefault="00736E78" w:rsidP="00736E78">
      <w:pPr>
        <w:pStyle w:val="PargrafodaLista"/>
        <w:numPr>
          <w:ilvl w:val="0"/>
          <w:numId w:val="36"/>
        </w:numPr>
        <w:spacing w:after="160" w:line="256" w:lineRule="auto"/>
        <w:rPr>
          <w:rStyle w:val="hps"/>
          <w:rFonts w:ascii="Arial" w:eastAsia="Times New Roman" w:hAnsi="Arial" w:cs="Arial"/>
          <w:spacing w:val="-2"/>
          <w:sz w:val="14"/>
          <w:szCs w:val="18"/>
          <w:lang w:val="en-US" w:eastAsia="pt-BR"/>
        </w:rPr>
      </w:pPr>
      <w:r w:rsidRPr="00B84B0C">
        <w:rPr>
          <w:rStyle w:val="hps"/>
          <w:rFonts w:ascii="Arial" w:eastAsia="Times New Roman" w:hAnsi="Arial" w:cs="Arial"/>
          <w:spacing w:val="-2"/>
          <w:sz w:val="14"/>
          <w:szCs w:val="18"/>
          <w:lang w:val="en" w:eastAsia="pt-BR"/>
        </w:rPr>
        <w:t>It presents the consolidated</w:t>
      </w:r>
      <w:r w:rsidRPr="00B84B0C">
        <w:rPr>
          <w:rStyle w:val="hps"/>
          <w:rFonts w:ascii="Arial" w:eastAsia="Times New Roman" w:hAnsi="Arial" w:cs="Arial"/>
          <w:spacing w:val="-2"/>
          <w:sz w:val="14"/>
          <w:szCs w:val="18"/>
          <w:lang w:val="en-US" w:eastAsia="pt-BR"/>
        </w:rPr>
        <w:t xml:space="preserve"> </w:t>
      </w:r>
      <w:r w:rsidRPr="00B84B0C">
        <w:rPr>
          <w:rStyle w:val="hps"/>
          <w:rFonts w:ascii="Arial" w:eastAsia="Times New Roman" w:hAnsi="Arial" w:cs="Arial"/>
          <w:spacing w:val="-2"/>
          <w:sz w:val="14"/>
          <w:szCs w:val="18"/>
          <w:lang w:val="en" w:eastAsia="pt-BR"/>
        </w:rPr>
        <w:t>balances</w:t>
      </w:r>
      <w:r w:rsidRPr="00B84B0C">
        <w:rPr>
          <w:rStyle w:val="hps"/>
          <w:rFonts w:ascii="Arial" w:eastAsia="Times New Roman" w:hAnsi="Arial" w:cs="Arial"/>
          <w:spacing w:val="-2"/>
          <w:sz w:val="14"/>
          <w:szCs w:val="18"/>
          <w:lang w:val="en-US" w:eastAsia="pt-BR"/>
        </w:rPr>
        <w:t xml:space="preserve"> </w:t>
      </w:r>
      <w:r w:rsidRPr="00B84B0C">
        <w:rPr>
          <w:rStyle w:val="hps"/>
          <w:rFonts w:ascii="Arial" w:eastAsia="Times New Roman" w:hAnsi="Arial" w:cs="Arial"/>
          <w:spacing w:val="-2"/>
          <w:sz w:val="14"/>
          <w:szCs w:val="18"/>
          <w:lang w:val="en" w:eastAsia="pt-BR"/>
        </w:rPr>
        <w:t>of</w:t>
      </w:r>
      <w:r w:rsidRPr="00B84B0C">
        <w:rPr>
          <w:rStyle w:val="hps"/>
          <w:rFonts w:ascii="Arial" w:eastAsia="Times New Roman" w:hAnsi="Arial" w:cs="Arial"/>
          <w:spacing w:val="-2"/>
          <w:sz w:val="14"/>
          <w:szCs w:val="18"/>
          <w:lang w:val="en-US" w:eastAsia="pt-BR"/>
        </w:rPr>
        <w:t xml:space="preserve"> </w:t>
      </w:r>
      <w:r w:rsidRPr="00B84B0C">
        <w:rPr>
          <w:rStyle w:val="hps"/>
          <w:rFonts w:ascii="Arial" w:eastAsia="Times New Roman" w:hAnsi="Arial" w:cs="Arial"/>
          <w:spacing w:val="-2"/>
          <w:sz w:val="14"/>
          <w:szCs w:val="18"/>
          <w:lang w:val="en" w:eastAsia="pt-BR"/>
        </w:rPr>
        <w:t>BB</w:t>
      </w:r>
      <w:r w:rsidRPr="00B84B0C">
        <w:rPr>
          <w:rStyle w:val="hps"/>
          <w:rFonts w:ascii="Arial" w:eastAsia="Times New Roman" w:hAnsi="Arial" w:cs="Arial"/>
          <w:spacing w:val="-2"/>
          <w:sz w:val="14"/>
          <w:szCs w:val="18"/>
          <w:lang w:val="en-US" w:eastAsia="pt-BR"/>
        </w:rPr>
        <w:t xml:space="preserve"> </w:t>
      </w:r>
      <w:proofErr w:type="spellStart"/>
      <w:r w:rsidRPr="00B84B0C">
        <w:rPr>
          <w:rStyle w:val="hps"/>
          <w:rFonts w:ascii="Arial" w:eastAsia="Times New Roman" w:hAnsi="Arial" w:cs="Arial"/>
          <w:spacing w:val="-2"/>
          <w:sz w:val="14"/>
          <w:szCs w:val="18"/>
          <w:lang w:val="en" w:eastAsia="pt-BR"/>
        </w:rPr>
        <w:t>Mapfre</w:t>
      </w:r>
      <w:proofErr w:type="spellEnd"/>
      <w:r w:rsidRPr="00B84B0C">
        <w:rPr>
          <w:rStyle w:val="hps"/>
          <w:rFonts w:ascii="Arial" w:eastAsia="Times New Roman" w:hAnsi="Arial" w:cs="Arial"/>
          <w:spacing w:val="-2"/>
          <w:sz w:val="14"/>
          <w:szCs w:val="18"/>
          <w:lang w:val="en-US" w:eastAsia="pt-BR"/>
        </w:rPr>
        <w:t xml:space="preserve"> </w:t>
      </w:r>
      <w:proofErr w:type="spellStart"/>
      <w:r w:rsidRPr="00B84B0C">
        <w:rPr>
          <w:rStyle w:val="hps"/>
          <w:rFonts w:ascii="Arial" w:eastAsia="Times New Roman" w:hAnsi="Arial" w:cs="Arial"/>
          <w:spacing w:val="-2"/>
          <w:sz w:val="14"/>
          <w:szCs w:val="18"/>
          <w:lang w:val="en-US" w:eastAsia="pt-BR"/>
        </w:rPr>
        <w:t>Participações</w:t>
      </w:r>
      <w:proofErr w:type="spellEnd"/>
      <w:r w:rsidRPr="00B84B0C">
        <w:rPr>
          <w:rStyle w:val="hps"/>
          <w:rFonts w:ascii="Arial" w:eastAsia="Times New Roman" w:hAnsi="Arial" w:cs="Arial"/>
          <w:spacing w:val="-2"/>
          <w:sz w:val="14"/>
          <w:szCs w:val="18"/>
          <w:lang w:val="en-US" w:eastAsia="pt-BR"/>
        </w:rPr>
        <w:t>.</w:t>
      </w:r>
    </w:p>
    <w:p w14:paraId="6A83EDBD" w14:textId="77777777" w:rsidR="00736E78" w:rsidRPr="00B84B0C" w:rsidRDefault="00736E78" w:rsidP="00736E78">
      <w:pPr>
        <w:spacing w:after="0" w:line="240" w:lineRule="auto"/>
        <w:rPr>
          <w:rFonts w:eastAsia="Times New Roman" w:cs="Arial"/>
          <w:b/>
          <w:color w:val="1F4E79" w:themeColor="accent1" w:themeShade="80"/>
          <w:spacing w:val="-2"/>
          <w:szCs w:val="20"/>
          <w:lang w:val="en-US" w:eastAsia="pt-BR"/>
        </w:rPr>
      </w:pPr>
    </w:p>
    <w:p w14:paraId="62446D49" w14:textId="77777777" w:rsidR="00736E78" w:rsidRPr="00B84B0C" w:rsidRDefault="00736E78" w:rsidP="00736E78">
      <w:pPr>
        <w:keepNext/>
        <w:keepLines/>
        <w:pageBreakBefore/>
        <w:spacing w:after="0" w:line="240" w:lineRule="auto"/>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lastRenderedPageBreak/>
        <w:t>d.2) IRB Brasil Resseguros S.A.</w:t>
      </w:r>
    </w:p>
    <w:p w14:paraId="76216C7F" w14:textId="77777777" w:rsidR="00736E78" w:rsidRPr="00B84B0C" w:rsidRDefault="00736E78" w:rsidP="00736E78">
      <w:pPr>
        <w:pStyle w:val="06-Rmil"/>
        <w:ind w:right="-2"/>
        <w:rPr>
          <w:rFonts w:cs="Arial"/>
        </w:rPr>
      </w:pPr>
      <w:r w:rsidRPr="00B84B0C">
        <w:rPr>
          <w:rFonts w:cs="Arial"/>
        </w:rPr>
        <w:t>R$ </w:t>
      </w:r>
      <w:proofErr w:type="spellStart"/>
      <w:r w:rsidRPr="00B84B0C">
        <w:rPr>
          <w:rFonts w:cs="Arial"/>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62B9F3B2"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7B4C4250" w14:textId="77777777" w:rsidR="00736E78" w:rsidRPr="00B84B0C" w:rsidRDefault="00736E78" w:rsidP="00736E78">
            <w:pPr>
              <w:rPr>
                <w:rFonts w:cs="Arial"/>
                <w:sz w:val="14"/>
                <w:szCs w:val="14"/>
              </w:rPr>
            </w:pPr>
            <w:r w:rsidRPr="00B84B0C">
              <w:rPr>
                <w:rFonts w:cs="Arial"/>
                <w:sz w:val="14"/>
                <w:szCs w:val="14"/>
              </w:rPr>
              <w:t>IRB Brasil Resseguros S.A.</w:t>
            </w:r>
          </w:p>
        </w:tc>
        <w:tc>
          <w:tcPr>
            <w:tcW w:w="2126" w:type="dxa"/>
            <w:tcBorders>
              <w:top w:val="single" w:sz="2" w:space="0" w:color="8EAADB" w:themeColor="accent5" w:themeTint="99"/>
              <w:bottom w:val="single" w:sz="2" w:space="0" w:color="8EAADB" w:themeColor="accent5" w:themeTint="99"/>
            </w:tcBorders>
            <w:vAlign w:val="bottom"/>
          </w:tcPr>
          <w:p w14:paraId="3798F2C5"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2020</w:t>
            </w:r>
            <w:r w:rsidRPr="00B84B0C">
              <w:rPr>
                <w:rFonts w:cs="Arial"/>
                <w:sz w:val="14"/>
                <w:szCs w:val="14"/>
                <w:vertAlign w:val="superscript"/>
              </w:rPr>
              <w:t>(1)</w:t>
            </w:r>
          </w:p>
        </w:tc>
        <w:tc>
          <w:tcPr>
            <w:tcW w:w="2234" w:type="dxa"/>
            <w:tcBorders>
              <w:top w:val="single" w:sz="2" w:space="0" w:color="8EAADB" w:themeColor="accent5" w:themeTint="99"/>
              <w:bottom w:val="single" w:sz="2" w:space="0" w:color="8EAADB" w:themeColor="accent5" w:themeTint="99"/>
            </w:tcBorders>
            <w:vAlign w:val="bottom"/>
          </w:tcPr>
          <w:p w14:paraId="01A64537"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2019</w:t>
            </w:r>
          </w:p>
        </w:tc>
      </w:tr>
      <w:tr w:rsidR="00736E78" w:rsidRPr="00B84B0C" w14:paraId="609CF0CC"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vAlign w:val="center"/>
            <w:hideMark/>
          </w:tcPr>
          <w:p w14:paraId="12C6CDA8" w14:textId="77777777" w:rsidR="00736E78" w:rsidRPr="00B84B0C" w:rsidRDefault="00736E78" w:rsidP="00736E78">
            <w:pPr>
              <w:pStyle w:val="08-Tabelageral"/>
              <w:jc w:val="left"/>
              <w:rPr>
                <w:rFonts w:cs="Arial"/>
                <w:b w:val="0"/>
              </w:rPr>
            </w:pPr>
            <w:r w:rsidRPr="00B84B0C">
              <w:rPr>
                <w:rFonts w:cs="Arial"/>
              </w:rPr>
              <w:t xml:space="preserve">Income </w:t>
            </w:r>
          </w:p>
        </w:tc>
        <w:tc>
          <w:tcPr>
            <w:tcW w:w="2126" w:type="dxa"/>
            <w:tcBorders>
              <w:top w:val="single" w:sz="2" w:space="0" w:color="8EAADB" w:themeColor="accent5" w:themeTint="99"/>
              <w:left w:val="nil"/>
              <w:bottom w:val="nil"/>
              <w:right w:val="nil"/>
            </w:tcBorders>
            <w:vAlign w:val="center"/>
          </w:tcPr>
          <w:p w14:paraId="6FCC6AB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w:t>
            </w:r>
          </w:p>
        </w:tc>
        <w:tc>
          <w:tcPr>
            <w:tcW w:w="2234" w:type="dxa"/>
            <w:tcBorders>
              <w:top w:val="single" w:sz="2" w:space="0" w:color="8EAADB" w:themeColor="accent5" w:themeTint="99"/>
              <w:left w:val="nil"/>
              <w:bottom w:val="nil"/>
              <w:right w:val="nil"/>
            </w:tcBorders>
            <w:vAlign w:val="center"/>
          </w:tcPr>
          <w:p w14:paraId="1027C42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sz w:val="14"/>
                <w:szCs w:val="14"/>
              </w:rPr>
              <w:t>1,554,654</w:t>
            </w:r>
          </w:p>
        </w:tc>
      </w:tr>
      <w:tr w:rsidR="00736E78" w:rsidRPr="00B84B0C" w14:paraId="4CB2E956"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7FCE99C6" w14:textId="77777777" w:rsidR="00736E78" w:rsidRPr="00B84B0C" w:rsidRDefault="00736E78" w:rsidP="00736E78">
            <w:pPr>
              <w:pStyle w:val="08-Tabelageral"/>
              <w:jc w:val="left"/>
              <w:rPr>
                <w:rFonts w:cs="Arial"/>
                <w:b w:val="0"/>
              </w:rPr>
            </w:pPr>
            <w:proofErr w:type="spellStart"/>
            <w:r w:rsidRPr="00B84B0C">
              <w:rPr>
                <w:rFonts w:cs="Arial"/>
                <w:b w:val="0"/>
              </w:rPr>
              <w:t>Interest</w:t>
            </w:r>
            <w:proofErr w:type="spellEnd"/>
            <w:r w:rsidRPr="00B84B0C">
              <w:rPr>
                <w:rFonts w:cs="Arial"/>
                <w:b w:val="0"/>
              </w:rPr>
              <w:t xml:space="preserve"> income</w:t>
            </w:r>
          </w:p>
        </w:tc>
        <w:tc>
          <w:tcPr>
            <w:tcW w:w="2126" w:type="dxa"/>
            <w:tcBorders>
              <w:top w:val="nil"/>
              <w:left w:val="nil"/>
              <w:bottom w:val="nil"/>
              <w:right w:val="nil"/>
            </w:tcBorders>
            <w:vAlign w:val="center"/>
          </w:tcPr>
          <w:p w14:paraId="33EE2EB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w:t>
            </w:r>
          </w:p>
        </w:tc>
        <w:tc>
          <w:tcPr>
            <w:tcW w:w="2234" w:type="dxa"/>
            <w:tcBorders>
              <w:top w:val="nil"/>
              <w:left w:val="nil"/>
              <w:bottom w:val="nil"/>
              <w:right w:val="nil"/>
            </w:tcBorders>
            <w:vAlign w:val="center"/>
          </w:tcPr>
          <w:p w14:paraId="538266E9"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277,991</w:t>
            </w:r>
          </w:p>
        </w:tc>
      </w:tr>
      <w:tr w:rsidR="00736E78" w:rsidRPr="00B84B0C" w14:paraId="4422A18D"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06AE6947" w14:textId="77777777" w:rsidR="00736E78" w:rsidRPr="00B84B0C" w:rsidRDefault="00736E78" w:rsidP="00736E78">
            <w:pPr>
              <w:pStyle w:val="08-Tabelageral"/>
              <w:jc w:val="left"/>
              <w:rPr>
                <w:rFonts w:cs="Arial"/>
                <w:b w:val="0"/>
              </w:rPr>
            </w:pPr>
            <w:proofErr w:type="spellStart"/>
            <w:r w:rsidRPr="00B84B0C">
              <w:rPr>
                <w:rFonts w:cs="Arial"/>
                <w:b w:val="0"/>
              </w:rPr>
              <w:t>Interest</w:t>
            </w:r>
            <w:proofErr w:type="spellEnd"/>
            <w:r w:rsidRPr="00B84B0C">
              <w:rPr>
                <w:rFonts w:cs="Arial"/>
                <w:b w:val="0"/>
              </w:rPr>
              <w:t xml:space="preserve"> </w:t>
            </w:r>
            <w:proofErr w:type="spellStart"/>
            <w:r w:rsidRPr="00B84B0C">
              <w:rPr>
                <w:rFonts w:cs="Arial"/>
                <w:b w:val="0"/>
              </w:rPr>
              <w:t>expense</w:t>
            </w:r>
            <w:proofErr w:type="spellEnd"/>
          </w:p>
        </w:tc>
        <w:tc>
          <w:tcPr>
            <w:tcW w:w="2126" w:type="dxa"/>
            <w:tcBorders>
              <w:top w:val="nil"/>
              <w:left w:val="nil"/>
              <w:bottom w:val="nil"/>
              <w:right w:val="nil"/>
            </w:tcBorders>
            <w:vAlign w:val="center"/>
          </w:tcPr>
          <w:p w14:paraId="6C0984E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w:t>
            </w:r>
          </w:p>
        </w:tc>
        <w:tc>
          <w:tcPr>
            <w:tcW w:w="2234" w:type="dxa"/>
            <w:tcBorders>
              <w:top w:val="nil"/>
              <w:left w:val="nil"/>
              <w:bottom w:val="nil"/>
              <w:right w:val="nil"/>
            </w:tcBorders>
            <w:vAlign w:val="center"/>
          </w:tcPr>
          <w:p w14:paraId="443BC5DE"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(93,514)</w:t>
            </w:r>
          </w:p>
        </w:tc>
      </w:tr>
      <w:tr w:rsidR="00736E78" w:rsidRPr="00B84B0C" w14:paraId="4A8743FC" w14:textId="77777777" w:rsidTr="00736E78">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7F9C7822" w14:textId="77777777" w:rsidR="00736E78" w:rsidRPr="00B84B0C" w:rsidRDefault="00736E78" w:rsidP="00736E78">
            <w:pPr>
              <w:pStyle w:val="08-Tabelageral"/>
              <w:jc w:val="left"/>
              <w:rPr>
                <w:rFonts w:cs="Arial"/>
                <w:b w:val="0"/>
              </w:rPr>
            </w:pPr>
            <w:proofErr w:type="spellStart"/>
            <w:r w:rsidRPr="00B84B0C">
              <w:rPr>
                <w:rFonts w:cs="Arial"/>
                <w:b w:val="0"/>
              </w:rPr>
              <w:t>Depreciation</w:t>
            </w:r>
            <w:proofErr w:type="spellEnd"/>
            <w:r w:rsidRPr="00B84B0C">
              <w:rPr>
                <w:rFonts w:cs="Arial"/>
                <w:b w:val="0"/>
              </w:rPr>
              <w:t xml:space="preserve"> </w:t>
            </w:r>
            <w:proofErr w:type="spellStart"/>
            <w:r w:rsidRPr="00B84B0C">
              <w:rPr>
                <w:rFonts w:cs="Arial"/>
                <w:b w:val="0"/>
              </w:rPr>
              <w:t>and</w:t>
            </w:r>
            <w:proofErr w:type="spellEnd"/>
            <w:r w:rsidRPr="00B84B0C">
              <w:rPr>
                <w:rFonts w:cs="Arial"/>
                <w:b w:val="0"/>
              </w:rPr>
              <w:t xml:space="preserve"> </w:t>
            </w:r>
            <w:proofErr w:type="spellStart"/>
            <w:r w:rsidRPr="00B84B0C">
              <w:rPr>
                <w:rFonts w:cs="Arial"/>
                <w:b w:val="0"/>
              </w:rPr>
              <w:t>amortization</w:t>
            </w:r>
            <w:proofErr w:type="spellEnd"/>
          </w:p>
        </w:tc>
        <w:tc>
          <w:tcPr>
            <w:tcW w:w="2126" w:type="dxa"/>
            <w:tcBorders>
              <w:top w:val="nil"/>
              <w:left w:val="nil"/>
              <w:bottom w:val="nil"/>
              <w:right w:val="nil"/>
            </w:tcBorders>
            <w:vAlign w:val="center"/>
          </w:tcPr>
          <w:p w14:paraId="30B9AF5B"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w:t>
            </w:r>
          </w:p>
        </w:tc>
        <w:tc>
          <w:tcPr>
            <w:tcW w:w="2234" w:type="dxa"/>
            <w:tcBorders>
              <w:top w:val="nil"/>
              <w:left w:val="nil"/>
              <w:bottom w:val="nil"/>
              <w:right w:val="nil"/>
            </w:tcBorders>
            <w:vAlign w:val="center"/>
          </w:tcPr>
          <w:p w14:paraId="5E890B6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(10,765)</w:t>
            </w:r>
          </w:p>
        </w:tc>
      </w:tr>
      <w:tr w:rsidR="00736E78" w:rsidRPr="00B84B0C" w14:paraId="4648E68C"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42480505" w14:textId="77777777" w:rsidR="00736E78" w:rsidRPr="00B84B0C" w:rsidRDefault="00736E78" w:rsidP="00736E78">
            <w:pPr>
              <w:pStyle w:val="08-Tabelageral"/>
              <w:jc w:val="left"/>
              <w:rPr>
                <w:rFonts w:cs="Arial"/>
                <w:b w:val="0"/>
                <w:lang w:val="en-US"/>
              </w:rPr>
            </w:pPr>
            <w:r w:rsidRPr="00B84B0C">
              <w:rPr>
                <w:rFonts w:cs="Arial"/>
                <w:b w:val="0"/>
                <w:lang w:val="en-US"/>
              </w:rPr>
              <w:t xml:space="preserve">Income tax and social contribution </w:t>
            </w:r>
          </w:p>
        </w:tc>
        <w:tc>
          <w:tcPr>
            <w:tcW w:w="2126" w:type="dxa"/>
            <w:tcBorders>
              <w:top w:val="nil"/>
              <w:left w:val="nil"/>
              <w:bottom w:val="nil"/>
              <w:right w:val="nil"/>
            </w:tcBorders>
            <w:vAlign w:val="center"/>
          </w:tcPr>
          <w:p w14:paraId="5FF56EE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w:t>
            </w:r>
          </w:p>
        </w:tc>
        <w:tc>
          <w:tcPr>
            <w:tcW w:w="2234" w:type="dxa"/>
            <w:tcBorders>
              <w:top w:val="nil"/>
              <w:left w:val="nil"/>
              <w:bottom w:val="nil"/>
              <w:right w:val="nil"/>
            </w:tcBorders>
            <w:vAlign w:val="center"/>
          </w:tcPr>
          <w:p w14:paraId="65AD595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(71,778)</w:t>
            </w:r>
          </w:p>
        </w:tc>
      </w:tr>
      <w:tr w:rsidR="00736E78" w:rsidRPr="00B84B0C" w14:paraId="2259BB75" w14:textId="77777777" w:rsidTr="00736E78">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75C16C70" w14:textId="77777777" w:rsidR="00736E78" w:rsidRPr="00B84B0C" w:rsidRDefault="00736E78" w:rsidP="00736E78">
            <w:pPr>
              <w:pStyle w:val="08-Tabelageral"/>
              <w:jc w:val="left"/>
              <w:rPr>
                <w:rFonts w:cs="Arial"/>
                <w:b w:val="0"/>
                <w:lang w:val="en-US"/>
              </w:rPr>
            </w:pPr>
            <w:r w:rsidRPr="00B84B0C">
              <w:rPr>
                <w:rFonts w:cs="Arial"/>
                <w:lang w:val="en-US"/>
              </w:rPr>
              <w:t>Net income for the period</w:t>
            </w:r>
          </w:p>
        </w:tc>
        <w:tc>
          <w:tcPr>
            <w:tcW w:w="2126" w:type="dxa"/>
            <w:tcBorders>
              <w:top w:val="nil"/>
              <w:left w:val="nil"/>
              <w:bottom w:val="nil"/>
              <w:right w:val="nil"/>
            </w:tcBorders>
            <w:vAlign w:val="center"/>
          </w:tcPr>
          <w:p w14:paraId="1869EDE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w:t>
            </w:r>
          </w:p>
        </w:tc>
        <w:tc>
          <w:tcPr>
            <w:tcW w:w="2234" w:type="dxa"/>
            <w:tcBorders>
              <w:top w:val="nil"/>
              <w:left w:val="nil"/>
              <w:bottom w:val="nil"/>
              <w:right w:val="nil"/>
            </w:tcBorders>
            <w:vAlign w:val="center"/>
          </w:tcPr>
          <w:p w14:paraId="32D7F83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sz w:val="14"/>
                <w:szCs w:val="14"/>
              </w:rPr>
              <w:t>350,206</w:t>
            </w:r>
          </w:p>
        </w:tc>
      </w:tr>
      <w:tr w:rsidR="00736E78" w:rsidRPr="00B84B0C" w14:paraId="52B85318"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677945CD" w14:textId="77777777" w:rsidR="00736E78" w:rsidRPr="00B84B0C" w:rsidRDefault="00736E78" w:rsidP="00736E78">
            <w:pPr>
              <w:pStyle w:val="08-Tabelageral"/>
              <w:jc w:val="left"/>
              <w:rPr>
                <w:rFonts w:cs="Arial"/>
                <w:b w:val="0"/>
              </w:rPr>
            </w:pPr>
            <w:r w:rsidRPr="00B84B0C">
              <w:rPr>
                <w:rFonts w:cs="Arial"/>
                <w:b w:val="0"/>
              </w:rPr>
              <w:t xml:space="preserve">Other </w:t>
            </w:r>
            <w:proofErr w:type="spellStart"/>
            <w:r w:rsidRPr="00B84B0C">
              <w:rPr>
                <w:rFonts w:cs="Arial"/>
                <w:b w:val="0"/>
              </w:rPr>
              <w:t>comprehensive</w:t>
            </w:r>
            <w:proofErr w:type="spellEnd"/>
            <w:r w:rsidRPr="00B84B0C">
              <w:rPr>
                <w:rFonts w:cs="Arial"/>
                <w:b w:val="0"/>
              </w:rPr>
              <w:t xml:space="preserve"> income</w:t>
            </w:r>
          </w:p>
        </w:tc>
        <w:tc>
          <w:tcPr>
            <w:tcW w:w="2126" w:type="dxa"/>
            <w:tcBorders>
              <w:top w:val="nil"/>
              <w:left w:val="nil"/>
              <w:bottom w:val="nil"/>
              <w:right w:val="nil"/>
            </w:tcBorders>
            <w:vAlign w:val="center"/>
          </w:tcPr>
          <w:p w14:paraId="3277C28F"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eastAsia="Times New Roman" w:cs="Arial"/>
                <w:spacing w:val="-2"/>
                <w:sz w:val="14"/>
                <w:szCs w:val="18"/>
              </w:rPr>
              <w:t>--</w:t>
            </w:r>
          </w:p>
        </w:tc>
        <w:tc>
          <w:tcPr>
            <w:tcW w:w="2234" w:type="dxa"/>
            <w:tcBorders>
              <w:top w:val="nil"/>
              <w:left w:val="nil"/>
              <w:bottom w:val="nil"/>
              <w:right w:val="nil"/>
            </w:tcBorders>
            <w:vAlign w:val="center"/>
          </w:tcPr>
          <w:p w14:paraId="376FAFCE"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(41,192)</w:t>
            </w:r>
          </w:p>
        </w:tc>
      </w:tr>
      <w:tr w:rsidR="00736E78" w:rsidRPr="00B84B0C" w14:paraId="638FFB77" w14:textId="77777777" w:rsidTr="00736E78">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045890B8" w14:textId="77777777" w:rsidR="00736E78" w:rsidRPr="00B84B0C" w:rsidRDefault="00736E78" w:rsidP="00736E78">
            <w:pPr>
              <w:pStyle w:val="08-Tabelageral"/>
              <w:jc w:val="left"/>
              <w:rPr>
                <w:rFonts w:cs="Arial"/>
                <w:b w:val="0"/>
                <w:lang w:val="en-US"/>
              </w:rPr>
            </w:pPr>
            <w:r w:rsidRPr="00B84B0C">
              <w:rPr>
                <w:rFonts w:cs="Arial"/>
                <w:lang w:val="en-US"/>
              </w:rPr>
              <w:t>Comprehensive income in the period</w:t>
            </w:r>
          </w:p>
        </w:tc>
        <w:tc>
          <w:tcPr>
            <w:tcW w:w="2126" w:type="dxa"/>
            <w:tcBorders>
              <w:top w:val="nil"/>
              <w:left w:val="nil"/>
              <w:bottom w:val="nil"/>
              <w:right w:val="nil"/>
            </w:tcBorders>
            <w:vAlign w:val="center"/>
          </w:tcPr>
          <w:p w14:paraId="54B4A3E1"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w:t>
            </w:r>
          </w:p>
        </w:tc>
        <w:tc>
          <w:tcPr>
            <w:tcW w:w="2234" w:type="dxa"/>
            <w:tcBorders>
              <w:top w:val="nil"/>
              <w:left w:val="nil"/>
              <w:bottom w:val="nil"/>
              <w:right w:val="nil"/>
            </w:tcBorders>
            <w:vAlign w:val="center"/>
          </w:tcPr>
          <w:p w14:paraId="30FFE20E"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sz w:val="14"/>
                <w:szCs w:val="14"/>
              </w:rPr>
              <w:t>309,014</w:t>
            </w:r>
          </w:p>
        </w:tc>
      </w:tr>
      <w:tr w:rsidR="00736E78" w:rsidRPr="00B84B0C" w14:paraId="21DE3236"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25AEEFE8" w14:textId="77777777" w:rsidR="00736E78" w:rsidRPr="00B84B0C" w:rsidRDefault="00736E78" w:rsidP="00736E78">
            <w:pPr>
              <w:pStyle w:val="08-Tabelageral"/>
              <w:jc w:val="left"/>
              <w:rPr>
                <w:rFonts w:cs="Arial"/>
                <w:lang w:val="en-US"/>
              </w:rPr>
            </w:pPr>
            <w:r w:rsidRPr="00B84B0C">
              <w:rPr>
                <w:rFonts w:cs="Arial"/>
                <w:lang w:val="en-US"/>
              </w:rPr>
              <w:t xml:space="preserve">Net income attributable to BB </w:t>
            </w:r>
            <w:proofErr w:type="spellStart"/>
            <w:r w:rsidRPr="00B84B0C">
              <w:rPr>
                <w:rFonts w:cs="Arial"/>
                <w:lang w:val="en-US"/>
              </w:rPr>
              <w:t>Seguridade</w:t>
            </w:r>
            <w:proofErr w:type="spellEnd"/>
          </w:p>
        </w:tc>
        <w:tc>
          <w:tcPr>
            <w:tcW w:w="2126" w:type="dxa"/>
            <w:tcBorders>
              <w:top w:val="nil"/>
              <w:left w:val="nil"/>
              <w:bottom w:val="nil"/>
              <w:right w:val="nil"/>
            </w:tcBorders>
            <w:vAlign w:val="center"/>
          </w:tcPr>
          <w:p w14:paraId="43364B6E"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w:t>
            </w:r>
          </w:p>
        </w:tc>
        <w:tc>
          <w:tcPr>
            <w:tcW w:w="2234" w:type="dxa"/>
            <w:tcBorders>
              <w:top w:val="nil"/>
              <w:left w:val="nil"/>
              <w:bottom w:val="nil"/>
              <w:right w:val="nil"/>
            </w:tcBorders>
            <w:vAlign w:val="center"/>
          </w:tcPr>
          <w:p w14:paraId="14F8A4F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sz w:val="14"/>
                <w:szCs w:val="14"/>
              </w:rPr>
              <w:t>53,339</w:t>
            </w:r>
          </w:p>
        </w:tc>
      </w:tr>
      <w:tr w:rsidR="00736E78" w:rsidRPr="00B84B0C" w14:paraId="1B62B6A9" w14:textId="77777777" w:rsidTr="00736E78">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64391336" w14:textId="77777777" w:rsidR="00736E78" w:rsidRPr="00B84B0C" w:rsidRDefault="00736E78" w:rsidP="00736E78">
            <w:pPr>
              <w:pStyle w:val="08-Tabelageral"/>
              <w:jc w:val="left"/>
              <w:rPr>
                <w:rFonts w:cs="Arial"/>
                <w:b w:val="0"/>
              </w:rPr>
            </w:pPr>
            <w:r w:rsidRPr="00B84B0C">
              <w:rPr>
                <w:rFonts w:cs="Arial"/>
                <w:b w:val="0"/>
              </w:rPr>
              <w:t xml:space="preserve">Other </w:t>
            </w:r>
            <w:proofErr w:type="spellStart"/>
            <w:r w:rsidRPr="00B84B0C">
              <w:rPr>
                <w:rFonts w:cs="Arial"/>
                <w:b w:val="0"/>
              </w:rPr>
              <w:t>adjustments</w:t>
            </w:r>
            <w:proofErr w:type="spellEnd"/>
          </w:p>
        </w:tc>
        <w:tc>
          <w:tcPr>
            <w:tcW w:w="2126" w:type="dxa"/>
            <w:tcBorders>
              <w:top w:val="nil"/>
              <w:left w:val="nil"/>
              <w:bottom w:val="nil"/>
              <w:right w:val="nil"/>
            </w:tcBorders>
            <w:vAlign w:val="center"/>
          </w:tcPr>
          <w:p w14:paraId="7CA2F76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8"/>
              </w:rPr>
            </w:pPr>
            <w:r w:rsidRPr="00B84B0C">
              <w:rPr>
                <w:rFonts w:eastAsia="Times New Roman" w:cs="Arial"/>
                <w:bCs/>
                <w:spacing w:val="-2"/>
                <w:sz w:val="14"/>
                <w:szCs w:val="18"/>
              </w:rPr>
              <w:t>--</w:t>
            </w:r>
          </w:p>
        </w:tc>
        <w:tc>
          <w:tcPr>
            <w:tcW w:w="2234" w:type="dxa"/>
            <w:tcBorders>
              <w:top w:val="nil"/>
              <w:left w:val="nil"/>
              <w:bottom w:val="nil"/>
              <w:right w:val="nil"/>
            </w:tcBorders>
            <w:vAlign w:val="center"/>
          </w:tcPr>
          <w:p w14:paraId="12F9FCC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8"/>
              </w:rPr>
            </w:pPr>
            <w:r w:rsidRPr="00B84B0C">
              <w:rPr>
                <w:rFonts w:cs="Arial"/>
                <w:bCs/>
                <w:sz w:val="14"/>
                <w:szCs w:val="14"/>
              </w:rPr>
              <w:t>(3,896)</w:t>
            </w:r>
          </w:p>
        </w:tc>
      </w:tr>
      <w:tr w:rsidR="00736E78" w:rsidRPr="00B84B0C" w14:paraId="6F7D12D4"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vAlign w:val="center"/>
            <w:hideMark/>
          </w:tcPr>
          <w:p w14:paraId="35062180" w14:textId="77777777" w:rsidR="00736E78" w:rsidRPr="00B84B0C" w:rsidRDefault="00736E78" w:rsidP="00736E78">
            <w:pPr>
              <w:pStyle w:val="08-Tabelageral"/>
              <w:jc w:val="left"/>
              <w:rPr>
                <w:rFonts w:cs="Arial"/>
                <w:b w:val="0"/>
              </w:rPr>
            </w:pPr>
            <w:proofErr w:type="spellStart"/>
            <w:r w:rsidRPr="00B84B0C">
              <w:rPr>
                <w:rFonts w:cs="Arial"/>
              </w:rPr>
              <w:t>Equity</w:t>
            </w:r>
            <w:proofErr w:type="spellEnd"/>
            <w:r w:rsidRPr="00B84B0C">
              <w:rPr>
                <w:rFonts w:cs="Arial"/>
              </w:rPr>
              <w:t xml:space="preserve"> income</w:t>
            </w:r>
          </w:p>
        </w:tc>
        <w:tc>
          <w:tcPr>
            <w:tcW w:w="2126" w:type="dxa"/>
            <w:tcBorders>
              <w:top w:val="nil"/>
              <w:left w:val="nil"/>
              <w:bottom w:val="single" w:sz="2" w:space="0" w:color="8EAADB" w:themeColor="accent5" w:themeTint="99"/>
              <w:right w:val="nil"/>
            </w:tcBorders>
            <w:vAlign w:val="center"/>
          </w:tcPr>
          <w:p w14:paraId="473FF68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eastAsia="Times New Roman" w:cs="Arial"/>
                <w:b/>
                <w:spacing w:val="-2"/>
                <w:sz w:val="14"/>
                <w:szCs w:val="18"/>
              </w:rPr>
              <w:t>--</w:t>
            </w:r>
          </w:p>
        </w:tc>
        <w:tc>
          <w:tcPr>
            <w:tcW w:w="2234" w:type="dxa"/>
            <w:tcBorders>
              <w:top w:val="nil"/>
              <w:left w:val="nil"/>
              <w:bottom w:val="single" w:sz="2" w:space="0" w:color="8EAADB" w:themeColor="accent5" w:themeTint="99"/>
              <w:right w:val="nil"/>
            </w:tcBorders>
            <w:vAlign w:val="center"/>
          </w:tcPr>
          <w:p w14:paraId="7BE085E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sz w:val="14"/>
                <w:szCs w:val="14"/>
              </w:rPr>
              <w:t>49,443</w:t>
            </w:r>
          </w:p>
        </w:tc>
      </w:tr>
    </w:tbl>
    <w:p w14:paraId="2C48463A" w14:textId="77777777" w:rsidR="00736E78" w:rsidRPr="00B84B0C" w:rsidRDefault="00736E78" w:rsidP="00736E78">
      <w:pPr>
        <w:pStyle w:val="07-Legenda"/>
        <w:rPr>
          <w:rFonts w:cs="Arial"/>
          <w:lang w:val="en-US"/>
        </w:rPr>
      </w:pPr>
      <w:r w:rsidRPr="00B84B0C">
        <w:rPr>
          <w:rStyle w:val="tlid-translation"/>
          <w:rFonts w:cs="Arial"/>
          <w:lang w:val="en"/>
        </w:rPr>
        <w:t xml:space="preserve">(1) On July 23, </w:t>
      </w:r>
      <w:proofErr w:type="gramStart"/>
      <w:r w:rsidRPr="00B84B0C">
        <w:rPr>
          <w:rStyle w:val="tlid-translation"/>
          <w:rFonts w:cs="Arial"/>
          <w:lang w:val="en"/>
        </w:rPr>
        <w:t>2019</w:t>
      </w:r>
      <w:proofErr w:type="gramEnd"/>
      <w:r w:rsidRPr="00B84B0C">
        <w:rPr>
          <w:rStyle w:val="tlid-translation"/>
          <w:rFonts w:cs="Arial"/>
          <w:lang w:val="en"/>
        </w:rPr>
        <w:t xml:space="preserve"> BB </w:t>
      </w:r>
      <w:proofErr w:type="spellStart"/>
      <w:r w:rsidRPr="00B84B0C">
        <w:rPr>
          <w:rStyle w:val="tlid-translation"/>
          <w:rFonts w:cs="Arial"/>
          <w:lang w:val="en"/>
        </w:rPr>
        <w:t>Seguros</w:t>
      </w:r>
      <w:proofErr w:type="spellEnd"/>
      <w:r w:rsidRPr="00B84B0C">
        <w:rPr>
          <w:rStyle w:val="tlid-translation"/>
          <w:rFonts w:cs="Arial"/>
          <w:lang w:val="en"/>
        </w:rPr>
        <w:t xml:space="preserve"> sold all the shares held in IRB-</w:t>
      </w:r>
      <w:proofErr w:type="spellStart"/>
      <w:r w:rsidRPr="00B84B0C">
        <w:rPr>
          <w:rStyle w:val="tlid-translation"/>
          <w:rFonts w:cs="Arial"/>
          <w:lang w:val="en"/>
        </w:rPr>
        <w:t>Brasil</w:t>
      </w:r>
      <w:proofErr w:type="spellEnd"/>
      <w:r w:rsidRPr="00B84B0C">
        <w:rPr>
          <w:rStyle w:val="tlid-translation"/>
          <w:rFonts w:cs="Arial"/>
          <w:lang w:val="en"/>
        </w:rPr>
        <w:t xml:space="preserve"> </w:t>
      </w:r>
      <w:proofErr w:type="spellStart"/>
      <w:r w:rsidRPr="00B84B0C">
        <w:rPr>
          <w:rStyle w:val="tlid-translation"/>
          <w:rFonts w:cs="Arial"/>
          <w:lang w:val="en"/>
        </w:rPr>
        <w:t>Resseguros</w:t>
      </w:r>
      <w:proofErr w:type="spellEnd"/>
      <w:r w:rsidRPr="00B84B0C">
        <w:rPr>
          <w:rStyle w:val="tlid-translation"/>
          <w:rFonts w:cs="Arial"/>
          <w:lang w:val="en"/>
        </w:rPr>
        <w:t xml:space="preserve"> S.A, as per Note 2.a.</w:t>
      </w:r>
    </w:p>
    <w:p w14:paraId="6BBAF89B" w14:textId="77777777" w:rsidR="00736E78" w:rsidRPr="00B84B0C" w:rsidRDefault="00736E78" w:rsidP="00736E78">
      <w:pPr>
        <w:spacing w:after="0" w:line="240" w:lineRule="auto"/>
        <w:rPr>
          <w:rFonts w:eastAsia="Times New Roman" w:cs="Arial"/>
          <w:spacing w:val="-2"/>
          <w:sz w:val="14"/>
          <w:szCs w:val="18"/>
          <w:lang w:val="en-US" w:eastAsia="pt-BR"/>
        </w:rPr>
      </w:pPr>
    </w:p>
    <w:p w14:paraId="7EE054D5" w14:textId="77777777" w:rsidR="00736E78" w:rsidRPr="00B84B0C" w:rsidRDefault="00736E78" w:rsidP="00736E78">
      <w:pPr>
        <w:spacing w:after="0" w:line="240" w:lineRule="auto"/>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t xml:space="preserve">d.3) </w:t>
      </w:r>
      <w:proofErr w:type="spellStart"/>
      <w:r w:rsidRPr="00B84B0C">
        <w:rPr>
          <w:rFonts w:eastAsia="Times New Roman" w:cs="Arial"/>
          <w:b/>
          <w:color w:val="1F4E79" w:themeColor="accent1" w:themeShade="80"/>
          <w:spacing w:val="-2"/>
          <w:sz w:val="20"/>
          <w:szCs w:val="20"/>
          <w:lang w:eastAsia="pt-BR"/>
        </w:rPr>
        <w:t>Brasilcap</w:t>
      </w:r>
      <w:proofErr w:type="spellEnd"/>
      <w:r w:rsidRPr="00B84B0C">
        <w:rPr>
          <w:rFonts w:eastAsia="Times New Roman" w:cs="Arial"/>
          <w:b/>
          <w:color w:val="1F4E79" w:themeColor="accent1" w:themeShade="80"/>
          <w:spacing w:val="-2"/>
          <w:sz w:val="20"/>
          <w:szCs w:val="20"/>
          <w:lang w:eastAsia="pt-BR"/>
        </w:rPr>
        <w:t xml:space="preserve"> Capitalização</w:t>
      </w:r>
    </w:p>
    <w:p w14:paraId="7F235966"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2AE10F5D"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0A299F29" w14:textId="77777777" w:rsidR="00736E78" w:rsidRPr="00B84B0C" w:rsidRDefault="00736E78" w:rsidP="00736E78">
            <w:pPr>
              <w:rPr>
                <w:rFonts w:cs="Arial"/>
                <w:sz w:val="14"/>
                <w:szCs w:val="14"/>
              </w:rPr>
            </w:pPr>
            <w:proofErr w:type="spellStart"/>
            <w:r w:rsidRPr="00B84B0C">
              <w:rPr>
                <w:rFonts w:cs="Arial"/>
                <w:sz w:val="14"/>
                <w:szCs w:val="14"/>
              </w:rPr>
              <w:t>Brasilcap</w:t>
            </w:r>
            <w:proofErr w:type="spellEnd"/>
            <w:r w:rsidRPr="00B84B0C">
              <w:rPr>
                <w:rFonts w:cs="Arial"/>
                <w:sz w:val="14"/>
                <w:szCs w:val="14"/>
              </w:rPr>
              <w:t xml:space="preserve"> Capitalização</w:t>
            </w:r>
          </w:p>
        </w:tc>
        <w:tc>
          <w:tcPr>
            <w:tcW w:w="2126" w:type="dxa"/>
            <w:tcBorders>
              <w:top w:val="single" w:sz="2" w:space="0" w:color="8EAADB" w:themeColor="accent5" w:themeTint="99"/>
              <w:bottom w:val="single" w:sz="2" w:space="0" w:color="8EAADB" w:themeColor="accent5" w:themeTint="99"/>
            </w:tcBorders>
            <w:vAlign w:val="bottom"/>
          </w:tcPr>
          <w:p w14:paraId="79CB9A2B"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2020</w:t>
            </w:r>
          </w:p>
        </w:tc>
        <w:tc>
          <w:tcPr>
            <w:tcW w:w="2234" w:type="dxa"/>
            <w:tcBorders>
              <w:top w:val="single" w:sz="2" w:space="0" w:color="8EAADB" w:themeColor="accent5" w:themeTint="99"/>
              <w:bottom w:val="single" w:sz="2" w:space="0" w:color="8EAADB" w:themeColor="accent5" w:themeTint="99"/>
            </w:tcBorders>
            <w:vAlign w:val="bottom"/>
          </w:tcPr>
          <w:p w14:paraId="12E65F42"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2019</w:t>
            </w:r>
          </w:p>
        </w:tc>
      </w:tr>
      <w:tr w:rsidR="00736E78" w:rsidRPr="00B84B0C" w14:paraId="474310CA"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171738F5" w14:textId="77777777" w:rsidR="00736E78" w:rsidRPr="00B84B0C" w:rsidRDefault="00736E78" w:rsidP="00736E78">
            <w:pPr>
              <w:pStyle w:val="08-Tabelageral"/>
              <w:jc w:val="left"/>
              <w:rPr>
                <w:rFonts w:cs="Arial"/>
                <w:color w:val="auto"/>
              </w:rPr>
            </w:pPr>
            <w:r w:rsidRPr="00B84B0C">
              <w:rPr>
                <w:rFonts w:cs="Arial"/>
                <w:color w:val="auto"/>
              </w:rPr>
              <w:t xml:space="preserve">Income </w:t>
            </w:r>
          </w:p>
        </w:tc>
        <w:tc>
          <w:tcPr>
            <w:tcW w:w="2126" w:type="dxa"/>
            <w:tcBorders>
              <w:top w:val="single" w:sz="2" w:space="0" w:color="8EAADB" w:themeColor="accent5" w:themeTint="99"/>
              <w:left w:val="nil"/>
              <w:bottom w:val="nil"/>
              <w:right w:val="nil"/>
            </w:tcBorders>
            <w:vAlign w:val="center"/>
          </w:tcPr>
          <w:p w14:paraId="70F0BE22"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B84B0C">
              <w:rPr>
                <w:rFonts w:cs="Arial"/>
                <w:b/>
                <w:sz w:val="14"/>
                <w:szCs w:val="14"/>
              </w:rPr>
              <w:t>1,023,778</w:t>
            </w:r>
          </w:p>
        </w:tc>
        <w:tc>
          <w:tcPr>
            <w:tcW w:w="2234" w:type="dxa"/>
            <w:tcBorders>
              <w:top w:val="single" w:sz="2" w:space="0" w:color="8EAADB" w:themeColor="accent5" w:themeTint="99"/>
              <w:left w:val="nil"/>
              <w:bottom w:val="nil"/>
              <w:right w:val="nil"/>
            </w:tcBorders>
            <w:vAlign w:val="center"/>
          </w:tcPr>
          <w:p w14:paraId="5EBB01D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sz w:val="14"/>
                <w:szCs w:val="14"/>
              </w:rPr>
              <w:t>1,222,376</w:t>
            </w:r>
          </w:p>
        </w:tc>
      </w:tr>
      <w:tr w:rsidR="00736E78" w:rsidRPr="00B84B0C" w14:paraId="7C904D2B"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2E7F43D" w14:textId="77777777" w:rsidR="00736E78" w:rsidRPr="00B84B0C" w:rsidRDefault="00736E78" w:rsidP="00736E78">
            <w:pPr>
              <w:pStyle w:val="08-Tabelageral"/>
              <w:jc w:val="left"/>
              <w:rPr>
                <w:rFonts w:cs="Arial"/>
                <w:b w:val="0"/>
                <w:color w:val="auto"/>
              </w:rPr>
            </w:pPr>
            <w:proofErr w:type="spellStart"/>
            <w:r w:rsidRPr="00B84B0C">
              <w:rPr>
                <w:rFonts w:cs="Arial"/>
                <w:b w:val="0"/>
                <w:color w:val="auto"/>
              </w:rPr>
              <w:t>Interest</w:t>
            </w:r>
            <w:proofErr w:type="spellEnd"/>
            <w:r w:rsidRPr="00B84B0C">
              <w:rPr>
                <w:rFonts w:cs="Arial"/>
                <w:b w:val="0"/>
                <w:color w:val="auto"/>
              </w:rPr>
              <w:t xml:space="preserve"> income</w:t>
            </w:r>
          </w:p>
        </w:tc>
        <w:tc>
          <w:tcPr>
            <w:tcW w:w="2126" w:type="dxa"/>
            <w:tcBorders>
              <w:top w:val="nil"/>
              <w:left w:val="nil"/>
              <w:bottom w:val="nil"/>
              <w:right w:val="nil"/>
            </w:tcBorders>
            <w:vAlign w:val="center"/>
          </w:tcPr>
          <w:p w14:paraId="4791C6B7"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sz w:val="14"/>
                <w:szCs w:val="14"/>
              </w:rPr>
              <w:t>181,769</w:t>
            </w:r>
          </w:p>
        </w:tc>
        <w:tc>
          <w:tcPr>
            <w:tcW w:w="2234" w:type="dxa"/>
            <w:tcBorders>
              <w:top w:val="nil"/>
              <w:left w:val="nil"/>
              <w:bottom w:val="nil"/>
              <w:right w:val="nil"/>
            </w:tcBorders>
            <w:vAlign w:val="center"/>
          </w:tcPr>
          <w:p w14:paraId="3E812C61"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pacing w:val="-2"/>
                <w:sz w:val="14"/>
                <w:szCs w:val="18"/>
              </w:rPr>
            </w:pPr>
            <w:r w:rsidRPr="00B84B0C">
              <w:rPr>
                <w:rFonts w:cs="Arial"/>
                <w:color w:val="000000"/>
                <w:sz w:val="14"/>
                <w:szCs w:val="14"/>
              </w:rPr>
              <w:t>243,992</w:t>
            </w:r>
          </w:p>
        </w:tc>
      </w:tr>
      <w:tr w:rsidR="00736E78" w:rsidRPr="00B84B0C" w14:paraId="731052B9"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6ED52D9" w14:textId="77777777" w:rsidR="00736E78" w:rsidRPr="00B84B0C" w:rsidRDefault="00736E78" w:rsidP="00736E78">
            <w:pPr>
              <w:pStyle w:val="08-Tabelageral"/>
              <w:jc w:val="left"/>
              <w:rPr>
                <w:rFonts w:cs="Arial"/>
                <w:b w:val="0"/>
                <w:color w:val="auto"/>
              </w:rPr>
            </w:pPr>
            <w:proofErr w:type="spellStart"/>
            <w:r w:rsidRPr="00B84B0C">
              <w:rPr>
                <w:rFonts w:cs="Arial"/>
                <w:b w:val="0"/>
                <w:color w:val="auto"/>
              </w:rPr>
              <w:t>Interest</w:t>
            </w:r>
            <w:proofErr w:type="spellEnd"/>
            <w:r w:rsidRPr="00B84B0C">
              <w:rPr>
                <w:rFonts w:cs="Arial"/>
                <w:b w:val="0"/>
                <w:color w:val="auto"/>
              </w:rPr>
              <w:t xml:space="preserve"> </w:t>
            </w:r>
            <w:proofErr w:type="spellStart"/>
            <w:r w:rsidRPr="00B84B0C">
              <w:rPr>
                <w:rFonts w:cs="Arial"/>
                <w:b w:val="0"/>
                <w:color w:val="auto"/>
              </w:rPr>
              <w:t>expense</w:t>
            </w:r>
            <w:proofErr w:type="spellEnd"/>
          </w:p>
        </w:tc>
        <w:tc>
          <w:tcPr>
            <w:tcW w:w="2126" w:type="dxa"/>
            <w:tcBorders>
              <w:top w:val="nil"/>
              <w:left w:val="nil"/>
              <w:bottom w:val="nil"/>
              <w:right w:val="nil"/>
            </w:tcBorders>
            <w:vAlign w:val="center"/>
          </w:tcPr>
          <w:p w14:paraId="19901BC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sz w:val="14"/>
                <w:szCs w:val="14"/>
              </w:rPr>
              <w:t>(135,493)</w:t>
            </w:r>
          </w:p>
        </w:tc>
        <w:tc>
          <w:tcPr>
            <w:tcW w:w="2234" w:type="dxa"/>
            <w:tcBorders>
              <w:top w:val="nil"/>
              <w:left w:val="nil"/>
              <w:bottom w:val="nil"/>
              <w:right w:val="nil"/>
            </w:tcBorders>
            <w:vAlign w:val="center"/>
          </w:tcPr>
          <w:p w14:paraId="4886B666"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pacing w:val="-2"/>
                <w:sz w:val="14"/>
                <w:szCs w:val="18"/>
              </w:rPr>
            </w:pPr>
            <w:r w:rsidRPr="00B84B0C">
              <w:rPr>
                <w:rFonts w:cs="Arial"/>
                <w:color w:val="000000"/>
                <w:sz w:val="14"/>
                <w:szCs w:val="14"/>
              </w:rPr>
              <w:t>(200,679)</w:t>
            </w:r>
          </w:p>
        </w:tc>
      </w:tr>
      <w:tr w:rsidR="00736E78" w:rsidRPr="00B84B0C" w14:paraId="4B5DA67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4428415" w14:textId="77777777" w:rsidR="00736E78" w:rsidRPr="00B84B0C" w:rsidRDefault="00736E78" w:rsidP="00736E78">
            <w:pPr>
              <w:pStyle w:val="08-Tabelageral"/>
              <w:jc w:val="left"/>
              <w:rPr>
                <w:rFonts w:cs="Arial"/>
                <w:b w:val="0"/>
                <w:color w:val="auto"/>
              </w:rPr>
            </w:pPr>
            <w:proofErr w:type="spellStart"/>
            <w:r w:rsidRPr="00B84B0C">
              <w:rPr>
                <w:rFonts w:cs="Arial"/>
                <w:b w:val="0"/>
                <w:color w:val="auto"/>
              </w:rPr>
              <w:t>Depreciation</w:t>
            </w:r>
            <w:proofErr w:type="spellEnd"/>
            <w:r w:rsidRPr="00B84B0C">
              <w:rPr>
                <w:rFonts w:cs="Arial"/>
                <w:b w:val="0"/>
                <w:color w:val="auto"/>
              </w:rPr>
              <w:t xml:space="preserve"> </w:t>
            </w:r>
            <w:proofErr w:type="spellStart"/>
            <w:r w:rsidRPr="00B84B0C">
              <w:rPr>
                <w:rFonts w:cs="Arial"/>
                <w:b w:val="0"/>
                <w:color w:val="auto"/>
              </w:rPr>
              <w:t>and</w:t>
            </w:r>
            <w:proofErr w:type="spellEnd"/>
            <w:r w:rsidRPr="00B84B0C">
              <w:rPr>
                <w:rFonts w:cs="Arial"/>
                <w:b w:val="0"/>
                <w:color w:val="auto"/>
              </w:rPr>
              <w:t xml:space="preserve"> </w:t>
            </w:r>
            <w:proofErr w:type="spellStart"/>
            <w:r w:rsidRPr="00B84B0C">
              <w:rPr>
                <w:rFonts w:cs="Arial"/>
                <w:b w:val="0"/>
                <w:color w:val="auto"/>
              </w:rPr>
              <w:t>amortization</w:t>
            </w:r>
            <w:proofErr w:type="spellEnd"/>
          </w:p>
        </w:tc>
        <w:tc>
          <w:tcPr>
            <w:tcW w:w="2126" w:type="dxa"/>
            <w:tcBorders>
              <w:top w:val="nil"/>
              <w:left w:val="nil"/>
              <w:bottom w:val="nil"/>
              <w:right w:val="nil"/>
            </w:tcBorders>
            <w:vAlign w:val="center"/>
          </w:tcPr>
          <w:p w14:paraId="16D203A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sz w:val="14"/>
                <w:szCs w:val="14"/>
              </w:rPr>
              <w:t>(218)</w:t>
            </w:r>
          </w:p>
        </w:tc>
        <w:tc>
          <w:tcPr>
            <w:tcW w:w="2234" w:type="dxa"/>
            <w:tcBorders>
              <w:top w:val="nil"/>
              <w:left w:val="nil"/>
              <w:bottom w:val="nil"/>
              <w:right w:val="nil"/>
            </w:tcBorders>
            <w:vAlign w:val="center"/>
          </w:tcPr>
          <w:p w14:paraId="11E2F85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pacing w:val="-2"/>
                <w:sz w:val="14"/>
                <w:szCs w:val="18"/>
              </w:rPr>
            </w:pPr>
            <w:r w:rsidRPr="00B84B0C">
              <w:rPr>
                <w:rFonts w:cs="Arial"/>
                <w:color w:val="000000"/>
                <w:sz w:val="14"/>
                <w:szCs w:val="14"/>
              </w:rPr>
              <w:t>(290)</w:t>
            </w:r>
          </w:p>
        </w:tc>
      </w:tr>
      <w:tr w:rsidR="00736E78" w:rsidRPr="00B84B0C" w14:paraId="72FF7053"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2C868BD" w14:textId="77777777" w:rsidR="00736E78" w:rsidRPr="00B84B0C" w:rsidRDefault="00736E78" w:rsidP="00736E78">
            <w:pPr>
              <w:pStyle w:val="08-Tabelageral"/>
              <w:jc w:val="left"/>
              <w:rPr>
                <w:rFonts w:cs="Arial"/>
                <w:b w:val="0"/>
                <w:color w:val="auto"/>
                <w:lang w:val="en-US"/>
              </w:rPr>
            </w:pPr>
            <w:r w:rsidRPr="00B84B0C">
              <w:rPr>
                <w:rFonts w:cs="Arial"/>
                <w:b w:val="0"/>
                <w:color w:val="auto"/>
                <w:lang w:val="en-US"/>
              </w:rPr>
              <w:t xml:space="preserve">Income tax and social contribution </w:t>
            </w:r>
          </w:p>
        </w:tc>
        <w:tc>
          <w:tcPr>
            <w:tcW w:w="2126" w:type="dxa"/>
            <w:tcBorders>
              <w:top w:val="nil"/>
              <w:left w:val="nil"/>
              <w:bottom w:val="nil"/>
              <w:right w:val="nil"/>
            </w:tcBorders>
            <w:vAlign w:val="center"/>
          </w:tcPr>
          <w:p w14:paraId="3D67135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sz w:val="14"/>
                <w:szCs w:val="14"/>
              </w:rPr>
              <w:t>(25,095)</w:t>
            </w:r>
          </w:p>
        </w:tc>
        <w:tc>
          <w:tcPr>
            <w:tcW w:w="2234" w:type="dxa"/>
            <w:tcBorders>
              <w:top w:val="nil"/>
              <w:left w:val="nil"/>
              <w:bottom w:val="nil"/>
              <w:right w:val="nil"/>
            </w:tcBorders>
            <w:vAlign w:val="center"/>
          </w:tcPr>
          <w:p w14:paraId="365EEEE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pacing w:val="-2"/>
                <w:sz w:val="14"/>
                <w:szCs w:val="18"/>
              </w:rPr>
            </w:pPr>
            <w:r w:rsidRPr="00B84B0C">
              <w:rPr>
                <w:rFonts w:cs="Arial"/>
                <w:color w:val="000000"/>
                <w:sz w:val="14"/>
                <w:szCs w:val="14"/>
              </w:rPr>
              <w:t>(22,087)</w:t>
            </w:r>
          </w:p>
        </w:tc>
      </w:tr>
      <w:tr w:rsidR="00736E78" w:rsidRPr="00B84B0C" w14:paraId="6D6E2861"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C8515A4" w14:textId="77777777" w:rsidR="00736E78" w:rsidRPr="00B84B0C" w:rsidRDefault="00736E78" w:rsidP="00736E78">
            <w:pPr>
              <w:pStyle w:val="08-Tabelageral"/>
              <w:jc w:val="left"/>
              <w:rPr>
                <w:rFonts w:cs="Arial"/>
                <w:color w:val="auto"/>
                <w:lang w:val="en-US"/>
              </w:rPr>
            </w:pPr>
            <w:r w:rsidRPr="00B84B0C">
              <w:rPr>
                <w:rFonts w:cs="Arial"/>
                <w:color w:val="auto"/>
                <w:lang w:val="en-US"/>
              </w:rPr>
              <w:t>Net income for the period</w:t>
            </w:r>
          </w:p>
        </w:tc>
        <w:tc>
          <w:tcPr>
            <w:tcW w:w="2126" w:type="dxa"/>
            <w:tcBorders>
              <w:top w:val="nil"/>
              <w:left w:val="nil"/>
              <w:bottom w:val="nil"/>
              <w:right w:val="nil"/>
            </w:tcBorders>
            <w:vAlign w:val="center"/>
          </w:tcPr>
          <w:p w14:paraId="289C073A"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sz w:val="14"/>
                <w:szCs w:val="14"/>
              </w:rPr>
              <w:t>37,874</w:t>
            </w:r>
          </w:p>
        </w:tc>
        <w:tc>
          <w:tcPr>
            <w:tcW w:w="2234" w:type="dxa"/>
            <w:tcBorders>
              <w:top w:val="nil"/>
              <w:left w:val="nil"/>
              <w:bottom w:val="nil"/>
              <w:right w:val="nil"/>
            </w:tcBorders>
            <w:vAlign w:val="center"/>
          </w:tcPr>
          <w:p w14:paraId="04CDFCF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spacing w:val="-2"/>
                <w:sz w:val="14"/>
                <w:szCs w:val="18"/>
              </w:rPr>
            </w:pPr>
            <w:r w:rsidRPr="00B84B0C">
              <w:rPr>
                <w:rFonts w:cs="Arial"/>
                <w:b/>
                <w:color w:val="000000"/>
                <w:sz w:val="14"/>
                <w:szCs w:val="14"/>
              </w:rPr>
              <w:t>32,120</w:t>
            </w:r>
          </w:p>
        </w:tc>
      </w:tr>
      <w:tr w:rsidR="00736E78" w:rsidRPr="00B84B0C" w14:paraId="089651DF"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610083A" w14:textId="77777777" w:rsidR="00736E78" w:rsidRPr="00B84B0C" w:rsidRDefault="00736E78" w:rsidP="00736E78">
            <w:pPr>
              <w:pStyle w:val="08-Tabelageral"/>
              <w:jc w:val="left"/>
              <w:rPr>
                <w:rFonts w:cs="Arial"/>
                <w:b w:val="0"/>
                <w:color w:val="auto"/>
              </w:rPr>
            </w:pPr>
            <w:r w:rsidRPr="00B84B0C">
              <w:rPr>
                <w:rFonts w:cs="Arial"/>
                <w:b w:val="0"/>
                <w:color w:val="auto"/>
              </w:rPr>
              <w:t xml:space="preserve">Other </w:t>
            </w:r>
            <w:proofErr w:type="spellStart"/>
            <w:r w:rsidRPr="00B84B0C">
              <w:rPr>
                <w:rFonts w:cs="Arial"/>
                <w:b w:val="0"/>
                <w:color w:val="auto"/>
              </w:rPr>
              <w:t>comprehensive</w:t>
            </w:r>
            <w:proofErr w:type="spellEnd"/>
            <w:r w:rsidRPr="00B84B0C">
              <w:rPr>
                <w:rFonts w:cs="Arial"/>
                <w:b w:val="0"/>
                <w:color w:val="auto"/>
              </w:rPr>
              <w:t xml:space="preserve"> income</w:t>
            </w:r>
          </w:p>
        </w:tc>
        <w:tc>
          <w:tcPr>
            <w:tcW w:w="2126" w:type="dxa"/>
            <w:tcBorders>
              <w:top w:val="nil"/>
              <w:left w:val="nil"/>
              <w:bottom w:val="nil"/>
              <w:right w:val="nil"/>
            </w:tcBorders>
            <w:vAlign w:val="center"/>
          </w:tcPr>
          <w:p w14:paraId="20185DA2"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rPr>
            </w:pPr>
            <w:r w:rsidRPr="00B84B0C">
              <w:rPr>
                <w:rFonts w:cs="Arial"/>
                <w:sz w:val="14"/>
                <w:szCs w:val="14"/>
              </w:rPr>
              <w:t>18,140</w:t>
            </w:r>
          </w:p>
        </w:tc>
        <w:tc>
          <w:tcPr>
            <w:tcW w:w="2234" w:type="dxa"/>
            <w:tcBorders>
              <w:top w:val="nil"/>
              <w:left w:val="nil"/>
              <w:bottom w:val="nil"/>
              <w:right w:val="nil"/>
            </w:tcBorders>
            <w:vAlign w:val="center"/>
          </w:tcPr>
          <w:p w14:paraId="61CCCB0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pacing w:val="-2"/>
                <w:sz w:val="14"/>
                <w:szCs w:val="18"/>
              </w:rPr>
            </w:pPr>
            <w:r w:rsidRPr="00B84B0C">
              <w:rPr>
                <w:rFonts w:cs="Arial"/>
                <w:color w:val="000000"/>
                <w:sz w:val="14"/>
                <w:szCs w:val="14"/>
              </w:rPr>
              <w:t>--</w:t>
            </w:r>
          </w:p>
        </w:tc>
      </w:tr>
      <w:tr w:rsidR="00736E78" w:rsidRPr="00B84B0C" w14:paraId="7F9B6548"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9CF8892" w14:textId="77777777" w:rsidR="00736E78" w:rsidRPr="00B84B0C" w:rsidRDefault="00736E78" w:rsidP="00736E78">
            <w:pPr>
              <w:pStyle w:val="08-Tabelageral"/>
              <w:jc w:val="left"/>
              <w:rPr>
                <w:rFonts w:cs="Arial"/>
                <w:color w:val="auto"/>
                <w:lang w:val="en-US"/>
              </w:rPr>
            </w:pPr>
            <w:r w:rsidRPr="00B84B0C">
              <w:rPr>
                <w:rFonts w:cs="Arial"/>
                <w:color w:val="auto"/>
                <w:lang w:val="en-US"/>
              </w:rPr>
              <w:t>Comprehensive income in the period</w:t>
            </w:r>
          </w:p>
        </w:tc>
        <w:tc>
          <w:tcPr>
            <w:tcW w:w="2126" w:type="dxa"/>
            <w:tcBorders>
              <w:top w:val="nil"/>
              <w:left w:val="nil"/>
              <w:bottom w:val="nil"/>
              <w:right w:val="nil"/>
            </w:tcBorders>
            <w:vAlign w:val="center"/>
          </w:tcPr>
          <w:p w14:paraId="79B6F11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sz w:val="14"/>
                <w:szCs w:val="14"/>
              </w:rPr>
              <w:t>56,014</w:t>
            </w:r>
          </w:p>
        </w:tc>
        <w:tc>
          <w:tcPr>
            <w:tcW w:w="2234" w:type="dxa"/>
            <w:tcBorders>
              <w:top w:val="nil"/>
              <w:left w:val="nil"/>
              <w:bottom w:val="nil"/>
              <w:right w:val="nil"/>
            </w:tcBorders>
            <w:vAlign w:val="center"/>
          </w:tcPr>
          <w:p w14:paraId="7A4D3947"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spacing w:val="-2"/>
                <w:sz w:val="14"/>
                <w:szCs w:val="18"/>
              </w:rPr>
            </w:pPr>
            <w:r w:rsidRPr="00B84B0C">
              <w:rPr>
                <w:rFonts w:cs="Arial"/>
                <w:b/>
                <w:color w:val="000000"/>
                <w:sz w:val="14"/>
                <w:szCs w:val="14"/>
              </w:rPr>
              <w:t>32,120</w:t>
            </w:r>
          </w:p>
        </w:tc>
      </w:tr>
      <w:tr w:rsidR="00736E78" w:rsidRPr="00B84B0C" w14:paraId="06F3427E"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7896B2E" w14:textId="77777777" w:rsidR="00736E78" w:rsidRPr="00B84B0C" w:rsidRDefault="00736E78" w:rsidP="00736E78">
            <w:pPr>
              <w:pStyle w:val="08-Tabelageral"/>
              <w:jc w:val="left"/>
              <w:rPr>
                <w:rFonts w:cs="Arial"/>
                <w:color w:val="auto"/>
                <w:lang w:val="en-US"/>
              </w:rPr>
            </w:pPr>
            <w:r w:rsidRPr="00B84B0C">
              <w:rPr>
                <w:rFonts w:cs="Arial"/>
                <w:color w:val="auto"/>
                <w:lang w:val="en-US"/>
              </w:rPr>
              <w:t xml:space="preserve">Net income attributable to BB </w:t>
            </w:r>
            <w:proofErr w:type="spellStart"/>
            <w:r w:rsidRPr="00B84B0C">
              <w:rPr>
                <w:rFonts w:cs="Arial"/>
                <w:color w:val="auto"/>
                <w:lang w:val="en-US"/>
              </w:rPr>
              <w:t>Seguridade</w:t>
            </w:r>
            <w:proofErr w:type="spellEnd"/>
          </w:p>
        </w:tc>
        <w:tc>
          <w:tcPr>
            <w:tcW w:w="2126" w:type="dxa"/>
            <w:tcBorders>
              <w:top w:val="nil"/>
              <w:left w:val="nil"/>
              <w:bottom w:val="nil"/>
              <w:right w:val="nil"/>
            </w:tcBorders>
            <w:vAlign w:val="center"/>
          </w:tcPr>
          <w:p w14:paraId="3DE1661A"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B84B0C">
              <w:rPr>
                <w:rFonts w:cs="Arial"/>
                <w:b/>
                <w:sz w:val="14"/>
                <w:szCs w:val="14"/>
              </w:rPr>
              <w:t>25,247</w:t>
            </w:r>
          </w:p>
        </w:tc>
        <w:tc>
          <w:tcPr>
            <w:tcW w:w="2234" w:type="dxa"/>
            <w:tcBorders>
              <w:top w:val="nil"/>
              <w:left w:val="nil"/>
              <w:bottom w:val="nil"/>
              <w:right w:val="nil"/>
            </w:tcBorders>
            <w:vAlign w:val="center"/>
          </w:tcPr>
          <w:p w14:paraId="0B16DB99"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2"/>
                <w:sz w:val="14"/>
                <w:szCs w:val="18"/>
              </w:rPr>
            </w:pPr>
            <w:r w:rsidRPr="00B84B0C">
              <w:rPr>
                <w:rFonts w:cs="Arial"/>
                <w:b/>
                <w:color w:val="000000"/>
                <w:sz w:val="14"/>
                <w:szCs w:val="14"/>
              </w:rPr>
              <w:t>21,411</w:t>
            </w:r>
          </w:p>
        </w:tc>
      </w:tr>
      <w:tr w:rsidR="00736E78" w:rsidRPr="00B84B0C" w14:paraId="752388D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D4AA14F" w14:textId="77777777" w:rsidR="00736E78" w:rsidRPr="00B84B0C" w:rsidRDefault="00736E78" w:rsidP="00736E78">
            <w:pPr>
              <w:pStyle w:val="08-Tabelageral"/>
              <w:jc w:val="left"/>
              <w:rPr>
                <w:rFonts w:cs="Arial"/>
                <w:b w:val="0"/>
                <w:color w:val="auto"/>
              </w:rPr>
            </w:pPr>
            <w:r w:rsidRPr="00B84B0C">
              <w:rPr>
                <w:rFonts w:cs="Arial"/>
                <w:b w:val="0"/>
                <w:color w:val="auto"/>
              </w:rPr>
              <w:t xml:space="preserve">Other </w:t>
            </w:r>
            <w:proofErr w:type="spellStart"/>
            <w:r w:rsidRPr="00B84B0C">
              <w:rPr>
                <w:rFonts w:cs="Arial"/>
                <w:b w:val="0"/>
                <w:color w:val="auto"/>
              </w:rPr>
              <w:t>adjustments</w:t>
            </w:r>
            <w:proofErr w:type="spellEnd"/>
          </w:p>
        </w:tc>
        <w:tc>
          <w:tcPr>
            <w:tcW w:w="2126" w:type="dxa"/>
            <w:tcBorders>
              <w:top w:val="nil"/>
              <w:left w:val="nil"/>
              <w:bottom w:val="nil"/>
              <w:right w:val="nil"/>
            </w:tcBorders>
            <w:vAlign w:val="center"/>
          </w:tcPr>
          <w:p w14:paraId="731B1CC0"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Cs/>
                <w:color w:val="000000"/>
                <w:sz w:val="14"/>
                <w:szCs w:val="14"/>
              </w:rPr>
            </w:pPr>
            <w:r w:rsidRPr="00B84B0C">
              <w:rPr>
                <w:rFonts w:cs="Arial"/>
                <w:bCs/>
                <w:sz w:val="14"/>
                <w:szCs w:val="14"/>
              </w:rPr>
              <w:t>--</w:t>
            </w:r>
          </w:p>
        </w:tc>
        <w:tc>
          <w:tcPr>
            <w:tcW w:w="2234" w:type="dxa"/>
            <w:tcBorders>
              <w:top w:val="nil"/>
              <w:left w:val="nil"/>
              <w:bottom w:val="nil"/>
              <w:right w:val="nil"/>
            </w:tcBorders>
            <w:vAlign w:val="center"/>
          </w:tcPr>
          <w:p w14:paraId="722AF5C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color w:val="000000"/>
                <w:spacing w:val="-2"/>
                <w:sz w:val="14"/>
                <w:szCs w:val="18"/>
              </w:rPr>
            </w:pPr>
            <w:r w:rsidRPr="00B84B0C">
              <w:rPr>
                <w:rFonts w:cs="Arial"/>
                <w:bCs/>
                <w:color w:val="000000"/>
                <w:sz w:val="14"/>
                <w:szCs w:val="14"/>
              </w:rPr>
              <w:t>--</w:t>
            </w:r>
          </w:p>
        </w:tc>
      </w:tr>
      <w:tr w:rsidR="00736E78" w:rsidRPr="00B84B0C" w14:paraId="6BDBC0E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6F4681B1" w14:textId="77777777" w:rsidR="00736E78" w:rsidRPr="00B84B0C" w:rsidRDefault="00736E78" w:rsidP="00736E78">
            <w:pPr>
              <w:pStyle w:val="08-Tabelageral"/>
              <w:jc w:val="left"/>
              <w:rPr>
                <w:rFonts w:cs="Arial"/>
                <w:color w:val="auto"/>
              </w:rPr>
            </w:pPr>
            <w:proofErr w:type="spellStart"/>
            <w:r w:rsidRPr="00B84B0C">
              <w:rPr>
                <w:rFonts w:cs="Arial"/>
                <w:color w:val="auto"/>
              </w:rPr>
              <w:t>Equity</w:t>
            </w:r>
            <w:proofErr w:type="spellEnd"/>
            <w:r w:rsidRPr="00B84B0C">
              <w:rPr>
                <w:rFonts w:cs="Arial"/>
                <w:color w:val="auto"/>
              </w:rPr>
              <w:t xml:space="preserve"> income</w:t>
            </w:r>
          </w:p>
        </w:tc>
        <w:tc>
          <w:tcPr>
            <w:tcW w:w="2126" w:type="dxa"/>
            <w:tcBorders>
              <w:top w:val="nil"/>
              <w:left w:val="nil"/>
              <w:bottom w:val="single" w:sz="2" w:space="0" w:color="8EAADB" w:themeColor="accent5" w:themeTint="99"/>
              <w:right w:val="nil"/>
            </w:tcBorders>
            <w:vAlign w:val="center"/>
          </w:tcPr>
          <w:p w14:paraId="7EEA436E"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color w:val="000000"/>
                <w:sz w:val="14"/>
                <w:szCs w:val="14"/>
              </w:rPr>
            </w:pPr>
            <w:r w:rsidRPr="00B84B0C">
              <w:rPr>
                <w:rFonts w:cs="Arial"/>
                <w:b/>
                <w:sz w:val="14"/>
                <w:szCs w:val="14"/>
              </w:rPr>
              <w:t>25,247</w:t>
            </w:r>
          </w:p>
        </w:tc>
        <w:tc>
          <w:tcPr>
            <w:tcW w:w="2234" w:type="dxa"/>
            <w:tcBorders>
              <w:top w:val="nil"/>
              <w:left w:val="nil"/>
              <w:bottom w:val="single" w:sz="2" w:space="0" w:color="8EAADB" w:themeColor="accent5" w:themeTint="99"/>
              <w:right w:val="nil"/>
            </w:tcBorders>
            <w:vAlign w:val="center"/>
          </w:tcPr>
          <w:p w14:paraId="7C29D4F5"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pacing w:val="-2"/>
                <w:sz w:val="14"/>
                <w:szCs w:val="18"/>
              </w:rPr>
            </w:pPr>
            <w:r w:rsidRPr="00B84B0C">
              <w:rPr>
                <w:rFonts w:cs="Arial"/>
                <w:b/>
                <w:color w:val="000000"/>
                <w:sz w:val="14"/>
                <w:szCs w:val="14"/>
              </w:rPr>
              <w:t>21,411</w:t>
            </w:r>
          </w:p>
        </w:tc>
      </w:tr>
    </w:tbl>
    <w:p w14:paraId="6884282B" w14:textId="77777777" w:rsidR="00736E78" w:rsidRPr="00B84B0C" w:rsidRDefault="00736E78" w:rsidP="00736E78">
      <w:pPr>
        <w:spacing w:after="0" w:line="240" w:lineRule="auto"/>
        <w:rPr>
          <w:rFonts w:cs="Arial"/>
          <w:lang w:eastAsia="pt-BR"/>
        </w:rPr>
      </w:pPr>
    </w:p>
    <w:p w14:paraId="3105FA20" w14:textId="77777777" w:rsidR="00736E78" w:rsidRPr="00B84B0C" w:rsidRDefault="00736E78" w:rsidP="00736E78">
      <w:pPr>
        <w:spacing w:after="0" w:line="240" w:lineRule="auto"/>
        <w:rPr>
          <w:rFonts w:eastAsia="Times New Roman" w:cs="Arial"/>
          <w:b/>
          <w:color w:val="1F4E79" w:themeColor="accent1" w:themeShade="80"/>
          <w:spacing w:val="-2"/>
          <w:szCs w:val="20"/>
          <w:lang w:eastAsia="pt-BR"/>
        </w:rPr>
      </w:pPr>
      <w:r w:rsidRPr="00B84B0C">
        <w:rPr>
          <w:rFonts w:eastAsia="Times New Roman" w:cs="Arial"/>
          <w:b/>
          <w:color w:val="1F4E79" w:themeColor="accent1" w:themeShade="80"/>
          <w:spacing w:val="-2"/>
          <w:sz w:val="20"/>
          <w:szCs w:val="20"/>
          <w:lang w:eastAsia="pt-BR"/>
        </w:rPr>
        <w:t xml:space="preserve">d.4) </w:t>
      </w:r>
      <w:proofErr w:type="spellStart"/>
      <w:r w:rsidRPr="00B84B0C">
        <w:rPr>
          <w:rFonts w:eastAsia="Times New Roman" w:cs="Arial"/>
          <w:b/>
          <w:color w:val="1F4E79" w:themeColor="accent1" w:themeShade="80"/>
          <w:spacing w:val="-2"/>
          <w:sz w:val="20"/>
          <w:szCs w:val="20"/>
          <w:lang w:eastAsia="pt-BR"/>
        </w:rPr>
        <w:t>Brasilprev</w:t>
      </w:r>
      <w:proofErr w:type="spellEnd"/>
      <w:r w:rsidRPr="00B84B0C">
        <w:rPr>
          <w:rFonts w:eastAsia="Times New Roman" w:cs="Arial"/>
          <w:b/>
          <w:color w:val="1F4E79" w:themeColor="accent1" w:themeShade="80"/>
          <w:spacing w:val="-2"/>
          <w:sz w:val="20"/>
          <w:szCs w:val="20"/>
          <w:lang w:eastAsia="pt-BR"/>
        </w:rPr>
        <w:t xml:space="preserve"> Seguros e Previdência</w:t>
      </w:r>
    </w:p>
    <w:p w14:paraId="4D5964CE"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255E3CF9"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797D221A" w14:textId="77777777" w:rsidR="00736E78" w:rsidRPr="00B84B0C" w:rsidRDefault="00736E78" w:rsidP="00736E78">
            <w:pPr>
              <w:rPr>
                <w:rFonts w:cs="Arial"/>
                <w:sz w:val="14"/>
                <w:szCs w:val="14"/>
              </w:rPr>
            </w:pPr>
            <w:proofErr w:type="spellStart"/>
            <w:r w:rsidRPr="00B84B0C">
              <w:rPr>
                <w:rFonts w:cs="Arial"/>
                <w:sz w:val="14"/>
                <w:szCs w:val="14"/>
              </w:rPr>
              <w:t>Brasilprev</w:t>
            </w:r>
            <w:proofErr w:type="spellEnd"/>
            <w:r w:rsidRPr="00B84B0C">
              <w:rPr>
                <w:rFonts w:cs="Arial"/>
                <w:sz w:val="14"/>
                <w:szCs w:val="14"/>
              </w:rPr>
              <w:t xml:space="preserve"> Seguros e Previdência</w:t>
            </w:r>
          </w:p>
        </w:tc>
        <w:tc>
          <w:tcPr>
            <w:tcW w:w="2126" w:type="dxa"/>
            <w:tcBorders>
              <w:top w:val="single" w:sz="2" w:space="0" w:color="8EAADB" w:themeColor="accent5" w:themeTint="99"/>
              <w:bottom w:val="single" w:sz="2" w:space="0" w:color="8EAADB" w:themeColor="accent5" w:themeTint="99"/>
            </w:tcBorders>
            <w:vAlign w:val="bottom"/>
          </w:tcPr>
          <w:p w14:paraId="50923588"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2020</w:t>
            </w:r>
          </w:p>
        </w:tc>
        <w:tc>
          <w:tcPr>
            <w:tcW w:w="2234" w:type="dxa"/>
            <w:tcBorders>
              <w:top w:val="single" w:sz="2" w:space="0" w:color="8EAADB" w:themeColor="accent5" w:themeTint="99"/>
              <w:bottom w:val="single" w:sz="2" w:space="0" w:color="8EAADB" w:themeColor="accent5" w:themeTint="99"/>
            </w:tcBorders>
            <w:vAlign w:val="bottom"/>
          </w:tcPr>
          <w:p w14:paraId="141C8670"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2019</w:t>
            </w:r>
          </w:p>
        </w:tc>
      </w:tr>
      <w:tr w:rsidR="00736E78" w:rsidRPr="00B84B0C" w14:paraId="4F1ECA9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2B55DE78" w14:textId="77777777" w:rsidR="00736E78" w:rsidRPr="00B84B0C" w:rsidRDefault="00736E78" w:rsidP="00736E78">
            <w:pPr>
              <w:pStyle w:val="08-Tabelageral"/>
              <w:jc w:val="left"/>
              <w:rPr>
                <w:rFonts w:cs="Arial"/>
                <w:bCs w:val="0"/>
                <w:color w:val="auto"/>
              </w:rPr>
            </w:pPr>
            <w:r w:rsidRPr="00B84B0C">
              <w:rPr>
                <w:rFonts w:cs="Arial"/>
                <w:bCs w:val="0"/>
                <w:color w:val="auto"/>
              </w:rPr>
              <w:t xml:space="preserve">Income </w:t>
            </w:r>
          </w:p>
        </w:tc>
        <w:tc>
          <w:tcPr>
            <w:tcW w:w="2126" w:type="dxa"/>
            <w:tcBorders>
              <w:top w:val="single" w:sz="2" w:space="0" w:color="8EAADB" w:themeColor="accent5" w:themeTint="99"/>
              <w:left w:val="nil"/>
              <w:bottom w:val="nil"/>
              <w:right w:val="nil"/>
            </w:tcBorders>
            <w:vAlign w:val="center"/>
          </w:tcPr>
          <w:p w14:paraId="18447C69"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 xml:space="preserve"> 1,598,253 </w:t>
            </w:r>
          </w:p>
        </w:tc>
        <w:tc>
          <w:tcPr>
            <w:tcW w:w="2234" w:type="dxa"/>
            <w:tcBorders>
              <w:top w:val="single" w:sz="2" w:space="0" w:color="8EAADB" w:themeColor="accent5" w:themeTint="99"/>
              <w:left w:val="nil"/>
              <w:bottom w:val="nil"/>
              <w:right w:val="nil"/>
            </w:tcBorders>
            <w:vAlign w:val="center"/>
          </w:tcPr>
          <w:p w14:paraId="1665815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sz w:val="14"/>
                <w:szCs w:val="14"/>
              </w:rPr>
              <w:t>1,218,575</w:t>
            </w:r>
          </w:p>
        </w:tc>
      </w:tr>
      <w:tr w:rsidR="00736E78" w:rsidRPr="00B84B0C" w14:paraId="03860819"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B4F6F67"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Interest</w:t>
            </w:r>
            <w:proofErr w:type="spellEnd"/>
            <w:r w:rsidRPr="00B84B0C">
              <w:rPr>
                <w:rFonts w:cs="Arial"/>
                <w:b w:val="0"/>
                <w:bCs w:val="0"/>
                <w:color w:val="auto"/>
              </w:rPr>
              <w:t xml:space="preserve"> income</w:t>
            </w:r>
          </w:p>
        </w:tc>
        <w:tc>
          <w:tcPr>
            <w:tcW w:w="2126" w:type="dxa"/>
            <w:tcBorders>
              <w:top w:val="nil"/>
              <w:left w:val="nil"/>
              <w:bottom w:val="nil"/>
              <w:right w:val="nil"/>
            </w:tcBorders>
            <w:vAlign w:val="center"/>
          </w:tcPr>
          <w:p w14:paraId="6171AD1D"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Cs/>
                <w:sz w:val="14"/>
                <w:szCs w:val="14"/>
              </w:rPr>
            </w:pPr>
            <w:r w:rsidRPr="00B84B0C">
              <w:rPr>
                <w:rFonts w:cs="Arial"/>
                <w:bCs/>
                <w:sz w:val="14"/>
                <w:szCs w:val="14"/>
              </w:rPr>
              <w:t xml:space="preserve"> 863,600 </w:t>
            </w:r>
          </w:p>
        </w:tc>
        <w:tc>
          <w:tcPr>
            <w:tcW w:w="2234" w:type="dxa"/>
            <w:tcBorders>
              <w:top w:val="nil"/>
              <w:left w:val="nil"/>
              <w:bottom w:val="nil"/>
              <w:right w:val="nil"/>
            </w:tcBorders>
            <w:vAlign w:val="center"/>
          </w:tcPr>
          <w:p w14:paraId="610B248C"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537,286</w:t>
            </w:r>
          </w:p>
        </w:tc>
      </w:tr>
      <w:tr w:rsidR="00736E78" w:rsidRPr="00B84B0C" w14:paraId="7267CD71"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7F15683"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Interest</w:t>
            </w:r>
            <w:proofErr w:type="spellEnd"/>
            <w:r w:rsidRPr="00B84B0C">
              <w:rPr>
                <w:rFonts w:cs="Arial"/>
                <w:b w:val="0"/>
                <w:bCs w:val="0"/>
                <w:color w:val="auto"/>
              </w:rPr>
              <w:t xml:space="preserve"> </w:t>
            </w:r>
            <w:proofErr w:type="spellStart"/>
            <w:r w:rsidRPr="00B84B0C">
              <w:rPr>
                <w:rFonts w:cs="Arial"/>
                <w:b w:val="0"/>
                <w:bCs w:val="0"/>
                <w:color w:val="auto"/>
              </w:rPr>
              <w:t>expense</w:t>
            </w:r>
            <w:proofErr w:type="spellEnd"/>
          </w:p>
        </w:tc>
        <w:tc>
          <w:tcPr>
            <w:tcW w:w="2126" w:type="dxa"/>
            <w:tcBorders>
              <w:top w:val="nil"/>
              <w:left w:val="nil"/>
              <w:bottom w:val="nil"/>
              <w:right w:val="nil"/>
            </w:tcBorders>
            <w:vAlign w:val="center"/>
          </w:tcPr>
          <w:p w14:paraId="1090B89C"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sidRPr="00B84B0C">
              <w:rPr>
                <w:rFonts w:cs="Arial"/>
                <w:bCs/>
                <w:sz w:val="14"/>
                <w:szCs w:val="14"/>
              </w:rPr>
              <w:t xml:space="preserve"> (526,621)</w:t>
            </w:r>
          </w:p>
        </w:tc>
        <w:tc>
          <w:tcPr>
            <w:tcW w:w="2234" w:type="dxa"/>
            <w:tcBorders>
              <w:top w:val="nil"/>
              <w:left w:val="nil"/>
              <w:bottom w:val="nil"/>
              <w:right w:val="nil"/>
            </w:tcBorders>
            <w:vAlign w:val="center"/>
          </w:tcPr>
          <w:p w14:paraId="1B06E40F"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(79,974)</w:t>
            </w:r>
          </w:p>
        </w:tc>
      </w:tr>
      <w:tr w:rsidR="00736E78" w:rsidRPr="00B84B0C" w14:paraId="0326AC2F"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3415885"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Depreciation</w:t>
            </w:r>
            <w:proofErr w:type="spellEnd"/>
            <w:r w:rsidRPr="00B84B0C">
              <w:rPr>
                <w:rFonts w:cs="Arial"/>
                <w:b w:val="0"/>
                <w:bCs w:val="0"/>
                <w:color w:val="auto"/>
              </w:rPr>
              <w:t xml:space="preserve"> </w:t>
            </w:r>
            <w:proofErr w:type="spellStart"/>
            <w:r w:rsidRPr="00B84B0C">
              <w:rPr>
                <w:rFonts w:cs="Arial"/>
                <w:b w:val="0"/>
                <w:bCs w:val="0"/>
                <w:color w:val="auto"/>
              </w:rPr>
              <w:t>and</w:t>
            </w:r>
            <w:proofErr w:type="spellEnd"/>
            <w:r w:rsidRPr="00B84B0C">
              <w:rPr>
                <w:rFonts w:cs="Arial"/>
                <w:b w:val="0"/>
                <w:bCs w:val="0"/>
                <w:color w:val="auto"/>
              </w:rPr>
              <w:t xml:space="preserve"> </w:t>
            </w:r>
            <w:proofErr w:type="spellStart"/>
            <w:r w:rsidRPr="00B84B0C">
              <w:rPr>
                <w:rFonts w:cs="Arial"/>
                <w:b w:val="0"/>
                <w:bCs w:val="0"/>
                <w:color w:val="auto"/>
              </w:rPr>
              <w:t>amortization</w:t>
            </w:r>
            <w:proofErr w:type="spellEnd"/>
          </w:p>
        </w:tc>
        <w:tc>
          <w:tcPr>
            <w:tcW w:w="2126" w:type="dxa"/>
            <w:tcBorders>
              <w:top w:val="nil"/>
              <w:left w:val="nil"/>
              <w:bottom w:val="nil"/>
              <w:right w:val="nil"/>
            </w:tcBorders>
            <w:vAlign w:val="center"/>
          </w:tcPr>
          <w:p w14:paraId="4CEDB28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Cs/>
                <w:sz w:val="14"/>
                <w:szCs w:val="14"/>
              </w:rPr>
            </w:pPr>
            <w:r w:rsidRPr="00B84B0C">
              <w:rPr>
                <w:rFonts w:cs="Arial"/>
                <w:bCs/>
                <w:sz w:val="14"/>
                <w:szCs w:val="14"/>
              </w:rPr>
              <w:t xml:space="preserve"> (2,153)</w:t>
            </w:r>
          </w:p>
        </w:tc>
        <w:tc>
          <w:tcPr>
            <w:tcW w:w="2234" w:type="dxa"/>
            <w:tcBorders>
              <w:top w:val="nil"/>
              <w:left w:val="nil"/>
              <w:bottom w:val="nil"/>
              <w:right w:val="nil"/>
            </w:tcBorders>
            <w:vAlign w:val="center"/>
          </w:tcPr>
          <w:p w14:paraId="55E667BD"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(1,992)</w:t>
            </w:r>
          </w:p>
        </w:tc>
      </w:tr>
      <w:tr w:rsidR="00736E78" w:rsidRPr="00B84B0C" w14:paraId="12A5285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DA83779" w14:textId="77777777" w:rsidR="00736E78" w:rsidRPr="00B84B0C" w:rsidRDefault="00736E78" w:rsidP="00736E78">
            <w:pPr>
              <w:pStyle w:val="08-Tabelageral"/>
              <w:jc w:val="left"/>
              <w:rPr>
                <w:rFonts w:cs="Arial"/>
                <w:b w:val="0"/>
                <w:bCs w:val="0"/>
                <w:color w:val="auto"/>
                <w:lang w:val="en-US"/>
              </w:rPr>
            </w:pPr>
            <w:r w:rsidRPr="00B84B0C">
              <w:rPr>
                <w:rFonts w:cs="Arial"/>
                <w:b w:val="0"/>
                <w:bCs w:val="0"/>
                <w:color w:val="auto"/>
                <w:lang w:val="en-US"/>
              </w:rPr>
              <w:t xml:space="preserve">Income tax and social contribution </w:t>
            </w:r>
          </w:p>
        </w:tc>
        <w:tc>
          <w:tcPr>
            <w:tcW w:w="2126" w:type="dxa"/>
            <w:tcBorders>
              <w:top w:val="nil"/>
              <w:left w:val="nil"/>
              <w:bottom w:val="nil"/>
              <w:right w:val="nil"/>
            </w:tcBorders>
            <w:vAlign w:val="center"/>
          </w:tcPr>
          <w:p w14:paraId="39652A33"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sidRPr="00B84B0C">
              <w:rPr>
                <w:rFonts w:cs="Arial"/>
                <w:bCs/>
                <w:sz w:val="14"/>
                <w:szCs w:val="14"/>
                <w:lang w:val="en-US"/>
              </w:rPr>
              <w:t xml:space="preserve"> </w:t>
            </w:r>
            <w:r w:rsidRPr="00B84B0C">
              <w:rPr>
                <w:rFonts w:cs="Arial"/>
                <w:bCs/>
                <w:sz w:val="14"/>
                <w:szCs w:val="14"/>
              </w:rPr>
              <w:t>(110,878)</w:t>
            </w:r>
          </w:p>
        </w:tc>
        <w:tc>
          <w:tcPr>
            <w:tcW w:w="2234" w:type="dxa"/>
            <w:tcBorders>
              <w:top w:val="nil"/>
              <w:left w:val="nil"/>
              <w:bottom w:val="nil"/>
              <w:right w:val="nil"/>
            </w:tcBorders>
            <w:vAlign w:val="center"/>
          </w:tcPr>
          <w:p w14:paraId="7910C01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(253,326)</w:t>
            </w:r>
          </w:p>
        </w:tc>
      </w:tr>
      <w:tr w:rsidR="00736E78" w:rsidRPr="00B84B0C" w14:paraId="4206A8CF"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5095544"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Net income for the period</w:t>
            </w:r>
          </w:p>
        </w:tc>
        <w:tc>
          <w:tcPr>
            <w:tcW w:w="2126" w:type="dxa"/>
            <w:tcBorders>
              <w:top w:val="nil"/>
              <w:left w:val="nil"/>
              <w:bottom w:val="nil"/>
              <w:right w:val="nil"/>
            </w:tcBorders>
            <w:vAlign w:val="center"/>
          </w:tcPr>
          <w:p w14:paraId="3218EC5E"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lang w:val="en-US"/>
              </w:rPr>
              <w:t xml:space="preserve"> </w:t>
            </w:r>
            <w:r w:rsidRPr="00B84B0C">
              <w:rPr>
                <w:rFonts w:cs="Arial"/>
                <w:b/>
                <w:sz w:val="14"/>
                <w:szCs w:val="14"/>
              </w:rPr>
              <w:t xml:space="preserve">164,082 </w:t>
            </w:r>
          </w:p>
        </w:tc>
        <w:tc>
          <w:tcPr>
            <w:tcW w:w="2234" w:type="dxa"/>
            <w:tcBorders>
              <w:top w:val="nil"/>
              <w:left w:val="nil"/>
              <w:bottom w:val="nil"/>
              <w:right w:val="nil"/>
            </w:tcBorders>
            <w:vAlign w:val="center"/>
          </w:tcPr>
          <w:p w14:paraId="0130A3C0"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sz w:val="14"/>
                <w:szCs w:val="14"/>
              </w:rPr>
              <w:t>382,071</w:t>
            </w:r>
          </w:p>
        </w:tc>
      </w:tr>
      <w:tr w:rsidR="00736E78" w:rsidRPr="00B84B0C" w14:paraId="24D383C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486DF8D" w14:textId="77777777" w:rsidR="00736E78" w:rsidRPr="00B84B0C" w:rsidRDefault="00736E78" w:rsidP="00736E78">
            <w:pPr>
              <w:pStyle w:val="08-Tabelageral"/>
              <w:jc w:val="left"/>
              <w:rPr>
                <w:rFonts w:cs="Arial"/>
                <w:b w:val="0"/>
                <w:bCs w:val="0"/>
                <w:color w:val="auto"/>
              </w:rPr>
            </w:pPr>
            <w:r w:rsidRPr="00B84B0C">
              <w:rPr>
                <w:rFonts w:cs="Arial"/>
                <w:b w:val="0"/>
                <w:bCs w:val="0"/>
                <w:color w:val="auto"/>
              </w:rPr>
              <w:t xml:space="preserve">Other </w:t>
            </w:r>
            <w:proofErr w:type="spellStart"/>
            <w:r w:rsidRPr="00B84B0C">
              <w:rPr>
                <w:rFonts w:cs="Arial"/>
                <w:b w:val="0"/>
                <w:bCs w:val="0"/>
                <w:color w:val="auto"/>
              </w:rPr>
              <w:t>comprehensive</w:t>
            </w:r>
            <w:proofErr w:type="spellEnd"/>
            <w:r w:rsidRPr="00B84B0C">
              <w:rPr>
                <w:rFonts w:cs="Arial"/>
                <w:b w:val="0"/>
                <w:bCs w:val="0"/>
                <w:color w:val="auto"/>
              </w:rPr>
              <w:t xml:space="preserve"> income</w:t>
            </w:r>
          </w:p>
        </w:tc>
        <w:tc>
          <w:tcPr>
            <w:tcW w:w="2126" w:type="dxa"/>
            <w:tcBorders>
              <w:top w:val="nil"/>
              <w:left w:val="nil"/>
              <w:bottom w:val="nil"/>
              <w:right w:val="nil"/>
            </w:tcBorders>
            <w:vAlign w:val="center"/>
          </w:tcPr>
          <w:p w14:paraId="153AD4B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sidRPr="00B84B0C">
              <w:rPr>
                <w:rFonts w:cs="Arial"/>
                <w:bCs/>
                <w:sz w:val="14"/>
                <w:szCs w:val="14"/>
              </w:rPr>
              <w:t xml:space="preserve"> (1,200)</w:t>
            </w:r>
          </w:p>
        </w:tc>
        <w:tc>
          <w:tcPr>
            <w:tcW w:w="2234" w:type="dxa"/>
            <w:tcBorders>
              <w:top w:val="nil"/>
              <w:left w:val="nil"/>
              <w:bottom w:val="nil"/>
              <w:right w:val="nil"/>
            </w:tcBorders>
            <w:vAlign w:val="center"/>
          </w:tcPr>
          <w:p w14:paraId="0CFEC4E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689</w:t>
            </w:r>
          </w:p>
        </w:tc>
      </w:tr>
      <w:tr w:rsidR="00736E78" w:rsidRPr="00B84B0C" w14:paraId="0694828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173C1FC"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Comprehensive income in the period</w:t>
            </w:r>
          </w:p>
        </w:tc>
        <w:tc>
          <w:tcPr>
            <w:tcW w:w="2126" w:type="dxa"/>
            <w:tcBorders>
              <w:top w:val="nil"/>
              <w:left w:val="nil"/>
              <w:bottom w:val="nil"/>
              <w:right w:val="nil"/>
            </w:tcBorders>
            <w:vAlign w:val="center"/>
          </w:tcPr>
          <w:p w14:paraId="30E5C61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lang w:val="en-US"/>
              </w:rPr>
              <w:t xml:space="preserve"> </w:t>
            </w:r>
            <w:r w:rsidRPr="00B84B0C">
              <w:rPr>
                <w:rFonts w:cs="Arial"/>
                <w:b/>
                <w:sz w:val="14"/>
                <w:szCs w:val="14"/>
              </w:rPr>
              <w:t xml:space="preserve">162,882 </w:t>
            </w:r>
          </w:p>
        </w:tc>
        <w:tc>
          <w:tcPr>
            <w:tcW w:w="2234" w:type="dxa"/>
            <w:tcBorders>
              <w:top w:val="nil"/>
              <w:left w:val="nil"/>
              <w:bottom w:val="nil"/>
              <w:right w:val="nil"/>
            </w:tcBorders>
            <w:vAlign w:val="center"/>
          </w:tcPr>
          <w:p w14:paraId="79ECA57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sz w:val="14"/>
                <w:szCs w:val="14"/>
              </w:rPr>
              <w:t>382,760</w:t>
            </w:r>
          </w:p>
        </w:tc>
      </w:tr>
      <w:tr w:rsidR="00736E78" w:rsidRPr="00B84B0C" w14:paraId="5713143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A61173E"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 xml:space="preserve">Net income attributable to BB </w:t>
            </w:r>
            <w:proofErr w:type="spellStart"/>
            <w:r w:rsidRPr="00B84B0C">
              <w:rPr>
                <w:rFonts w:cs="Arial"/>
                <w:bCs w:val="0"/>
                <w:color w:val="auto"/>
                <w:lang w:val="en-US"/>
              </w:rPr>
              <w:t>Seguridade</w:t>
            </w:r>
            <w:proofErr w:type="spellEnd"/>
          </w:p>
        </w:tc>
        <w:tc>
          <w:tcPr>
            <w:tcW w:w="2126" w:type="dxa"/>
            <w:tcBorders>
              <w:top w:val="nil"/>
              <w:left w:val="nil"/>
              <w:bottom w:val="nil"/>
              <w:right w:val="nil"/>
            </w:tcBorders>
            <w:vAlign w:val="center"/>
          </w:tcPr>
          <w:p w14:paraId="49C56BF5"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lang w:val="en-US"/>
              </w:rPr>
              <w:t xml:space="preserve"> </w:t>
            </w:r>
            <w:r w:rsidRPr="00B84B0C">
              <w:rPr>
                <w:rFonts w:cs="Arial"/>
                <w:b/>
                <w:sz w:val="14"/>
                <w:szCs w:val="14"/>
              </w:rPr>
              <w:t xml:space="preserve">123,053 </w:t>
            </w:r>
          </w:p>
        </w:tc>
        <w:tc>
          <w:tcPr>
            <w:tcW w:w="2234" w:type="dxa"/>
            <w:tcBorders>
              <w:top w:val="nil"/>
              <w:left w:val="nil"/>
              <w:bottom w:val="nil"/>
              <w:right w:val="nil"/>
            </w:tcBorders>
            <w:vAlign w:val="center"/>
          </w:tcPr>
          <w:p w14:paraId="35CB65F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sz w:val="14"/>
                <w:szCs w:val="14"/>
              </w:rPr>
              <w:t>286,534</w:t>
            </w:r>
          </w:p>
        </w:tc>
      </w:tr>
      <w:tr w:rsidR="00736E78" w:rsidRPr="00B84B0C" w14:paraId="18EAA067"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1FB3BE7" w14:textId="77777777" w:rsidR="00736E78" w:rsidRPr="00B84B0C" w:rsidRDefault="00736E78" w:rsidP="00736E78">
            <w:pPr>
              <w:pStyle w:val="08-Tabelageral"/>
              <w:jc w:val="left"/>
              <w:rPr>
                <w:rFonts w:cs="Arial"/>
                <w:b w:val="0"/>
                <w:bCs w:val="0"/>
                <w:color w:val="auto"/>
              </w:rPr>
            </w:pPr>
            <w:r w:rsidRPr="00B84B0C">
              <w:rPr>
                <w:rFonts w:cs="Arial"/>
                <w:b w:val="0"/>
                <w:bCs w:val="0"/>
                <w:color w:val="auto"/>
              </w:rPr>
              <w:t xml:space="preserve">Other </w:t>
            </w:r>
            <w:proofErr w:type="spellStart"/>
            <w:r w:rsidRPr="00B84B0C">
              <w:rPr>
                <w:rFonts w:cs="Arial"/>
                <w:b w:val="0"/>
                <w:bCs w:val="0"/>
                <w:color w:val="auto"/>
              </w:rPr>
              <w:t>adjustments</w:t>
            </w:r>
            <w:proofErr w:type="spellEnd"/>
          </w:p>
        </w:tc>
        <w:tc>
          <w:tcPr>
            <w:tcW w:w="2126" w:type="dxa"/>
            <w:tcBorders>
              <w:top w:val="nil"/>
              <w:left w:val="nil"/>
              <w:bottom w:val="nil"/>
              <w:right w:val="nil"/>
            </w:tcBorders>
            <w:vAlign w:val="center"/>
          </w:tcPr>
          <w:p w14:paraId="6E35D00D"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Cs/>
                <w:sz w:val="14"/>
                <w:szCs w:val="14"/>
              </w:rPr>
            </w:pPr>
            <w:r w:rsidRPr="00B84B0C">
              <w:rPr>
                <w:rFonts w:cs="Arial"/>
                <w:bCs/>
                <w:sz w:val="14"/>
                <w:szCs w:val="14"/>
              </w:rPr>
              <w:t xml:space="preserve">(1,855) </w:t>
            </w:r>
          </w:p>
        </w:tc>
        <w:tc>
          <w:tcPr>
            <w:tcW w:w="2234" w:type="dxa"/>
            <w:tcBorders>
              <w:top w:val="nil"/>
              <w:left w:val="nil"/>
              <w:bottom w:val="nil"/>
              <w:right w:val="nil"/>
            </w:tcBorders>
            <w:vAlign w:val="center"/>
          </w:tcPr>
          <w:p w14:paraId="217B795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8"/>
              </w:rPr>
            </w:pPr>
            <w:r w:rsidRPr="00B84B0C">
              <w:rPr>
                <w:rFonts w:cs="Arial"/>
                <w:bCs/>
                <w:sz w:val="14"/>
                <w:szCs w:val="14"/>
              </w:rPr>
              <w:t>--</w:t>
            </w:r>
          </w:p>
        </w:tc>
      </w:tr>
      <w:tr w:rsidR="00736E78" w:rsidRPr="00B84B0C" w14:paraId="0E7279A2"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7C183FD1" w14:textId="77777777" w:rsidR="00736E78" w:rsidRPr="00B84B0C" w:rsidRDefault="00736E78" w:rsidP="00736E78">
            <w:pPr>
              <w:pStyle w:val="08-Tabelageral"/>
              <w:jc w:val="left"/>
              <w:rPr>
                <w:rFonts w:cs="Arial"/>
                <w:bCs w:val="0"/>
                <w:color w:val="auto"/>
              </w:rPr>
            </w:pPr>
            <w:proofErr w:type="spellStart"/>
            <w:r w:rsidRPr="00B84B0C">
              <w:rPr>
                <w:rFonts w:cs="Arial"/>
                <w:bCs w:val="0"/>
                <w:color w:val="auto"/>
              </w:rPr>
              <w:t>Equity</w:t>
            </w:r>
            <w:proofErr w:type="spellEnd"/>
            <w:r w:rsidRPr="00B84B0C">
              <w:rPr>
                <w:rFonts w:cs="Arial"/>
                <w:bCs w:val="0"/>
                <w:color w:val="auto"/>
              </w:rPr>
              <w:t xml:space="preserve"> income</w:t>
            </w:r>
          </w:p>
        </w:tc>
        <w:tc>
          <w:tcPr>
            <w:tcW w:w="2126" w:type="dxa"/>
            <w:tcBorders>
              <w:top w:val="nil"/>
              <w:left w:val="nil"/>
              <w:bottom w:val="single" w:sz="2" w:space="0" w:color="8EAADB" w:themeColor="accent5" w:themeTint="99"/>
              <w:right w:val="nil"/>
            </w:tcBorders>
            <w:vAlign w:val="center"/>
          </w:tcPr>
          <w:p w14:paraId="4955422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 xml:space="preserve"> 121,198 </w:t>
            </w:r>
          </w:p>
        </w:tc>
        <w:tc>
          <w:tcPr>
            <w:tcW w:w="2234" w:type="dxa"/>
            <w:tcBorders>
              <w:top w:val="nil"/>
              <w:left w:val="nil"/>
              <w:bottom w:val="single" w:sz="2" w:space="0" w:color="8EAADB" w:themeColor="accent5" w:themeTint="99"/>
              <w:right w:val="nil"/>
            </w:tcBorders>
            <w:vAlign w:val="center"/>
          </w:tcPr>
          <w:p w14:paraId="66D82E3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sz w:val="14"/>
                <w:szCs w:val="14"/>
              </w:rPr>
              <w:t>286,534</w:t>
            </w:r>
          </w:p>
        </w:tc>
      </w:tr>
    </w:tbl>
    <w:p w14:paraId="58B0FA6A" w14:textId="77777777" w:rsidR="00736E78" w:rsidRPr="00B84B0C" w:rsidRDefault="00736E78" w:rsidP="00736E78">
      <w:pPr>
        <w:spacing w:after="0" w:line="240" w:lineRule="auto"/>
        <w:rPr>
          <w:rFonts w:cs="Arial"/>
          <w:lang w:eastAsia="pt-BR"/>
        </w:rPr>
      </w:pPr>
    </w:p>
    <w:p w14:paraId="1883A80D" w14:textId="77777777" w:rsidR="00736E78" w:rsidRPr="00B84B0C" w:rsidRDefault="00736E78" w:rsidP="00736E78">
      <w:pPr>
        <w:keepNext/>
        <w:keepLines/>
        <w:pageBreakBefore/>
        <w:spacing w:after="0" w:line="240" w:lineRule="auto"/>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lastRenderedPageBreak/>
        <w:t xml:space="preserve">d.5) </w:t>
      </w:r>
      <w:proofErr w:type="spellStart"/>
      <w:r w:rsidRPr="00B84B0C">
        <w:rPr>
          <w:rFonts w:eastAsia="Times New Roman" w:cs="Arial"/>
          <w:b/>
          <w:color w:val="1F4E79" w:themeColor="accent1" w:themeShade="80"/>
          <w:spacing w:val="-2"/>
          <w:sz w:val="20"/>
          <w:szCs w:val="20"/>
          <w:lang w:eastAsia="pt-BR"/>
        </w:rPr>
        <w:t>Brasildental</w:t>
      </w:r>
      <w:proofErr w:type="spellEnd"/>
      <w:r w:rsidRPr="00B84B0C">
        <w:rPr>
          <w:rFonts w:eastAsia="Times New Roman" w:cs="Arial"/>
          <w:b/>
          <w:color w:val="1F4E79" w:themeColor="accent1" w:themeShade="80"/>
          <w:spacing w:val="-2"/>
          <w:sz w:val="20"/>
          <w:szCs w:val="20"/>
          <w:lang w:eastAsia="pt-BR"/>
        </w:rPr>
        <w:t xml:space="preserve"> Operadora de Planos Odontológicos</w:t>
      </w:r>
    </w:p>
    <w:p w14:paraId="0DD2B1A6"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0631BE51"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66F5E640" w14:textId="77777777" w:rsidR="00736E78" w:rsidRPr="00B84B0C" w:rsidRDefault="00736E78" w:rsidP="00736E78">
            <w:pPr>
              <w:rPr>
                <w:rFonts w:cs="Arial"/>
                <w:sz w:val="14"/>
                <w:szCs w:val="14"/>
              </w:rPr>
            </w:pPr>
            <w:proofErr w:type="spellStart"/>
            <w:r w:rsidRPr="00B84B0C">
              <w:rPr>
                <w:rFonts w:cs="Arial"/>
                <w:sz w:val="14"/>
                <w:szCs w:val="14"/>
              </w:rPr>
              <w:t>Brasildental</w:t>
            </w:r>
            <w:proofErr w:type="spellEnd"/>
            <w:r w:rsidRPr="00B84B0C">
              <w:rPr>
                <w:rFonts w:cs="Arial"/>
                <w:sz w:val="14"/>
                <w:szCs w:val="14"/>
              </w:rPr>
              <w:t xml:space="preserve"> Operadora de Planos Odontológicos</w:t>
            </w:r>
          </w:p>
        </w:tc>
        <w:tc>
          <w:tcPr>
            <w:tcW w:w="2126" w:type="dxa"/>
            <w:tcBorders>
              <w:top w:val="single" w:sz="2" w:space="0" w:color="8EAADB" w:themeColor="accent5" w:themeTint="99"/>
              <w:bottom w:val="single" w:sz="2" w:space="0" w:color="8EAADB" w:themeColor="accent5" w:themeTint="99"/>
            </w:tcBorders>
            <w:vAlign w:val="bottom"/>
          </w:tcPr>
          <w:p w14:paraId="028F00E4"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2020</w:t>
            </w:r>
          </w:p>
        </w:tc>
        <w:tc>
          <w:tcPr>
            <w:tcW w:w="2234" w:type="dxa"/>
            <w:tcBorders>
              <w:top w:val="single" w:sz="2" w:space="0" w:color="8EAADB" w:themeColor="accent5" w:themeTint="99"/>
              <w:bottom w:val="single" w:sz="2" w:space="0" w:color="8EAADB" w:themeColor="accent5" w:themeTint="99"/>
            </w:tcBorders>
            <w:vAlign w:val="bottom"/>
          </w:tcPr>
          <w:p w14:paraId="4321E3EC"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2019</w:t>
            </w:r>
          </w:p>
        </w:tc>
      </w:tr>
      <w:tr w:rsidR="00736E78" w:rsidRPr="00B84B0C" w14:paraId="7475D385"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3D5ECAEB" w14:textId="77777777" w:rsidR="00736E78" w:rsidRPr="00B84B0C" w:rsidRDefault="00736E78" w:rsidP="00736E78">
            <w:pPr>
              <w:pStyle w:val="08-Tabelageral"/>
              <w:jc w:val="left"/>
              <w:rPr>
                <w:rFonts w:cs="Arial"/>
                <w:bCs w:val="0"/>
                <w:color w:val="auto"/>
              </w:rPr>
            </w:pPr>
            <w:r w:rsidRPr="00B84B0C">
              <w:rPr>
                <w:rFonts w:cs="Arial"/>
                <w:bCs w:val="0"/>
                <w:color w:val="auto"/>
              </w:rPr>
              <w:t xml:space="preserve">Income </w:t>
            </w:r>
          </w:p>
        </w:tc>
        <w:tc>
          <w:tcPr>
            <w:tcW w:w="2126" w:type="dxa"/>
            <w:tcBorders>
              <w:top w:val="single" w:sz="2" w:space="0" w:color="8EAADB" w:themeColor="accent5" w:themeTint="99"/>
              <w:left w:val="nil"/>
              <w:bottom w:val="nil"/>
              <w:right w:val="nil"/>
            </w:tcBorders>
            <w:vAlign w:val="center"/>
          </w:tcPr>
          <w:p w14:paraId="789B7AA0"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sz w:val="14"/>
                <w:szCs w:val="14"/>
              </w:rPr>
            </w:pPr>
            <w:r w:rsidRPr="00B84B0C">
              <w:rPr>
                <w:rFonts w:cs="Arial"/>
                <w:b/>
                <w:sz w:val="14"/>
                <w:szCs w:val="14"/>
              </w:rPr>
              <w:t xml:space="preserve"> 16,498 </w:t>
            </w:r>
          </w:p>
        </w:tc>
        <w:tc>
          <w:tcPr>
            <w:tcW w:w="2234" w:type="dxa"/>
            <w:tcBorders>
              <w:top w:val="single" w:sz="2" w:space="0" w:color="8EAADB" w:themeColor="accent5" w:themeTint="99"/>
              <w:left w:val="nil"/>
              <w:bottom w:val="nil"/>
              <w:right w:val="nil"/>
            </w:tcBorders>
            <w:vAlign w:val="center"/>
          </w:tcPr>
          <w:p w14:paraId="7FBC437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sz w:val="14"/>
                <w:szCs w:val="14"/>
              </w:rPr>
              <w:t>16,931</w:t>
            </w:r>
          </w:p>
        </w:tc>
      </w:tr>
      <w:tr w:rsidR="00736E78" w:rsidRPr="00B84B0C" w14:paraId="34E50946"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7408FAC"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Interest</w:t>
            </w:r>
            <w:proofErr w:type="spellEnd"/>
            <w:r w:rsidRPr="00B84B0C">
              <w:rPr>
                <w:rFonts w:cs="Arial"/>
                <w:b w:val="0"/>
                <w:bCs w:val="0"/>
                <w:color w:val="auto"/>
              </w:rPr>
              <w:t xml:space="preserve"> income</w:t>
            </w:r>
          </w:p>
        </w:tc>
        <w:tc>
          <w:tcPr>
            <w:tcW w:w="2126" w:type="dxa"/>
            <w:tcBorders>
              <w:top w:val="nil"/>
              <w:left w:val="nil"/>
              <w:bottom w:val="nil"/>
              <w:right w:val="nil"/>
            </w:tcBorders>
            <w:vAlign w:val="center"/>
          </w:tcPr>
          <w:p w14:paraId="32D4AB27"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161 </w:t>
            </w:r>
          </w:p>
        </w:tc>
        <w:tc>
          <w:tcPr>
            <w:tcW w:w="2234" w:type="dxa"/>
            <w:tcBorders>
              <w:top w:val="nil"/>
              <w:left w:val="nil"/>
              <w:bottom w:val="nil"/>
              <w:right w:val="nil"/>
            </w:tcBorders>
            <w:vAlign w:val="center"/>
          </w:tcPr>
          <w:p w14:paraId="23B6BFB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491</w:t>
            </w:r>
          </w:p>
        </w:tc>
      </w:tr>
      <w:tr w:rsidR="00736E78" w:rsidRPr="00B84B0C" w14:paraId="6C2E8C7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1A194B3"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Interest</w:t>
            </w:r>
            <w:proofErr w:type="spellEnd"/>
            <w:r w:rsidRPr="00B84B0C">
              <w:rPr>
                <w:rFonts w:cs="Arial"/>
                <w:b w:val="0"/>
                <w:bCs w:val="0"/>
                <w:color w:val="auto"/>
              </w:rPr>
              <w:t xml:space="preserve"> </w:t>
            </w:r>
            <w:proofErr w:type="spellStart"/>
            <w:r w:rsidRPr="00B84B0C">
              <w:rPr>
                <w:rFonts w:cs="Arial"/>
                <w:b w:val="0"/>
                <w:bCs w:val="0"/>
                <w:color w:val="auto"/>
              </w:rPr>
              <w:t>expense</w:t>
            </w:r>
            <w:proofErr w:type="spellEnd"/>
          </w:p>
        </w:tc>
        <w:tc>
          <w:tcPr>
            <w:tcW w:w="2126" w:type="dxa"/>
            <w:tcBorders>
              <w:top w:val="nil"/>
              <w:left w:val="nil"/>
              <w:bottom w:val="nil"/>
              <w:right w:val="nil"/>
            </w:tcBorders>
            <w:vAlign w:val="center"/>
          </w:tcPr>
          <w:p w14:paraId="3ED281C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(333)</w:t>
            </w:r>
          </w:p>
        </w:tc>
        <w:tc>
          <w:tcPr>
            <w:tcW w:w="2234" w:type="dxa"/>
            <w:tcBorders>
              <w:top w:val="nil"/>
              <w:left w:val="nil"/>
              <w:bottom w:val="nil"/>
              <w:right w:val="nil"/>
            </w:tcBorders>
            <w:vAlign w:val="center"/>
          </w:tcPr>
          <w:p w14:paraId="2CCA691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(466)</w:t>
            </w:r>
          </w:p>
        </w:tc>
      </w:tr>
      <w:tr w:rsidR="00736E78" w:rsidRPr="00B84B0C" w14:paraId="5A48E49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0CFADC3"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Depreciation</w:t>
            </w:r>
            <w:proofErr w:type="spellEnd"/>
            <w:r w:rsidRPr="00B84B0C">
              <w:rPr>
                <w:rFonts w:cs="Arial"/>
                <w:b w:val="0"/>
                <w:bCs w:val="0"/>
                <w:color w:val="auto"/>
              </w:rPr>
              <w:t xml:space="preserve"> </w:t>
            </w:r>
            <w:proofErr w:type="spellStart"/>
            <w:r w:rsidRPr="00B84B0C">
              <w:rPr>
                <w:rFonts w:cs="Arial"/>
                <w:b w:val="0"/>
                <w:bCs w:val="0"/>
                <w:color w:val="auto"/>
              </w:rPr>
              <w:t>and</w:t>
            </w:r>
            <w:proofErr w:type="spellEnd"/>
            <w:r w:rsidRPr="00B84B0C">
              <w:rPr>
                <w:rFonts w:cs="Arial"/>
                <w:b w:val="0"/>
                <w:bCs w:val="0"/>
                <w:color w:val="auto"/>
              </w:rPr>
              <w:t xml:space="preserve"> </w:t>
            </w:r>
            <w:proofErr w:type="spellStart"/>
            <w:r w:rsidRPr="00B84B0C">
              <w:rPr>
                <w:rFonts w:cs="Arial"/>
                <w:b w:val="0"/>
                <w:bCs w:val="0"/>
                <w:color w:val="auto"/>
              </w:rPr>
              <w:t>amortization</w:t>
            </w:r>
            <w:proofErr w:type="spellEnd"/>
          </w:p>
        </w:tc>
        <w:tc>
          <w:tcPr>
            <w:tcW w:w="2126" w:type="dxa"/>
            <w:tcBorders>
              <w:top w:val="nil"/>
              <w:left w:val="nil"/>
              <w:bottom w:val="nil"/>
              <w:right w:val="nil"/>
            </w:tcBorders>
            <w:vAlign w:val="center"/>
          </w:tcPr>
          <w:p w14:paraId="4A49E77C"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(5)</w:t>
            </w:r>
          </w:p>
        </w:tc>
        <w:tc>
          <w:tcPr>
            <w:tcW w:w="2234" w:type="dxa"/>
            <w:tcBorders>
              <w:top w:val="nil"/>
              <w:left w:val="nil"/>
              <w:bottom w:val="nil"/>
              <w:right w:val="nil"/>
            </w:tcBorders>
            <w:vAlign w:val="center"/>
          </w:tcPr>
          <w:p w14:paraId="10424B21"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(5)</w:t>
            </w:r>
          </w:p>
        </w:tc>
      </w:tr>
      <w:tr w:rsidR="00736E78" w:rsidRPr="00B84B0C" w14:paraId="2964639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9773AA5" w14:textId="77777777" w:rsidR="00736E78" w:rsidRPr="00B84B0C" w:rsidRDefault="00736E78" w:rsidP="00736E78">
            <w:pPr>
              <w:pStyle w:val="08-Tabelageral"/>
              <w:jc w:val="left"/>
              <w:rPr>
                <w:rFonts w:cs="Arial"/>
                <w:b w:val="0"/>
                <w:bCs w:val="0"/>
                <w:color w:val="auto"/>
                <w:lang w:val="en-US"/>
              </w:rPr>
            </w:pPr>
            <w:r w:rsidRPr="00B84B0C">
              <w:rPr>
                <w:rFonts w:cs="Arial"/>
                <w:b w:val="0"/>
                <w:bCs w:val="0"/>
                <w:color w:val="auto"/>
                <w:lang w:val="en-US"/>
              </w:rPr>
              <w:t xml:space="preserve">Income tax and social contribution </w:t>
            </w:r>
          </w:p>
        </w:tc>
        <w:tc>
          <w:tcPr>
            <w:tcW w:w="2126" w:type="dxa"/>
            <w:tcBorders>
              <w:top w:val="nil"/>
              <w:left w:val="nil"/>
              <w:bottom w:val="nil"/>
              <w:right w:val="nil"/>
            </w:tcBorders>
            <w:vAlign w:val="center"/>
          </w:tcPr>
          <w:p w14:paraId="2E119D1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lang w:val="en-US"/>
              </w:rPr>
              <w:t xml:space="preserve"> </w:t>
            </w:r>
            <w:r w:rsidRPr="00B84B0C">
              <w:rPr>
                <w:rFonts w:cs="Arial"/>
                <w:sz w:val="14"/>
                <w:szCs w:val="14"/>
              </w:rPr>
              <w:t>(3,190)</w:t>
            </w:r>
          </w:p>
        </w:tc>
        <w:tc>
          <w:tcPr>
            <w:tcW w:w="2234" w:type="dxa"/>
            <w:tcBorders>
              <w:top w:val="nil"/>
              <w:left w:val="nil"/>
              <w:bottom w:val="nil"/>
              <w:right w:val="nil"/>
            </w:tcBorders>
            <w:vAlign w:val="center"/>
          </w:tcPr>
          <w:p w14:paraId="74C44A5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(3,188)</w:t>
            </w:r>
          </w:p>
        </w:tc>
      </w:tr>
      <w:tr w:rsidR="00736E78" w:rsidRPr="00B84B0C" w14:paraId="410BF710"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B4D6110"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Net income for the period</w:t>
            </w:r>
          </w:p>
        </w:tc>
        <w:tc>
          <w:tcPr>
            <w:tcW w:w="2126" w:type="dxa"/>
            <w:tcBorders>
              <w:top w:val="nil"/>
              <w:left w:val="nil"/>
              <w:bottom w:val="nil"/>
              <w:right w:val="nil"/>
            </w:tcBorders>
            <w:vAlign w:val="center"/>
          </w:tcPr>
          <w:p w14:paraId="3291680C" w14:textId="77777777" w:rsidR="00736E78" w:rsidRPr="00B84B0C" w:rsidRDefault="00736E78" w:rsidP="00736E78">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lang w:val="en-US"/>
              </w:rPr>
              <w:t xml:space="preserve"> </w:t>
            </w:r>
            <w:r w:rsidRPr="00B84B0C">
              <w:rPr>
                <w:rFonts w:cs="Arial"/>
                <w:b/>
                <w:szCs w:val="14"/>
              </w:rPr>
              <w:t xml:space="preserve">6,176 </w:t>
            </w:r>
          </w:p>
        </w:tc>
        <w:tc>
          <w:tcPr>
            <w:tcW w:w="2234" w:type="dxa"/>
            <w:tcBorders>
              <w:top w:val="nil"/>
              <w:left w:val="nil"/>
              <w:bottom w:val="nil"/>
              <w:right w:val="nil"/>
            </w:tcBorders>
            <w:vAlign w:val="center"/>
          </w:tcPr>
          <w:p w14:paraId="0F5167E8"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sz w:val="14"/>
                <w:szCs w:val="14"/>
              </w:rPr>
              <w:t>6,146</w:t>
            </w:r>
          </w:p>
        </w:tc>
      </w:tr>
      <w:tr w:rsidR="00736E78" w:rsidRPr="00B84B0C" w14:paraId="70C8911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311FB1B" w14:textId="77777777" w:rsidR="00736E78" w:rsidRPr="00B84B0C" w:rsidRDefault="00736E78" w:rsidP="00736E78">
            <w:pPr>
              <w:pStyle w:val="08-Tabelageral"/>
              <w:jc w:val="left"/>
              <w:rPr>
                <w:rFonts w:cs="Arial"/>
                <w:b w:val="0"/>
                <w:bCs w:val="0"/>
                <w:color w:val="auto"/>
              </w:rPr>
            </w:pPr>
            <w:r w:rsidRPr="00B84B0C">
              <w:rPr>
                <w:rFonts w:cs="Arial"/>
                <w:b w:val="0"/>
                <w:bCs w:val="0"/>
                <w:color w:val="auto"/>
              </w:rPr>
              <w:t xml:space="preserve">Other </w:t>
            </w:r>
            <w:proofErr w:type="spellStart"/>
            <w:r w:rsidRPr="00B84B0C">
              <w:rPr>
                <w:rFonts w:cs="Arial"/>
                <w:b w:val="0"/>
                <w:bCs w:val="0"/>
                <w:color w:val="auto"/>
              </w:rPr>
              <w:t>comprehensive</w:t>
            </w:r>
            <w:proofErr w:type="spellEnd"/>
            <w:r w:rsidRPr="00B84B0C">
              <w:rPr>
                <w:rFonts w:cs="Arial"/>
                <w:b w:val="0"/>
                <w:bCs w:val="0"/>
                <w:color w:val="auto"/>
              </w:rPr>
              <w:t xml:space="preserve"> income</w:t>
            </w:r>
          </w:p>
        </w:tc>
        <w:tc>
          <w:tcPr>
            <w:tcW w:w="2126" w:type="dxa"/>
            <w:tcBorders>
              <w:top w:val="nil"/>
              <w:left w:val="nil"/>
              <w:bottom w:val="nil"/>
              <w:right w:val="nil"/>
            </w:tcBorders>
            <w:vAlign w:val="center"/>
          </w:tcPr>
          <w:p w14:paraId="63DAE990"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w:t>
            </w:r>
          </w:p>
        </w:tc>
        <w:tc>
          <w:tcPr>
            <w:tcW w:w="2234" w:type="dxa"/>
            <w:tcBorders>
              <w:top w:val="nil"/>
              <w:left w:val="nil"/>
              <w:bottom w:val="nil"/>
              <w:right w:val="nil"/>
            </w:tcBorders>
            <w:vAlign w:val="center"/>
          </w:tcPr>
          <w:p w14:paraId="603F205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w:t>
            </w:r>
          </w:p>
        </w:tc>
      </w:tr>
      <w:tr w:rsidR="00736E78" w:rsidRPr="00B84B0C" w14:paraId="6E8399EC"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972A68C"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Comprehensive income in the period</w:t>
            </w:r>
          </w:p>
        </w:tc>
        <w:tc>
          <w:tcPr>
            <w:tcW w:w="2126" w:type="dxa"/>
            <w:tcBorders>
              <w:top w:val="nil"/>
              <w:left w:val="nil"/>
              <w:bottom w:val="nil"/>
              <w:right w:val="nil"/>
            </w:tcBorders>
            <w:vAlign w:val="center"/>
          </w:tcPr>
          <w:p w14:paraId="1E6C337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eastAsia="Times New Roman" w:cs="Arial"/>
                <w:b/>
                <w:sz w:val="14"/>
                <w:szCs w:val="14"/>
              </w:rPr>
            </w:pPr>
            <w:r w:rsidRPr="00B84B0C">
              <w:rPr>
                <w:rFonts w:cs="Arial"/>
                <w:b/>
                <w:sz w:val="14"/>
                <w:szCs w:val="14"/>
                <w:lang w:val="en-US"/>
              </w:rPr>
              <w:t>-</w:t>
            </w:r>
            <w:r w:rsidRPr="00B84B0C">
              <w:rPr>
                <w:rFonts w:cs="Arial"/>
                <w:b/>
                <w:sz w:val="14"/>
                <w:szCs w:val="14"/>
              </w:rPr>
              <w:t xml:space="preserve">-   </w:t>
            </w:r>
          </w:p>
        </w:tc>
        <w:tc>
          <w:tcPr>
            <w:tcW w:w="2234" w:type="dxa"/>
            <w:tcBorders>
              <w:top w:val="nil"/>
              <w:left w:val="nil"/>
              <w:bottom w:val="nil"/>
              <w:right w:val="nil"/>
            </w:tcBorders>
            <w:vAlign w:val="center"/>
          </w:tcPr>
          <w:p w14:paraId="37FFE1BB"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sz w:val="14"/>
                <w:szCs w:val="14"/>
              </w:rPr>
              <w:t>6,146</w:t>
            </w:r>
          </w:p>
        </w:tc>
      </w:tr>
      <w:tr w:rsidR="00736E78" w:rsidRPr="00B84B0C" w14:paraId="5DBAFE53"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9B4EE84"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 xml:space="preserve">Net income attributable to BB </w:t>
            </w:r>
            <w:proofErr w:type="spellStart"/>
            <w:r w:rsidRPr="00B84B0C">
              <w:rPr>
                <w:rFonts w:cs="Arial"/>
                <w:bCs w:val="0"/>
                <w:color w:val="auto"/>
                <w:lang w:val="en-US"/>
              </w:rPr>
              <w:t>Seguridade</w:t>
            </w:r>
            <w:proofErr w:type="spellEnd"/>
          </w:p>
        </w:tc>
        <w:tc>
          <w:tcPr>
            <w:tcW w:w="2126" w:type="dxa"/>
            <w:tcBorders>
              <w:top w:val="nil"/>
              <w:left w:val="nil"/>
              <w:bottom w:val="nil"/>
              <w:right w:val="nil"/>
            </w:tcBorders>
            <w:vAlign w:val="center"/>
          </w:tcPr>
          <w:p w14:paraId="3D2F1A7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lang w:val="en-US"/>
              </w:rPr>
              <w:t xml:space="preserve"> </w:t>
            </w:r>
            <w:r w:rsidRPr="00B84B0C">
              <w:rPr>
                <w:rFonts w:cs="Arial"/>
                <w:b/>
                <w:sz w:val="14"/>
                <w:szCs w:val="14"/>
              </w:rPr>
              <w:t xml:space="preserve">4,632 </w:t>
            </w:r>
          </w:p>
        </w:tc>
        <w:tc>
          <w:tcPr>
            <w:tcW w:w="2234" w:type="dxa"/>
            <w:tcBorders>
              <w:top w:val="nil"/>
              <w:left w:val="nil"/>
              <w:bottom w:val="nil"/>
              <w:right w:val="nil"/>
            </w:tcBorders>
            <w:vAlign w:val="center"/>
          </w:tcPr>
          <w:p w14:paraId="531813C3"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sz w:val="14"/>
                <w:szCs w:val="14"/>
              </w:rPr>
              <w:t>4,609</w:t>
            </w:r>
          </w:p>
        </w:tc>
      </w:tr>
      <w:tr w:rsidR="00736E78" w:rsidRPr="00B84B0C" w14:paraId="582350A1"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9BB91DD" w14:textId="77777777" w:rsidR="00736E78" w:rsidRPr="00B84B0C" w:rsidRDefault="00736E78" w:rsidP="00736E78">
            <w:pPr>
              <w:pStyle w:val="08-Tabelageral"/>
              <w:jc w:val="left"/>
              <w:rPr>
                <w:rFonts w:cs="Arial"/>
                <w:b w:val="0"/>
                <w:bCs w:val="0"/>
                <w:color w:val="auto"/>
              </w:rPr>
            </w:pPr>
            <w:r w:rsidRPr="00B84B0C">
              <w:rPr>
                <w:rFonts w:cs="Arial"/>
                <w:b w:val="0"/>
                <w:bCs w:val="0"/>
                <w:color w:val="auto"/>
              </w:rPr>
              <w:t xml:space="preserve">Other </w:t>
            </w:r>
            <w:proofErr w:type="spellStart"/>
            <w:r w:rsidRPr="00B84B0C">
              <w:rPr>
                <w:rFonts w:cs="Arial"/>
                <w:b w:val="0"/>
                <w:bCs w:val="0"/>
                <w:color w:val="auto"/>
              </w:rPr>
              <w:t>adjustments</w:t>
            </w:r>
            <w:proofErr w:type="spellEnd"/>
          </w:p>
        </w:tc>
        <w:tc>
          <w:tcPr>
            <w:tcW w:w="2126" w:type="dxa"/>
            <w:tcBorders>
              <w:top w:val="nil"/>
              <w:left w:val="nil"/>
              <w:bottom w:val="nil"/>
              <w:right w:val="nil"/>
            </w:tcBorders>
            <w:vAlign w:val="center"/>
          </w:tcPr>
          <w:p w14:paraId="5BD7B1B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4"/>
              </w:rPr>
            </w:pPr>
            <w:r w:rsidRPr="00B84B0C">
              <w:rPr>
                <w:rFonts w:cs="Arial"/>
                <w:bCs/>
                <w:sz w:val="14"/>
                <w:szCs w:val="14"/>
              </w:rPr>
              <w:t xml:space="preserve"> --   </w:t>
            </w:r>
          </w:p>
        </w:tc>
        <w:tc>
          <w:tcPr>
            <w:tcW w:w="2234" w:type="dxa"/>
            <w:tcBorders>
              <w:top w:val="nil"/>
              <w:left w:val="nil"/>
              <w:bottom w:val="nil"/>
              <w:right w:val="nil"/>
            </w:tcBorders>
            <w:vAlign w:val="center"/>
          </w:tcPr>
          <w:p w14:paraId="7CC97891"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4"/>
              </w:rPr>
            </w:pPr>
            <w:r w:rsidRPr="00B84B0C">
              <w:rPr>
                <w:rFonts w:cs="Arial"/>
                <w:bCs/>
                <w:sz w:val="14"/>
                <w:szCs w:val="14"/>
              </w:rPr>
              <w:t>--</w:t>
            </w:r>
          </w:p>
        </w:tc>
      </w:tr>
      <w:tr w:rsidR="00736E78" w:rsidRPr="00B84B0C" w14:paraId="6C969298"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5DD9175D" w14:textId="77777777" w:rsidR="00736E78" w:rsidRPr="00B84B0C" w:rsidRDefault="00736E78" w:rsidP="00736E78">
            <w:pPr>
              <w:pStyle w:val="08-Tabelageral"/>
              <w:jc w:val="left"/>
              <w:rPr>
                <w:rFonts w:cs="Arial"/>
                <w:bCs w:val="0"/>
                <w:color w:val="auto"/>
              </w:rPr>
            </w:pPr>
            <w:proofErr w:type="spellStart"/>
            <w:r w:rsidRPr="00B84B0C">
              <w:rPr>
                <w:rFonts w:cs="Arial"/>
                <w:bCs w:val="0"/>
                <w:color w:val="auto"/>
              </w:rPr>
              <w:t>Equity</w:t>
            </w:r>
            <w:proofErr w:type="spellEnd"/>
            <w:r w:rsidRPr="00B84B0C">
              <w:rPr>
                <w:rFonts w:cs="Arial"/>
                <w:bCs w:val="0"/>
                <w:color w:val="auto"/>
              </w:rPr>
              <w:t xml:space="preserve"> income</w:t>
            </w:r>
          </w:p>
        </w:tc>
        <w:tc>
          <w:tcPr>
            <w:tcW w:w="2126" w:type="dxa"/>
            <w:tcBorders>
              <w:top w:val="nil"/>
              <w:left w:val="nil"/>
              <w:bottom w:val="single" w:sz="2" w:space="0" w:color="8EAADB" w:themeColor="accent5" w:themeTint="99"/>
              <w:right w:val="nil"/>
            </w:tcBorders>
            <w:vAlign w:val="center"/>
          </w:tcPr>
          <w:p w14:paraId="6C6233AF"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sz w:val="14"/>
                <w:szCs w:val="14"/>
              </w:rPr>
              <w:t xml:space="preserve"> 4,632 </w:t>
            </w:r>
          </w:p>
        </w:tc>
        <w:tc>
          <w:tcPr>
            <w:tcW w:w="2234" w:type="dxa"/>
            <w:tcBorders>
              <w:top w:val="nil"/>
              <w:left w:val="nil"/>
              <w:bottom w:val="single" w:sz="2" w:space="0" w:color="8EAADB" w:themeColor="accent5" w:themeTint="99"/>
              <w:right w:val="nil"/>
            </w:tcBorders>
            <w:vAlign w:val="center"/>
          </w:tcPr>
          <w:p w14:paraId="0E65A5CE"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sz w:val="14"/>
                <w:szCs w:val="14"/>
              </w:rPr>
              <w:t>4,609</w:t>
            </w:r>
          </w:p>
        </w:tc>
      </w:tr>
    </w:tbl>
    <w:p w14:paraId="6782CB5A" w14:textId="77777777" w:rsidR="00736E78" w:rsidRPr="00B84B0C" w:rsidRDefault="00736E78" w:rsidP="00736E78">
      <w:pPr>
        <w:spacing w:after="0" w:line="240" w:lineRule="auto"/>
        <w:rPr>
          <w:rFonts w:cs="Arial"/>
          <w:lang w:eastAsia="pt-BR"/>
        </w:rPr>
      </w:pPr>
    </w:p>
    <w:p w14:paraId="1FC01889" w14:textId="77777777" w:rsidR="00736E78" w:rsidRPr="00B84B0C" w:rsidRDefault="00736E78" w:rsidP="00736E78">
      <w:pPr>
        <w:spacing w:after="0" w:line="240" w:lineRule="auto"/>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t>d.6) BB Corretora de Seguros e Administradora de Bens</w:t>
      </w:r>
    </w:p>
    <w:p w14:paraId="2779F545"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0E18F519"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0CC32612" w14:textId="77777777" w:rsidR="00736E78" w:rsidRPr="00B84B0C" w:rsidRDefault="00736E78" w:rsidP="00736E78">
            <w:pPr>
              <w:rPr>
                <w:rFonts w:cs="Arial"/>
                <w:sz w:val="14"/>
                <w:szCs w:val="14"/>
              </w:rPr>
            </w:pPr>
            <w:r w:rsidRPr="00B84B0C">
              <w:rPr>
                <w:rFonts w:cs="Arial"/>
                <w:sz w:val="14"/>
                <w:szCs w:val="14"/>
              </w:rPr>
              <w:t>BB Corretora de Seguros e Administradora de Bens</w:t>
            </w:r>
          </w:p>
        </w:tc>
        <w:tc>
          <w:tcPr>
            <w:tcW w:w="2126" w:type="dxa"/>
            <w:tcBorders>
              <w:top w:val="single" w:sz="2" w:space="0" w:color="8EAADB" w:themeColor="accent5" w:themeTint="99"/>
              <w:bottom w:val="single" w:sz="2" w:space="0" w:color="8EAADB" w:themeColor="accent5" w:themeTint="99"/>
            </w:tcBorders>
            <w:vAlign w:val="bottom"/>
          </w:tcPr>
          <w:p w14:paraId="35983763"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2020</w:t>
            </w:r>
          </w:p>
        </w:tc>
        <w:tc>
          <w:tcPr>
            <w:tcW w:w="2234" w:type="dxa"/>
            <w:tcBorders>
              <w:top w:val="single" w:sz="2" w:space="0" w:color="8EAADB" w:themeColor="accent5" w:themeTint="99"/>
              <w:bottom w:val="single" w:sz="2" w:space="0" w:color="8EAADB" w:themeColor="accent5" w:themeTint="99"/>
            </w:tcBorders>
            <w:vAlign w:val="bottom"/>
          </w:tcPr>
          <w:p w14:paraId="2B91A94F"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2019</w:t>
            </w:r>
          </w:p>
        </w:tc>
      </w:tr>
      <w:tr w:rsidR="00736E78" w:rsidRPr="00B84B0C" w14:paraId="6AAD239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6E7F78CD" w14:textId="77777777" w:rsidR="00736E78" w:rsidRPr="00B84B0C" w:rsidRDefault="00736E78" w:rsidP="00736E78">
            <w:pPr>
              <w:pStyle w:val="08-Tabelageral"/>
              <w:jc w:val="left"/>
              <w:rPr>
                <w:rFonts w:cs="Arial"/>
                <w:bCs w:val="0"/>
                <w:color w:val="auto"/>
              </w:rPr>
            </w:pPr>
            <w:r w:rsidRPr="00B84B0C">
              <w:rPr>
                <w:rFonts w:cs="Arial"/>
                <w:bCs w:val="0"/>
                <w:color w:val="auto"/>
              </w:rPr>
              <w:t xml:space="preserve">Income </w:t>
            </w:r>
          </w:p>
        </w:tc>
        <w:tc>
          <w:tcPr>
            <w:tcW w:w="2126" w:type="dxa"/>
            <w:tcBorders>
              <w:top w:val="single" w:sz="2" w:space="0" w:color="8EAADB" w:themeColor="accent5" w:themeTint="99"/>
              <w:left w:val="nil"/>
              <w:bottom w:val="nil"/>
              <w:right w:val="nil"/>
            </w:tcBorders>
          </w:tcPr>
          <w:p w14:paraId="2B4A3D9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eastAsia="Times New Roman" w:cs="Arial"/>
                <w:b/>
                <w:spacing w:val="-2"/>
                <w:sz w:val="14"/>
                <w:szCs w:val="14"/>
              </w:rPr>
              <w:t>780,618</w:t>
            </w:r>
          </w:p>
        </w:tc>
        <w:tc>
          <w:tcPr>
            <w:tcW w:w="2234" w:type="dxa"/>
            <w:tcBorders>
              <w:top w:val="single" w:sz="2" w:space="0" w:color="8EAADB" w:themeColor="accent5" w:themeTint="99"/>
              <w:left w:val="nil"/>
              <w:bottom w:val="nil"/>
              <w:right w:val="nil"/>
            </w:tcBorders>
            <w:vAlign w:val="center"/>
          </w:tcPr>
          <w:p w14:paraId="5A28CF7F" w14:textId="60666CD2" w:rsidR="00736E78" w:rsidRPr="00B84B0C" w:rsidRDefault="00F712F5"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Pr>
                <w:rFonts w:cs="Arial"/>
                <w:b/>
                <w:sz w:val="14"/>
                <w:szCs w:val="14"/>
              </w:rPr>
              <w:t>668,169</w:t>
            </w:r>
          </w:p>
        </w:tc>
      </w:tr>
      <w:tr w:rsidR="00736E78" w:rsidRPr="00B84B0C" w14:paraId="73D711C0"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F3B1347"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Interest</w:t>
            </w:r>
            <w:proofErr w:type="spellEnd"/>
            <w:r w:rsidRPr="00B84B0C">
              <w:rPr>
                <w:rFonts w:cs="Arial"/>
                <w:b w:val="0"/>
                <w:bCs w:val="0"/>
                <w:color w:val="auto"/>
              </w:rPr>
              <w:t xml:space="preserve"> income</w:t>
            </w:r>
          </w:p>
        </w:tc>
        <w:tc>
          <w:tcPr>
            <w:tcW w:w="2126" w:type="dxa"/>
            <w:tcBorders>
              <w:top w:val="nil"/>
              <w:left w:val="nil"/>
              <w:bottom w:val="nil"/>
              <w:right w:val="nil"/>
            </w:tcBorders>
          </w:tcPr>
          <w:p w14:paraId="685F3FD7"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eastAsia="Times New Roman" w:cs="Arial"/>
                <w:spacing w:val="-2"/>
                <w:sz w:val="14"/>
                <w:szCs w:val="14"/>
              </w:rPr>
              <w:t>20,553</w:t>
            </w:r>
          </w:p>
        </w:tc>
        <w:tc>
          <w:tcPr>
            <w:tcW w:w="2234" w:type="dxa"/>
            <w:tcBorders>
              <w:top w:val="nil"/>
              <w:left w:val="nil"/>
              <w:bottom w:val="nil"/>
              <w:right w:val="nil"/>
            </w:tcBorders>
            <w:vAlign w:val="center"/>
          </w:tcPr>
          <w:p w14:paraId="29210C0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26,799</w:t>
            </w:r>
          </w:p>
        </w:tc>
      </w:tr>
      <w:tr w:rsidR="00736E78" w:rsidRPr="00B84B0C" w14:paraId="1C8B5A1F"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CD0EF35"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Interest</w:t>
            </w:r>
            <w:proofErr w:type="spellEnd"/>
            <w:r w:rsidRPr="00B84B0C">
              <w:rPr>
                <w:rFonts w:cs="Arial"/>
                <w:b w:val="0"/>
                <w:bCs w:val="0"/>
                <w:color w:val="auto"/>
              </w:rPr>
              <w:t xml:space="preserve"> </w:t>
            </w:r>
            <w:proofErr w:type="spellStart"/>
            <w:r w:rsidRPr="00B84B0C">
              <w:rPr>
                <w:rFonts w:cs="Arial"/>
                <w:b w:val="0"/>
                <w:bCs w:val="0"/>
                <w:color w:val="auto"/>
              </w:rPr>
              <w:t>expense</w:t>
            </w:r>
            <w:proofErr w:type="spellEnd"/>
          </w:p>
        </w:tc>
        <w:tc>
          <w:tcPr>
            <w:tcW w:w="2126" w:type="dxa"/>
            <w:tcBorders>
              <w:top w:val="nil"/>
              <w:left w:val="nil"/>
              <w:bottom w:val="nil"/>
              <w:right w:val="nil"/>
            </w:tcBorders>
          </w:tcPr>
          <w:p w14:paraId="167592D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eastAsia="Times New Roman" w:cs="Arial"/>
                <w:spacing w:val="-2"/>
                <w:sz w:val="14"/>
                <w:szCs w:val="14"/>
              </w:rPr>
              <w:t>(8,064)</w:t>
            </w:r>
          </w:p>
        </w:tc>
        <w:tc>
          <w:tcPr>
            <w:tcW w:w="2234" w:type="dxa"/>
            <w:tcBorders>
              <w:top w:val="nil"/>
              <w:left w:val="nil"/>
              <w:bottom w:val="nil"/>
              <w:right w:val="nil"/>
            </w:tcBorders>
            <w:vAlign w:val="center"/>
          </w:tcPr>
          <w:p w14:paraId="378FA3C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(5,553)</w:t>
            </w:r>
          </w:p>
        </w:tc>
      </w:tr>
      <w:tr w:rsidR="00736E78" w:rsidRPr="00B84B0C" w14:paraId="1212616D" w14:textId="77777777" w:rsidTr="00736E78">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290D13A8"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Depreciation</w:t>
            </w:r>
            <w:proofErr w:type="spellEnd"/>
            <w:r w:rsidRPr="00B84B0C">
              <w:rPr>
                <w:rFonts w:cs="Arial"/>
                <w:b w:val="0"/>
                <w:bCs w:val="0"/>
                <w:color w:val="auto"/>
              </w:rPr>
              <w:t xml:space="preserve"> </w:t>
            </w:r>
            <w:proofErr w:type="spellStart"/>
            <w:r w:rsidRPr="00B84B0C">
              <w:rPr>
                <w:rFonts w:cs="Arial"/>
                <w:b w:val="0"/>
                <w:bCs w:val="0"/>
                <w:color w:val="auto"/>
              </w:rPr>
              <w:t>and</w:t>
            </w:r>
            <w:proofErr w:type="spellEnd"/>
            <w:r w:rsidRPr="00B84B0C">
              <w:rPr>
                <w:rFonts w:cs="Arial"/>
                <w:b w:val="0"/>
                <w:bCs w:val="0"/>
                <w:color w:val="auto"/>
              </w:rPr>
              <w:t xml:space="preserve"> </w:t>
            </w:r>
            <w:proofErr w:type="spellStart"/>
            <w:r w:rsidRPr="00B84B0C">
              <w:rPr>
                <w:rFonts w:cs="Arial"/>
                <w:b w:val="0"/>
                <w:bCs w:val="0"/>
                <w:color w:val="auto"/>
              </w:rPr>
              <w:t>amortization</w:t>
            </w:r>
            <w:proofErr w:type="spellEnd"/>
          </w:p>
        </w:tc>
        <w:tc>
          <w:tcPr>
            <w:tcW w:w="2126" w:type="dxa"/>
            <w:tcBorders>
              <w:top w:val="nil"/>
              <w:left w:val="nil"/>
              <w:bottom w:val="nil"/>
              <w:right w:val="nil"/>
            </w:tcBorders>
          </w:tcPr>
          <w:p w14:paraId="75B7D6F0"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eastAsia="Times New Roman" w:cs="Arial"/>
                <w:spacing w:val="-2"/>
                <w:sz w:val="14"/>
                <w:szCs w:val="14"/>
              </w:rPr>
              <w:t>(149)</w:t>
            </w:r>
          </w:p>
        </w:tc>
        <w:tc>
          <w:tcPr>
            <w:tcW w:w="2234" w:type="dxa"/>
            <w:tcBorders>
              <w:top w:val="nil"/>
              <w:left w:val="nil"/>
              <w:bottom w:val="nil"/>
              <w:right w:val="nil"/>
            </w:tcBorders>
            <w:vAlign w:val="center"/>
          </w:tcPr>
          <w:p w14:paraId="28BDBD4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(126)</w:t>
            </w:r>
          </w:p>
        </w:tc>
      </w:tr>
      <w:tr w:rsidR="00736E78" w:rsidRPr="00B84B0C" w14:paraId="461BC3C2"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6303AE8" w14:textId="77777777" w:rsidR="00736E78" w:rsidRPr="00B84B0C" w:rsidRDefault="00736E78" w:rsidP="00736E78">
            <w:pPr>
              <w:pStyle w:val="08-Tabelageral"/>
              <w:jc w:val="left"/>
              <w:rPr>
                <w:rFonts w:cs="Arial"/>
                <w:b w:val="0"/>
                <w:bCs w:val="0"/>
                <w:color w:val="auto"/>
                <w:lang w:val="en-US"/>
              </w:rPr>
            </w:pPr>
            <w:r w:rsidRPr="00B84B0C">
              <w:rPr>
                <w:rFonts w:cs="Arial"/>
                <w:b w:val="0"/>
                <w:bCs w:val="0"/>
                <w:color w:val="auto"/>
                <w:lang w:val="en-US"/>
              </w:rPr>
              <w:t xml:space="preserve">Income tax and social contribution </w:t>
            </w:r>
          </w:p>
        </w:tc>
        <w:tc>
          <w:tcPr>
            <w:tcW w:w="2126" w:type="dxa"/>
            <w:tcBorders>
              <w:top w:val="nil"/>
              <w:left w:val="nil"/>
              <w:bottom w:val="nil"/>
              <w:right w:val="nil"/>
            </w:tcBorders>
          </w:tcPr>
          <w:p w14:paraId="6350CBD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eastAsia="Times New Roman" w:cs="Arial"/>
                <w:spacing w:val="-2"/>
                <w:sz w:val="14"/>
                <w:szCs w:val="14"/>
              </w:rPr>
              <w:t>(248,641)</w:t>
            </w:r>
          </w:p>
        </w:tc>
        <w:tc>
          <w:tcPr>
            <w:tcW w:w="2234" w:type="dxa"/>
            <w:tcBorders>
              <w:top w:val="nil"/>
              <w:left w:val="nil"/>
              <w:bottom w:val="nil"/>
              <w:right w:val="nil"/>
            </w:tcBorders>
            <w:vAlign w:val="center"/>
          </w:tcPr>
          <w:p w14:paraId="2DA8F716"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(212,890)</w:t>
            </w:r>
          </w:p>
        </w:tc>
      </w:tr>
      <w:tr w:rsidR="00736E78" w:rsidRPr="00B84B0C" w14:paraId="05E6246D" w14:textId="77777777" w:rsidTr="00736E78">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231CF3B"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Net income for the period</w:t>
            </w:r>
          </w:p>
        </w:tc>
        <w:tc>
          <w:tcPr>
            <w:tcW w:w="2126" w:type="dxa"/>
            <w:tcBorders>
              <w:top w:val="nil"/>
              <w:left w:val="nil"/>
              <w:bottom w:val="nil"/>
              <w:right w:val="nil"/>
            </w:tcBorders>
          </w:tcPr>
          <w:p w14:paraId="3BE7D789"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eastAsia="Times New Roman" w:cs="Arial"/>
                <w:b/>
                <w:spacing w:val="-2"/>
                <w:sz w:val="14"/>
                <w:szCs w:val="14"/>
              </w:rPr>
              <w:t>478,132</w:t>
            </w:r>
          </w:p>
        </w:tc>
        <w:tc>
          <w:tcPr>
            <w:tcW w:w="2234" w:type="dxa"/>
            <w:tcBorders>
              <w:top w:val="nil"/>
              <w:left w:val="nil"/>
              <w:bottom w:val="nil"/>
              <w:right w:val="nil"/>
            </w:tcBorders>
            <w:vAlign w:val="center"/>
          </w:tcPr>
          <w:p w14:paraId="4844791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sz w:val="14"/>
                <w:szCs w:val="14"/>
              </w:rPr>
              <w:t>415,623</w:t>
            </w:r>
          </w:p>
        </w:tc>
      </w:tr>
      <w:tr w:rsidR="00736E78" w:rsidRPr="00B84B0C" w14:paraId="138798D4"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9101E7F" w14:textId="77777777" w:rsidR="00736E78" w:rsidRPr="00B84B0C" w:rsidRDefault="00736E78" w:rsidP="00736E78">
            <w:pPr>
              <w:pStyle w:val="08-Tabelageral"/>
              <w:jc w:val="left"/>
              <w:rPr>
                <w:rFonts w:cs="Arial"/>
                <w:b w:val="0"/>
                <w:bCs w:val="0"/>
                <w:color w:val="auto"/>
              </w:rPr>
            </w:pPr>
            <w:r w:rsidRPr="00B84B0C">
              <w:rPr>
                <w:rFonts w:cs="Arial"/>
                <w:b w:val="0"/>
                <w:bCs w:val="0"/>
                <w:color w:val="auto"/>
              </w:rPr>
              <w:t xml:space="preserve">Other </w:t>
            </w:r>
            <w:proofErr w:type="spellStart"/>
            <w:r w:rsidRPr="00B84B0C">
              <w:rPr>
                <w:rFonts w:cs="Arial"/>
                <w:b w:val="0"/>
                <w:bCs w:val="0"/>
                <w:color w:val="auto"/>
              </w:rPr>
              <w:t>comprehensive</w:t>
            </w:r>
            <w:proofErr w:type="spellEnd"/>
            <w:r w:rsidRPr="00B84B0C">
              <w:rPr>
                <w:rFonts w:cs="Arial"/>
                <w:b w:val="0"/>
                <w:bCs w:val="0"/>
                <w:color w:val="auto"/>
              </w:rPr>
              <w:t xml:space="preserve"> income</w:t>
            </w:r>
          </w:p>
        </w:tc>
        <w:tc>
          <w:tcPr>
            <w:tcW w:w="2126" w:type="dxa"/>
            <w:tcBorders>
              <w:top w:val="nil"/>
              <w:left w:val="nil"/>
              <w:bottom w:val="nil"/>
              <w:right w:val="nil"/>
            </w:tcBorders>
          </w:tcPr>
          <w:p w14:paraId="2A6ED11E"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eastAsia="Times New Roman" w:cs="Arial"/>
                <w:spacing w:val="-2"/>
                <w:sz w:val="14"/>
                <w:szCs w:val="14"/>
              </w:rPr>
              <w:t>--</w:t>
            </w:r>
          </w:p>
        </w:tc>
        <w:tc>
          <w:tcPr>
            <w:tcW w:w="2234" w:type="dxa"/>
            <w:tcBorders>
              <w:top w:val="nil"/>
              <w:left w:val="nil"/>
              <w:bottom w:val="nil"/>
              <w:right w:val="nil"/>
            </w:tcBorders>
            <w:vAlign w:val="center"/>
          </w:tcPr>
          <w:p w14:paraId="785943B6"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w:t>
            </w:r>
          </w:p>
        </w:tc>
      </w:tr>
      <w:tr w:rsidR="00736E78" w:rsidRPr="00B84B0C" w14:paraId="1B3192C9" w14:textId="77777777" w:rsidTr="00736E78">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3FEAC4B"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Comprehensive income in the period</w:t>
            </w:r>
          </w:p>
        </w:tc>
        <w:tc>
          <w:tcPr>
            <w:tcW w:w="2126" w:type="dxa"/>
            <w:tcBorders>
              <w:top w:val="nil"/>
              <w:left w:val="nil"/>
              <w:bottom w:val="nil"/>
              <w:right w:val="nil"/>
            </w:tcBorders>
          </w:tcPr>
          <w:p w14:paraId="6C24AAA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eastAsia="Times New Roman" w:cs="Arial"/>
                <w:b/>
                <w:spacing w:val="-2"/>
                <w:sz w:val="14"/>
                <w:szCs w:val="14"/>
              </w:rPr>
              <w:t>478,132</w:t>
            </w:r>
          </w:p>
        </w:tc>
        <w:tc>
          <w:tcPr>
            <w:tcW w:w="2234" w:type="dxa"/>
            <w:tcBorders>
              <w:top w:val="nil"/>
              <w:left w:val="nil"/>
              <w:bottom w:val="nil"/>
              <w:right w:val="nil"/>
            </w:tcBorders>
            <w:vAlign w:val="center"/>
          </w:tcPr>
          <w:p w14:paraId="55B4FBED"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sz w:val="14"/>
                <w:szCs w:val="14"/>
              </w:rPr>
              <w:t>415,623</w:t>
            </w:r>
          </w:p>
        </w:tc>
      </w:tr>
      <w:tr w:rsidR="00736E78" w:rsidRPr="00B84B0C" w14:paraId="5E7E8D6A"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7D8DAC5"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 xml:space="preserve">Net income attributable to BB </w:t>
            </w:r>
            <w:proofErr w:type="spellStart"/>
            <w:r w:rsidRPr="00B84B0C">
              <w:rPr>
                <w:rFonts w:cs="Arial"/>
                <w:bCs w:val="0"/>
                <w:color w:val="auto"/>
                <w:lang w:val="en-US"/>
              </w:rPr>
              <w:t>Seguridade</w:t>
            </w:r>
            <w:proofErr w:type="spellEnd"/>
          </w:p>
        </w:tc>
        <w:tc>
          <w:tcPr>
            <w:tcW w:w="2126" w:type="dxa"/>
            <w:tcBorders>
              <w:top w:val="nil"/>
              <w:left w:val="nil"/>
              <w:bottom w:val="nil"/>
              <w:right w:val="nil"/>
            </w:tcBorders>
          </w:tcPr>
          <w:p w14:paraId="354DA8C9"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eastAsia="Times New Roman" w:cs="Arial"/>
                <w:spacing w:val="-2"/>
                <w:sz w:val="14"/>
                <w:szCs w:val="14"/>
              </w:rPr>
              <w:t>478,132</w:t>
            </w:r>
          </w:p>
        </w:tc>
        <w:tc>
          <w:tcPr>
            <w:tcW w:w="2234" w:type="dxa"/>
            <w:tcBorders>
              <w:top w:val="nil"/>
              <w:left w:val="nil"/>
              <w:bottom w:val="nil"/>
              <w:right w:val="nil"/>
            </w:tcBorders>
            <w:vAlign w:val="center"/>
          </w:tcPr>
          <w:p w14:paraId="7F50EC1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sz w:val="14"/>
                <w:szCs w:val="14"/>
              </w:rPr>
              <w:t>415,623</w:t>
            </w:r>
          </w:p>
        </w:tc>
      </w:tr>
      <w:tr w:rsidR="00736E78" w:rsidRPr="00B84B0C" w14:paraId="56293BCB" w14:textId="77777777" w:rsidTr="00736E78">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80411F8" w14:textId="77777777" w:rsidR="00736E78" w:rsidRPr="00B84B0C" w:rsidRDefault="00736E78" w:rsidP="00736E78">
            <w:pPr>
              <w:pStyle w:val="08-Tabelageral"/>
              <w:jc w:val="left"/>
              <w:rPr>
                <w:rFonts w:cs="Arial"/>
                <w:b w:val="0"/>
                <w:bCs w:val="0"/>
                <w:color w:val="auto"/>
              </w:rPr>
            </w:pPr>
            <w:r w:rsidRPr="00B84B0C">
              <w:rPr>
                <w:rFonts w:cs="Arial"/>
                <w:b w:val="0"/>
                <w:bCs w:val="0"/>
                <w:color w:val="auto"/>
              </w:rPr>
              <w:t xml:space="preserve">Other </w:t>
            </w:r>
            <w:proofErr w:type="spellStart"/>
            <w:r w:rsidRPr="00B84B0C">
              <w:rPr>
                <w:rFonts w:cs="Arial"/>
                <w:b w:val="0"/>
                <w:bCs w:val="0"/>
                <w:color w:val="auto"/>
              </w:rPr>
              <w:t>adjustments</w:t>
            </w:r>
            <w:proofErr w:type="spellEnd"/>
          </w:p>
        </w:tc>
        <w:tc>
          <w:tcPr>
            <w:tcW w:w="2126" w:type="dxa"/>
            <w:tcBorders>
              <w:top w:val="nil"/>
              <w:left w:val="nil"/>
              <w:bottom w:val="nil"/>
              <w:right w:val="nil"/>
            </w:tcBorders>
          </w:tcPr>
          <w:p w14:paraId="0F32379B"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4"/>
              </w:rPr>
            </w:pPr>
            <w:r w:rsidRPr="00B84B0C">
              <w:rPr>
                <w:rFonts w:eastAsia="Times New Roman" w:cs="Arial"/>
                <w:bCs/>
                <w:spacing w:val="-2"/>
                <w:sz w:val="14"/>
                <w:szCs w:val="14"/>
              </w:rPr>
              <w:t>--</w:t>
            </w:r>
          </w:p>
        </w:tc>
        <w:tc>
          <w:tcPr>
            <w:tcW w:w="2234" w:type="dxa"/>
            <w:tcBorders>
              <w:top w:val="nil"/>
              <w:left w:val="nil"/>
              <w:bottom w:val="nil"/>
              <w:right w:val="nil"/>
            </w:tcBorders>
            <w:vAlign w:val="center"/>
          </w:tcPr>
          <w:p w14:paraId="148BE6FD"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4"/>
              </w:rPr>
            </w:pPr>
            <w:r w:rsidRPr="00B84B0C">
              <w:rPr>
                <w:rFonts w:cs="Arial"/>
                <w:bCs/>
                <w:sz w:val="14"/>
                <w:szCs w:val="14"/>
              </w:rPr>
              <w:t>--</w:t>
            </w:r>
          </w:p>
        </w:tc>
      </w:tr>
      <w:tr w:rsidR="00736E78" w:rsidRPr="00B84B0C" w14:paraId="19DDCD56" w14:textId="77777777" w:rsidTr="00736E7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06E7CA51" w14:textId="77777777" w:rsidR="00736E78" w:rsidRPr="00B84B0C" w:rsidRDefault="00736E78" w:rsidP="00736E78">
            <w:pPr>
              <w:pStyle w:val="08-Tabelageral"/>
              <w:jc w:val="left"/>
              <w:rPr>
                <w:rFonts w:cs="Arial"/>
                <w:bCs w:val="0"/>
                <w:color w:val="auto"/>
              </w:rPr>
            </w:pPr>
            <w:proofErr w:type="spellStart"/>
            <w:r w:rsidRPr="00B84B0C">
              <w:rPr>
                <w:rFonts w:cs="Arial"/>
                <w:bCs w:val="0"/>
                <w:color w:val="auto"/>
              </w:rPr>
              <w:t>Equity</w:t>
            </w:r>
            <w:proofErr w:type="spellEnd"/>
            <w:r w:rsidRPr="00B84B0C">
              <w:rPr>
                <w:rFonts w:cs="Arial"/>
                <w:bCs w:val="0"/>
                <w:color w:val="auto"/>
              </w:rPr>
              <w:t xml:space="preserve"> income</w:t>
            </w:r>
          </w:p>
        </w:tc>
        <w:tc>
          <w:tcPr>
            <w:tcW w:w="2126" w:type="dxa"/>
            <w:tcBorders>
              <w:top w:val="nil"/>
              <w:left w:val="nil"/>
              <w:bottom w:val="single" w:sz="2" w:space="0" w:color="8EAADB" w:themeColor="accent5" w:themeTint="99"/>
              <w:right w:val="nil"/>
            </w:tcBorders>
          </w:tcPr>
          <w:p w14:paraId="05494AA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eastAsia="Times New Roman" w:cs="Arial"/>
                <w:b/>
                <w:spacing w:val="-2"/>
                <w:sz w:val="14"/>
                <w:szCs w:val="14"/>
              </w:rPr>
              <w:t>478,132</w:t>
            </w:r>
          </w:p>
        </w:tc>
        <w:tc>
          <w:tcPr>
            <w:tcW w:w="2234" w:type="dxa"/>
            <w:tcBorders>
              <w:top w:val="nil"/>
              <w:left w:val="nil"/>
              <w:bottom w:val="single" w:sz="2" w:space="0" w:color="8EAADB" w:themeColor="accent5" w:themeTint="99"/>
              <w:right w:val="nil"/>
            </w:tcBorders>
            <w:vAlign w:val="center"/>
          </w:tcPr>
          <w:p w14:paraId="67C208F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sz w:val="14"/>
                <w:szCs w:val="14"/>
              </w:rPr>
              <w:t>415,623</w:t>
            </w:r>
          </w:p>
        </w:tc>
      </w:tr>
    </w:tbl>
    <w:p w14:paraId="6D1B102A" w14:textId="77777777" w:rsidR="00736E78" w:rsidRPr="00B84B0C" w:rsidRDefault="00736E78" w:rsidP="00736E78">
      <w:pPr>
        <w:spacing w:after="0" w:line="240" w:lineRule="auto"/>
        <w:rPr>
          <w:rFonts w:cs="Arial"/>
          <w:lang w:eastAsia="pt-BR"/>
        </w:rPr>
      </w:pPr>
    </w:p>
    <w:p w14:paraId="424816BD" w14:textId="77777777" w:rsidR="00736E78" w:rsidRPr="00B84B0C" w:rsidRDefault="00736E78" w:rsidP="00736E78">
      <w:pPr>
        <w:spacing w:after="0" w:line="240" w:lineRule="auto"/>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t xml:space="preserve">d.7) </w:t>
      </w:r>
      <w:proofErr w:type="spellStart"/>
      <w:r w:rsidRPr="00B84B0C">
        <w:rPr>
          <w:rFonts w:eastAsia="Times New Roman" w:cs="Arial"/>
          <w:b/>
          <w:color w:val="1F4E79" w:themeColor="accent1" w:themeShade="80"/>
          <w:spacing w:val="-2"/>
          <w:sz w:val="20"/>
          <w:szCs w:val="20"/>
          <w:lang w:eastAsia="pt-BR"/>
        </w:rPr>
        <w:t>Ciclic</w:t>
      </w:r>
      <w:proofErr w:type="spellEnd"/>
      <w:r w:rsidRPr="00B84B0C">
        <w:rPr>
          <w:rFonts w:eastAsia="Times New Roman" w:cs="Arial"/>
          <w:b/>
          <w:color w:val="1F4E79" w:themeColor="accent1" w:themeShade="80"/>
          <w:spacing w:val="-2"/>
          <w:sz w:val="20"/>
          <w:szCs w:val="20"/>
          <w:lang w:eastAsia="pt-BR"/>
        </w:rPr>
        <w:t xml:space="preserve"> Corretora de Seguros</w:t>
      </w:r>
    </w:p>
    <w:p w14:paraId="629D37AF"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r w:rsidRPr="00B84B0C">
        <w:rPr>
          <w:rFonts w:cs="Arial"/>
          <w:b/>
          <w:sz w:val="14"/>
          <w:lang w:eastAsia="pt-BR"/>
        </w:rPr>
        <w:t xml:space="preserve"> </w:t>
      </w:r>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7D519223"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446E2B69" w14:textId="77777777" w:rsidR="00736E78" w:rsidRPr="00B84B0C" w:rsidRDefault="00736E78" w:rsidP="00736E78">
            <w:pPr>
              <w:rPr>
                <w:rFonts w:cs="Arial"/>
                <w:sz w:val="14"/>
                <w:szCs w:val="14"/>
              </w:rPr>
            </w:pPr>
            <w:proofErr w:type="spellStart"/>
            <w:r w:rsidRPr="00B84B0C">
              <w:rPr>
                <w:rFonts w:cs="Arial"/>
                <w:sz w:val="14"/>
                <w:szCs w:val="14"/>
              </w:rPr>
              <w:t>Ciclic</w:t>
            </w:r>
            <w:proofErr w:type="spellEnd"/>
            <w:r w:rsidRPr="00B84B0C">
              <w:rPr>
                <w:rFonts w:cs="Arial"/>
                <w:sz w:val="14"/>
                <w:szCs w:val="14"/>
              </w:rPr>
              <w:t xml:space="preserve"> Corretora de Seguros S.A.</w:t>
            </w:r>
          </w:p>
        </w:tc>
        <w:tc>
          <w:tcPr>
            <w:tcW w:w="2126" w:type="dxa"/>
            <w:tcBorders>
              <w:top w:val="single" w:sz="2" w:space="0" w:color="8EAADB" w:themeColor="accent5" w:themeTint="99"/>
              <w:bottom w:val="single" w:sz="2" w:space="0" w:color="8EAADB" w:themeColor="accent5" w:themeTint="99"/>
            </w:tcBorders>
          </w:tcPr>
          <w:p w14:paraId="51843821"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2020</w:t>
            </w:r>
          </w:p>
        </w:tc>
        <w:tc>
          <w:tcPr>
            <w:tcW w:w="2234" w:type="dxa"/>
            <w:tcBorders>
              <w:top w:val="single" w:sz="2" w:space="0" w:color="8EAADB" w:themeColor="accent5" w:themeTint="99"/>
              <w:bottom w:val="single" w:sz="2" w:space="0" w:color="8EAADB" w:themeColor="accent5" w:themeTint="99"/>
            </w:tcBorders>
          </w:tcPr>
          <w:p w14:paraId="586A33C9"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1st </w:t>
            </w:r>
            <w:proofErr w:type="spellStart"/>
            <w:r w:rsidRPr="00B84B0C">
              <w:rPr>
                <w:rFonts w:cs="Arial"/>
                <w:sz w:val="14"/>
                <w:szCs w:val="14"/>
              </w:rPr>
              <w:t>Quarter</w:t>
            </w:r>
            <w:proofErr w:type="spellEnd"/>
            <w:r w:rsidRPr="00B84B0C">
              <w:rPr>
                <w:rFonts w:cs="Arial"/>
                <w:sz w:val="14"/>
                <w:szCs w:val="14"/>
              </w:rPr>
              <w:t xml:space="preserve"> 2019</w:t>
            </w:r>
          </w:p>
        </w:tc>
      </w:tr>
      <w:tr w:rsidR="00736E78" w:rsidRPr="00B84B0C" w14:paraId="71A94F1F"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3D604D0A" w14:textId="77777777" w:rsidR="00736E78" w:rsidRPr="00B84B0C" w:rsidRDefault="00736E78" w:rsidP="00736E78">
            <w:pPr>
              <w:pStyle w:val="08-Tabelageral"/>
              <w:jc w:val="left"/>
              <w:rPr>
                <w:rFonts w:cs="Arial"/>
                <w:bCs w:val="0"/>
                <w:color w:val="auto"/>
              </w:rPr>
            </w:pPr>
            <w:r w:rsidRPr="00B84B0C">
              <w:rPr>
                <w:rFonts w:cs="Arial"/>
                <w:bCs w:val="0"/>
                <w:color w:val="auto"/>
              </w:rPr>
              <w:t xml:space="preserve">Income </w:t>
            </w:r>
          </w:p>
        </w:tc>
        <w:tc>
          <w:tcPr>
            <w:tcW w:w="2126" w:type="dxa"/>
            <w:tcBorders>
              <w:top w:val="single" w:sz="2" w:space="0" w:color="8EAADB" w:themeColor="accent5" w:themeTint="99"/>
              <w:left w:val="nil"/>
              <w:bottom w:val="nil"/>
              <w:right w:val="nil"/>
            </w:tcBorders>
          </w:tcPr>
          <w:p w14:paraId="32784A15"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1,550</w:t>
            </w:r>
          </w:p>
        </w:tc>
        <w:tc>
          <w:tcPr>
            <w:tcW w:w="2234" w:type="dxa"/>
            <w:tcBorders>
              <w:top w:val="single" w:sz="2" w:space="0" w:color="8EAADB" w:themeColor="accent5" w:themeTint="99"/>
              <w:left w:val="nil"/>
              <w:bottom w:val="nil"/>
              <w:right w:val="nil"/>
            </w:tcBorders>
            <w:vAlign w:val="center"/>
          </w:tcPr>
          <w:p w14:paraId="4BBECC1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sz w:val="14"/>
                <w:szCs w:val="14"/>
              </w:rPr>
              <w:t>5,129</w:t>
            </w:r>
          </w:p>
        </w:tc>
      </w:tr>
      <w:tr w:rsidR="00736E78" w:rsidRPr="00B84B0C" w14:paraId="485E54C3"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74D4942"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Interest</w:t>
            </w:r>
            <w:proofErr w:type="spellEnd"/>
            <w:r w:rsidRPr="00B84B0C">
              <w:rPr>
                <w:rFonts w:cs="Arial"/>
                <w:b w:val="0"/>
                <w:bCs w:val="0"/>
                <w:color w:val="auto"/>
              </w:rPr>
              <w:t xml:space="preserve"> income</w:t>
            </w:r>
          </w:p>
        </w:tc>
        <w:tc>
          <w:tcPr>
            <w:tcW w:w="2126" w:type="dxa"/>
            <w:tcBorders>
              <w:top w:val="nil"/>
              <w:left w:val="nil"/>
              <w:bottom w:val="nil"/>
              <w:right w:val="nil"/>
            </w:tcBorders>
          </w:tcPr>
          <w:p w14:paraId="3B001928"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Cs/>
                <w:sz w:val="14"/>
                <w:szCs w:val="14"/>
              </w:rPr>
            </w:pPr>
            <w:r w:rsidRPr="00B84B0C">
              <w:rPr>
                <w:rFonts w:cs="Arial"/>
                <w:bCs/>
                <w:sz w:val="14"/>
                <w:szCs w:val="14"/>
              </w:rPr>
              <w:t>23</w:t>
            </w:r>
          </w:p>
        </w:tc>
        <w:tc>
          <w:tcPr>
            <w:tcW w:w="2234" w:type="dxa"/>
            <w:tcBorders>
              <w:top w:val="nil"/>
              <w:left w:val="nil"/>
              <w:bottom w:val="nil"/>
              <w:right w:val="nil"/>
            </w:tcBorders>
            <w:vAlign w:val="center"/>
          </w:tcPr>
          <w:p w14:paraId="0DD1E58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431</w:t>
            </w:r>
          </w:p>
        </w:tc>
      </w:tr>
      <w:tr w:rsidR="00736E78" w:rsidRPr="00B84B0C" w14:paraId="16A708C8"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5E6A0F1"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Interest</w:t>
            </w:r>
            <w:proofErr w:type="spellEnd"/>
            <w:r w:rsidRPr="00B84B0C">
              <w:rPr>
                <w:rFonts w:cs="Arial"/>
                <w:b w:val="0"/>
                <w:bCs w:val="0"/>
                <w:color w:val="auto"/>
              </w:rPr>
              <w:t xml:space="preserve"> </w:t>
            </w:r>
            <w:proofErr w:type="spellStart"/>
            <w:r w:rsidRPr="00B84B0C">
              <w:rPr>
                <w:rFonts w:cs="Arial"/>
                <w:b w:val="0"/>
                <w:bCs w:val="0"/>
                <w:color w:val="auto"/>
              </w:rPr>
              <w:t>expense</w:t>
            </w:r>
            <w:proofErr w:type="spellEnd"/>
          </w:p>
        </w:tc>
        <w:tc>
          <w:tcPr>
            <w:tcW w:w="2126" w:type="dxa"/>
            <w:tcBorders>
              <w:top w:val="nil"/>
              <w:left w:val="nil"/>
              <w:bottom w:val="nil"/>
              <w:right w:val="nil"/>
            </w:tcBorders>
          </w:tcPr>
          <w:p w14:paraId="5BB9312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sidRPr="00B84B0C">
              <w:rPr>
                <w:rFonts w:cs="Arial"/>
                <w:bCs/>
                <w:sz w:val="14"/>
                <w:szCs w:val="14"/>
              </w:rPr>
              <w:t>(48)</w:t>
            </w:r>
          </w:p>
        </w:tc>
        <w:tc>
          <w:tcPr>
            <w:tcW w:w="2234" w:type="dxa"/>
            <w:tcBorders>
              <w:top w:val="nil"/>
              <w:left w:val="nil"/>
              <w:bottom w:val="nil"/>
              <w:right w:val="nil"/>
            </w:tcBorders>
            <w:vAlign w:val="center"/>
          </w:tcPr>
          <w:p w14:paraId="6A9FFC8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w:t>
            </w:r>
          </w:p>
        </w:tc>
      </w:tr>
      <w:tr w:rsidR="00736E78" w:rsidRPr="00B84B0C" w14:paraId="3EBDC625"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2108964F" w14:textId="77777777" w:rsidR="00736E78" w:rsidRPr="00B84B0C" w:rsidRDefault="00736E78" w:rsidP="00736E78">
            <w:pPr>
              <w:pStyle w:val="08-Tabelageral"/>
              <w:jc w:val="left"/>
              <w:rPr>
                <w:rFonts w:cs="Arial"/>
                <w:b w:val="0"/>
                <w:bCs w:val="0"/>
                <w:color w:val="auto"/>
              </w:rPr>
            </w:pPr>
            <w:proofErr w:type="spellStart"/>
            <w:r w:rsidRPr="00B84B0C">
              <w:rPr>
                <w:rFonts w:cs="Arial"/>
                <w:b w:val="0"/>
                <w:bCs w:val="0"/>
                <w:color w:val="auto"/>
              </w:rPr>
              <w:t>Depreciation</w:t>
            </w:r>
            <w:proofErr w:type="spellEnd"/>
            <w:r w:rsidRPr="00B84B0C">
              <w:rPr>
                <w:rFonts w:cs="Arial"/>
                <w:b w:val="0"/>
                <w:bCs w:val="0"/>
                <w:color w:val="auto"/>
              </w:rPr>
              <w:t xml:space="preserve"> </w:t>
            </w:r>
            <w:proofErr w:type="spellStart"/>
            <w:r w:rsidRPr="00B84B0C">
              <w:rPr>
                <w:rFonts w:cs="Arial"/>
                <w:b w:val="0"/>
                <w:bCs w:val="0"/>
                <w:color w:val="auto"/>
              </w:rPr>
              <w:t>and</w:t>
            </w:r>
            <w:proofErr w:type="spellEnd"/>
            <w:r w:rsidRPr="00B84B0C">
              <w:rPr>
                <w:rFonts w:cs="Arial"/>
                <w:b w:val="0"/>
                <w:bCs w:val="0"/>
                <w:color w:val="auto"/>
              </w:rPr>
              <w:t xml:space="preserve"> </w:t>
            </w:r>
            <w:proofErr w:type="spellStart"/>
            <w:r w:rsidRPr="00B84B0C">
              <w:rPr>
                <w:rFonts w:cs="Arial"/>
                <w:b w:val="0"/>
                <w:bCs w:val="0"/>
                <w:color w:val="auto"/>
              </w:rPr>
              <w:t>amortization</w:t>
            </w:r>
            <w:proofErr w:type="spellEnd"/>
          </w:p>
        </w:tc>
        <w:tc>
          <w:tcPr>
            <w:tcW w:w="2126" w:type="dxa"/>
            <w:tcBorders>
              <w:top w:val="nil"/>
              <w:left w:val="nil"/>
              <w:bottom w:val="nil"/>
              <w:right w:val="nil"/>
            </w:tcBorders>
          </w:tcPr>
          <w:p w14:paraId="617B0A4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Cs/>
                <w:sz w:val="14"/>
                <w:szCs w:val="14"/>
              </w:rPr>
            </w:pPr>
            <w:r w:rsidRPr="00B84B0C">
              <w:rPr>
                <w:rFonts w:cs="Arial"/>
                <w:bCs/>
                <w:sz w:val="14"/>
                <w:szCs w:val="14"/>
              </w:rPr>
              <w:t>(81)</w:t>
            </w:r>
          </w:p>
        </w:tc>
        <w:tc>
          <w:tcPr>
            <w:tcW w:w="2234" w:type="dxa"/>
            <w:tcBorders>
              <w:top w:val="nil"/>
              <w:left w:val="nil"/>
              <w:bottom w:val="nil"/>
              <w:right w:val="nil"/>
            </w:tcBorders>
            <w:vAlign w:val="center"/>
          </w:tcPr>
          <w:p w14:paraId="4845F46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(78)</w:t>
            </w:r>
          </w:p>
        </w:tc>
      </w:tr>
      <w:tr w:rsidR="00736E78" w:rsidRPr="00B84B0C" w14:paraId="392168F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1675229" w14:textId="77777777" w:rsidR="00736E78" w:rsidRPr="00B84B0C" w:rsidRDefault="00736E78" w:rsidP="00736E78">
            <w:pPr>
              <w:pStyle w:val="08-Tabelageral"/>
              <w:jc w:val="left"/>
              <w:rPr>
                <w:rFonts w:cs="Arial"/>
                <w:b w:val="0"/>
                <w:bCs w:val="0"/>
                <w:color w:val="auto"/>
                <w:lang w:val="en-US"/>
              </w:rPr>
            </w:pPr>
            <w:r w:rsidRPr="00B84B0C">
              <w:rPr>
                <w:rFonts w:cs="Arial"/>
                <w:b w:val="0"/>
                <w:bCs w:val="0"/>
                <w:color w:val="auto"/>
                <w:lang w:val="en-US"/>
              </w:rPr>
              <w:t xml:space="preserve">Income tax and social contribution </w:t>
            </w:r>
          </w:p>
        </w:tc>
        <w:tc>
          <w:tcPr>
            <w:tcW w:w="2126" w:type="dxa"/>
            <w:tcBorders>
              <w:top w:val="nil"/>
              <w:left w:val="nil"/>
              <w:bottom w:val="nil"/>
              <w:right w:val="nil"/>
            </w:tcBorders>
          </w:tcPr>
          <w:p w14:paraId="43C7A4C5"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sidRPr="00B84B0C">
              <w:rPr>
                <w:rFonts w:cs="Arial"/>
                <w:bCs/>
                <w:sz w:val="14"/>
                <w:szCs w:val="14"/>
              </w:rPr>
              <w:t>--</w:t>
            </w:r>
          </w:p>
        </w:tc>
        <w:tc>
          <w:tcPr>
            <w:tcW w:w="2234" w:type="dxa"/>
            <w:tcBorders>
              <w:top w:val="nil"/>
              <w:left w:val="nil"/>
              <w:bottom w:val="nil"/>
              <w:right w:val="nil"/>
            </w:tcBorders>
            <w:vAlign w:val="center"/>
          </w:tcPr>
          <w:p w14:paraId="5D08E40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w:t>
            </w:r>
          </w:p>
        </w:tc>
      </w:tr>
      <w:tr w:rsidR="00736E78" w:rsidRPr="00B84B0C" w14:paraId="70321877"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1C4A5F2"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Net income for the period</w:t>
            </w:r>
          </w:p>
        </w:tc>
        <w:tc>
          <w:tcPr>
            <w:tcW w:w="2126" w:type="dxa"/>
            <w:tcBorders>
              <w:top w:val="nil"/>
              <w:left w:val="nil"/>
              <w:bottom w:val="nil"/>
              <w:right w:val="nil"/>
            </w:tcBorders>
          </w:tcPr>
          <w:p w14:paraId="001F031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(6,783)</w:t>
            </w:r>
          </w:p>
        </w:tc>
        <w:tc>
          <w:tcPr>
            <w:tcW w:w="2234" w:type="dxa"/>
            <w:tcBorders>
              <w:top w:val="nil"/>
              <w:left w:val="nil"/>
              <w:bottom w:val="nil"/>
              <w:right w:val="nil"/>
            </w:tcBorders>
            <w:vAlign w:val="center"/>
          </w:tcPr>
          <w:p w14:paraId="40C567F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sz w:val="14"/>
                <w:szCs w:val="14"/>
              </w:rPr>
              <w:t>(1,859)</w:t>
            </w:r>
          </w:p>
        </w:tc>
      </w:tr>
      <w:tr w:rsidR="00736E78" w:rsidRPr="00B84B0C" w14:paraId="59B457EE"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CE17C20" w14:textId="77777777" w:rsidR="00736E78" w:rsidRPr="00B84B0C" w:rsidRDefault="00736E78" w:rsidP="00736E78">
            <w:pPr>
              <w:pStyle w:val="08-Tabelageral"/>
              <w:jc w:val="left"/>
              <w:rPr>
                <w:rFonts w:cs="Arial"/>
                <w:b w:val="0"/>
                <w:bCs w:val="0"/>
                <w:color w:val="auto"/>
              </w:rPr>
            </w:pPr>
            <w:r w:rsidRPr="00B84B0C">
              <w:rPr>
                <w:rFonts w:cs="Arial"/>
                <w:b w:val="0"/>
                <w:bCs w:val="0"/>
                <w:color w:val="auto"/>
              </w:rPr>
              <w:t xml:space="preserve">Other </w:t>
            </w:r>
            <w:proofErr w:type="spellStart"/>
            <w:r w:rsidRPr="00B84B0C">
              <w:rPr>
                <w:rFonts w:cs="Arial"/>
                <w:b w:val="0"/>
                <w:bCs w:val="0"/>
                <w:color w:val="auto"/>
              </w:rPr>
              <w:t>comprehensive</w:t>
            </w:r>
            <w:proofErr w:type="spellEnd"/>
            <w:r w:rsidRPr="00B84B0C">
              <w:rPr>
                <w:rFonts w:cs="Arial"/>
                <w:b w:val="0"/>
                <w:bCs w:val="0"/>
                <w:color w:val="auto"/>
              </w:rPr>
              <w:t xml:space="preserve"> income</w:t>
            </w:r>
          </w:p>
        </w:tc>
        <w:tc>
          <w:tcPr>
            <w:tcW w:w="2126" w:type="dxa"/>
            <w:tcBorders>
              <w:top w:val="nil"/>
              <w:left w:val="nil"/>
              <w:bottom w:val="nil"/>
              <w:right w:val="nil"/>
            </w:tcBorders>
          </w:tcPr>
          <w:p w14:paraId="0163AAE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sidRPr="00B84B0C">
              <w:rPr>
                <w:rFonts w:cs="Arial"/>
                <w:bCs/>
                <w:sz w:val="14"/>
                <w:szCs w:val="14"/>
              </w:rPr>
              <w:t>--</w:t>
            </w:r>
          </w:p>
        </w:tc>
        <w:tc>
          <w:tcPr>
            <w:tcW w:w="2234" w:type="dxa"/>
            <w:tcBorders>
              <w:top w:val="nil"/>
              <w:left w:val="nil"/>
              <w:bottom w:val="nil"/>
              <w:right w:val="nil"/>
            </w:tcBorders>
            <w:vAlign w:val="center"/>
          </w:tcPr>
          <w:p w14:paraId="679EFF4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b/>
                <w:sz w:val="14"/>
                <w:szCs w:val="14"/>
              </w:rPr>
              <w:t>--</w:t>
            </w:r>
          </w:p>
        </w:tc>
      </w:tr>
      <w:tr w:rsidR="00736E78" w:rsidRPr="00B84B0C" w14:paraId="7F0CEE4B"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69E248B"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Comprehensive income in the period</w:t>
            </w:r>
          </w:p>
        </w:tc>
        <w:tc>
          <w:tcPr>
            <w:tcW w:w="2126" w:type="dxa"/>
            <w:tcBorders>
              <w:top w:val="nil"/>
              <w:left w:val="nil"/>
              <w:bottom w:val="nil"/>
              <w:right w:val="nil"/>
            </w:tcBorders>
          </w:tcPr>
          <w:p w14:paraId="2BECD598"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(6,783)</w:t>
            </w:r>
          </w:p>
        </w:tc>
        <w:tc>
          <w:tcPr>
            <w:tcW w:w="2234" w:type="dxa"/>
            <w:tcBorders>
              <w:top w:val="nil"/>
              <w:left w:val="nil"/>
              <w:bottom w:val="nil"/>
              <w:right w:val="nil"/>
            </w:tcBorders>
            <w:vAlign w:val="center"/>
          </w:tcPr>
          <w:p w14:paraId="37CAEDAE"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sz w:val="14"/>
                <w:szCs w:val="14"/>
              </w:rPr>
              <w:t>(1,859)</w:t>
            </w:r>
          </w:p>
        </w:tc>
      </w:tr>
      <w:tr w:rsidR="00736E78" w:rsidRPr="00B84B0C" w14:paraId="50A1343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2E1EBB64" w14:textId="77777777" w:rsidR="00736E78" w:rsidRPr="00B84B0C" w:rsidRDefault="00736E78" w:rsidP="00736E78">
            <w:pPr>
              <w:pStyle w:val="08-Tabelageral"/>
              <w:jc w:val="left"/>
              <w:rPr>
                <w:rFonts w:cs="Arial"/>
                <w:bCs w:val="0"/>
                <w:color w:val="auto"/>
                <w:lang w:val="en-US"/>
              </w:rPr>
            </w:pPr>
            <w:r w:rsidRPr="00B84B0C">
              <w:rPr>
                <w:rFonts w:cs="Arial"/>
                <w:bCs w:val="0"/>
                <w:color w:val="auto"/>
                <w:lang w:val="en-US"/>
              </w:rPr>
              <w:t xml:space="preserve">Net income attributable to BB </w:t>
            </w:r>
            <w:proofErr w:type="spellStart"/>
            <w:r w:rsidRPr="00B84B0C">
              <w:rPr>
                <w:rFonts w:cs="Arial"/>
                <w:bCs w:val="0"/>
                <w:color w:val="auto"/>
                <w:lang w:val="en-US"/>
              </w:rPr>
              <w:t>Seguridade</w:t>
            </w:r>
            <w:proofErr w:type="spellEnd"/>
          </w:p>
        </w:tc>
        <w:tc>
          <w:tcPr>
            <w:tcW w:w="2126" w:type="dxa"/>
            <w:tcBorders>
              <w:top w:val="nil"/>
              <w:left w:val="nil"/>
              <w:bottom w:val="nil"/>
              <w:right w:val="nil"/>
            </w:tcBorders>
          </w:tcPr>
          <w:p w14:paraId="6C07C6D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sidRPr="00B84B0C">
              <w:rPr>
                <w:rFonts w:cs="Arial"/>
                <w:bCs/>
                <w:sz w:val="14"/>
                <w:szCs w:val="14"/>
              </w:rPr>
              <w:t>(5,087)</w:t>
            </w:r>
          </w:p>
        </w:tc>
        <w:tc>
          <w:tcPr>
            <w:tcW w:w="2234" w:type="dxa"/>
            <w:tcBorders>
              <w:top w:val="nil"/>
              <w:left w:val="nil"/>
              <w:bottom w:val="nil"/>
              <w:right w:val="nil"/>
            </w:tcBorders>
            <w:vAlign w:val="center"/>
          </w:tcPr>
          <w:p w14:paraId="0163117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sz w:val="14"/>
                <w:szCs w:val="14"/>
              </w:rPr>
              <w:t>(1,394)</w:t>
            </w:r>
          </w:p>
        </w:tc>
      </w:tr>
      <w:tr w:rsidR="00736E78" w:rsidRPr="00B84B0C" w14:paraId="37FD061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35D91E7" w14:textId="77777777" w:rsidR="00736E78" w:rsidRPr="00B84B0C" w:rsidRDefault="00736E78" w:rsidP="00736E78">
            <w:pPr>
              <w:pStyle w:val="08-Tabelageral"/>
              <w:jc w:val="left"/>
              <w:rPr>
                <w:rFonts w:cs="Arial"/>
                <w:b w:val="0"/>
                <w:bCs w:val="0"/>
                <w:color w:val="auto"/>
              </w:rPr>
            </w:pPr>
            <w:r w:rsidRPr="00B84B0C">
              <w:rPr>
                <w:rFonts w:cs="Arial"/>
                <w:b w:val="0"/>
                <w:bCs w:val="0"/>
                <w:color w:val="auto"/>
              </w:rPr>
              <w:t xml:space="preserve">Other </w:t>
            </w:r>
            <w:proofErr w:type="spellStart"/>
            <w:r w:rsidRPr="00B84B0C">
              <w:rPr>
                <w:rFonts w:cs="Arial"/>
                <w:b w:val="0"/>
                <w:bCs w:val="0"/>
                <w:color w:val="auto"/>
              </w:rPr>
              <w:t>adjustments</w:t>
            </w:r>
            <w:proofErr w:type="spellEnd"/>
          </w:p>
        </w:tc>
        <w:tc>
          <w:tcPr>
            <w:tcW w:w="2126" w:type="dxa"/>
            <w:tcBorders>
              <w:top w:val="nil"/>
              <w:left w:val="nil"/>
              <w:bottom w:val="nil"/>
              <w:right w:val="nil"/>
            </w:tcBorders>
          </w:tcPr>
          <w:p w14:paraId="47B3216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Cs/>
                <w:sz w:val="14"/>
                <w:szCs w:val="14"/>
              </w:rPr>
            </w:pPr>
            <w:r w:rsidRPr="00B84B0C">
              <w:rPr>
                <w:rFonts w:cs="Arial"/>
                <w:bCs/>
                <w:sz w:val="14"/>
                <w:szCs w:val="14"/>
              </w:rPr>
              <w:t>--</w:t>
            </w:r>
          </w:p>
        </w:tc>
        <w:tc>
          <w:tcPr>
            <w:tcW w:w="2234" w:type="dxa"/>
            <w:tcBorders>
              <w:top w:val="nil"/>
              <w:left w:val="nil"/>
              <w:bottom w:val="nil"/>
              <w:right w:val="nil"/>
            </w:tcBorders>
            <w:vAlign w:val="center"/>
          </w:tcPr>
          <w:p w14:paraId="3E149DF8"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(141)</w:t>
            </w:r>
          </w:p>
        </w:tc>
      </w:tr>
      <w:tr w:rsidR="00736E78" w:rsidRPr="00B84B0C" w14:paraId="485383B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00E06A45" w14:textId="77777777" w:rsidR="00736E78" w:rsidRPr="00B84B0C" w:rsidRDefault="00736E78" w:rsidP="00736E78">
            <w:pPr>
              <w:pStyle w:val="08-Tabelageral"/>
              <w:jc w:val="left"/>
              <w:rPr>
                <w:rFonts w:cs="Arial"/>
                <w:bCs w:val="0"/>
                <w:color w:val="auto"/>
              </w:rPr>
            </w:pPr>
            <w:proofErr w:type="spellStart"/>
            <w:r w:rsidRPr="00B84B0C">
              <w:rPr>
                <w:rFonts w:cs="Arial"/>
                <w:bCs w:val="0"/>
                <w:color w:val="auto"/>
              </w:rPr>
              <w:t>Equity</w:t>
            </w:r>
            <w:proofErr w:type="spellEnd"/>
            <w:r w:rsidRPr="00B84B0C">
              <w:rPr>
                <w:rFonts w:cs="Arial"/>
                <w:bCs w:val="0"/>
                <w:color w:val="auto"/>
              </w:rPr>
              <w:t xml:space="preserve"> income</w:t>
            </w:r>
          </w:p>
        </w:tc>
        <w:tc>
          <w:tcPr>
            <w:tcW w:w="2126" w:type="dxa"/>
            <w:tcBorders>
              <w:top w:val="nil"/>
              <w:left w:val="nil"/>
              <w:bottom w:val="single" w:sz="2" w:space="0" w:color="8EAADB" w:themeColor="accent5" w:themeTint="99"/>
              <w:right w:val="nil"/>
            </w:tcBorders>
          </w:tcPr>
          <w:p w14:paraId="3C59837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B84B0C">
              <w:rPr>
                <w:rFonts w:cs="Arial"/>
                <w:b/>
                <w:sz w:val="14"/>
                <w:szCs w:val="14"/>
              </w:rPr>
              <w:t>(5,087)</w:t>
            </w:r>
          </w:p>
        </w:tc>
        <w:tc>
          <w:tcPr>
            <w:tcW w:w="2234" w:type="dxa"/>
            <w:tcBorders>
              <w:top w:val="nil"/>
              <w:left w:val="nil"/>
              <w:bottom w:val="single" w:sz="2" w:space="0" w:color="8EAADB" w:themeColor="accent5" w:themeTint="99"/>
              <w:right w:val="nil"/>
            </w:tcBorders>
            <w:vAlign w:val="center"/>
          </w:tcPr>
          <w:p w14:paraId="5115B1D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sz w:val="14"/>
                <w:szCs w:val="14"/>
              </w:rPr>
              <w:t>(1,535)</w:t>
            </w:r>
          </w:p>
        </w:tc>
      </w:tr>
    </w:tbl>
    <w:p w14:paraId="46F075FE" w14:textId="77777777" w:rsidR="00736E78" w:rsidRPr="00B84B0C" w:rsidRDefault="00736E78" w:rsidP="00736E78">
      <w:pPr>
        <w:spacing w:after="0" w:line="240" w:lineRule="auto"/>
        <w:rPr>
          <w:rFonts w:cs="Arial"/>
          <w:lang w:eastAsia="pt-BR"/>
        </w:rPr>
      </w:pPr>
    </w:p>
    <w:p w14:paraId="11EB76CE" w14:textId="77777777" w:rsidR="00736E78" w:rsidRPr="00B84B0C" w:rsidRDefault="00736E78" w:rsidP="00736E78">
      <w:pPr>
        <w:keepNext/>
        <w:keepLines/>
        <w:pageBreakBefore/>
        <w:spacing w:after="0" w:line="240" w:lineRule="auto"/>
        <w:rPr>
          <w:rFonts w:eastAsia="Times New Roman" w:cs="Arial"/>
          <w:b/>
          <w:color w:val="1F4E79" w:themeColor="accent1" w:themeShade="80"/>
          <w:spacing w:val="-2"/>
          <w:sz w:val="20"/>
          <w:szCs w:val="20"/>
          <w:lang w:val="en-US" w:eastAsia="pt-BR"/>
        </w:rPr>
      </w:pPr>
      <w:r w:rsidRPr="00B84B0C">
        <w:rPr>
          <w:rFonts w:eastAsia="Times New Roman" w:cs="Arial"/>
          <w:b/>
          <w:color w:val="1F4E79" w:themeColor="accent1" w:themeShade="80"/>
          <w:spacing w:val="-2"/>
          <w:sz w:val="20"/>
          <w:szCs w:val="20"/>
          <w:lang w:val="en-US" w:eastAsia="pt-BR"/>
        </w:rPr>
        <w:lastRenderedPageBreak/>
        <w:t xml:space="preserve">e) </w:t>
      </w:r>
      <w:proofErr w:type="spellStart"/>
      <w:r w:rsidRPr="00B84B0C">
        <w:rPr>
          <w:rFonts w:eastAsia="Times New Roman" w:cs="Arial"/>
          <w:b/>
          <w:color w:val="1F4E79" w:themeColor="accent1" w:themeShade="80"/>
          <w:spacing w:val="-2"/>
          <w:sz w:val="20"/>
          <w:szCs w:val="20"/>
          <w:lang w:val="en-US" w:eastAsia="pt-BR"/>
        </w:rPr>
        <w:t>Summarised</w:t>
      </w:r>
      <w:proofErr w:type="spellEnd"/>
      <w:r w:rsidRPr="00B84B0C">
        <w:rPr>
          <w:rFonts w:eastAsia="Times New Roman" w:cs="Arial"/>
          <w:b/>
          <w:color w:val="1F4E79" w:themeColor="accent1" w:themeShade="80"/>
          <w:spacing w:val="-2"/>
          <w:sz w:val="20"/>
          <w:szCs w:val="20"/>
          <w:lang w:val="en-US" w:eastAsia="pt-BR"/>
        </w:rPr>
        <w:t xml:space="preserve"> Balance Sheet Information of Investments in Accordance with International Financial Report Standards</w:t>
      </w:r>
    </w:p>
    <w:p w14:paraId="11397509" w14:textId="77777777" w:rsidR="00736E78" w:rsidRPr="00B84B0C" w:rsidRDefault="00736E78" w:rsidP="00736E78">
      <w:pPr>
        <w:spacing w:after="0" w:line="240" w:lineRule="auto"/>
        <w:rPr>
          <w:rFonts w:eastAsia="Times New Roman" w:cs="Arial"/>
          <w:b/>
          <w:color w:val="1F4E79" w:themeColor="accent1" w:themeShade="80"/>
          <w:spacing w:val="-2"/>
          <w:szCs w:val="20"/>
          <w:lang w:val="en-US" w:eastAsia="pt-BR"/>
        </w:rPr>
      </w:pPr>
    </w:p>
    <w:p w14:paraId="644B9696" w14:textId="77777777" w:rsidR="00736E78" w:rsidRPr="00B84B0C" w:rsidRDefault="00736E78" w:rsidP="00736E78">
      <w:pPr>
        <w:spacing w:after="0" w:line="240" w:lineRule="auto"/>
        <w:jc w:val="both"/>
        <w:rPr>
          <w:rFonts w:eastAsia="Times New Roman" w:cs="Arial"/>
          <w:bCs/>
          <w:spacing w:val="-2"/>
          <w:szCs w:val="20"/>
          <w:lang w:val="en-US" w:eastAsia="pt-BR"/>
        </w:rPr>
      </w:pPr>
      <w:r w:rsidRPr="00B84B0C">
        <w:rPr>
          <w:rFonts w:eastAsia="Times New Roman" w:cs="Arial"/>
          <w:bCs/>
          <w:spacing w:val="-2"/>
          <w:szCs w:val="20"/>
          <w:lang w:val="en-US" w:eastAsia="pt-BR"/>
        </w:rPr>
        <w:t>The amounts initially presented refer to the investee's financial statements in accordance with the respective accounting practices. Adjustments to IFRS compliance are included in business combination adjustments.</w:t>
      </w:r>
    </w:p>
    <w:p w14:paraId="42DCDACC" w14:textId="77777777" w:rsidR="00736E78" w:rsidRPr="00B84B0C" w:rsidRDefault="00736E78" w:rsidP="00736E78">
      <w:pPr>
        <w:spacing w:after="0" w:line="240" w:lineRule="auto"/>
        <w:rPr>
          <w:rFonts w:eastAsia="Times New Roman" w:cs="Arial"/>
          <w:b/>
          <w:color w:val="1F4E79" w:themeColor="accent1" w:themeShade="80"/>
          <w:spacing w:val="-2"/>
          <w:szCs w:val="20"/>
          <w:lang w:val="en-US" w:eastAsia="pt-BR"/>
        </w:rPr>
      </w:pPr>
    </w:p>
    <w:p w14:paraId="2DC2A9F0" w14:textId="77777777" w:rsidR="00736E78" w:rsidRPr="00B84B0C" w:rsidRDefault="00736E78" w:rsidP="00736E78">
      <w:pPr>
        <w:spacing w:after="0" w:line="240" w:lineRule="auto"/>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t>e.1) BB Mapfre Participações</w:t>
      </w:r>
    </w:p>
    <w:p w14:paraId="1FFE3042" w14:textId="77777777" w:rsidR="00736E78" w:rsidRPr="00B84B0C" w:rsidRDefault="00736E78" w:rsidP="00736E78">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73" w:type="dxa"/>
        <w:tblInd w:w="108" w:type="dxa"/>
        <w:tblLayout w:type="fixed"/>
        <w:tblLook w:val="04A0" w:firstRow="1" w:lastRow="0" w:firstColumn="1" w:lastColumn="0" w:noHBand="0" w:noVBand="1"/>
      </w:tblPr>
      <w:tblGrid>
        <w:gridCol w:w="2727"/>
        <w:gridCol w:w="2127"/>
        <w:gridCol w:w="2835"/>
        <w:gridCol w:w="1984"/>
      </w:tblGrid>
      <w:tr w:rsidR="00736E78" w:rsidRPr="00B84B0C" w14:paraId="77F6F2D9" w14:textId="77777777" w:rsidTr="00736E78">
        <w:trPr>
          <w:cnfStyle w:val="100000000000" w:firstRow="1" w:lastRow="0" w:firstColumn="0" w:lastColumn="0" w:oddVBand="0" w:evenVBand="0" w:oddHBand="0" w:evenHBand="0" w:firstRowFirstColumn="0" w:firstRowLastColumn="0" w:lastRowFirstColumn="0" w:lastRowLastColumn="0"/>
          <w:trHeight w:hRule="exact" w:val="467"/>
        </w:trPr>
        <w:tc>
          <w:tcPr>
            <w:cnfStyle w:val="001000000000" w:firstRow="0" w:lastRow="0" w:firstColumn="1" w:lastColumn="0" w:oddVBand="0" w:evenVBand="0" w:oddHBand="0" w:evenHBand="0" w:firstRowFirstColumn="0" w:firstRowLastColumn="0" w:lastRowFirstColumn="0" w:lastRowLastColumn="0"/>
            <w:tcW w:w="2727" w:type="dxa"/>
            <w:tcBorders>
              <w:top w:val="single" w:sz="2" w:space="0" w:color="8EAADB" w:themeColor="accent5" w:themeTint="99"/>
              <w:bottom w:val="single" w:sz="2" w:space="0" w:color="8EAADB" w:themeColor="accent5" w:themeTint="99"/>
            </w:tcBorders>
            <w:vAlign w:val="center"/>
            <w:hideMark/>
          </w:tcPr>
          <w:p w14:paraId="758E262C" w14:textId="77777777" w:rsidR="00736E78" w:rsidRPr="00B84B0C" w:rsidRDefault="00736E78" w:rsidP="00736E78">
            <w:pPr>
              <w:jc w:val="center"/>
              <w:rPr>
                <w:rFonts w:cs="Arial"/>
                <w:sz w:val="14"/>
                <w:szCs w:val="14"/>
              </w:rPr>
            </w:pPr>
            <w:r w:rsidRPr="00B84B0C">
              <w:rPr>
                <w:rFonts w:cs="Arial"/>
                <w:sz w:val="14"/>
                <w:szCs w:val="14"/>
              </w:rPr>
              <w:t>Mar 31, 2020</w:t>
            </w:r>
          </w:p>
        </w:tc>
        <w:tc>
          <w:tcPr>
            <w:tcW w:w="2127" w:type="dxa"/>
            <w:tcBorders>
              <w:top w:val="single" w:sz="2" w:space="0" w:color="8EAADB" w:themeColor="accent5" w:themeTint="99"/>
              <w:bottom w:val="single" w:sz="2" w:space="0" w:color="8EAADB" w:themeColor="accent5" w:themeTint="99"/>
            </w:tcBorders>
            <w:vAlign w:val="center"/>
            <w:hideMark/>
          </w:tcPr>
          <w:p w14:paraId="695B49C9"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Aliança do Brasil Seguros</w:t>
            </w:r>
          </w:p>
        </w:tc>
        <w:tc>
          <w:tcPr>
            <w:tcW w:w="2835" w:type="dxa"/>
            <w:tcBorders>
              <w:top w:val="single" w:sz="2" w:space="0" w:color="8EAADB" w:themeColor="accent5" w:themeTint="99"/>
              <w:bottom w:val="single" w:sz="2" w:space="0" w:color="8EAADB" w:themeColor="accent5" w:themeTint="99"/>
            </w:tcBorders>
            <w:vAlign w:val="center"/>
            <w:hideMark/>
          </w:tcPr>
          <w:p w14:paraId="6E2AA21F"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Brasilseg</w:t>
            </w:r>
            <w:proofErr w:type="spellEnd"/>
            <w:r w:rsidRPr="00B84B0C">
              <w:rPr>
                <w:rFonts w:cs="Arial"/>
                <w:sz w:val="14"/>
                <w:szCs w:val="14"/>
              </w:rPr>
              <w:t xml:space="preserve"> Companhia de Seguros S.A.</w:t>
            </w:r>
          </w:p>
        </w:tc>
        <w:tc>
          <w:tcPr>
            <w:tcW w:w="1984" w:type="dxa"/>
            <w:tcBorders>
              <w:top w:val="single" w:sz="2" w:space="0" w:color="8EAADB" w:themeColor="accent5" w:themeTint="99"/>
              <w:bottom w:val="single" w:sz="2" w:space="0" w:color="8EAADB" w:themeColor="accent5" w:themeTint="99"/>
            </w:tcBorders>
            <w:vAlign w:val="center"/>
            <w:hideMark/>
          </w:tcPr>
          <w:p w14:paraId="749A73FF"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BB Mapfre </w:t>
            </w:r>
            <w:proofErr w:type="gramStart"/>
            <w:r w:rsidRPr="00B84B0C">
              <w:rPr>
                <w:rFonts w:cs="Arial"/>
                <w:sz w:val="14"/>
                <w:szCs w:val="14"/>
              </w:rPr>
              <w:t>Participações</w:t>
            </w:r>
            <w:r w:rsidRPr="00B84B0C">
              <w:rPr>
                <w:rFonts w:cs="Arial"/>
                <w:sz w:val="14"/>
                <w:szCs w:val="14"/>
                <w:vertAlign w:val="superscript"/>
              </w:rPr>
              <w:t>(</w:t>
            </w:r>
            <w:proofErr w:type="gramEnd"/>
            <w:r w:rsidRPr="00B84B0C">
              <w:rPr>
                <w:rFonts w:cs="Arial"/>
                <w:sz w:val="14"/>
                <w:szCs w:val="14"/>
                <w:vertAlign w:val="superscript"/>
              </w:rPr>
              <w:t>1)</w:t>
            </w:r>
          </w:p>
          <w:p w14:paraId="6460FDD6"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r>
      <w:tr w:rsidR="00736E78" w:rsidRPr="00B84B0C" w14:paraId="4B3C65A1"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single" w:sz="2" w:space="0" w:color="8EAADB" w:themeColor="accent5" w:themeTint="99"/>
              <w:left w:val="nil"/>
              <w:bottom w:val="nil"/>
              <w:right w:val="nil"/>
            </w:tcBorders>
            <w:vAlign w:val="center"/>
            <w:hideMark/>
          </w:tcPr>
          <w:p w14:paraId="57CF758D"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127" w:type="dxa"/>
            <w:tcBorders>
              <w:top w:val="single" w:sz="2" w:space="0" w:color="8EAADB" w:themeColor="accent5" w:themeTint="99"/>
              <w:left w:val="nil"/>
              <w:bottom w:val="nil"/>
              <w:right w:val="nil"/>
            </w:tcBorders>
            <w:vAlign w:val="center"/>
          </w:tcPr>
          <w:p w14:paraId="4CDD92D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B84B0C">
              <w:rPr>
                <w:rFonts w:cs="Arial"/>
                <w:b/>
                <w:sz w:val="14"/>
                <w:szCs w:val="14"/>
              </w:rPr>
              <w:t xml:space="preserve"> 443,592 </w:t>
            </w:r>
          </w:p>
        </w:tc>
        <w:tc>
          <w:tcPr>
            <w:tcW w:w="2835" w:type="dxa"/>
            <w:tcBorders>
              <w:top w:val="single" w:sz="2" w:space="0" w:color="8EAADB" w:themeColor="accent5" w:themeTint="99"/>
              <w:left w:val="nil"/>
              <w:bottom w:val="nil"/>
              <w:right w:val="nil"/>
            </w:tcBorders>
            <w:vAlign w:val="center"/>
          </w:tcPr>
          <w:p w14:paraId="6B571C2B"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B84B0C">
              <w:rPr>
                <w:rFonts w:cs="Arial"/>
                <w:b/>
                <w:sz w:val="14"/>
                <w:szCs w:val="14"/>
              </w:rPr>
              <w:t xml:space="preserve"> 7,377,705 </w:t>
            </w:r>
          </w:p>
        </w:tc>
        <w:tc>
          <w:tcPr>
            <w:tcW w:w="1984" w:type="dxa"/>
            <w:tcBorders>
              <w:top w:val="single" w:sz="2" w:space="0" w:color="8EAADB" w:themeColor="accent5" w:themeTint="99"/>
              <w:left w:val="nil"/>
              <w:bottom w:val="nil"/>
              <w:right w:val="nil"/>
            </w:tcBorders>
            <w:vAlign w:val="center"/>
          </w:tcPr>
          <w:p w14:paraId="07E08434"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sidRPr="00B84B0C">
              <w:rPr>
                <w:rFonts w:cs="Arial"/>
                <w:b/>
                <w:sz w:val="14"/>
                <w:szCs w:val="14"/>
              </w:rPr>
              <w:t xml:space="preserve"> 7,912,795 </w:t>
            </w:r>
          </w:p>
        </w:tc>
      </w:tr>
      <w:tr w:rsidR="00736E78" w:rsidRPr="00B84B0C" w14:paraId="6E502FA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6713A7CE"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Cash </w:t>
            </w:r>
            <w:proofErr w:type="spellStart"/>
            <w:r w:rsidRPr="00B84B0C">
              <w:rPr>
                <w:rFonts w:cs="Arial"/>
                <w:b w:val="0"/>
                <w:color w:val="auto"/>
                <w:szCs w:val="14"/>
              </w:rPr>
              <w:t>and</w:t>
            </w:r>
            <w:proofErr w:type="spellEnd"/>
            <w:r w:rsidRPr="00B84B0C">
              <w:rPr>
                <w:rFonts w:cs="Arial"/>
                <w:b w:val="0"/>
                <w:color w:val="auto"/>
                <w:szCs w:val="14"/>
              </w:rPr>
              <w:t xml:space="preserve"> cash </w:t>
            </w:r>
            <w:proofErr w:type="spellStart"/>
            <w:r w:rsidRPr="00B84B0C">
              <w:rPr>
                <w:rFonts w:cs="Arial"/>
                <w:b w:val="0"/>
                <w:color w:val="auto"/>
                <w:szCs w:val="14"/>
              </w:rPr>
              <w:t>equivalents</w:t>
            </w:r>
            <w:proofErr w:type="spellEnd"/>
          </w:p>
        </w:tc>
        <w:tc>
          <w:tcPr>
            <w:tcW w:w="2127" w:type="dxa"/>
            <w:tcBorders>
              <w:top w:val="nil"/>
              <w:left w:val="nil"/>
              <w:bottom w:val="nil"/>
              <w:right w:val="nil"/>
            </w:tcBorders>
            <w:vAlign w:val="center"/>
          </w:tcPr>
          <w:p w14:paraId="78196D43"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15,693 </w:t>
            </w:r>
          </w:p>
        </w:tc>
        <w:tc>
          <w:tcPr>
            <w:tcW w:w="2835" w:type="dxa"/>
            <w:tcBorders>
              <w:top w:val="nil"/>
              <w:left w:val="nil"/>
              <w:bottom w:val="nil"/>
              <w:right w:val="nil"/>
            </w:tcBorders>
            <w:vAlign w:val="center"/>
          </w:tcPr>
          <w:p w14:paraId="0281A4F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3,583 </w:t>
            </w:r>
          </w:p>
        </w:tc>
        <w:tc>
          <w:tcPr>
            <w:tcW w:w="1984" w:type="dxa"/>
            <w:tcBorders>
              <w:top w:val="nil"/>
              <w:left w:val="nil"/>
              <w:bottom w:val="nil"/>
              <w:right w:val="nil"/>
            </w:tcBorders>
            <w:vAlign w:val="center"/>
          </w:tcPr>
          <w:p w14:paraId="42A27AD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19,276 </w:t>
            </w:r>
          </w:p>
        </w:tc>
      </w:tr>
      <w:tr w:rsidR="00736E78" w:rsidRPr="00B84B0C" w14:paraId="13C018F1"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1541E3F4"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applications</w:t>
            </w:r>
            <w:proofErr w:type="spellEnd"/>
          </w:p>
        </w:tc>
        <w:tc>
          <w:tcPr>
            <w:tcW w:w="2127" w:type="dxa"/>
            <w:tcBorders>
              <w:top w:val="nil"/>
              <w:left w:val="nil"/>
              <w:bottom w:val="nil"/>
              <w:right w:val="nil"/>
            </w:tcBorders>
            <w:vAlign w:val="center"/>
          </w:tcPr>
          <w:p w14:paraId="1BD2D4E5"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154,533 </w:t>
            </w:r>
          </w:p>
        </w:tc>
        <w:tc>
          <w:tcPr>
            <w:tcW w:w="2835" w:type="dxa"/>
            <w:tcBorders>
              <w:top w:val="nil"/>
              <w:left w:val="nil"/>
              <w:bottom w:val="nil"/>
              <w:right w:val="nil"/>
            </w:tcBorders>
            <w:vAlign w:val="center"/>
          </w:tcPr>
          <w:p w14:paraId="023E131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3,717,316 </w:t>
            </w:r>
          </w:p>
        </w:tc>
        <w:tc>
          <w:tcPr>
            <w:tcW w:w="1984" w:type="dxa"/>
            <w:tcBorders>
              <w:top w:val="nil"/>
              <w:left w:val="nil"/>
              <w:bottom w:val="nil"/>
              <w:right w:val="nil"/>
            </w:tcBorders>
            <w:vAlign w:val="center"/>
          </w:tcPr>
          <w:p w14:paraId="226EE7D2"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3,962,656 </w:t>
            </w:r>
          </w:p>
        </w:tc>
      </w:tr>
      <w:tr w:rsidR="00736E78" w:rsidRPr="00B84B0C" w14:paraId="1A98D307"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4B89A221"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assets</w:t>
            </w:r>
            <w:proofErr w:type="spellEnd"/>
          </w:p>
        </w:tc>
        <w:tc>
          <w:tcPr>
            <w:tcW w:w="2127" w:type="dxa"/>
            <w:tcBorders>
              <w:top w:val="nil"/>
              <w:left w:val="nil"/>
              <w:bottom w:val="nil"/>
              <w:right w:val="nil"/>
            </w:tcBorders>
            <w:vAlign w:val="center"/>
          </w:tcPr>
          <w:p w14:paraId="7A1D97E3"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273,366 </w:t>
            </w:r>
          </w:p>
        </w:tc>
        <w:tc>
          <w:tcPr>
            <w:tcW w:w="2835" w:type="dxa"/>
            <w:tcBorders>
              <w:top w:val="nil"/>
              <w:left w:val="nil"/>
              <w:bottom w:val="nil"/>
              <w:right w:val="nil"/>
            </w:tcBorders>
            <w:vAlign w:val="center"/>
          </w:tcPr>
          <w:p w14:paraId="5C58DFBE"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3,656,806 </w:t>
            </w:r>
          </w:p>
        </w:tc>
        <w:tc>
          <w:tcPr>
            <w:tcW w:w="1984" w:type="dxa"/>
            <w:tcBorders>
              <w:top w:val="nil"/>
              <w:left w:val="nil"/>
              <w:bottom w:val="nil"/>
              <w:right w:val="nil"/>
            </w:tcBorders>
            <w:vAlign w:val="center"/>
          </w:tcPr>
          <w:p w14:paraId="588C54AA"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3,930,863 </w:t>
            </w:r>
          </w:p>
        </w:tc>
      </w:tr>
      <w:tr w:rsidR="00736E78" w:rsidRPr="00B84B0C" w14:paraId="5DCFF85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73E48224"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127" w:type="dxa"/>
            <w:tcBorders>
              <w:top w:val="nil"/>
              <w:left w:val="nil"/>
              <w:bottom w:val="nil"/>
              <w:right w:val="nil"/>
            </w:tcBorders>
            <w:vAlign w:val="center"/>
          </w:tcPr>
          <w:p w14:paraId="20618DAD"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4B0C">
              <w:rPr>
                <w:rFonts w:cs="Arial"/>
                <w:b/>
                <w:sz w:val="14"/>
                <w:szCs w:val="14"/>
              </w:rPr>
              <w:t xml:space="preserve"> 284,345 </w:t>
            </w:r>
          </w:p>
        </w:tc>
        <w:tc>
          <w:tcPr>
            <w:tcW w:w="2835" w:type="dxa"/>
            <w:tcBorders>
              <w:top w:val="nil"/>
              <w:left w:val="nil"/>
              <w:bottom w:val="nil"/>
              <w:right w:val="nil"/>
            </w:tcBorders>
            <w:vAlign w:val="center"/>
          </w:tcPr>
          <w:p w14:paraId="5984DD38"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4B0C">
              <w:rPr>
                <w:rFonts w:cs="Arial"/>
                <w:b/>
                <w:sz w:val="14"/>
                <w:szCs w:val="14"/>
              </w:rPr>
              <w:t xml:space="preserve"> 5,875,363 </w:t>
            </w:r>
          </w:p>
        </w:tc>
        <w:tc>
          <w:tcPr>
            <w:tcW w:w="1984" w:type="dxa"/>
            <w:tcBorders>
              <w:top w:val="nil"/>
              <w:left w:val="nil"/>
              <w:bottom w:val="nil"/>
              <w:right w:val="nil"/>
            </w:tcBorders>
            <w:vAlign w:val="center"/>
          </w:tcPr>
          <w:p w14:paraId="5927901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4B0C">
              <w:rPr>
                <w:rFonts w:cs="Arial"/>
                <w:b/>
                <w:sz w:val="14"/>
                <w:szCs w:val="14"/>
              </w:rPr>
              <w:t xml:space="preserve"> 6,682,508 </w:t>
            </w:r>
          </w:p>
        </w:tc>
      </w:tr>
      <w:tr w:rsidR="00736E78" w:rsidRPr="00B84B0C" w14:paraId="6495BE37"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0E779CC5"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127" w:type="dxa"/>
            <w:tcBorders>
              <w:top w:val="nil"/>
              <w:left w:val="nil"/>
              <w:bottom w:val="nil"/>
              <w:right w:val="nil"/>
            </w:tcBorders>
            <w:vAlign w:val="center"/>
          </w:tcPr>
          <w:p w14:paraId="1DC5DFA6"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403,032 </w:t>
            </w:r>
          </w:p>
        </w:tc>
        <w:tc>
          <w:tcPr>
            <w:tcW w:w="2835" w:type="dxa"/>
            <w:tcBorders>
              <w:top w:val="nil"/>
              <w:left w:val="nil"/>
              <w:bottom w:val="nil"/>
              <w:right w:val="nil"/>
            </w:tcBorders>
            <w:vAlign w:val="center"/>
          </w:tcPr>
          <w:p w14:paraId="4B21B1F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6,892,017 </w:t>
            </w:r>
          </w:p>
        </w:tc>
        <w:tc>
          <w:tcPr>
            <w:tcW w:w="1984" w:type="dxa"/>
            <w:tcBorders>
              <w:top w:val="nil"/>
              <w:left w:val="nil"/>
              <w:bottom w:val="nil"/>
              <w:right w:val="nil"/>
            </w:tcBorders>
            <w:vAlign w:val="center"/>
          </w:tcPr>
          <w:p w14:paraId="66B5B961"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7,247,982 </w:t>
            </w:r>
          </w:p>
        </w:tc>
      </w:tr>
      <w:tr w:rsidR="00736E78" w:rsidRPr="00B84B0C" w14:paraId="3C7376E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5FAF271C"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127" w:type="dxa"/>
            <w:tcBorders>
              <w:top w:val="nil"/>
              <w:left w:val="nil"/>
              <w:bottom w:val="nil"/>
              <w:right w:val="nil"/>
            </w:tcBorders>
            <w:vAlign w:val="center"/>
          </w:tcPr>
          <w:p w14:paraId="5D7C42EC"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19,756 </w:t>
            </w:r>
          </w:p>
        </w:tc>
        <w:tc>
          <w:tcPr>
            <w:tcW w:w="2835" w:type="dxa"/>
            <w:tcBorders>
              <w:top w:val="nil"/>
              <w:left w:val="nil"/>
              <w:bottom w:val="nil"/>
              <w:right w:val="nil"/>
            </w:tcBorders>
            <w:vAlign w:val="center"/>
          </w:tcPr>
          <w:p w14:paraId="03204B34"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187,021 </w:t>
            </w:r>
          </w:p>
        </w:tc>
        <w:tc>
          <w:tcPr>
            <w:tcW w:w="1984" w:type="dxa"/>
            <w:tcBorders>
              <w:top w:val="nil"/>
              <w:left w:val="nil"/>
              <w:bottom w:val="nil"/>
              <w:right w:val="nil"/>
            </w:tcBorders>
            <w:vAlign w:val="center"/>
          </w:tcPr>
          <w:p w14:paraId="08F1B9D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159,710 </w:t>
            </w:r>
          </w:p>
        </w:tc>
      </w:tr>
      <w:tr w:rsidR="00736E78" w:rsidRPr="00B84B0C" w14:paraId="47232C73"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34A547D0"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127" w:type="dxa"/>
            <w:tcBorders>
              <w:top w:val="nil"/>
              <w:left w:val="nil"/>
              <w:bottom w:val="nil"/>
              <w:right w:val="nil"/>
            </w:tcBorders>
            <w:vAlign w:val="center"/>
          </w:tcPr>
          <w:p w14:paraId="43C0C131"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333,576 </w:t>
            </w:r>
          </w:p>
        </w:tc>
        <w:tc>
          <w:tcPr>
            <w:tcW w:w="2835" w:type="dxa"/>
            <w:tcBorders>
              <w:top w:val="nil"/>
              <w:left w:val="nil"/>
              <w:bottom w:val="nil"/>
              <w:right w:val="nil"/>
            </w:tcBorders>
            <w:vAlign w:val="center"/>
          </w:tcPr>
          <w:p w14:paraId="54C04B5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5,015,623 </w:t>
            </w:r>
          </w:p>
        </w:tc>
        <w:tc>
          <w:tcPr>
            <w:tcW w:w="1984" w:type="dxa"/>
            <w:tcBorders>
              <w:top w:val="nil"/>
              <w:left w:val="nil"/>
              <w:bottom w:val="nil"/>
              <w:right w:val="nil"/>
            </w:tcBorders>
            <w:vAlign w:val="center"/>
          </w:tcPr>
          <w:p w14:paraId="701740F0"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5,349,199 </w:t>
            </w:r>
          </w:p>
        </w:tc>
      </w:tr>
      <w:tr w:rsidR="00736E78" w:rsidRPr="00B84B0C" w14:paraId="5BEA5B9C"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2B6D1BF5"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liabilities</w:t>
            </w:r>
            <w:proofErr w:type="spellEnd"/>
          </w:p>
        </w:tc>
        <w:tc>
          <w:tcPr>
            <w:tcW w:w="2127" w:type="dxa"/>
            <w:tcBorders>
              <w:top w:val="nil"/>
              <w:left w:val="nil"/>
              <w:bottom w:val="nil"/>
              <w:right w:val="nil"/>
            </w:tcBorders>
            <w:vAlign w:val="center"/>
          </w:tcPr>
          <w:p w14:paraId="13D65A3A"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49,700 </w:t>
            </w:r>
          </w:p>
        </w:tc>
        <w:tc>
          <w:tcPr>
            <w:tcW w:w="2835" w:type="dxa"/>
            <w:tcBorders>
              <w:top w:val="nil"/>
              <w:left w:val="nil"/>
              <w:bottom w:val="nil"/>
              <w:right w:val="nil"/>
            </w:tcBorders>
            <w:vAlign w:val="center"/>
          </w:tcPr>
          <w:p w14:paraId="21501CD8"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1,689,373 </w:t>
            </w:r>
          </w:p>
        </w:tc>
        <w:tc>
          <w:tcPr>
            <w:tcW w:w="1984" w:type="dxa"/>
            <w:tcBorders>
              <w:top w:val="nil"/>
              <w:left w:val="nil"/>
              <w:bottom w:val="nil"/>
              <w:right w:val="nil"/>
            </w:tcBorders>
            <w:vAlign w:val="center"/>
          </w:tcPr>
          <w:p w14:paraId="196F3FAC"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1,739,073 </w:t>
            </w:r>
          </w:p>
        </w:tc>
      </w:tr>
      <w:tr w:rsidR="00736E78" w:rsidRPr="00B84B0C" w14:paraId="1FA1B82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48C95D5E"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127" w:type="dxa"/>
            <w:tcBorders>
              <w:top w:val="nil"/>
              <w:left w:val="nil"/>
              <w:bottom w:val="nil"/>
              <w:right w:val="nil"/>
            </w:tcBorders>
            <w:vAlign w:val="center"/>
          </w:tcPr>
          <w:p w14:paraId="700FB5FD"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140,902 </w:t>
            </w:r>
          </w:p>
        </w:tc>
        <w:tc>
          <w:tcPr>
            <w:tcW w:w="2835" w:type="dxa"/>
            <w:tcBorders>
              <w:top w:val="nil"/>
              <w:left w:val="nil"/>
              <w:bottom w:val="nil"/>
              <w:right w:val="nil"/>
            </w:tcBorders>
            <w:vAlign w:val="center"/>
          </w:tcPr>
          <w:p w14:paraId="25C598C2"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5,037,897 </w:t>
            </w:r>
          </w:p>
        </w:tc>
        <w:tc>
          <w:tcPr>
            <w:tcW w:w="1984" w:type="dxa"/>
            <w:tcBorders>
              <w:top w:val="nil"/>
              <w:left w:val="nil"/>
              <w:bottom w:val="nil"/>
              <w:right w:val="nil"/>
            </w:tcBorders>
            <w:vAlign w:val="center"/>
          </w:tcPr>
          <w:p w14:paraId="2882090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5,507,007 </w:t>
            </w:r>
          </w:p>
        </w:tc>
      </w:tr>
      <w:tr w:rsidR="00736E78" w:rsidRPr="00B84B0C" w14:paraId="469E2C15"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1A234D46"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127" w:type="dxa"/>
            <w:tcBorders>
              <w:top w:val="nil"/>
              <w:left w:val="nil"/>
              <w:bottom w:val="nil"/>
              <w:right w:val="nil"/>
            </w:tcBorders>
            <w:vAlign w:val="center"/>
          </w:tcPr>
          <w:p w14:paraId="57582F60"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   </w:t>
            </w:r>
          </w:p>
        </w:tc>
        <w:tc>
          <w:tcPr>
            <w:tcW w:w="2835" w:type="dxa"/>
            <w:tcBorders>
              <w:top w:val="nil"/>
              <w:left w:val="nil"/>
              <w:bottom w:val="nil"/>
              <w:right w:val="nil"/>
            </w:tcBorders>
            <w:vAlign w:val="center"/>
          </w:tcPr>
          <w:p w14:paraId="6D1E5183"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278 </w:t>
            </w:r>
          </w:p>
        </w:tc>
        <w:tc>
          <w:tcPr>
            <w:tcW w:w="1984" w:type="dxa"/>
            <w:tcBorders>
              <w:top w:val="nil"/>
              <w:left w:val="nil"/>
              <w:bottom w:val="nil"/>
              <w:right w:val="nil"/>
            </w:tcBorders>
            <w:vAlign w:val="center"/>
          </w:tcPr>
          <w:p w14:paraId="3F29EE0D"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272,905 </w:t>
            </w:r>
          </w:p>
        </w:tc>
      </w:tr>
      <w:tr w:rsidR="00736E78" w:rsidRPr="00B84B0C" w14:paraId="6CCAEC62"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3D0E06C8"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127" w:type="dxa"/>
            <w:tcBorders>
              <w:top w:val="nil"/>
              <w:left w:val="nil"/>
              <w:bottom w:val="nil"/>
              <w:right w:val="nil"/>
            </w:tcBorders>
            <w:vAlign w:val="center"/>
          </w:tcPr>
          <w:p w14:paraId="5E2708B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123,869 </w:t>
            </w:r>
          </w:p>
        </w:tc>
        <w:tc>
          <w:tcPr>
            <w:tcW w:w="2835" w:type="dxa"/>
            <w:tcBorders>
              <w:top w:val="nil"/>
              <w:left w:val="nil"/>
              <w:bottom w:val="nil"/>
              <w:right w:val="nil"/>
            </w:tcBorders>
            <w:vAlign w:val="center"/>
          </w:tcPr>
          <w:p w14:paraId="1A870B96"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4,383,076 </w:t>
            </w:r>
          </w:p>
        </w:tc>
        <w:tc>
          <w:tcPr>
            <w:tcW w:w="1984" w:type="dxa"/>
            <w:tcBorders>
              <w:top w:val="nil"/>
              <w:left w:val="nil"/>
              <w:bottom w:val="nil"/>
              <w:right w:val="nil"/>
            </w:tcBorders>
            <w:vAlign w:val="center"/>
          </w:tcPr>
          <w:p w14:paraId="49D43390"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 xml:space="preserve"> 4,562,526 </w:t>
            </w:r>
          </w:p>
        </w:tc>
      </w:tr>
      <w:tr w:rsidR="00736E78" w:rsidRPr="00B84B0C" w14:paraId="155B4A43"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3FDB59F9"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Other non-</w:t>
            </w:r>
            <w:proofErr w:type="spellStart"/>
            <w:r w:rsidRPr="00B84B0C">
              <w:rPr>
                <w:rFonts w:cs="Arial"/>
                <w:b w:val="0"/>
                <w:color w:val="auto"/>
                <w:szCs w:val="14"/>
              </w:rPr>
              <w:t>current</w:t>
            </w:r>
            <w:proofErr w:type="spellEnd"/>
            <w:r w:rsidRPr="00B84B0C">
              <w:rPr>
                <w:rFonts w:cs="Arial"/>
                <w:b w:val="0"/>
                <w:color w:val="auto"/>
                <w:szCs w:val="14"/>
              </w:rPr>
              <w:t xml:space="preserve"> </w:t>
            </w:r>
            <w:proofErr w:type="spellStart"/>
            <w:r w:rsidRPr="00B84B0C">
              <w:rPr>
                <w:rFonts w:cs="Arial"/>
                <w:b w:val="0"/>
                <w:color w:val="auto"/>
                <w:szCs w:val="14"/>
              </w:rPr>
              <w:t>liabilities</w:t>
            </w:r>
            <w:proofErr w:type="spellEnd"/>
          </w:p>
        </w:tc>
        <w:tc>
          <w:tcPr>
            <w:tcW w:w="2127" w:type="dxa"/>
            <w:tcBorders>
              <w:top w:val="nil"/>
              <w:left w:val="nil"/>
              <w:bottom w:val="nil"/>
              <w:right w:val="nil"/>
            </w:tcBorders>
            <w:vAlign w:val="center"/>
          </w:tcPr>
          <w:p w14:paraId="5D176E5C"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17,033 </w:t>
            </w:r>
          </w:p>
        </w:tc>
        <w:tc>
          <w:tcPr>
            <w:tcW w:w="2835" w:type="dxa"/>
            <w:tcBorders>
              <w:top w:val="nil"/>
              <w:left w:val="nil"/>
              <w:bottom w:val="nil"/>
              <w:right w:val="nil"/>
            </w:tcBorders>
            <w:vAlign w:val="center"/>
          </w:tcPr>
          <w:p w14:paraId="66F1B582"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654,543 </w:t>
            </w:r>
          </w:p>
        </w:tc>
        <w:tc>
          <w:tcPr>
            <w:tcW w:w="1984" w:type="dxa"/>
            <w:tcBorders>
              <w:top w:val="nil"/>
              <w:left w:val="nil"/>
              <w:bottom w:val="nil"/>
              <w:right w:val="nil"/>
            </w:tcBorders>
            <w:vAlign w:val="center"/>
          </w:tcPr>
          <w:p w14:paraId="61CD2041"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 xml:space="preserve"> 671,576 </w:t>
            </w:r>
          </w:p>
        </w:tc>
      </w:tr>
      <w:tr w:rsidR="00736E78" w:rsidRPr="00B84B0C" w14:paraId="40A314E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6A3CAE59"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Adjusted</w:t>
            </w:r>
            <w:proofErr w:type="spellEnd"/>
            <w:r w:rsidRPr="00B84B0C">
              <w:rPr>
                <w:rFonts w:cs="Arial"/>
                <w:color w:val="auto"/>
                <w:szCs w:val="14"/>
              </w:rPr>
              <w:t xml:space="preserve"> net </w:t>
            </w:r>
            <w:proofErr w:type="spellStart"/>
            <w:r w:rsidRPr="00B84B0C">
              <w:rPr>
                <w:rFonts w:cs="Arial"/>
                <w:color w:val="auto"/>
                <w:szCs w:val="14"/>
              </w:rPr>
              <w:t>equity</w:t>
            </w:r>
            <w:proofErr w:type="spellEnd"/>
          </w:p>
        </w:tc>
        <w:tc>
          <w:tcPr>
            <w:tcW w:w="2127" w:type="dxa"/>
            <w:tcBorders>
              <w:top w:val="nil"/>
              <w:left w:val="nil"/>
              <w:bottom w:val="nil"/>
              <w:right w:val="nil"/>
            </w:tcBorders>
            <w:vAlign w:val="center"/>
          </w:tcPr>
          <w:p w14:paraId="34F98D82"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184,003 </w:t>
            </w:r>
          </w:p>
        </w:tc>
        <w:tc>
          <w:tcPr>
            <w:tcW w:w="2835" w:type="dxa"/>
            <w:tcBorders>
              <w:top w:val="nil"/>
              <w:left w:val="nil"/>
              <w:bottom w:val="nil"/>
              <w:right w:val="nil"/>
            </w:tcBorders>
            <w:vAlign w:val="center"/>
          </w:tcPr>
          <w:p w14:paraId="64B693C2"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1,323,154 </w:t>
            </w:r>
          </w:p>
        </w:tc>
        <w:tc>
          <w:tcPr>
            <w:tcW w:w="1984" w:type="dxa"/>
            <w:tcBorders>
              <w:top w:val="nil"/>
              <w:left w:val="nil"/>
              <w:bottom w:val="nil"/>
              <w:right w:val="nil"/>
            </w:tcBorders>
            <w:vAlign w:val="center"/>
          </w:tcPr>
          <w:p w14:paraId="4B4F6A05"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sz w:val="14"/>
                <w:szCs w:val="14"/>
              </w:rPr>
              <w:t xml:space="preserve"> 1,840,314 </w:t>
            </w:r>
          </w:p>
        </w:tc>
      </w:tr>
      <w:tr w:rsidR="00736E78" w:rsidRPr="00B84B0C" w14:paraId="7CE869F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4B661958"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Attributable</w:t>
            </w:r>
            <w:proofErr w:type="spellEnd"/>
            <w:r w:rsidRPr="00B84B0C">
              <w:rPr>
                <w:rFonts w:cs="Arial"/>
                <w:b w:val="0"/>
                <w:color w:val="auto"/>
                <w:szCs w:val="14"/>
              </w:rPr>
              <w:t xml:space="preserve"> </w:t>
            </w:r>
            <w:proofErr w:type="spellStart"/>
            <w:r w:rsidRPr="00B84B0C">
              <w:rPr>
                <w:rFonts w:cs="Arial"/>
                <w:b w:val="0"/>
                <w:color w:val="auto"/>
                <w:szCs w:val="14"/>
              </w:rPr>
              <w:t>to</w:t>
            </w:r>
            <w:proofErr w:type="spellEnd"/>
            <w:r w:rsidRPr="00B84B0C">
              <w:rPr>
                <w:rFonts w:cs="Arial"/>
                <w:b w:val="0"/>
                <w:color w:val="auto"/>
                <w:szCs w:val="14"/>
              </w:rPr>
              <w:t xml:space="preserve"> BB Seguridade</w:t>
            </w:r>
          </w:p>
        </w:tc>
        <w:tc>
          <w:tcPr>
            <w:tcW w:w="2127" w:type="dxa"/>
            <w:tcBorders>
              <w:top w:val="nil"/>
              <w:left w:val="nil"/>
              <w:bottom w:val="nil"/>
              <w:right w:val="nil"/>
            </w:tcBorders>
            <w:vAlign w:val="center"/>
          </w:tcPr>
          <w:p w14:paraId="26E7119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Cs/>
                <w:color w:val="000000"/>
                <w:sz w:val="14"/>
                <w:szCs w:val="14"/>
              </w:rPr>
            </w:pPr>
            <w:r w:rsidRPr="00B84B0C">
              <w:rPr>
                <w:rFonts w:eastAsia="Times New Roman" w:cs="Arial"/>
                <w:bCs/>
                <w:spacing w:val="-2"/>
                <w:sz w:val="14"/>
                <w:szCs w:val="14"/>
              </w:rPr>
              <w:t>137,984</w:t>
            </w:r>
          </w:p>
        </w:tc>
        <w:tc>
          <w:tcPr>
            <w:tcW w:w="2835" w:type="dxa"/>
            <w:tcBorders>
              <w:top w:val="nil"/>
              <w:left w:val="nil"/>
              <w:bottom w:val="nil"/>
              <w:right w:val="nil"/>
            </w:tcBorders>
            <w:vAlign w:val="center"/>
          </w:tcPr>
          <w:p w14:paraId="099BD3A3"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Cs/>
                <w:color w:val="000000"/>
                <w:sz w:val="14"/>
                <w:szCs w:val="14"/>
              </w:rPr>
            </w:pPr>
            <w:r w:rsidRPr="00B84B0C">
              <w:rPr>
                <w:rFonts w:cs="Arial"/>
                <w:bCs/>
                <w:sz w:val="14"/>
                <w:szCs w:val="14"/>
              </w:rPr>
              <w:t xml:space="preserve"> 992,233 </w:t>
            </w:r>
          </w:p>
        </w:tc>
        <w:tc>
          <w:tcPr>
            <w:tcW w:w="1984" w:type="dxa"/>
            <w:tcBorders>
              <w:top w:val="nil"/>
              <w:left w:val="nil"/>
              <w:bottom w:val="nil"/>
              <w:right w:val="nil"/>
            </w:tcBorders>
            <w:vAlign w:val="center"/>
          </w:tcPr>
          <w:p w14:paraId="3A12C3A5"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Cs/>
                <w:color w:val="000000"/>
                <w:sz w:val="14"/>
                <w:szCs w:val="14"/>
              </w:rPr>
            </w:pPr>
            <w:r w:rsidRPr="00B84B0C">
              <w:rPr>
                <w:rFonts w:cs="Arial"/>
                <w:bCs/>
                <w:sz w:val="14"/>
                <w:szCs w:val="14"/>
              </w:rPr>
              <w:t xml:space="preserve"> 1,380,051 </w:t>
            </w:r>
          </w:p>
        </w:tc>
      </w:tr>
      <w:tr w:rsidR="00736E78" w:rsidRPr="00B84B0C" w14:paraId="600F8A48"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vAlign w:val="center"/>
            <w:hideMark/>
          </w:tcPr>
          <w:p w14:paraId="7B35ADBF" w14:textId="77777777" w:rsidR="00736E78" w:rsidRPr="00B84B0C" w:rsidRDefault="00736E78" w:rsidP="00736E78">
            <w:pPr>
              <w:pStyle w:val="08-Tabelageral"/>
              <w:spacing w:before="0" w:after="0"/>
              <w:jc w:val="left"/>
              <w:rPr>
                <w:rFonts w:cs="Arial"/>
                <w:b w:val="0"/>
                <w:color w:val="auto"/>
                <w:szCs w:val="14"/>
                <w:lang w:val="en-US"/>
              </w:rPr>
            </w:pPr>
            <w:r w:rsidRPr="00B84B0C">
              <w:rPr>
                <w:rFonts w:cs="Arial"/>
                <w:b w:val="0"/>
                <w:color w:val="auto"/>
                <w:spacing w:val="0"/>
                <w:szCs w:val="14"/>
                <w:lang w:val="en-US"/>
              </w:rPr>
              <w:t>Adjustments of the business</w:t>
            </w:r>
            <w:r w:rsidRPr="00B84B0C">
              <w:rPr>
                <w:rFonts w:cs="Arial"/>
                <w:b w:val="0"/>
                <w:color w:val="auto"/>
                <w:szCs w:val="14"/>
                <w:lang w:val="en-US"/>
              </w:rPr>
              <w:t xml:space="preserve"> combination</w:t>
            </w:r>
          </w:p>
        </w:tc>
        <w:tc>
          <w:tcPr>
            <w:tcW w:w="2127" w:type="dxa"/>
            <w:tcBorders>
              <w:top w:val="nil"/>
              <w:left w:val="nil"/>
              <w:bottom w:val="nil"/>
              <w:right w:val="nil"/>
            </w:tcBorders>
            <w:vAlign w:val="center"/>
          </w:tcPr>
          <w:p w14:paraId="55577F2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color w:val="000000"/>
                <w:sz w:val="14"/>
                <w:szCs w:val="14"/>
              </w:rPr>
            </w:pPr>
            <w:r w:rsidRPr="00B84B0C">
              <w:rPr>
                <w:rFonts w:eastAsia="Times New Roman" w:cs="Arial"/>
                <w:spacing w:val="-2"/>
                <w:sz w:val="14"/>
                <w:szCs w:val="14"/>
              </w:rPr>
              <w:t>--</w:t>
            </w:r>
          </w:p>
        </w:tc>
        <w:tc>
          <w:tcPr>
            <w:tcW w:w="2835" w:type="dxa"/>
            <w:tcBorders>
              <w:top w:val="nil"/>
              <w:left w:val="nil"/>
              <w:bottom w:val="nil"/>
              <w:right w:val="nil"/>
            </w:tcBorders>
            <w:vAlign w:val="center"/>
          </w:tcPr>
          <w:p w14:paraId="18B6FF39"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color w:val="000000"/>
                <w:sz w:val="14"/>
                <w:szCs w:val="14"/>
              </w:rPr>
            </w:pPr>
            <w:r w:rsidRPr="00B84B0C">
              <w:rPr>
                <w:rFonts w:cs="Arial"/>
                <w:sz w:val="14"/>
                <w:szCs w:val="14"/>
              </w:rPr>
              <w:t xml:space="preserve">-- </w:t>
            </w:r>
          </w:p>
        </w:tc>
        <w:tc>
          <w:tcPr>
            <w:tcW w:w="1984" w:type="dxa"/>
            <w:tcBorders>
              <w:top w:val="nil"/>
              <w:left w:val="nil"/>
              <w:bottom w:val="nil"/>
              <w:right w:val="nil"/>
            </w:tcBorders>
            <w:vAlign w:val="center"/>
          </w:tcPr>
          <w:p w14:paraId="3F69FCA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color w:val="000000"/>
                <w:sz w:val="14"/>
                <w:szCs w:val="14"/>
              </w:rPr>
            </w:pPr>
            <w:r w:rsidRPr="00B84B0C">
              <w:rPr>
                <w:rFonts w:cs="Arial"/>
                <w:b/>
                <w:sz w:val="14"/>
                <w:szCs w:val="14"/>
              </w:rPr>
              <w:t xml:space="preserve"> 581,668 </w:t>
            </w:r>
          </w:p>
        </w:tc>
      </w:tr>
      <w:tr w:rsidR="00736E78" w:rsidRPr="00B84B0C" w14:paraId="484AAE85"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single" w:sz="2" w:space="0" w:color="8EAADB" w:themeColor="accent5" w:themeTint="99"/>
              <w:right w:val="nil"/>
            </w:tcBorders>
            <w:vAlign w:val="center"/>
            <w:hideMark/>
          </w:tcPr>
          <w:p w14:paraId="4F38DBA6"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 xml:space="preserve">Book balance </w:t>
            </w:r>
            <w:proofErr w:type="spellStart"/>
            <w:r w:rsidRPr="00B84B0C">
              <w:rPr>
                <w:rFonts w:cs="Arial"/>
                <w:color w:val="auto"/>
                <w:szCs w:val="14"/>
              </w:rPr>
              <w:t>of</w:t>
            </w:r>
            <w:proofErr w:type="spellEnd"/>
            <w:r w:rsidRPr="00B84B0C">
              <w:rPr>
                <w:rFonts w:cs="Arial"/>
                <w:color w:val="auto"/>
                <w:szCs w:val="14"/>
              </w:rPr>
              <w:t xml:space="preserve"> </w:t>
            </w:r>
            <w:proofErr w:type="spellStart"/>
            <w:r w:rsidRPr="00B84B0C">
              <w:rPr>
                <w:rFonts w:cs="Arial"/>
                <w:color w:val="auto"/>
                <w:szCs w:val="14"/>
              </w:rPr>
              <w:t>investment</w:t>
            </w:r>
            <w:proofErr w:type="spellEnd"/>
          </w:p>
        </w:tc>
        <w:tc>
          <w:tcPr>
            <w:tcW w:w="2127" w:type="dxa"/>
            <w:tcBorders>
              <w:top w:val="nil"/>
              <w:left w:val="nil"/>
              <w:bottom w:val="single" w:sz="2" w:space="0" w:color="8EAADB" w:themeColor="accent5" w:themeTint="99"/>
              <w:right w:val="nil"/>
            </w:tcBorders>
            <w:vAlign w:val="center"/>
          </w:tcPr>
          <w:p w14:paraId="534F53E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4B0C">
              <w:rPr>
                <w:rFonts w:eastAsia="Times New Roman" w:cs="Arial"/>
                <w:spacing w:val="-2"/>
                <w:sz w:val="14"/>
                <w:szCs w:val="14"/>
              </w:rPr>
              <w:t>--</w:t>
            </w:r>
          </w:p>
        </w:tc>
        <w:tc>
          <w:tcPr>
            <w:tcW w:w="2835" w:type="dxa"/>
            <w:tcBorders>
              <w:top w:val="nil"/>
              <w:left w:val="nil"/>
              <w:bottom w:val="single" w:sz="2" w:space="0" w:color="8EAADB" w:themeColor="accent5" w:themeTint="99"/>
              <w:right w:val="nil"/>
            </w:tcBorders>
            <w:vAlign w:val="center"/>
          </w:tcPr>
          <w:p w14:paraId="2553CF7E"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4B0C">
              <w:rPr>
                <w:rFonts w:eastAsia="Times New Roman" w:cs="Arial"/>
                <w:spacing w:val="-2"/>
                <w:sz w:val="14"/>
                <w:szCs w:val="14"/>
              </w:rPr>
              <w:t>--</w:t>
            </w:r>
          </w:p>
        </w:tc>
        <w:tc>
          <w:tcPr>
            <w:tcW w:w="1984" w:type="dxa"/>
            <w:tcBorders>
              <w:top w:val="nil"/>
              <w:left w:val="nil"/>
              <w:bottom w:val="single" w:sz="2" w:space="0" w:color="8EAADB" w:themeColor="accent5" w:themeTint="99"/>
              <w:right w:val="nil"/>
            </w:tcBorders>
            <w:vAlign w:val="center"/>
          </w:tcPr>
          <w:p w14:paraId="1B4BDC2F" w14:textId="77777777" w:rsidR="00736E78" w:rsidRPr="00B84B0C" w:rsidRDefault="00736E78" w:rsidP="00736E78">
            <w:pPr>
              <w:contextualSpacing/>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4B0C">
              <w:rPr>
                <w:rFonts w:cs="Arial"/>
                <w:b/>
                <w:sz w:val="14"/>
                <w:szCs w:val="14"/>
              </w:rPr>
              <w:t xml:space="preserve"> 1,961,719 </w:t>
            </w:r>
          </w:p>
        </w:tc>
      </w:tr>
    </w:tbl>
    <w:p w14:paraId="74160E0A" w14:textId="77777777" w:rsidR="00736E78" w:rsidRPr="00B84B0C" w:rsidRDefault="00736E78" w:rsidP="00736E78">
      <w:pPr>
        <w:numPr>
          <w:ilvl w:val="0"/>
          <w:numId w:val="5"/>
        </w:numPr>
        <w:spacing w:line="256" w:lineRule="auto"/>
        <w:ind w:left="284" w:hanging="284"/>
        <w:contextualSpacing/>
        <w:rPr>
          <w:rFonts w:eastAsia="Times New Roman" w:cs="Arial"/>
          <w:spacing w:val="-2"/>
          <w:sz w:val="14"/>
          <w:szCs w:val="18"/>
          <w:lang w:val="en-US" w:eastAsia="pt-BR"/>
        </w:rPr>
      </w:pPr>
      <w:r w:rsidRPr="00B84B0C">
        <w:rPr>
          <w:rFonts w:eastAsia="Times New Roman" w:cs="Arial"/>
          <w:spacing w:val="-2"/>
          <w:sz w:val="14"/>
          <w:szCs w:val="18"/>
          <w:lang w:val="en-US" w:eastAsia="pt-BR"/>
        </w:rPr>
        <w:t xml:space="preserve">It presents the consolidated balances of BB </w:t>
      </w:r>
      <w:proofErr w:type="spellStart"/>
      <w:r w:rsidRPr="00B84B0C">
        <w:rPr>
          <w:rFonts w:eastAsia="Times New Roman" w:cs="Arial"/>
          <w:spacing w:val="-2"/>
          <w:sz w:val="14"/>
          <w:szCs w:val="18"/>
          <w:lang w:val="en-US" w:eastAsia="pt-BR"/>
        </w:rPr>
        <w:t>Mapfre</w:t>
      </w:r>
      <w:proofErr w:type="spellEnd"/>
      <w:r w:rsidRPr="00B84B0C">
        <w:rPr>
          <w:rFonts w:eastAsia="Times New Roman" w:cs="Arial"/>
          <w:spacing w:val="-2"/>
          <w:sz w:val="14"/>
          <w:szCs w:val="18"/>
          <w:lang w:val="en-US" w:eastAsia="pt-BR"/>
        </w:rPr>
        <w:t xml:space="preserve"> </w:t>
      </w:r>
      <w:proofErr w:type="spellStart"/>
      <w:r w:rsidRPr="00B84B0C">
        <w:rPr>
          <w:rFonts w:eastAsia="Times New Roman" w:cs="Arial"/>
          <w:spacing w:val="-2"/>
          <w:sz w:val="14"/>
          <w:szCs w:val="18"/>
          <w:lang w:val="en-US" w:eastAsia="pt-BR"/>
        </w:rPr>
        <w:t>Participações</w:t>
      </w:r>
      <w:proofErr w:type="spellEnd"/>
      <w:r w:rsidRPr="00B84B0C">
        <w:rPr>
          <w:rFonts w:eastAsia="Times New Roman" w:cs="Arial"/>
          <w:spacing w:val="-2"/>
          <w:sz w:val="14"/>
          <w:szCs w:val="18"/>
          <w:lang w:val="en-US" w:eastAsia="pt-BR"/>
        </w:rPr>
        <w:t>.</w:t>
      </w:r>
    </w:p>
    <w:p w14:paraId="0D257ACA" w14:textId="77777777" w:rsidR="00736E78" w:rsidRPr="00B84B0C" w:rsidRDefault="00736E78" w:rsidP="00736E78">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2727"/>
        <w:gridCol w:w="2268"/>
        <w:gridCol w:w="2127"/>
        <w:gridCol w:w="2517"/>
      </w:tblGrid>
      <w:tr w:rsidR="00736E78" w:rsidRPr="00B84B0C" w14:paraId="658CB89A" w14:textId="77777777" w:rsidTr="00736E78">
        <w:trPr>
          <w:cnfStyle w:val="100000000000" w:firstRow="1" w:lastRow="0" w:firstColumn="0" w:lastColumn="0" w:oddVBand="0" w:evenVBand="0" w:oddHBand="0" w:evenHBand="0" w:firstRowFirstColumn="0" w:firstRowLastColumn="0" w:lastRowFirstColumn="0" w:lastRowLastColumn="0"/>
          <w:trHeight w:hRule="exact" w:val="467"/>
        </w:trPr>
        <w:tc>
          <w:tcPr>
            <w:cnfStyle w:val="001000000000" w:firstRow="0" w:lastRow="0" w:firstColumn="1" w:lastColumn="0" w:oddVBand="0" w:evenVBand="0" w:oddHBand="0" w:evenHBand="0" w:firstRowFirstColumn="0" w:firstRowLastColumn="0" w:lastRowFirstColumn="0" w:lastRowLastColumn="0"/>
            <w:tcW w:w="2727" w:type="dxa"/>
            <w:tcBorders>
              <w:top w:val="single" w:sz="2" w:space="0" w:color="8EAADB" w:themeColor="accent5" w:themeTint="99"/>
              <w:bottom w:val="single" w:sz="2" w:space="0" w:color="8EAADB" w:themeColor="accent5" w:themeTint="99"/>
            </w:tcBorders>
            <w:vAlign w:val="center"/>
            <w:hideMark/>
          </w:tcPr>
          <w:p w14:paraId="71E4533F" w14:textId="77777777" w:rsidR="00736E78" w:rsidRPr="00B84B0C" w:rsidRDefault="00736E78" w:rsidP="00736E78">
            <w:pPr>
              <w:jc w:val="center"/>
              <w:rPr>
                <w:rFonts w:cs="Arial"/>
                <w:sz w:val="14"/>
                <w:szCs w:val="14"/>
              </w:rPr>
            </w:pPr>
            <w:proofErr w:type="spellStart"/>
            <w:r w:rsidRPr="00B84B0C">
              <w:rPr>
                <w:rFonts w:cs="Arial"/>
                <w:sz w:val="14"/>
                <w:szCs w:val="14"/>
              </w:rPr>
              <w:t>Dec</w:t>
            </w:r>
            <w:proofErr w:type="spellEnd"/>
            <w:r w:rsidRPr="00B84B0C">
              <w:rPr>
                <w:rFonts w:cs="Arial"/>
                <w:sz w:val="14"/>
                <w:szCs w:val="14"/>
              </w:rPr>
              <w:t xml:space="preserve"> 31, 2019</w:t>
            </w:r>
          </w:p>
        </w:tc>
        <w:tc>
          <w:tcPr>
            <w:tcW w:w="2268" w:type="dxa"/>
            <w:tcBorders>
              <w:top w:val="single" w:sz="2" w:space="0" w:color="8EAADB" w:themeColor="accent5" w:themeTint="99"/>
              <w:bottom w:val="single" w:sz="2" w:space="0" w:color="8EAADB" w:themeColor="accent5" w:themeTint="99"/>
            </w:tcBorders>
            <w:vAlign w:val="center"/>
            <w:hideMark/>
          </w:tcPr>
          <w:p w14:paraId="5F5A9D1C"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Aliança do Brasil Seguros</w:t>
            </w:r>
          </w:p>
        </w:tc>
        <w:tc>
          <w:tcPr>
            <w:tcW w:w="2127" w:type="dxa"/>
            <w:tcBorders>
              <w:top w:val="single" w:sz="2" w:space="0" w:color="8EAADB" w:themeColor="accent5" w:themeTint="99"/>
              <w:bottom w:val="single" w:sz="2" w:space="0" w:color="8EAADB" w:themeColor="accent5" w:themeTint="99"/>
            </w:tcBorders>
            <w:vAlign w:val="center"/>
            <w:hideMark/>
          </w:tcPr>
          <w:p w14:paraId="324A1383"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Brasilseg</w:t>
            </w:r>
            <w:proofErr w:type="spellEnd"/>
            <w:r w:rsidRPr="00B84B0C">
              <w:rPr>
                <w:rFonts w:cs="Arial"/>
                <w:sz w:val="14"/>
                <w:szCs w:val="14"/>
              </w:rPr>
              <w:t xml:space="preserve"> Companhia de Seguros S.A.</w:t>
            </w:r>
          </w:p>
        </w:tc>
        <w:tc>
          <w:tcPr>
            <w:tcW w:w="2517" w:type="dxa"/>
            <w:tcBorders>
              <w:top w:val="single" w:sz="2" w:space="0" w:color="8EAADB" w:themeColor="accent5" w:themeTint="99"/>
              <w:bottom w:val="single" w:sz="2" w:space="0" w:color="8EAADB" w:themeColor="accent5" w:themeTint="99"/>
            </w:tcBorders>
            <w:vAlign w:val="center"/>
            <w:hideMark/>
          </w:tcPr>
          <w:p w14:paraId="5EDB6859"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rPr>
              <w:t xml:space="preserve">BB Mapfre </w:t>
            </w:r>
            <w:proofErr w:type="gramStart"/>
            <w:r w:rsidRPr="00B84B0C">
              <w:rPr>
                <w:rFonts w:cs="Arial"/>
                <w:sz w:val="14"/>
                <w:szCs w:val="14"/>
              </w:rPr>
              <w:t>Participações</w:t>
            </w:r>
            <w:r w:rsidRPr="00B84B0C">
              <w:rPr>
                <w:rFonts w:cs="Arial"/>
                <w:sz w:val="14"/>
                <w:szCs w:val="14"/>
                <w:vertAlign w:val="superscript"/>
              </w:rPr>
              <w:t>(</w:t>
            </w:r>
            <w:proofErr w:type="gramEnd"/>
            <w:r w:rsidRPr="00B84B0C">
              <w:rPr>
                <w:rFonts w:cs="Arial"/>
                <w:sz w:val="14"/>
                <w:szCs w:val="14"/>
                <w:vertAlign w:val="superscript"/>
              </w:rPr>
              <w:t>1)</w:t>
            </w:r>
          </w:p>
          <w:p w14:paraId="223EFD6B"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p>
        </w:tc>
      </w:tr>
      <w:tr w:rsidR="00736E78" w:rsidRPr="00B84B0C" w14:paraId="54258F5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single" w:sz="2" w:space="0" w:color="8EAADB" w:themeColor="accent5" w:themeTint="99"/>
              <w:left w:val="nil"/>
              <w:bottom w:val="nil"/>
              <w:right w:val="nil"/>
            </w:tcBorders>
            <w:hideMark/>
          </w:tcPr>
          <w:p w14:paraId="6292D7C4"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268" w:type="dxa"/>
            <w:tcBorders>
              <w:top w:val="single" w:sz="2" w:space="0" w:color="8EAADB" w:themeColor="accent5" w:themeTint="99"/>
              <w:left w:val="nil"/>
              <w:bottom w:val="nil"/>
              <w:right w:val="nil"/>
            </w:tcBorders>
            <w:vAlign w:val="center"/>
          </w:tcPr>
          <w:p w14:paraId="366C62A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554,758 </w:t>
            </w:r>
          </w:p>
        </w:tc>
        <w:tc>
          <w:tcPr>
            <w:tcW w:w="2127" w:type="dxa"/>
            <w:tcBorders>
              <w:top w:val="single" w:sz="2" w:space="0" w:color="8EAADB" w:themeColor="accent5" w:themeTint="99"/>
              <w:left w:val="nil"/>
              <w:bottom w:val="nil"/>
              <w:right w:val="nil"/>
            </w:tcBorders>
            <w:vAlign w:val="center"/>
          </w:tcPr>
          <w:p w14:paraId="7711827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7,872,919 </w:t>
            </w:r>
          </w:p>
        </w:tc>
        <w:tc>
          <w:tcPr>
            <w:tcW w:w="2517" w:type="dxa"/>
            <w:tcBorders>
              <w:top w:val="single" w:sz="2" w:space="0" w:color="8EAADB" w:themeColor="accent5" w:themeTint="99"/>
              <w:left w:val="nil"/>
              <w:bottom w:val="nil"/>
              <w:right w:val="nil"/>
            </w:tcBorders>
            <w:vAlign w:val="center"/>
          </w:tcPr>
          <w:p w14:paraId="75C6513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8,518,578 </w:t>
            </w:r>
          </w:p>
        </w:tc>
      </w:tr>
      <w:tr w:rsidR="00736E78" w:rsidRPr="00B84B0C" w14:paraId="314BC94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3FF965B5"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Cash </w:t>
            </w:r>
            <w:proofErr w:type="spellStart"/>
            <w:r w:rsidRPr="00B84B0C">
              <w:rPr>
                <w:rFonts w:cs="Arial"/>
                <w:b w:val="0"/>
                <w:color w:val="auto"/>
                <w:szCs w:val="14"/>
              </w:rPr>
              <w:t>and</w:t>
            </w:r>
            <w:proofErr w:type="spellEnd"/>
            <w:r w:rsidRPr="00B84B0C">
              <w:rPr>
                <w:rFonts w:cs="Arial"/>
                <w:b w:val="0"/>
                <w:color w:val="auto"/>
                <w:szCs w:val="14"/>
              </w:rPr>
              <w:t xml:space="preserve"> cash </w:t>
            </w:r>
            <w:proofErr w:type="spellStart"/>
            <w:r w:rsidRPr="00B84B0C">
              <w:rPr>
                <w:rFonts w:cs="Arial"/>
                <w:b w:val="0"/>
                <w:color w:val="auto"/>
                <w:szCs w:val="14"/>
              </w:rPr>
              <w:t>equivalents</w:t>
            </w:r>
            <w:proofErr w:type="spellEnd"/>
          </w:p>
        </w:tc>
        <w:tc>
          <w:tcPr>
            <w:tcW w:w="2268" w:type="dxa"/>
            <w:tcBorders>
              <w:top w:val="nil"/>
              <w:left w:val="nil"/>
              <w:bottom w:val="nil"/>
              <w:right w:val="nil"/>
            </w:tcBorders>
            <w:vAlign w:val="center"/>
          </w:tcPr>
          <w:p w14:paraId="5DBFADD0"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13,338 </w:t>
            </w:r>
          </w:p>
        </w:tc>
        <w:tc>
          <w:tcPr>
            <w:tcW w:w="2127" w:type="dxa"/>
            <w:tcBorders>
              <w:top w:val="nil"/>
              <w:left w:val="nil"/>
              <w:bottom w:val="nil"/>
              <w:right w:val="nil"/>
            </w:tcBorders>
            <w:vAlign w:val="center"/>
          </w:tcPr>
          <w:p w14:paraId="1D7BF55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1,593 </w:t>
            </w:r>
          </w:p>
        </w:tc>
        <w:tc>
          <w:tcPr>
            <w:tcW w:w="2517" w:type="dxa"/>
            <w:tcBorders>
              <w:top w:val="nil"/>
              <w:left w:val="nil"/>
              <w:bottom w:val="nil"/>
              <w:right w:val="nil"/>
            </w:tcBorders>
            <w:vAlign w:val="center"/>
          </w:tcPr>
          <w:p w14:paraId="377F7F8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14,931 </w:t>
            </w:r>
          </w:p>
        </w:tc>
      </w:tr>
      <w:tr w:rsidR="00736E78" w:rsidRPr="00B84B0C" w14:paraId="69F7E76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4375E9A9"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applications</w:t>
            </w:r>
            <w:proofErr w:type="spellEnd"/>
          </w:p>
        </w:tc>
        <w:tc>
          <w:tcPr>
            <w:tcW w:w="2268" w:type="dxa"/>
            <w:tcBorders>
              <w:top w:val="nil"/>
              <w:left w:val="nil"/>
              <w:bottom w:val="nil"/>
              <w:right w:val="nil"/>
            </w:tcBorders>
            <w:vAlign w:val="center"/>
          </w:tcPr>
          <w:p w14:paraId="1D91C0B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273,528 </w:t>
            </w:r>
          </w:p>
        </w:tc>
        <w:tc>
          <w:tcPr>
            <w:tcW w:w="2127" w:type="dxa"/>
            <w:tcBorders>
              <w:top w:val="nil"/>
              <w:left w:val="nil"/>
              <w:bottom w:val="nil"/>
              <w:right w:val="nil"/>
            </w:tcBorders>
            <w:vAlign w:val="center"/>
          </w:tcPr>
          <w:p w14:paraId="7B9A77B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4,515,917 </w:t>
            </w:r>
          </w:p>
        </w:tc>
        <w:tc>
          <w:tcPr>
            <w:tcW w:w="2517" w:type="dxa"/>
            <w:tcBorders>
              <w:top w:val="nil"/>
              <w:left w:val="nil"/>
              <w:bottom w:val="nil"/>
              <w:right w:val="nil"/>
            </w:tcBorders>
            <w:vAlign w:val="center"/>
          </w:tcPr>
          <w:p w14:paraId="6FF01F9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4,879,572 </w:t>
            </w:r>
          </w:p>
        </w:tc>
      </w:tr>
      <w:tr w:rsidR="00736E78" w:rsidRPr="00B84B0C" w14:paraId="751BA9B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66751948"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assets</w:t>
            </w:r>
            <w:proofErr w:type="spellEnd"/>
          </w:p>
        </w:tc>
        <w:tc>
          <w:tcPr>
            <w:tcW w:w="2268" w:type="dxa"/>
            <w:tcBorders>
              <w:top w:val="nil"/>
              <w:left w:val="nil"/>
              <w:bottom w:val="nil"/>
              <w:right w:val="nil"/>
            </w:tcBorders>
            <w:vAlign w:val="center"/>
          </w:tcPr>
          <w:p w14:paraId="3557C83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267,892 </w:t>
            </w:r>
          </w:p>
        </w:tc>
        <w:tc>
          <w:tcPr>
            <w:tcW w:w="2127" w:type="dxa"/>
            <w:tcBorders>
              <w:top w:val="nil"/>
              <w:left w:val="nil"/>
              <w:bottom w:val="nil"/>
              <w:right w:val="nil"/>
            </w:tcBorders>
            <w:vAlign w:val="center"/>
          </w:tcPr>
          <w:p w14:paraId="03A8660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3,355,409 </w:t>
            </w:r>
          </w:p>
        </w:tc>
        <w:tc>
          <w:tcPr>
            <w:tcW w:w="2517" w:type="dxa"/>
            <w:tcBorders>
              <w:top w:val="nil"/>
              <w:left w:val="nil"/>
              <w:bottom w:val="nil"/>
              <w:right w:val="nil"/>
            </w:tcBorders>
            <w:vAlign w:val="center"/>
          </w:tcPr>
          <w:p w14:paraId="6E6007E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3,624,075 </w:t>
            </w:r>
          </w:p>
        </w:tc>
      </w:tr>
      <w:tr w:rsidR="00736E78" w:rsidRPr="00B84B0C" w14:paraId="0B8BA568"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414BB7DD"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268" w:type="dxa"/>
            <w:tcBorders>
              <w:top w:val="nil"/>
              <w:left w:val="nil"/>
              <w:bottom w:val="nil"/>
              <w:right w:val="nil"/>
            </w:tcBorders>
            <w:vAlign w:val="center"/>
          </w:tcPr>
          <w:p w14:paraId="10D96B09"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287,128 </w:t>
            </w:r>
          </w:p>
        </w:tc>
        <w:tc>
          <w:tcPr>
            <w:tcW w:w="2127" w:type="dxa"/>
            <w:tcBorders>
              <w:top w:val="nil"/>
              <w:left w:val="nil"/>
              <w:bottom w:val="nil"/>
              <w:right w:val="nil"/>
            </w:tcBorders>
            <w:vAlign w:val="center"/>
          </w:tcPr>
          <w:p w14:paraId="7FEBF243"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5,569,901 </w:t>
            </w:r>
          </w:p>
        </w:tc>
        <w:tc>
          <w:tcPr>
            <w:tcW w:w="2517" w:type="dxa"/>
            <w:tcBorders>
              <w:top w:val="nil"/>
              <w:left w:val="nil"/>
              <w:bottom w:val="nil"/>
              <w:right w:val="nil"/>
            </w:tcBorders>
            <w:vAlign w:val="center"/>
          </w:tcPr>
          <w:p w14:paraId="19B9E4CF"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6,427,227 </w:t>
            </w:r>
          </w:p>
        </w:tc>
      </w:tr>
      <w:tr w:rsidR="00736E78" w:rsidRPr="00B84B0C" w14:paraId="67447C4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07552FD9"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268" w:type="dxa"/>
            <w:tcBorders>
              <w:top w:val="nil"/>
              <w:left w:val="nil"/>
              <w:bottom w:val="nil"/>
              <w:right w:val="nil"/>
            </w:tcBorders>
            <w:vAlign w:val="center"/>
          </w:tcPr>
          <w:p w14:paraId="6A19399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490,038 </w:t>
            </w:r>
          </w:p>
        </w:tc>
        <w:tc>
          <w:tcPr>
            <w:tcW w:w="2127" w:type="dxa"/>
            <w:tcBorders>
              <w:top w:val="nil"/>
              <w:left w:val="nil"/>
              <w:bottom w:val="nil"/>
              <w:right w:val="nil"/>
            </w:tcBorders>
            <w:vAlign w:val="center"/>
          </w:tcPr>
          <w:p w14:paraId="64C485E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7,153,319 </w:t>
            </w:r>
          </w:p>
        </w:tc>
        <w:tc>
          <w:tcPr>
            <w:tcW w:w="2517" w:type="dxa"/>
            <w:tcBorders>
              <w:top w:val="nil"/>
              <w:left w:val="nil"/>
              <w:bottom w:val="nil"/>
              <w:right w:val="nil"/>
            </w:tcBorders>
            <w:vAlign w:val="center"/>
          </w:tcPr>
          <w:p w14:paraId="625162B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7,596,912 </w:t>
            </w:r>
          </w:p>
        </w:tc>
      </w:tr>
      <w:tr w:rsidR="00736E78" w:rsidRPr="00B84B0C" w14:paraId="4950F0D2"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4961081C"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268" w:type="dxa"/>
            <w:tcBorders>
              <w:top w:val="nil"/>
              <w:left w:val="nil"/>
              <w:bottom w:val="nil"/>
              <w:right w:val="nil"/>
            </w:tcBorders>
            <w:vAlign w:val="center"/>
          </w:tcPr>
          <w:p w14:paraId="2A810339"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23,065 </w:t>
            </w:r>
          </w:p>
        </w:tc>
        <w:tc>
          <w:tcPr>
            <w:tcW w:w="2127" w:type="dxa"/>
            <w:tcBorders>
              <w:top w:val="nil"/>
              <w:left w:val="nil"/>
              <w:bottom w:val="nil"/>
              <w:right w:val="nil"/>
            </w:tcBorders>
            <w:vAlign w:val="center"/>
          </w:tcPr>
          <w:p w14:paraId="32656E8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369,447 </w:t>
            </w:r>
          </w:p>
        </w:tc>
        <w:tc>
          <w:tcPr>
            <w:tcW w:w="2517" w:type="dxa"/>
            <w:tcBorders>
              <w:top w:val="nil"/>
              <w:left w:val="nil"/>
              <w:bottom w:val="nil"/>
              <w:right w:val="nil"/>
            </w:tcBorders>
            <w:vAlign w:val="center"/>
          </w:tcPr>
          <w:p w14:paraId="784D520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346,067 </w:t>
            </w:r>
          </w:p>
        </w:tc>
      </w:tr>
      <w:tr w:rsidR="00736E78" w:rsidRPr="00B84B0C" w14:paraId="015FB284"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41338221"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268" w:type="dxa"/>
            <w:tcBorders>
              <w:top w:val="nil"/>
              <w:left w:val="nil"/>
              <w:bottom w:val="nil"/>
              <w:right w:val="nil"/>
            </w:tcBorders>
            <w:vAlign w:val="center"/>
          </w:tcPr>
          <w:p w14:paraId="7013FDA8"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406,726 </w:t>
            </w:r>
          </w:p>
        </w:tc>
        <w:tc>
          <w:tcPr>
            <w:tcW w:w="2127" w:type="dxa"/>
            <w:tcBorders>
              <w:top w:val="nil"/>
              <w:left w:val="nil"/>
              <w:bottom w:val="nil"/>
              <w:right w:val="nil"/>
            </w:tcBorders>
            <w:vAlign w:val="center"/>
          </w:tcPr>
          <w:p w14:paraId="49F715C9"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4,915,991 </w:t>
            </w:r>
          </w:p>
        </w:tc>
        <w:tc>
          <w:tcPr>
            <w:tcW w:w="2517" w:type="dxa"/>
            <w:tcBorders>
              <w:top w:val="nil"/>
              <w:left w:val="nil"/>
              <w:bottom w:val="nil"/>
              <w:right w:val="nil"/>
            </w:tcBorders>
            <w:vAlign w:val="center"/>
          </w:tcPr>
          <w:p w14:paraId="270B8E5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5,322,717 </w:t>
            </w:r>
          </w:p>
        </w:tc>
      </w:tr>
      <w:tr w:rsidR="00736E78" w:rsidRPr="00B84B0C" w14:paraId="05DD804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4F501372"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liabilities</w:t>
            </w:r>
            <w:proofErr w:type="spellEnd"/>
          </w:p>
        </w:tc>
        <w:tc>
          <w:tcPr>
            <w:tcW w:w="2268" w:type="dxa"/>
            <w:tcBorders>
              <w:top w:val="nil"/>
              <w:left w:val="nil"/>
              <w:bottom w:val="nil"/>
              <w:right w:val="nil"/>
            </w:tcBorders>
            <w:vAlign w:val="center"/>
          </w:tcPr>
          <w:p w14:paraId="4E06DDAC"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60,247 </w:t>
            </w:r>
          </w:p>
        </w:tc>
        <w:tc>
          <w:tcPr>
            <w:tcW w:w="2127" w:type="dxa"/>
            <w:tcBorders>
              <w:top w:val="nil"/>
              <w:left w:val="nil"/>
              <w:bottom w:val="nil"/>
              <w:right w:val="nil"/>
            </w:tcBorders>
            <w:vAlign w:val="center"/>
          </w:tcPr>
          <w:p w14:paraId="7872EBF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1,867,881 </w:t>
            </w:r>
          </w:p>
        </w:tc>
        <w:tc>
          <w:tcPr>
            <w:tcW w:w="2517" w:type="dxa"/>
            <w:tcBorders>
              <w:top w:val="nil"/>
              <w:left w:val="nil"/>
              <w:bottom w:val="nil"/>
              <w:right w:val="nil"/>
            </w:tcBorders>
            <w:vAlign w:val="center"/>
          </w:tcPr>
          <w:p w14:paraId="6BD2824C"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1,928,128 </w:t>
            </w:r>
          </w:p>
        </w:tc>
      </w:tr>
      <w:tr w:rsidR="00736E78" w:rsidRPr="00B84B0C" w14:paraId="3809ACC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1D8F7944"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268" w:type="dxa"/>
            <w:tcBorders>
              <w:top w:val="nil"/>
              <w:left w:val="nil"/>
              <w:bottom w:val="nil"/>
              <w:right w:val="nil"/>
            </w:tcBorders>
            <w:vAlign w:val="center"/>
          </w:tcPr>
          <w:p w14:paraId="242BEC2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159,433 </w:t>
            </w:r>
          </w:p>
        </w:tc>
        <w:tc>
          <w:tcPr>
            <w:tcW w:w="2127" w:type="dxa"/>
            <w:tcBorders>
              <w:top w:val="nil"/>
              <w:left w:val="nil"/>
              <w:bottom w:val="nil"/>
              <w:right w:val="nil"/>
            </w:tcBorders>
            <w:vAlign w:val="center"/>
          </w:tcPr>
          <w:p w14:paraId="440ECAAA"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4,890,660 </w:t>
            </w:r>
          </w:p>
        </w:tc>
        <w:tc>
          <w:tcPr>
            <w:tcW w:w="2517" w:type="dxa"/>
            <w:tcBorders>
              <w:top w:val="nil"/>
              <w:left w:val="nil"/>
              <w:bottom w:val="nil"/>
              <w:right w:val="nil"/>
            </w:tcBorders>
            <w:vAlign w:val="center"/>
          </w:tcPr>
          <w:p w14:paraId="0681AE5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5,362,352 </w:t>
            </w:r>
          </w:p>
        </w:tc>
      </w:tr>
      <w:tr w:rsidR="00736E78" w:rsidRPr="00B84B0C" w14:paraId="53AA454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6636F79B"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268" w:type="dxa"/>
            <w:tcBorders>
              <w:top w:val="nil"/>
              <w:left w:val="nil"/>
              <w:bottom w:val="nil"/>
              <w:right w:val="nil"/>
            </w:tcBorders>
            <w:vAlign w:val="center"/>
          </w:tcPr>
          <w:p w14:paraId="65C5EBE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4 </w:t>
            </w:r>
          </w:p>
        </w:tc>
        <w:tc>
          <w:tcPr>
            <w:tcW w:w="2127" w:type="dxa"/>
            <w:tcBorders>
              <w:top w:val="nil"/>
              <w:left w:val="nil"/>
              <w:bottom w:val="nil"/>
              <w:right w:val="nil"/>
            </w:tcBorders>
            <w:vAlign w:val="center"/>
          </w:tcPr>
          <w:p w14:paraId="74F884D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10,619 </w:t>
            </w:r>
          </w:p>
        </w:tc>
        <w:tc>
          <w:tcPr>
            <w:tcW w:w="2517" w:type="dxa"/>
            <w:tcBorders>
              <w:top w:val="nil"/>
              <w:left w:val="nil"/>
              <w:bottom w:val="nil"/>
              <w:right w:val="nil"/>
            </w:tcBorders>
            <w:vAlign w:val="center"/>
          </w:tcPr>
          <w:p w14:paraId="7D0C15B9"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267,300 </w:t>
            </w:r>
          </w:p>
        </w:tc>
      </w:tr>
      <w:tr w:rsidR="00736E78" w:rsidRPr="00B84B0C" w14:paraId="4ECFE7F7"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4630A45C"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268" w:type="dxa"/>
            <w:tcBorders>
              <w:top w:val="nil"/>
              <w:left w:val="nil"/>
              <w:bottom w:val="nil"/>
              <w:right w:val="nil"/>
            </w:tcBorders>
            <w:vAlign w:val="center"/>
          </w:tcPr>
          <w:p w14:paraId="531E490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142,684 </w:t>
            </w:r>
          </w:p>
        </w:tc>
        <w:tc>
          <w:tcPr>
            <w:tcW w:w="2127" w:type="dxa"/>
            <w:tcBorders>
              <w:top w:val="nil"/>
              <w:left w:val="nil"/>
              <w:bottom w:val="nil"/>
              <w:right w:val="nil"/>
            </w:tcBorders>
            <w:vAlign w:val="center"/>
          </w:tcPr>
          <w:p w14:paraId="4BE4185C"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4,218,118 </w:t>
            </w:r>
          </w:p>
        </w:tc>
        <w:tc>
          <w:tcPr>
            <w:tcW w:w="2517" w:type="dxa"/>
            <w:tcBorders>
              <w:top w:val="nil"/>
              <w:left w:val="nil"/>
              <w:bottom w:val="nil"/>
              <w:right w:val="nil"/>
            </w:tcBorders>
            <w:vAlign w:val="center"/>
          </w:tcPr>
          <w:p w14:paraId="08876F9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4,416,384 </w:t>
            </w:r>
          </w:p>
        </w:tc>
      </w:tr>
      <w:tr w:rsidR="00736E78" w:rsidRPr="00B84B0C" w14:paraId="13F7CBA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1902C3DA"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Other non-</w:t>
            </w:r>
            <w:proofErr w:type="spellStart"/>
            <w:r w:rsidRPr="00B84B0C">
              <w:rPr>
                <w:rFonts w:cs="Arial"/>
                <w:b w:val="0"/>
                <w:color w:val="auto"/>
                <w:szCs w:val="14"/>
              </w:rPr>
              <w:t>current</w:t>
            </w:r>
            <w:proofErr w:type="spellEnd"/>
            <w:r w:rsidRPr="00B84B0C">
              <w:rPr>
                <w:rFonts w:cs="Arial"/>
                <w:b w:val="0"/>
                <w:color w:val="auto"/>
                <w:szCs w:val="14"/>
              </w:rPr>
              <w:t xml:space="preserve"> </w:t>
            </w:r>
            <w:proofErr w:type="spellStart"/>
            <w:r w:rsidRPr="00B84B0C">
              <w:rPr>
                <w:rFonts w:cs="Arial"/>
                <w:b w:val="0"/>
                <w:color w:val="auto"/>
                <w:szCs w:val="14"/>
              </w:rPr>
              <w:t>liabilities</w:t>
            </w:r>
            <w:proofErr w:type="spellEnd"/>
          </w:p>
        </w:tc>
        <w:tc>
          <w:tcPr>
            <w:tcW w:w="2268" w:type="dxa"/>
            <w:tcBorders>
              <w:top w:val="nil"/>
              <w:left w:val="nil"/>
              <w:bottom w:val="nil"/>
              <w:right w:val="nil"/>
            </w:tcBorders>
            <w:vAlign w:val="center"/>
          </w:tcPr>
          <w:p w14:paraId="1A2042DC"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16,745 </w:t>
            </w:r>
          </w:p>
        </w:tc>
        <w:tc>
          <w:tcPr>
            <w:tcW w:w="2127" w:type="dxa"/>
            <w:tcBorders>
              <w:top w:val="nil"/>
              <w:left w:val="nil"/>
              <w:bottom w:val="nil"/>
              <w:right w:val="nil"/>
            </w:tcBorders>
            <w:vAlign w:val="center"/>
          </w:tcPr>
          <w:p w14:paraId="62B1C265"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661,923 </w:t>
            </w:r>
          </w:p>
        </w:tc>
        <w:tc>
          <w:tcPr>
            <w:tcW w:w="2517" w:type="dxa"/>
            <w:tcBorders>
              <w:top w:val="nil"/>
              <w:left w:val="nil"/>
              <w:bottom w:val="nil"/>
              <w:right w:val="nil"/>
            </w:tcBorders>
            <w:vAlign w:val="center"/>
          </w:tcPr>
          <w:p w14:paraId="587B79A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678,668 </w:t>
            </w:r>
          </w:p>
        </w:tc>
      </w:tr>
      <w:tr w:rsidR="00736E78" w:rsidRPr="00B84B0C" w14:paraId="463FA204"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244C6511"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Adjusted</w:t>
            </w:r>
            <w:proofErr w:type="spellEnd"/>
            <w:r w:rsidRPr="00B84B0C">
              <w:rPr>
                <w:rFonts w:cs="Arial"/>
                <w:color w:val="auto"/>
                <w:szCs w:val="14"/>
              </w:rPr>
              <w:t xml:space="preserve"> net </w:t>
            </w:r>
            <w:proofErr w:type="spellStart"/>
            <w:r w:rsidRPr="00B84B0C">
              <w:rPr>
                <w:rFonts w:cs="Arial"/>
                <w:color w:val="auto"/>
                <w:szCs w:val="14"/>
              </w:rPr>
              <w:t>equity</w:t>
            </w:r>
            <w:proofErr w:type="spellEnd"/>
          </w:p>
        </w:tc>
        <w:tc>
          <w:tcPr>
            <w:tcW w:w="2268" w:type="dxa"/>
            <w:tcBorders>
              <w:top w:val="nil"/>
              <w:left w:val="nil"/>
              <w:bottom w:val="nil"/>
              <w:right w:val="nil"/>
            </w:tcBorders>
            <w:vAlign w:val="center"/>
          </w:tcPr>
          <w:p w14:paraId="21CDF4C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192,415 </w:t>
            </w:r>
          </w:p>
        </w:tc>
        <w:tc>
          <w:tcPr>
            <w:tcW w:w="2127" w:type="dxa"/>
            <w:tcBorders>
              <w:top w:val="nil"/>
              <w:left w:val="nil"/>
              <w:bottom w:val="nil"/>
              <w:right w:val="nil"/>
            </w:tcBorders>
            <w:vAlign w:val="center"/>
          </w:tcPr>
          <w:p w14:paraId="75342139"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1,398,841 </w:t>
            </w:r>
          </w:p>
        </w:tc>
        <w:tc>
          <w:tcPr>
            <w:tcW w:w="2517" w:type="dxa"/>
            <w:tcBorders>
              <w:top w:val="nil"/>
              <w:left w:val="nil"/>
              <w:bottom w:val="nil"/>
              <w:right w:val="nil"/>
            </w:tcBorders>
            <w:vAlign w:val="center"/>
          </w:tcPr>
          <w:p w14:paraId="6BEB8AFB"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1,986,541 </w:t>
            </w:r>
          </w:p>
        </w:tc>
      </w:tr>
      <w:tr w:rsidR="00736E78" w:rsidRPr="00B84B0C" w14:paraId="19441B93"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12373D69"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Attributable</w:t>
            </w:r>
            <w:proofErr w:type="spellEnd"/>
            <w:r w:rsidRPr="00B84B0C">
              <w:rPr>
                <w:rFonts w:cs="Arial"/>
                <w:b w:val="0"/>
                <w:color w:val="auto"/>
                <w:szCs w:val="14"/>
              </w:rPr>
              <w:t xml:space="preserve"> </w:t>
            </w:r>
            <w:proofErr w:type="spellStart"/>
            <w:r w:rsidRPr="00B84B0C">
              <w:rPr>
                <w:rFonts w:cs="Arial"/>
                <w:b w:val="0"/>
                <w:color w:val="auto"/>
                <w:szCs w:val="14"/>
              </w:rPr>
              <w:t>to</w:t>
            </w:r>
            <w:proofErr w:type="spellEnd"/>
            <w:r w:rsidRPr="00B84B0C">
              <w:rPr>
                <w:rFonts w:cs="Arial"/>
                <w:b w:val="0"/>
                <w:color w:val="auto"/>
                <w:szCs w:val="14"/>
              </w:rPr>
              <w:t xml:space="preserve"> BB Seguridade</w:t>
            </w:r>
          </w:p>
        </w:tc>
        <w:tc>
          <w:tcPr>
            <w:tcW w:w="2268" w:type="dxa"/>
            <w:tcBorders>
              <w:top w:val="nil"/>
              <w:left w:val="nil"/>
              <w:bottom w:val="nil"/>
              <w:right w:val="nil"/>
            </w:tcBorders>
            <w:vAlign w:val="center"/>
          </w:tcPr>
          <w:p w14:paraId="6C3BA355"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b/>
                <w:color w:val="000000"/>
                <w:sz w:val="14"/>
                <w:szCs w:val="14"/>
              </w:rPr>
              <w:t xml:space="preserve">           144,292 </w:t>
            </w:r>
          </w:p>
        </w:tc>
        <w:tc>
          <w:tcPr>
            <w:tcW w:w="2127" w:type="dxa"/>
            <w:tcBorders>
              <w:top w:val="nil"/>
              <w:left w:val="nil"/>
              <w:bottom w:val="nil"/>
              <w:right w:val="nil"/>
            </w:tcBorders>
            <w:vAlign w:val="center"/>
          </w:tcPr>
          <w:p w14:paraId="46F5EAF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b/>
                <w:color w:val="000000"/>
                <w:sz w:val="14"/>
                <w:szCs w:val="14"/>
              </w:rPr>
              <w:t xml:space="preserve">            1,048,991 </w:t>
            </w:r>
          </w:p>
        </w:tc>
        <w:tc>
          <w:tcPr>
            <w:tcW w:w="2517" w:type="dxa"/>
            <w:tcBorders>
              <w:top w:val="nil"/>
              <w:left w:val="nil"/>
              <w:bottom w:val="nil"/>
              <w:right w:val="nil"/>
            </w:tcBorders>
            <w:vAlign w:val="center"/>
          </w:tcPr>
          <w:p w14:paraId="6342EB2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b/>
                <w:color w:val="000000"/>
                <w:sz w:val="14"/>
                <w:szCs w:val="14"/>
              </w:rPr>
              <w:t xml:space="preserve">                  1,489,707 </w:t>
            </w:r>
          </w:p>
        </w:tc>
      </w:tr>
      <w:tr w:rsidR="00736E78" w:rsidRPr="00B84B0C" w14:paraId="2F8C05A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nil"/>
              <w:right w:val="nil"/>
            </w:tcBorders>
            <w:hideMark/>
          </w:tcPr>
          <w:p w14:paraId="64E29929" w14:textId="77777777" w:rsidR="00736E78" w:rsidRPr="00B84B0C" w:rsidRDefault="00736E78" w:rsidP="00736E78">
            <w:pPr>
              <w:pStyle w:val="08-Tabelageral"/>
              <w:spacing w:before="0" w:after="0"/>
              <w:jc w:val="left"/>
              <w:rPr>
                <w:rFonts w:cs="Arial"/>
                <w:b w:val="0"/>
                <w:color w:val="auto"/>
                <w:szCs w:val="14"/>
                <w:lang w:val="en-US"/>
              </w:rPr>
            </w:pPr>
            <w:r w:rsidRPr="00B84B0C">
              <w:rPr>
                <w:rFonts w:cs="Arial"/>
                <w:b w:val="0"/>
                <w:color w:val="auto"/>
                <w:spacing w:val="0"/>
                <w:szCs w:val="14"/>
                <w:lang w:val="en-US"/>
              </w:rPr>
              <w:t>Adjustments of the business</w:t>
            </w:r>
            <w:r w:rsidRPr="00B84B0C">
              <w:rPr>
                <w:rFonts w:cs="Arial"/>
                <w:b w:val="0"/>
                <w:color w:val="auto"/>
                <w:szCs w:val="14"/>
                <w:lang w:val="en-US"/>
              </w:rPr>
              <w:t xml:space="preserve"> combination</w:t>
            </w:r>
          </w:p>
        </w:tc>
        <w:tc>
          <w:tcPr>
            <w:tcW w:w="2268" w:type="dxa"/>
            <w:tcBorders>
              <w:top w:val="nil"/>
              <w:left w:val="nil"/>
              <w:bottom w:val="nil"/>
              <w:right w:val="nil"/>
            </w:tcBorders>
            <w:vAlign w:val="center"/>
          </w:tcPr>
          <w:p w14:paraId="641AB407"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8"/>
              </w:rPr>
            </w:pPr>
            <w:r w:rsidRPr="00B84B0C">
              <w:rPr>
                <w:rFonts w:cs="Arial"/>
                <w:bCs/>
                <w:color w:val="000000"/>
                <w:sz w:val="14"/>
                <w:szCs w:val="14"/>
                <w:lang w:val="en-US"/>
              </w:rPr>
              <w:t xml:space="preserve">                     </w:t>
            </w:r>
            <w:r w:rsidRPr="00B84B0C">
              <w:rPr>
                <w:rFonts w:cs="Arial"/>
                <w:bCs/>
                <w:color w:val="000000"/>
                <w:sz w:val="14"/>
                <w:szCs w:val="14"/>
              </w:rPr>
              <w:t xml:space="preserve">--   </w:t>
            </w:r>
          </w:p>
        </w:tc>
        <w:tc>
          <w:tcPr>
            <w:tcW w:w="2127" w:type="dxa"/>
            <w:tcBorders>
              <w:top w:val="nil"/>
              <w:left w:val="nil"/>
              <w:bottom w:val="nil"/>
              <w:right w:val="nil"/>
            </w:tcBorders>
            <w:vAlign w:val="center"/>
          </w:tcPr>
          <w:p w14:paraId="6F794D3A"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8"/>
              </w:rPr>
            </w:pPr>
            <w:r w:rsidRPr="00B84B0C">
              <w:rPr>
                <w:rFonts w:cs="Arial"/>
                <w:bCs/>
                <w:color w:val="000000"/>
                <w:sz w:val="14"/>
                <w:szCs w:val="14"/>
              </w:rPr>
              <w:t xml:space="preserve">                         --   </w:t>
            </w:r>
          </w:p>
        </w:tc>
        <w:tc>
          <w:tcPr>
            <w:tcW w:w="2517" w:type="dxa"/>
            <w:tcBorders>
              <w:top w:val="nil"/>
              <w:left w:val="nil"/>
              <w:bottom w:val="nil"/>
              <w:right w:val="nil"/>
            </w:tcBorders>
            <w:vAlign w:val="center"/>
          </w:tcPr>
          <w:p w14:paraId="1B949E5D"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Cs/>
                <w:spacing w:val="-2"/>
                <w:sz w:val="14"/>
                <w:szCs w:val="18"/>
              </w:rPr>
            </w:pPr>
            <w:r w:rsidRPr="00B84B0C">
              <w:rPr>
                <w:rFonts w:cs="Arial"/>
                <w:bCs/>
                <w:color w:val="000000"/>
                <w:sz w:val="14"/>
                <w:szCs w:val="14"/>
              </w:rPr>
              <w:t xml:space="preserve">                     538,899 </w:t>
            </w:r>
          </w:p>
        </w:tc>
      </w:tr>
      <w:tr w:rsidR="00736E78" w:rsidRPr="00B84B0C" w14:paraId="742B3085"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727" w:type="dxa"/>
            <w:tcBorders>
              <w:top w:val="nil"/>
              <w:left w:val="nil"/>
              <w:bottom w:val="single" w:sz="2" w:space="0" w:color="8EAADB" w:themeColor="accent5" w:themeTint="99"/>
              <w:right w:val="nil"/>
            </w:tcBorders>
            <w:hideMark/>
          </w:tcPr>
          <w:p w14:paraId="29C22739"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 xml:space="preserve">Book balance </w:t>
            </w:r>
            <w:proofErr w:type="spellStart"/>
            <w:r w:rsidRPr="00B84B0C">
              <w:rPr>
                <w:rFonts w:cs="Arial"/>
                <w:color w:val="auto"/>
                <w:szCs w:val="14"/>
              </w:rPr>
              <w:t>of</w:t>
            </w:r>
            <w:proofErr w:type="spellEnd"/>
            <w:r w:rsidRPr="00B84B0C">
              <w:rPr>
                <w:rFonts w:cs="Arial"/>
                <w:color w:val="auto"/>
                <w:szCs w:val="14"/>
              </w:rPr>
              <w:t xml:space="preserve"> </w:t>
            </w:r>
            <w:proofErr w:type="spellStart"/>
            <w:r w:rsidRPr="00B84B0C">
              <w:rPr>
                <w:rFonts w:cs="Arial"/>
                <w:color w:val="auto"/>
                <w:szCs w:val="14"/>
              </w:rPr>
              <w:t>investment</w:t>
            </w:r>
            <w:proofErr w:type="spellEnd"/>
          </w:p>
        </w:tc>
        <w:tc>
          <w:tcPr>
            <w:tcW w:w="2268" w:type="dxa"/>
            <w:tcBorders>
              <w:top w:val="nil"/>
              <w:left w:val="nil"/>
              <w:bottom w:val="single" w:sz="2" w:space="0" w:color="8EAADB" w:themeColor="accent5" w:themeTint="99"/>
              <w:right w:val="nil"/>
            </w:tcBorders>
            <w:vAlign w:val="center"/>
          </w:tcPr>
          <w:p w14:paraId="18676EB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 xml:space="preserve">                     --   </w:t>
            </w:r>
          </w:p>
        </w:tc>
        <w:tc>
          <w:tcPr>
            <w:tcW w:w="2127" w:type="dxa"/>
            <w:tcBorders>
              <w:top w:val="nil"/>
              <w:left w:val="nil"/>
              <w:bottom w:val="single" w:sz="2" w:space="0" w:color="8EAADB" w:themeColor="accent5" w:themeTint="99"/>
              <w:right w:val="nil"/>
            </w:tcBorders>
            <w:vAlign w:val="center"/>
          </w:tcPr>
          <w:p w14:paraId="530FB82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 xml:space="preserve">                         --   </w:t>
            </w:r>
          </w:p>
        </w:tc>
        <w:tc>
          <w:tcPr>
            <w:tcW w:w="2517" w:type="dxa"/>
            <w:tcBorders>
              <w:top w:val="nil"/>
              <w:left w:val="nil"/>
              <w:bottom w:val="single" w:sz="2" w:space="0" w:color="8EAADB" w:themeColor="accent5" w:themeTint="99"/>
              <w:right w:val="nil"/>
            </w:tcBorders>
            <w:vAlign w:val="center"/>
          </w:tcPr>
          <w:p w14:paraId="1D1971B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2,028,606</w:t>
            </w:r>
          </w:p>
        </w:tc>
      </w:tr>
    </w:tbl>
    <w:p w14:paraId="37F15860" w14:textId="77777777" w:rsidR="00736E78" w:rsidRPr="00B84B0C" w:rsidRDefault="00736E78" w:rsidP="00736E78">
      <w:pPr>
        <w:numPr>
          <w:ilvl w:val="0"/>
          <w:numId w:val="6"/>
        </w:numPr>
        <w:spacing w:line="256" w:lineRule="auto"/>
        <w:ind w:left="284" w:hanging="284"/>
        <w:contextualSpacing/>
        <w:rPr>
          <w:rFonts w:eastAsia="Times New Roman" w:cs="Arial"/>
          <w:spacing w:val="-2"/>
          <w:sz w:val="14"/>
          <w:szCs w:val="18"/>
          <w:lang w:val="en-US" w:eastAsia="pt-BR"/>
        </w:rPr>
      </w:pPr>
      <w:r w:rsidRPr="00B84B0C">
        <w:rPr>
          <w:rFonts w:eastAsia="Times New Roman" w:cs="Arial"/>
          <w:spacing w:val="-2"/>
          <w:sz w:val="14"/>
          <w:szCs w:val="18"/>
          <w:lang w:val="en-US" w:eastAsia="pt-BR"/>
        </w:rPr>
        <w:t xml:space="preserve">It presents the consolidated balances of BB </w:t>
      </w:r>
      <w:proofErr w:type="spellStart"/>
      <w:r w:rsidRPr="00B84B0C">
        <w:rPr>
          <w:rFonts w:eastAsia="Times New Roman" w:cs="Arial"/>
          <w:spacing w:val="-2"/>
          <w:sz w:val="14"/>
          <w:szCs w:val="18"/>
          <w:lang w:val="en-US" w:eastAsia="pt-BR"/>
        </w:rPr>
        <w:t>Mapfre</w:t>
      </w:r>
      <w:proofErr w:type="spellEnd"/>
      <w:r w:rsidRPr="00B84B0C">
        <w:rPr>
          <w:rFonts w:eastAsia="Times New Roman" w:cs="Arial"/>
          <w:spacing w:val="-2"/>
          <w:sz w:val="14"/>
          <w:szCs w:val="18"/>
          <w:lang w:val="en-US" w:eastAsia="pt-BR"/>
        </w:rPr>
        <w:t xml:space="preserve"> </w:t>
      </w:r>
      <w:proofErr w:type="spellStart"/>
      <w:r w:rsidRPr="00B84B0C">
        <w:rPr>
          <w:rFonts w:eastAsia="Times New Roman" w:cs="Arial"/>
          <w:spacing w:val="-2"/>
          <w:sz w:val="14"/>
          <w:szCs w:val="18"/>
          <w:lang w:val="en-US" w:eastAsia="pt-BR"/>
        </w:rPr>
        <w:t>Participações</w:t>
      </w:r>
      <w:proofErr w:type="spellEnd"/>
      <w:r w:rsidRPr="00B84B0C">
        <w:rPr>
          <w:rFonts w:eastAsia="Times New Roman" w:cs="Arial"/>
          <w:spacing w:val="-2"/>
          <w:sz w:val="14"/>
          <w:szCs w:val="18"/>
          <w:lang w:val="en-US" w:eastAsia="pt-BR"/>
        </w:rPr>
        <w:t>.</w:t>
      </w:r>
    </w:p>
    <w:p w14:paraId="7CCC3844" w14:textId="77777777" w:rsidR="00736E78" w:rsidRPr="00B84B0C" w:rsidRDefault="00736E78" w:rsidP="00736E78">
      <w:pPr>
        <w:keepNext/>
        <w:keepLines/>
        <w:pageBreakBefore/>
        <w:spacing w:before="120" w:after="120" w:line="240" w:lineRule="auto"/>
        <w:jc w:val="both"/>
        <w:outlineLvl w:val="1"/>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lastRenderedPageBreak/>
        <w:t>e.2) IRB Brasil Resseguros S.A.</w:t>
      </w:r>
    </w:p>
    <w:p w14:paraId="41979319" w14:textId="77777777" w:rsidR="00736E78" w:rsidRPr="00B84B0C" w:rsidRDefault="00736E78" w:rsidP="00736E78">
      <w:pPr>
        <w:spacing w:before="120" w:after="120" w:line="240" w:lineRule="auto"/>
        <w:jc w:val="both"/>
        <w:outlineLvl w:val="1"/>
        <w:rPr>
          <w:rFonts w:eastAsia="Times New Roman" w:cs="Arial"/>
          <w:b/>
          <w:color w:val="1F4E79" w:themeColor="accent1" w:themeShade="80"/>
          <w:spacing w:val="-2"/>
          <w:sz w:val="20"/>
          <w:szCs w:val="20"/>
          <w:lang w:val="en-US" w:eastAsia="pt-BR"/>
        </w:rPr>
      </w:pPr>
      <w:r w:rsidRPr="00B84B0C">
        <w:rPr>
          <w:rFonts w:eastAsia="Times New Roman" w:cs="Arial"/>
          <w:spacing w:val="-2"/>
          <w:szCs w:val="18"/>
          <w:lang w:val="en-US" w:eastAsia="pt-BR"/>
        </w:rPr>
        <w:t xml:space="preserve">On July 23, </w:t>
      </w:r>
      <w:proofErr w:type="gramStart"/>
      <w:r w:rsidRPr="00B84B0C">
        <w:rPr>
          <w:rFonts w:eastAsia="Times New Roman" w:cs="Arial"/>
          <w:spacing w:val="-2"/>
          <w:szCs w:val="18"/>
          <w:lang w:val="en-US" w:eastAsia="pt-BR"/>
        </w:rPr>
        <w:t>2019</w:t>
      </w:r>
      <w:proofErr w:type="gramEnd"/>
      <w:r w:rsidRPr="00B84B0C">
        <w:rPr>
          <w:rFonts w:eastAsia="Times New Roman" w:cs="Arial"/>
          <w:spacing w:val="-2"/>
          <w:szCs w:val="18"/>
          <w:lang w:val="en-US" w:eastAsia="pt-BR"/>
        </w:rPr>
        <w:t xml:space="preserve"> BB </w:t>
      </w:r>
      <w:proofErr w:type="spellStart"/>
      <w:r w:rsidRPr="00B84B0C">
        <w:rPr>
          <w:rFonts w:eastAsia="Times New Roman" w:cs="Arial"/>
          <w:spacing w:val="-2"/>
          <w:szCs w:val="18"/>
          <w:lang w:val="en-US" w:eastAsia="pt-BR"/>
        </w:rPr>
        <w:t>Seguros</w:t>
      </w:r>
      <w:proofErr w:type="spellEnd"/>
      <w:r w:rsidRPr="00B84B0C">
        <w:rPr>
          <w:rFonts w:eastAsia="Times New Roman" w:cs="Arial"/>
          <w:spacing w:val="-2"/>
          <w:szCs w:val="18"/>
          <w:lang w:val="en-US" w:eastAsia="pt-BR"/>
        </w:rPr>
        <w:t xml:space="preserve"> sold all the shares held in IRB-</w:t>
      </w:r>
      <w:proofErr w:type="spellStart"/>
      <w:r w:rsidRPr="00B84B0C">
        <w:rPr>
          <w:rFonts w:eastAsia="Times New Roman" w:cs="Arial"/>
          <w:spacing w:val="-2"/>
          <w:szCs w:val="18"/>
          <w:lang w:val="en-US" w:eastAsia="pt-BR"/>
        </w:rPr>
        <w:t>Brasil</w:t>
      </w:r>
      <w:proofErr w:type="spellEnd"/>
      <w:r w:rsidRPr="00B84B0C">
        <w:rPr>
          <w:rFonts w:eastAsia="Times New Roman" w:cs="Arial"/>
          <w:spacing w:val="-2"/>
          <w:szCs w:val="18"/>
          <w:lang w:val="en-US" w:eastAsia="pt-BR"/>
        </w:rPr>
        <w:t xml:space="preserve"> </w:t>
      </w:r>
      <w:proofErr w:type="spellStart"/>
      <w:r w:rsidRPr="00B84B0C">
        <w:rPr>
          <w:rFonts w:eastAsia="Times New Roman" w:cs="Arial"/>
          <w:spacing w:val="-2"/>
          <w:szCs w:val="18"/>
          <w:lang w:val="en-US" w:eastAsia="pt-BR"/>
        </w:rPr>
        <w:t>Resseguros</w:t>
      </w:r>
      <w:proofErr w:type="spellEnd"/>
      <w:r w:rsidRPr="00B84B0C">
        <w:rPr>
          <w:rFonts w:eastAsia="Times New Roman" w:cs="Arial"/>
          <w:spacing w:val="-2"/>
          <w:szCs w:val="18"/>
          <w:lang w:val="en-US" w:eastAsia="pt-BR"/>
        </w:rPr>
        <w:t xml:space="preserve"> S.A, as per Note 2.a.</w:t>
      </w:r>
    </w:p>
    <w:p w14:paraId="6EF2EC70" w14:textId="77777777" w:rsidR="00736E78" w:rsidRPr="00B84B0C" w:rsidRDefault="00736E78" w:rsidP="00736E78">
      <w:pPr>
        <w:keepLines/>
        <w:tabs>
          <w:tab w:val="left" w:pos="284"/>
        </w:tabs>
        <w:spacing w:before="40" w:after="0" w:line="240" w:lineRule="auto"/>
        <w:ind w:left="284" w:hanging="284"/>
        <w:jc w:val="both"/>
        <w:rPr>
          <w:rFonts w:eastAsia="Times New Roman" w:cs="Arial"/>
          <w:spacing w:val="-2"/>
          <w:sz w:val="14"/>
          <w:szCs w:val="18"/>
          <w:lang w:val="en-US" w:eastAsia="pt-BR"/>
        </w:rPr>
      </w:pPr>
    </w:p>
    <w:p w14:paraId="78657407" w14:textId="77777777" w:rsidR="00736E78" w:rsidRPr="00B84B0C" w:rsidRDefault="00736E78" w:rsidP="00736E78">
      <w:pPr>
        <w:pStyle w:val="03-SubttulodeNota"/>
        <w:rPr>
          <w:rFonts w:cs="Arial"/>
          <w:color w:val="1F4E79" w:themeColor="accent1" w:themeShade="80"/>
        </w:rPr>
      </w:pPr>
      <w:r w:rsidRPr="00B84B0C">
        <w:rPr>
          <w:rFonts w:cs="Arial"/>
          <w:color w:val="1F4E79" w:themeColor="accent1" w:themeShade="80"/>
        </w:rPr>
        <w:t xml:space="preserve">e.3) </w:t>
      </w:r>
      <w:proofErr w:type="spellStart"/>
      <w:r w:rsidRPr="00B84B0C">
        <w:rPr>
          <w:rFonts w:cs="Arial"/>
          <w:color w:val="1F4E79" w:themeColor="accent1" w:themeShade="80"/>
        </w:rPr>
        <w:t>Brasilcap</w:t>
      </w:r>
      <w:proofErr w:type="spellEnd"/>
      <w:r w:rsidRPr="00B84B0C">
        <w:rPr>
          <w:rFonts w:cs="Arial"/>
          <w:color w:val="1F4E79" w:themeColor="accent1" w:themeShade="80"/>
        </w:rPr>
        <w:t xml:space="preserve"> Capitalização</w:t>
      </w:r>
    </w:p>
    <w:p w14:paraId="67212DBF" w14:textId="77777777" w:rsidR="00736E78" w:rsidRPr="00B84B0C" w:rsidRDefault="00736E78" w:rsidP="00736E78">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2302"/>
        <w:gridCol w:w="2409"/>
        <w:gridCol w:w="2410"/>
        <w:gridCol w:w="2518"/>
      </w:tblGrid>
      <w:tr w:rsidR="00736E78" w:rsidRPr="00B84B0C" w14:paraId="6AE790B8"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single" w:sz="2" w:space="0" w:color="8EAADB" w:themeColor="accent5" w:themeTint="99"/>
              <w:bottom w:val="single" w:sz="2" w:space="0" w:color="8EAADB" w:themeColor="accent5" w:themeTint="99"/>
            </w:tcBorders>
            <w:vAlign w:val="center"/>
            <w:hideMark/>
          </w:tcPr>
          <w:p w14:paraId="7EE4E64E" w14:textId="77777777" w:rsidR="00736E78" w:rsidRPr="00B84B0C" w:rsidRDefault="00736E78" w:rsidP="00736E78">
            <w:pPr>
              <w:rPr>
                <w:rFonts w:cs="Arial"/>
                <w:sz w:val="14"/>
                <w:szCs w:val="14"/>
              </w:rPr>
            </w:pPr>
            <w:proofErr w:type="spellStart"/>
            <w:r w:rsidRPr="00B84B0C">
              <w:rPr>
                <w:rFonts w:cs="Arial"/>
                <w:sz w:val="14"/>
                <w:szCs w:val="14"/>
              </w:rPr>
              <w:t>Brasilcap</w:t>
            </w:r>
            <w:proofErr w:type="spellEnd"/>
            <w:r w:rsidRPr="00B84B0C">
              <w:rPr>
                <w:rFonts w:cs="Arial"/>
                <w:sz w:val="14"/>
                <w:szCs w:val="14"/>
              </w:rPr>
              <w:t xml:space="preserve"> Capitalização</w:t>
            </w:r>
          </w:p>
        </w:tc>
        <w:tc>
          <w:tcPr>
            <w:tcW w:w="2409" w:type="dxa"/>
            <w:tcBorders>
              <w:top w:val="single" w:sz="2" w:space="0" w:color="8EAADB" w:themeColor="accent5" w:themeTint="99"/>
              <w:bottom w:val="single" w:sz="2" w:space="0" w:color="8EAADB" w:themeColor="accent5" w:themeTint="99"/>
            </w:tcBorders>
            <w:vAlign w:val="center"/>
          </w:tcPr>
          <w:p w14:paraId="2E642A16" w14:textId="77777777" w:rsidR="00736E78" w:rsidRPr="00B84B0C" w:rsidRDefault="00736E78" w:rsidP="00736E7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2410" w:type="dxa"/>
            <w:tcBorders>
              <w:top w:val="single" w:sz="2" w:space="0" w:color="8EAADB" w:themeColor="accent5" w:themeTint="99"/>
              <w:bottom w:val="single" w:sz="2" w:space="0" w:color="8EAADB" w:themeColor="accent5" w:themeTint="99"/>
            </w:tcBorders>
            <w:vAlign w:val="center"/>
          </w:tcPr>
          <w:p w14:paraId="53AF4942" w14:textId="77777777" w:rsidR="00736E78" w:rsidRPr="00B84B0C" w:rsidRDefault="00736E78" w:rsidP="00736E78">
            <w:pPr>
              <w:keepNext/>
              <w:keepLines/>
              <w:ind w:right="28"/>
              <w:jc w:val="right"/>
              <w:cnfStyle w:val="100000000000" w:firstRow="1" w:lastRow="0" w:firstColumn="0" w:lastColumn="0" w:oddVBand="0" w:evenVBand="0" w:oddHBand="0" w:evenHBand="0" w:firstRowFirstColumn="0" w:firstRowLastColumn="0" w:lastRowFirstColumn="0" w:lastRowLastColumn="0"/>
              <w:rPr>
                <w:rFonts w:eastAsia="Times New Roman" w:cs="Arial"/>
                <w:spacing w:val="-2"/>
                <w:sz w:val="14"/>
                <w:szCs w:val="14"/>
              </w:rPr>
            </w:pPr>
            <w:r w:rsidRPr="00B84B0C">
              <w:rPr>
                <w:rFonts w:eastAsia="Times New Roman" w:cs="Arial"/>
                <w:spacing w:val="-2"/>
                <w:sz w:val="14"/>
                <w:szCs w:val="14"/>
              </w:rPr>
              <w:t>Mar 31, 2020</w:t>
            </w:r>
          </w:p>
        </w:tc>
        <w:tc>
          <w:tcPr>
            <w:tcW w:w="2518" w:type="dxa"/>
            <w:tcBorders>
              <w:top w:val="single" w:sz="2" w:space="0" w:color="8EAADB" w:themeColor="accent5" w:themeTint="99"/>
              <w:bottom w:val="single" w:sz="2" w:space="0" w:color="8EAADB" w:themeColor="accent5" w:themeTint="99"/>
            </w:tcBorders>
            <w:vAlign w:val="center"/>
          </w:tcPr>
          <w:p w14:paraId="069A5CD2"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Dec</w:t>
            </w:r>
            <w:proofErr w:type="spellEnd"/>
            <w:r w:rsidRPr="00B84B0C">
              <w:rPr>
                <w:rFonts w:cs="Arial"/>
                <w:sz w:val="14"/>
                <w:szCs w:val="14"/>
              </w:rPr>
              <w:t xml:space="preserve"> 31, 2019</w:t>
            </w:r>
          </w:p>
        </w:tc>
      </w:tr>
      <w:tr w:rsidR="00736E78" w:rsidRPr="00B84B0C" w14:paraId="3EE2D45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single" w:sz="2" w:space="0" w:color="8EAADB" w:themeColor="accent5" w:themeTint="99"/>
              <w:left w:val="nil"/>
              <w:bottom w:val="nil"/>
              <w:right w:val="nil"/>
            </w:tcBorders>
            <w:hideMark/>
          </w:tcPr>
          <w:p w14:paraId="50A7D808"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409" w:type="dxa"/>
            <w:tcBorders>
              <w:top w:val="single" w:sz="2" w:space="0" w:color="8EAADB" w:themeColor="accent5" w:themeTint="99"/>
              <w:left w:val="nil"/>
              <w:bottom w:val="nil"/>
              <w:right w:val="nil"/>
            </w:tcBorders>
            <w:vAlign w:val="center"/>
          </w:tcPr>
          <w:p w14:paraId="5217880B"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p>
        </w:tc>
        <w:tc>
          <w:tcPr>
            <w:tcW w:w="2410" w:type="dxa"/>
            <w:tcBorders>
              <w:top w:val="single" w:sz="2" w:space="0" w:color="8EAADB" w:themeColor="accent5" w:themeTint="99"/>
              <w:left w:val="nil"/>
              <w:bottom w:val="nil"/>
              <w:right w:val="nil"/>
            </w:tcBorders>
            <w:vAlign w:val="center"/>
          </w:tcPr>
          <w:p w14:paraId="6BCADF5E"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B84B0C">
              <w:rPr>
                <w:rFonts w:cs="Arial"/>
                <w:b/>
                <w:bCs/>
                <w:color w:val="000000"/>
                <w:sz w:val="14"/>
                <w:szCs w:val="14"/>
              </w:rPr>
              <w:t>4,617,555</w:t>
            </w:r>
          </w:p>
        </w:tc>
        <w:tc>
          <w:tcPr>
            <w:tcW w:w="2518" w:type="dxa"/>
            <w:tcBorders>
              <w:top w:val="single" w:sz="2" w:space="0" w:color="8EAADB" w:themeColor="accent5" w:themeTint="99"/>
              <w:left w:val="nil"/>
              <w:bottom w:val="nil"/>
              <w:right w:val="nil"/>
            </w:tcBorders>
            <w:vAlign w:val="center"/>
          </w:tcPr>
          <w:p w14:paraId="60E7FD0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5,237,584</w:t>
            </w:r>
          </w:p>
        </w:tc>
      </w:tr>
      <w:tr w:rsidR="00736E78" w:rsidRPr="00B84B0C" w14:paraId="269B2A8F"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1EF86BBE"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Cash </w:t>
            </w:r>
            <w:proofErr w:type="spellStart"/>
            <w:r w:rsidRPr="00B84B0C">
              <w:rPr>
                <w:rFonts w:cs="Arial"/>
                <w:b w:val="0"/>
                <w:color w:val="auto"/>
                <w:szCs w:val="14"/>
              </w:rPr>
              <w:t>and</w:t>
            </w:r>
            <w:proofErr w:type="spellEnd"/>
            <w:r w:rsidRPr="00B84B0C">
              <w:rPr>
                <w:rFonts w:cs="Arial"/>
                <w:b w:val="0"/>
                <w:color w:val="auto"/>
                <w:szCs w:val="14"/>
              </w:rPr>
              <w:t xml:space="preserve"> cash </w:t>
            </w:r>
            <w:proofErr w:type="spellStart"/>
            <w:r w:rsidRPr="00B84B0C">
              <w:rPr>
                <w:rFonts w:cs="Arial"/>
                <w:b w:val="0"/>
                <w:color w:val="auto"/>
                <w:szCs w:val="14"/>
              </w:rPr>
              <w:t>equivalents</w:t>
            </w:r>
            <w:proofErr w:type="spellEnd"/>
          </w:p>
        </w:tc>
        <w:tc>
          <w:tcPr>
            <w:tcW w:w="2409" w:type="dxa"/>
            <w:tcBorders>
              <w:top w:val="nil"/>
              <w:left w:val="nil"/>
              <w:bottom w:val="nil"/>
              <w:right w:val="nil"/>
            </w:tcBorders>
            <w:vAlign w:val="center"/>
          </w:tcPr>
          <w:p w14:paraId="3B4A079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221285E6"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20</w:t>
            </w:r>
          </w:p>
        </w:tc>
        <w:tc>
          <w:tcPr>
            <w:tcW w:w="2518" w:type="dxa"/>
            <w:tcBorders>
              <w:top w:val="nil"/>
              <w:left w:val="nil"/>
              <w:bottom w:val="nil"/>
              <w:right w:val="nil"/>
            </w:tcBorders>
            <w:vAlign w:val="center"/>
          </w:tcPr>
          <w:p w14:paraId="3BA7920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14 </w:t>
            </w:r>
          </w:p>
        </w:tc>
      </w:tr>
      <w:tr w:rsidR="00736E78" w:rsidRPr="00B84B0C" w14:paraId="3DF15270"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29BC7303"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applications</w:t>
            </w:r>
            <w:proofErr w:type="spellEnd"/>
          </w:p>
        </w:tc>
        <w:tc>
          <w:tcPr>
            <w:tcW w:w="2409" w:type="dxa"/>
            <w:tcBorders>
              <w:top w:val="nil"/>
              <w:left w:val="nil"/>
              <w:bottom w:val="nil"/>
              <w:right w:val="nil"/>
            </w:tcBorders>
            <w:vAlign w:val="center"/>
          </w:tcPr>
          <w:p w14:paraId="3D95035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18AF1FB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4,596,419</w:t>
            </w:r>
          </w:p>
        </w:tc>
        <w:tc>
          <w:tcPr>
            <w:tcW w:w="2518" w:type="dxa"/>
            <w:tcBorders>
              <w:top w:val="nil"/>
              <w:left w:val="nil"/>
              <w:bottom w:val="nil"/>
              <w:right w:val="nil"/>
            </w:tcBorders>
            <w:vAlign w:val="center"/>
          </w:tcPr>
          <w:p w14:paraId="11607EE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5,196,596 </w:t>
            </w:r>
          </w:p>
        </w:tc>
      </w:tr>
      <w:tr w:rsidR="00736E78" w:rsidRPr="00B84B0C" w14:paraId="176F25AD"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6DF46974"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assets</w:t>
            </w:r>
            <w:proofErr w:type="spellEnd"/>
          </w:p>
        </w:tc>
        <w:tc>
          <w:tcPr>
            <w:tcW w:w="2409" w:type="dxa"/>
            <w:tcBorders>
              <w:top w:val="nil"/>
              <w:left w:val="nil"/>
              <w:bottom w:val="nil"/>
              <w:right w:val="nil"/>
            </w:tcBorders>
            <w:vAlign w:val="center"/>
          </w:tcPr>
          <w:p w14:paraId="547E6E0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114F786E"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21,117</w:t>
            </w:r>
          </w:p>
        </w:tc>
        <w:tc>
          <w:tcPr>
            <w:tcW w:w="2518" w:type="dxa"/>
            <w:tcBorders>
              <w:top w:val="nil"/>
              <w:left w:val="nil"/>
              <w:bottom w:val="nil"/>
              <w:right w:val="nil"/>
            </w:tcBorders>
            <w:vAlign w:val="center"/>
          </w:tcPr>
          <w:p w14:paraId="30CBD9CC"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40,974 </w:t>
            </w:r>
          </w:p>
        </w:tc>
      </w:tr>
      <w:tr w:rsidR="00736E78" w:rsidRPr="00B84B0C" w14:paraId="29D0681A"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1E052B07"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409" w:type="dxa"/>
            <w:tcBorders>
              <w:top w:val="nil"/>
              <w:left w:val="nil"/>
              <w:bottom w:val="nil"/>
              <w:right w:val="nil"/>
            </w:tcBorders>
            <w:vAlign w:val="center"/>
          </w:tcPr>
          <w:p w14:paraId="4750627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c>
          <w:tcPr>
            <w:tcW w:w="2410" w:type="dxa"/>
            <w:tcBorders>
              <w:top w:val="nil"/>
              <w:left w:val="nil"/>
              <w:bottom w:val="nil"/>
              <w:right w:val="nil"/>
            </w:tcBorders>
            <w:vAlign w:val="center"/>
          </w:tcPr>
          <w:p w14:paraId="71DE4E8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4B0C">
              <w:rPr>
                <w:rFonts w:cs="Arial"/>
                <w:b/>
                <w:bCs/>
                <w:color w:val="000000"/>
                <w:sz w:val="14"/>
                <w:szCs w:val="14"/>
              </w:rPr>
              <w:t>4,909,520</w:t>
            </w:r>
          </w:p>
        </w:tc>
        <w:tc>
          <w:tcPr>
            <w:tcW w:w="2518" w:type="dxa"/>
            <w:tcBorders>
              <w:top w:val="nil"/>
              <w:left w:val="nil"/>
              <w:bottom w:val="nil"/>
              <w:right w:val="nil"/>
            </w:tcBorders>
            <w:vAlign w:val="center"/>
          </w:tcPr>
          <w:p w14:paraId="7877DFC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4,813,453 </w:t>
            </w:r>
          </w:p>
        </w:tc>
      </w:tr>
      <w:tr w:rsidR="00736E78" w:rsidRPr="00B84B0C" w14:paraId="6B38238B"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3B3677B3"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409" w:type="dxa"/>
            <w:tcBorders>
              <w:top w:val="nil"/>
              <w:left w:val="nil"/>
              <w:bottom w:val="nil"/>
              <w:right w:val="nil"/>
            </w:tcBorders>
            <w:vAlign w:val="center"/>
          </w:tcPr>
          <w:p w14:paraId="339AE81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2410" w:type="dxa"/>
            <w:tcBorders>
              <w:top w:val="nil"/>
              <w:left w:val="nil"/>
              <w:bottom w:val="nil"/>
              <w:right w:val="nil"/>
            </w:tcBorders>
            <w:vAlign w:val="center"/>
          </w:tcPr>
          <w:p w14:paraId="58C6A0EE"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bCs/>
                <w:color w:val="000000"/>
                <w:sz w:val="14"/>
                <w:szCs w:val="14"/>
              </w:rPr>
              <w:t>7,910,115</w:t>
            </w:r>
          </w:p>
        </w:tc>
        <w:tc>
          <w:tcPr>
            <w:tcW w:w="2518" w:type="dxa"/>
            <w:tcBorders>
              <w:top w:val="nil"/>
              <w:left w:val="nil"/>
              <w:bottom w:val="nil"/>
              <w:right w:val="nil"/>
            </w:tcBorders>
            <w:vAlign w:val="center"/>
          </w:tcPr>
          <w:p w14:paraId="5718BDD9"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8,423,711 </w:t>
            </w:r>
          </w:p>
        </w:tc>
      </w:tr>
      <w:tr w:rsidR="00736E78" w:rsidRPr="00B84B0C" w14:paraId="63F738D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63B8730C"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409" w:type="dxa"/>
            <w:tcBorders>
              <w:top w:val="nil"/>
              <w:left w:val="nil"/>
              <w:bottom w:val="nil"/>
              <w:right w:val="nil"/>
            </w:tcBorders>
            <w:vAlign w:val="center"/>
          </w:tcPr>
          <w:p w14:paraId="36226E6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61F20D21"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bCs/>
                <w:color w:val="000000"/>
                <w:sz w:val="14"/>
                <w:szCs w:val="14"/>
              </w:rPr>
              <w:t>--</w:t>
            </w:r>
          </w:p>
        </w:tc>
        <w:tc>
          <w:tcPr>
            <w:tcW w:w="2518" w:type="dxa"/>
            <w:tcBorders>
              <w:top w:val="nil"/>
              <w:left w:val="nil"/>
              <w:bottom w:val="nil"/>
              <w:right w:val="nil"/>
            </w:tcBorders>
            <w:vAlign w:val="center"/>
          </w:tcPr>
          <w:p w14:paraId="1DEE8F2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color w:val="000000"/>
                <w:sz w:val="14"/>
                <w:szCs w:val="14"/>
              </w:rPr>
              <w:t>--</w:t>
            </w:r>
          </w:p>
        </w:tc>
      </w:tr>
      <w:tr w:rsidR="00736E78" w:rsidRPr="00B84B0C" w14:paraId="2F60B636"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1E4C703E"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409" w:type="dxa"/>
            <w:tcBorders>
              <w:top w:val="nil"/>
              <w:left w:val="nil"/>
              <w:bottom w:val="nil"/>
              <w:right w:val="nil"/>
            </w:tcBorders>
            <w:vAlign w:val="center"/>
          </w:tcPr>
          <w:p w14:paraId="757AAFB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7EB424B2"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7,863,074</w:t>
            </w:r>
          </w:p>
        </w:tc>
        <w:tc>
          <w:tcPr>
            <w:tcW w:w="2518" w:type="dxa"/>
            <w:tcBorders>
              <w:top w:val="nil"/>
              <w:left w:val="nil"/>
              <w:bottom w:val="nil"/>
              <w:right w:val="nil"/>
            </w:tcBorders>
            <w:vAlign w:val="center"/>
          </w:tcPr>
          <w:p w14:paraId="5FF0AE6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8,342,007 </w:t>
            </w:r>
          </w:p>
        </w:tc>
      </w:tr>
      <w:tr w:rsidR="00736E78" w:rsidRPr="00B84B0C" w14:paraId="44DB9A9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2C3AFFF3"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liabilities</w:t>
            </w:r>
            <w:proofErr w:type="spellEnd"/>
          </w:p>
        </w:tc>
        <w:tc>
          <w:tcPr>
            <w:tcW w:w="2409" w:type="dxa"/>
            <w:tcBorders>
              <w:top w:val="nil"/>
              <w:left w:val="nil"/>
              <w:bottom w:val="nil"/>
              <w:right w:val="nil"/>
            </w:tcBorders>
            <w:vAlign w:val="center"/>
          </w:tcPr>
          <w:p w14:paraId="6E79C7F2"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50F8715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47,041</w:t>
            </w:r>
          </w:p>
        </w:tc>
        <w:tc>
          <w:tcPr>
            <w:tcW w:w="2518" w:type="dxa"/>
            <w:tcBorders>
              <w:top w:val="nil"/>
              <w:left w:val="nil"/>
              <w:bottom w:val="nil"/>
              <w:right w:val="nil"/>
            </w:tcBorders>
            <w:vAlign w:val="center"/>
          </w:tcPr>
          <w:p w14:paraId="6622170F"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81,704 </w:t>
            </w:r>
          </w:p>
        </w:tc>
      </w:tr>
      <w:tr w:rsidR="00736E78" w:rsidRPr="00B84B0C" w14:paraId="1E5882B5"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37C5EA78"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409" w:type="dxa"/>
            <w:tcBorders>
              <w:top w:val="nil"/>
              <w:left w:val="nil"/>
              <w:bottom w:val="nil"/>
              <w:right w:val="nil"/>
            </w:tcBorders>
            <w:vAlign w:val="center"/>
          </w:tcPr>
          <w:p w14:paraId="3EC0DB1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2410" w:type="dxa"/>
            <w:tcBorders>
              <w:top w:val="nil"/>
              <w:left w:val="nil"/>
              <w:bottom w:val="nil"/>
              <w:right w:val="nil"/>
            </w:tcBorders>
            <w:vAlign w:val="center"/>
          </w:tcPr>
          <w:p w14:paraId="07A268AA"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color w:val="000000"/>
                <w:sz w:val="14"/>
                <w:szCs w:val="14"/>
              </w:rPr>
              <w:t>1,164,994</w:t>
            </w:r>
          </w:p>
        </w:tc>
        <w:tc>
          <w:tcPr>
            <w:tcW w:w="2518" w:type="dxa"/>
            <w:tcBorders>
              <w:top w:val="nil"/>
              <w:left w:val="nil"/>
              <w:bottom w:val="nil"/>
              <w:right w:val="nil"/>
            </w:tcBorders>
            <w:vAlign w:val="center"/>
          </w:tcPr>
          <w:p w14:paraId="7C95EAAA"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1,145,502</w:t>
            </w:r>
          </w:p>
        </w:tc>
      </w:tr>
      <w:tr w:rsidR="00736E78" w:rsidRPr="00B84B0C" w14:paraId="2217BCB3"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449B127A"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409" w:type="dxa"/>
            <w:tcBorders>
              <w:top w:val="nil"/>
              <w:left w:val="nil"/>
              <w:bottom w:val="nil"/>
              <w:right w:val="nil"/>
            </w:tcBorders>
            <w:vAlign w:val="center"/>
          </w:tcPr>
          <w:p w14:paraId="0C20990E"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599C738B"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w:t>
            </w:r>
          </w:p>
        </w:tc>
        <w:tc>
          <w:tcPr>
            <w:tcW w:w="2518" w:type="dxa"/>
            <w:tcBorders>
              <w:top w:val="nil"/>
              <w:left w:val="nil"/>
              <w:bottom w:val="nil"/>
              <w:right w:val="nil"/>
            </w:tcBorders>
            <w:vAlign w:val="center"/>
          </w:tcPr>
          <w:p w14:paraId="620983F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   </w:t>
            </w:r>
          </w:p>
        </w:tc>
      </w:tr>
      <w:tr w:rsidR="00736E78" w:rsidRPr="00B84B0C" w14:paraId="2C91BBC4"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03AED415"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409" w:type="dxa"/>
            <w:tcBorders>
              <w:top w:val="nil"/>
              <w:left w:val="nil"/>
              <w:bottom w:val="nil"/>
              <w:right w:val="nil"/>
            </w:tcBorders>
            <w:vAlign w:val="center"/>
          </w:tcPr>
          <w:p w14:paraId="650ACDD1"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6A86C0D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w:t>
            </w:r>
          </w:p>
        </w:tc>
        <w:tc>
          <w:tcPr>
            <w:tcW w:w="2518" w:type="dxa"/>
            <w:tcBorders>
              <w:top w:val="nil"/>
              <w:left w:val="nil"/>
              <w:bottom w:val="nil"/>
              <w:right w:val="nil"/>
            </w:tcBorders>
            <w:vAlign w:val="center"/>
          </w:tcPr>
          <w:p w14:paraId="4EA1B461"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sz w:val="14"/>
                <w:szCs w:val="14"/>
              </w:rPr>
              <w:t xml:space="preserve">                                          --   </w:t>
            </w:r>
          </w:p>
        </w:tc>
      </w:tr>
      <w:tr w:rsidR="00736E78" w:rsidRPr="00B84B0C" w14:paraId="3A574F6E"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6DDD0F77"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Other non-</w:t>
            </w:r>
            <w:proofErr w:type="spellStart"/>
            <w:r w:rsidRPr="00B84B0C">
              <w:rPr>
                <w:rFonts w:cs="Arial"/>
                <w:b w:val="0"/>
                <w:color w:val="auto"/>
                <w:szCs w:val="14"/>
              </w:rPr>
              <w:t>current</w:t>
            </w:r>
            <w:proofErr w:type="spellEnd"/>
            <w:r w:rsidRPr="00B84B0C">
              <w:rPr>
                <w:rFonts w:cs="Arial"/>
                <w:b w:val="0"/>
                <w:color w:val="auto"/>
                <w:szCs w:val="14"/>
              </w:rPr>
              <w:t xml:space="preserve"> </w:t>
            </w:r>
            <w:proofErr w:type="spellStart"/>
            <w:r w:rsidRPr="00B84B0C">
              <w:rPr>
                <w:rFonts w:cs="Arial"/>
                <w:b w:val="0"/>
                <w:color w:val="auto"/>
                <w:szCs w:val="14"/>
              </w:rPr>
              <w:t>liabilities</w:t>
            </w:r>
            <w:proofErr w:type="spellEnd"/>
          </w:p>
        </w:tc>
        <w:tc>
          <w:tcPr>
            <w:tcW w:w="2409" w:type="dxa"/>
            <w:tcBorders>
              <w:top w:val="nil"/>
              <w:left w:val="nil"/>
              <w:bottom w:val="nil"/>
              <w:right w:val="nil"/>
            </w:tcBorders>
            <w:vAlign w:val="center"/>
          </w:tcPr>
          <w:p w14:paraId="54A72A1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2410" w:type="dxa"/>
            <w:tcBorders>
              <w:top w:val="nil"/>
              <w:left w:val="nil"/>
              <w:bottom w:val="nil"/>
              <w:right w:val="nil"/>
            </w:tcBorders>
            <w:vAlign w:val="center"/>
          </w:tcPr>
          <w:p w14:paraId="2C06708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1,164,994</w:t>
            </w:r>
          </w:p>
        </w:tc>
        <w:tc>
          <w:tcPr>
            <w:tcW w:w="2518" w:type="dxa"/>
            <w:tcBorders>
              <w:top w:val="nil"/>
              <w:left w:val="nil"/>
              <w:bottom w:val="nil"/>
              <w:right w:val="nil"/>
            </w:tcBorders>
            <w:vAlign w:val="center"/>
          </w:tcPr>
          <w:p w14:paraId="0E17990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sz w:val="14"/>
                <w:szCs w:val="14"/>
              </w:rPr>
              <w:t xml:space="preserve">                          1,145,502 </w:t>
            </w:r>
          </w:p>
        </w:tc>
      </w:tr>
      <w:tr w:rsidR="00736E78" w:rsidRPr="00B84B0C" w14:paraId="7B1BC7F5"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428F0248"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Adjusted</w:t>
            </w:r>
            <w:proofErr w:type="spellEnd"/>
            <w:r w:rsidRPr="00B84B0C">
              <w:rPr>
                <w:rFonts w:cs="Arial"/>
                <w:color w:val="auto"/>
                <w:szCs w:val="14"/>
              </w:rPr>
              <w:t xml:space="preserve"> net </w:t>
            </w:r>
            <w:proofErr w:type="spellStart"/>
            <w:r w:rsidRPr="00B84B0C">
              <w:rPr>
                <w:rFonts w:cs="Arial"/>
                <w:color w:val="auto"/>
                <w:szCs w:val="14"/>
              </w:rPr>
              <w:t>equity</w:t>
            </w:r>
            <w:proofErr w:type="spellEnd"/>
          </w:p>
        </w:tc>
        <w:tc>
          <w:tcPr>
            <w:tcW w:w="2409" w:type="dxa"/>
            <w:tcBorders>
              <w:top w:val="nil"/>
              <w:left w:val="nil"/>
              <w:bottom w:val="nil"/>
              <w:right w:val="nil"/>
            </w:tcBorders>
            <w:vAlign w:val="center"/>
          </w:tcPr>
          <w:p w14:paraId="03575D66"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2410" w:type="dxa"/>
            <w:tcBorders>
              <w:top w:val="nil"/>
              <w:left w:val="nil"/>
              <w:bottom w:val="nil"/>
              <w:right w:val="nil"/>
            </w:tcBorders>
            <w:vAlign w:val="center"/>
          </w:tcPr>
          <w:p w14:paraId="49A6D25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bCs/>
                <w:color w:val="000000"/>
                <w:sz w:val="14"/>
                <w:szCs w:val="14"/>
              </w:rPr>
              <w:t>451,967</w:t>
            </w:r>
          </w:p>
        </w:tc>
        <w:tc>
          <w:tcPr>
            <w:tcW w:w="2518" w:type="dxa"/>
            <w:tcBorders>
              <w:top w:val="nil"/>
              <w:left w:val="nil"/>
              <w:bottom w:val="nil"/>
              <w:right w:val="nil"/>
            </w:tcBorders>
            <w:vAlign w:val="center"/>
          </w:tcPr>
          <w:p w14:paraId="1FE04DF7"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sz w:val="14"/>
                <w:szCs w:val="14"/>
              </w:rPr>
              <w:t xml:space="preserve">                              481,824 </w:t>
            </w:r>
          </w:p>
        </w:tc>
      </w:tr>
      <w:tr w:rsidR="00736E78" w:rsidRPr="00B84B0C" w14:paraId="7CA17560"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73D2E9ED"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Attributable</w:t>
            </w:r>
            <w:proofErr w:type="spellEnd"/>
            <w:r w:rsidRPr="00B84B0C">
              <w:rPr>
                <w:rFonts w:cs="Arial"/>
                <w:b w:val="0"/>
                <w:color w:val="auto"/>
                <w:szCs w:val="14"/>
              </w:rPr>
              <w:t xml:space="preserve"> </w:t>
            </w:r>
            <w:proofErr w:type="spellStart"/>
            <w:r w:rsidRPr="00B84B0C">
              <w:rPr>
                <w:rFonts w:cs="Arial"/>
                <w:b w:val="0"/>
                <w:color w:val="auto"/>
                <w:szCs w:val="14"/>
              </w:rPr>
              <w:t>to</w:t>
            </w:r>
            <w:proofErr w:type="spellEnd"/>
            <w:r w:rsidRPr="00B84B0C">
              <w:rPr>
                <w:rFonts w:cs="Arial"/>
                <w:b w:val="0"/>
                <w:color w:val="auto"/>
                <w:szCs w:val="14"/>
              </w:rPr>
              <w:t xml:space="preserve"> BB Seguridade</w:t>
            </w:r>
          </w:p>
        </w:tc>
        <w:tc>
          <w:tcPr>
            <w:tcW w:w="2409" w:type="dxa"/>
            <w:tcBorders>
              <w:top w:val="nil"/>
              <w:left w:val="nil"/>
              <w:bottom w:val="nil"/>
              <w:right w:val="nil"/>
            </w:tcBorders>
            <w:vAlign w:val="center"/>
          </w:tcPr>
          <w:p w14:paraId="7D6526E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p>
        </w:tc>
        <w:tc>
          <w:tcPr>
            <w:tcW w:w="2410" w:type="dxa"/>
            <w:tcBorders>
              <w:top w:val="nil"/>
              <w:left w:val="nil"/>
              <w:bottom w:val="nil"/>
              <w:right w:val="nil"/>
            </w:tcBorders>
            <w:vAlign w:val="center"/>
          </w:tcPr>
          <w:p w14:paraId="2C9244DC"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color w:val="000000"/>
                <w:sz w:val="14"/>
                <w:szCs w:val="14"/>
              </w:rPr>
              <w:t>301,282</w:t>
            </w:r>
          </w:p>
        </w:tc>
        <w:tc>
          <w:tcPr>
            <w:tcW w:w="2518" w:type="dxa"/>
            <w:tcBorders>
              <w:top w:val="nil"/>
              <w:left w:val="nil"/>
              <w:bottom w:val="nil"/>
              <w:right w:val="nil"/>
            </w:tcBorders>
            <w:vAlign w:val="center"/>
          </w:tcPr>
          <w:p w14:paraId="026876C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color w:val="000000"/>
                <w:sz w:val="14"/>
                <w:szCs w:val="14"/>
              </w:rPr>
              <w:t>321,184</w:t>
            </w:r>
          </w:p>
        </w:tc>
      </w:tr>
      <w:tr w:rsidR="00736E78" w:rsidRPr="00B84B0C" w14:paraId="035397A7"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nil"/>
              <w:right w:val="nil"/>
            </w:tcBorders>
            <w:hideMark/>
          </w:tcPr>
          <w:p w14:paraId="5920CFD9"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adjustments</w:t>
            </w:r>
            <w:proofErr w:type="spellEnd"/>
            <w:r w:rsidRPr="00B84B0C">
              <w:rPr>
                <w:rFonts w:cs="Arial"/>
                <w:b w:val="0"/>
                <w:color w:val="auto"/>
                <w:szCs w:val="14"/>
              </w:rPr>
              <w:t xml:space="preserve"> </w:t>
            </w:r>
          </w:p>
        </w:tc>
        <w:tc>
          <w:tcPr>
            <w:tcW w:w="2409" w:type="dxa"/>
            <w:tcBorders>
              <w:top w:val="nil"/>
              <w:left w:val="nil"/>
              <w:bottom w:val="nil"/>
              <w:right w:val="nil"/>
            </w:tcBorders>
            <w:vAlign w:val="center"/>
          </w:tcPr>
          <w:p w14:paraId="5AD29ED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p>
        </w:tc>
        <w:tc>
          <w:tcPr>
            <w:tcW w:w="2410" w:type="dxa"/>
            <w:tcBorders>
              <w:top w:val="nil"/>
              <w:left w:val="nil"/>
              <w:bottom w:val="nil"/>
              <w:right w:val="nil"/>
            </w:tcBorders>
            <w:vAlign w:val="center"/>
          </w:tcPr>
          <w:p w14:paraId="5D252E65"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color w:val="000000"/>
                <w:sz w:val="14"/>
                <w:szCs w:val="14"/>
              </w:rPr>
              <w:t>110,748</w:t>
            </w:r>
          </w:p>
        </w:tc>
        <w:tc>
          <w:tcPr>
            <w:tcW w:w="2518" w:type="dxa"/>
            <w:tcBorders>
              <w:top w:val="nil"/>
              <w:left w:val="nil"/>
              <w:bottom w:val="nil"/>
              <w:right w:val="nil"/>
            </w:tcBorders>
            <w:vAlign w:val="center"/>
          </w:tcPr>
          <w:p w14:paraId="7671B5AD"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color w:val="000000"/>
                <w:sz w:val="14"/>
                <w:szCs w:val="14"/>
              </w:rPr>
              <w:t>110,748</w:t>
            </w:r>
          </w:p>
        </w:tc>
      </w:tr>
      <w:tr w:rsidR="00736E78" w:rsidRPr="00B84B0C" w14:paraId="2E7C7A8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302" w:type="dxa"/>
            <w:tcBorders>
              <w:top w:val="nil"/>
              <w:left w:val="nil"/>
              <w:bottom w:val="single" w:sz="2" w:space="0" w:color="8EAADB" w:themeColor="accent5" w:themeTint="99"/>
              <w:right w:val="nil"/>
            </w:tcBorders>
            <w:hideMark/>
          </w:tcPr>
          <w:p w14:paraId="38ED8110"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 xml:space="preserve">Book balance </w:t>
            </w:r>
            <w:proofErr w:type="spellStart"/>
            <w:r w:rsidRPr="00B84B0C">
              <w:rPr>
                <w:rFonts w:cs="Arial"/>
                <w:color w:val="auto"/>
                <w:szCs w:val="14"/>
              </w:rPr>
              <w:t>of</w:t>
            </w:r>
            <w:proofErr w:type="spellEnd"/>
            <w:r w:rsidRPr="00B84B0C">
              <w:rPr>
                <w:rFonts w:cs="Arial"/>
                <w:color w:val="auto"/>
                <w:szCs w:val="14"/>
              </w:rPr>
              <w:t xml:space="preserve"> </w:t>
            </w:r>
            <w:proofErr w:type="spellStart"/>
            <w:r w:rsidRPr="00B84B0C">
              <w:rPr>
                <w:rFonts w:cs="Arial"/>
                <w:color w:val="auto"/>
                <w:szCs w:val="14"/>
              </w:rPr>
              <w:t>investment</w:t>
            </w:r>
            <w:proofErr w:type="spellEnd"/>
          </w:p>
        </w:tc>
        <w:tc>
          <w:tcPr>
            <w:tcW w:w="2409" w:type="dxa"/>
            <w:tcBorders>
              <w:top w:val="nil"/>
              <w:left w:val="nil"/>
              <w:bottom w:val="single" w:sz="2" w:space="0" w:color="8EAADB" w:themeColor="accent5" w:themeTint="99"/>
              <w:right w:val="nil"/>
            </w:tcBorders>
            <w:vAlign w:val="center"/>
          </w:tcPr>
          <w:p w14:paraId="0A7D20C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p>
        </w:tc>
        <w:tc>
          <w:tcPr>
            <w:tcW w:w="2410" w:type="dxa"/>
            <w:tcBorders>
              <w:top w:val="nil"/>
              <w:left w:val="nil"/>
              <w:bottom w:val="single" w:sz="2" w:space="0" w:color="8EAADB" w:themeColor="accent5" w:themeTint="99"/>
              <w:right w:val="nil"/>
            </w:tcBorders>
            <w:vAlign w:val="center"/>
          </w:tcPr>
          <w:p w14:paraId="7D5F343A"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4B0C">
              <w:rPr>
                <w:rFonts w:cs="Arial"/>
                <w:b/>
                <w:bCs/>
                <w:color w:val="000000"/>
                <w:sz w:val="14"/>
                <w:szCs w:val="14"/>
              </w:rPr>
              <w:t>412,030</w:t>
            </w:r>
          </w:p>
        </w:tc>
        <w:tc>
          <w:tcPr>
            <w:tcW w:w="2518" w:type="dxa"/>
            <w:tcBorders>
              <w:top w:val="nil"/>
              <w:left w:val="nil"/>
              <w:bottom w:val="single" w:sz="2" w:space="0" w:color="8EAADB" w:themeColor="accent5" w:themeTint="99"/>
              <w:right w:val="nil"/>
            </w:tcBorders>
            <w:vAlign w:val="center"/>
          </w:tcPr>
          <w:p w14:paraId="48638F4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sz w:val="14"/>
                <w:szCs w:val="14"/>
              </w:rPr>
              <w:t>431,932</w:t>
            </w:r>
          </w:p>
        </w:tc>
      </w:tr>
    </w:tbl>
    <w:p w14:paraId="2A384F02" w14:textId="77777777" w:rsidR="00736E78" w:rsidRPr="00B84B0C" w:rsidRDefault="00736E78" w:rsidP="00736E78">
      <w:pPr>
        <w:pStyle w:val="03-SubttulodeNota"/>
        <w:rPr>
          <w:rFonts w:cs="Arial"/>
          <w:color w:val="1F4E79" w:themeColor="accent1" w:themeShade="80"/>
        </w:rPr>
      </w:pPr>
    </w:p>
    <w:p w14:paraId="78753773" w14:textId="32BA255E" w:rsidR="00736E78" w:rsidRPr="00B84B0C" w:rsidRDefault="00736E78" w:rsidP="00736E78">
      <w:pPr>
        <w:pStyle w:val="03-SubttulodeNota"/>
        <w:rPr>
          <w:rFonts w:cs="Arial"/>
          <w:color w:val="1F4E79" w:themeColor="accent1" w:themeShade="80"/>
        </w:rPr>
      </w:pPr>
      <w:r w:rsidRPr="00B84B0C">
        <w:rPr>
          <w:rFonts w:cs="Arial"/>
          <w:color w:val="1F4E79" w:themeColor="accent1" w:themeShade="80"/>
        </w:rPr>
        <w:t xml:space="preserve">e.4) </w:t>
      </w:r>
      <w:proofErr w:type="spellStart"/>
      <w:r w:rsidRPr="00B84B0C">
        <w:rPr>
          <w:rFonts w:cs="Arial"/>
          <w:color w:val="1F4E79" w:themeColor="accent1" w:themeShade="80"/>
        </w:rPr>
        <w:t>Brasilprev</w:t>
      </w:r>
      <w:proofErr w:type="spellEnd"/>
      <w:r w:rsidRPr="00B84B0C">
        <w:rPr>
          <w:rFonts w:cs="Arial"/>
          <w:color w:val="1F4E79" w:themeColor="accent1" w:themeShade="80"/>
        </w:rPr>
        <w:t xml:space="preserve"> Seguros e Previdência - Security </w:t>
      </w:r>
      <w:proofErr w:type="spellStart"/>
      <w:r w:rsidRPr="00B84B0C">
        <w:rPr>
          <w:rFonts w:cs="Arial"/>
          <w:color w:val="1F4E79" w:themeColor="accent1" w:themeShade="80"/>
        </w:rPr>
        <w:t>segment</w:t>
      </w:r>
      <w:proofErr w:type="spellEnd"/>
      <w:r w:rsidRPr="00B84B0C">
        <w:rPr>
          <w:rFonts w:cs="Arial"/>
          <w:color w:val="1F4E79" w:themeColor="accent1" w:themeShade="80"/>
        </w:rPr>
        <w:t xml:space="preserve"> - Private </w:t>
      </w:r>
      <w:proofErr w:type="spellStart"/>
      <w:r w:rsidRPr="00B84B0C">
        <w:rPr>
          <w:rFonts w:cs="Arial"/>
          <w:color w:val="1F4E79" w:themeColor="accent1" w:themeShade="80"/>
        </w:rPr>
        <w:t>Pension</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Plans</w:t>
      </w:r>
      <w:proofErr w:type="spellEnd"/>
    </w:p>
    <w:p w14:paraId="43DD2FA3"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67A70CA8"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1779599B" w14:textId="77777777" w:rsidR="00736E78" w:rsidRPr="00B84B0C" w:rsidRDefault="00736E78" w:rsidP="00736E78">
            <w:pPr>
              <w:rPr>
                <w:rFonts w:cs="Arial"/>
                <w:sz w:val="14"/>
                <w:szCs w:val="14"/>
              </w:rPr>
            </w:pPr>
            <w:proofErr w:type="spellStart"/>
            <w:r w:rsidRPr="00B84B0C">
              <w:rPr>
                <w:rFonts w:cs="Arial"/>
                <w:sz w:val="14"/>
                <w:szCs w:val="14"/>
              </w:rPr>
              <w:t>Brasilprev</w:t>
            </w:r>
            <w:proofErr w:type="spellEnd"/>
            <w:r w:rsidRPr="00B84B0C">
              <w:rPr>
                <w:rFonts w:cs="Arial"/>
                <w:sz w:val="14"/>
                <w:szCs w:val="14"/>
              </w:rPr>
              <w:t xml:space="preserve"> Seguros e Previdência</w:t>
            </w:r>
          </w:p>
        </w:tc>
        <w:tc>
          <w:tcPr>
            <w:tcW w:w="2126" w:type="dxa"/>
            <w:tcBorders>
              <w:top w:val="single" w:sz="2" w:space="0" w:color="8EAADB" w:themeColor="accent5" w:themeTint="99"/>
              <w:bottom w:val="single" w:sz="2" w:space="0" w:color="8EAADB" w:themeColor="accent5" w:themeTint="99"/>
            </w:tcBorders>
            <w:vAlign w:val="center"/>
            <w:hideMark/>
          </w:tcPr>
          <w:p w14:paraId="256F5D89"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eastAsia="Times New Roman" w:cs="Arial"/>
                <w:spacing w:val="-2"/>
                <w:sz w:val="14"/>
                <w:szCs w:val="14"/>
              </w:rPr>
              <w:t>Mar 31, 2020</w:t>
            </w:r>
          </w:p>
        </w:tc>
        <w:tc>
          <w:tcPr>
            <w:tcW w:w="2234" w:type="dxa"/>
            <w:tcBorders>
              <w:top w:val="single" w:sz="2" w:space="0" w:color="8EAADB" w:themeColor="accent5" w:themeTint="99"/>
              <w:bottom w:val="single" w:sz="2" w:space="0" w:color="8EAADB" w:themeColor="accent5" w:themeTint="99"/>
            </w:tcBorders>
            <w:vAlign w:val="center"/>
            <w:hideMark/>
          </w:tcPr>
          <w:p w14:paraId="3C641C86"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Dec</w:t>
            </w:r>
            <w:proofErr w:type="spellEnd"/>
            <w:r w:rsidRPr="00B84B0C">
              <w:rPr>
                <w:rFonts w:cs="Arial"/>
                <w:sz w:val="14"/>
                <w:szCs w:val="14"/>
              </w:rPr>
              <w:t xml:space="preserve"> 31, 2019</w:t>
            </w:r>
          </w:p>
        </w:tc>
      </w:tr>
      <w:tr w:rsidR="00736E78" w:rsidRPr="00B84B0C" w14:paraId="3C50D50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0E9D69EB"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126" w:type="dxa"/>
            <w:tcBorders>
              <w:top w:val="single" w:sz="2" w:space="0" w:color="8EAADB" w:themeColor="accent5" w:themeTint="99"/>
              <w:left w:val="nil"/>
              <w:bottom w:val="nil"/>
              <w:right w:val="nil"/>
            </w:tcBorders>
          </w:tcPr>
          <w:p w14:paraId="47F50A8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B84B0C">
              <w:rPr>
                <w:rFonts w:cs="Arial"/>
                <w:b/>
                <w:bCs/>
                <w:color w:val="000000"/>
                <w:sz w:val="14"/>
                <w:szCs w:val="14"/>
              </w:rPr>
              <w:t xml:space="preserve"> 277,456,958 </w:t>
            </w:r>
          </w:p>
        </w:tc>
        <w:tc>
          <w:tcPr>
            <w:tcW w:w="2234" w:type="dxa"/>
            <w:tcBorders>
              <w:top w:val="single" w:sz="2" w:space="0" w:color="8EAADB" w:themeColor="accent5" w:themeTint="99"/>
              <w:left w:val="nil"/>
              <w:bottom w:val="nil"/>
              <w:right w:val="nil"/>
            </w:tcBorders>
            <w:vAlign w:val="center"/>
          </w:tcPr>
          <w:p w14:paraId="1EA1B2B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bCs/>
                <w:color w:val="000000"/>
                <w:sz w:val="14"/>
                <w:szCs w:val="14"/>
              </w:rPr>
              <w:t xml:space="preserve"> 281,444,183 </w:t>
            </w:r>
          </w:p>
        </w:tc>
      </w:tr>
      <w:tr w:rsidR="00736E78" w:rsidRPr="00B84B0C" w14:paraId="549D9978"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408D472"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Cash </w:t>
            </w:r>
            <w:proofErr w:type="spellStart"/>
            <w:r w:rsidRPr="00B84B0C">
              <w:rPr>
                <w:rFonts w:cs="Arial"/>
                <w:b w:val="0"/>
                <w:color w:val="auto"/>
                <w:szCs w:val="14"/>
              </w:rPr>
              <w:t>and</w:t>
            </w:r>
            <w:proofErr w:type="spellEnd"/>
            <w:r w:rsidRPr="00B84B0C">
              <w:rPr>
                <w:rFonts w:cs="Arial"/>
                <w:b w:val="0"/>
                <w:color w:val="auto"/>
                <w:szCs w:val="14"/>
              </w:rPr>
              <w:t xml:space="preserve"> cash </w:t>
            </w:r>
            <w:proofErr w:type="spellStart"/>
            <w:r w:rsidRPr="00B84B0C">
              <w:rPr>
                <w:rFonts w:cs="Arial"/>
                <w:b w:val="0"/>
                <w:color w:val="auto"/>
                <w:szCs w:val="14"/>
              </w:rPr>
              <w:t>equivalents</w:t>
            </w:r>
            <w:proofErr w:type="spellEnd"/>
          </w:p>
        </w:tc>
        <w:tc>
          <w:tcPr>
            <w:tcW w:w="2126" w:type="dxa"/>
            <w:tcBorders>
              <w:top w:val="nil"/>
              <w:left w:val="nil"/>
              <w:bottom w:val="nil"/>
              <w:right w:val="nil"/>
            </w:tcBorders>
          </w:tcPr>
          <w:p w14:paraId="61CAD2A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 xml:space="preserve"> 7,042 </w:t>
            </w:r>
          </w:p>
        </w:tc>
        <w:tc>
          <w:tcPr>
            <w:tcW w:w="2234" w:type="dxa"/>
            <w:tcBorders>
              <w:top w:val="nil"/>
              <w:left w:val="nil"/>
              <w:bottom w:val="nil"/>
              <w:right w:val="nil"/>
            </w:tcBorders>
            <w:vAlign w:val="center"/>
          </w:tcPr>
          <w:p w14:paraId="3D006E8B"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 xml:space="preserve">              3,907 </w:t>
            </w:r>
          </w:p>
        </w:tc>
      </w:tr>
      <w:tr w:rsidR="00736E78" w:rsidRPr="00B84B0C" w14:paraId="26CC167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D157BAB"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applications</w:t>
            </w:r>
            <w:proofErr w:type="spellEnd"/>
          </w:p>
        </w:tc>
        <w:tc>
          <w:tcPr>
            <w:tcW w:w="2126" w:type="dxa"/>
            <w:tcBorders>
              <w:top w:val="nil"/>
              <w:left w:val="nil"/>
              <w:bottom w:val="nil"/>
              <w:right w:val="nil"/>
            </w:tcBorders>
          </w:tcPr>
          <w:p w14:paraId="7C36183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 xml:space="preserve"> 276,675,267 </w:t>
            </w:r>
          </w:p>
        </w:tc>
        <w:tc>
          <w:tcPr>
            <w:tcW w:w="2234" w:type="dxa"/>
            <w:tcBorders>
              <w:top w:val="nil"/>
              <w:left w:val="nil"/>
              <w:bottom w:val="nil"/>
              <w:right w:val="nil"/>
            </w:tcBorders>
            <w:vAlign w:val="center"/>
          </w:tcPr>
          <w:p w14:paraId="424D33E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xml:space="preserve"> 280,742,356 </w:t>
            </w:r>
          </w:p>
        </w:tc>
      </w:tr>
      <w:tr w:rsidR="00736E78" w:rsidRPr="00B84B0C" w14:paraId="6DC33D10"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E873B0E"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assets</w:t>
            </w:r>
            <w:proofErr w:type="spellEnd"/>
          </w:p>
        </w:tc>
        <w:tc>
          <w:tcPr>
            <w:tcW w:w="2126" w:type="dxa"/>
            <w:tcBorders>
              <w:top w:val="nil"/>
              <w:left w:val="nil"/>
              <w:bottom w:val="nil"/>
              <w:right w:val="nil"/>
            </w:tcBorders>
          </w:tcPr>
          <w:p w14:paraId="24F1882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 xml:space="preserve"> 774,649 </w:t>
            </w:r>
          </w:p>
        </w:tc>
        <w:tc>
          <w:tcPr>
            <w:tcW w:w="2234" w:type="dxa"/>
            <w:tcBorders>
              <w:top w:val="nil"/>
              <w:left w:val="nil"/>
              <w:bottom w:val="nil"/>
              <w:right w:val="nil"/>
            </w:tcBorders>
            <w:vAlign w:val="center"/>
          </w:tcPr>
          <w:p w14:paraId="610090E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 xml:space="preserve">          697,920 </w:t>
            </w:r>
          </w:p>
        </w:tc>
      </w:tr>
      <w:tr w:rsidR="00736E78" w:rsidRPr="00B84B0C" w14:paraId="0D1D83D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60A7E87"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126" w:type="dxa"/>
            <w:tcBorders>
              <w:top w:val="nil"/>
              <w:left w:val="nil"/>
              <w:bottom w:val="nil"/>
              <w:right w:val="nil"/>
            </w:tcBorders>
          </w:tcPr>
          <w:p w14:paraId="0BA4FAA8"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4B0C">
              <w:rPr>
                <w:rFonts w:cs="Arial"/>
                <w:b/>
                <w:bCs/>
                <w:color w:val="000000"/>
                <w:sz w:val="14"/>
                <w:szCs w:val="14"/>
              </w:rPr>
              <w:t xml:space="preserve"> 12,715,127 </w:t>
            </w:r>
          </w:p>
        </w:tc>
        <w:tc>
          <w:tcPr>
            <w:tcW w:w="2234" w:type="dxa"/>
            <w:tcBorders>
              <w:top w:val="nil"/>
              <w:left w:val="nil"/>
              <w:bottom w:val="nil"/>
              <w:right w:val="nil"/>
            </w:tcBorders>
            <w:vAlign w:val="center"/>
          </w:tcPr>
          <w:p w14:paraId="5330AB03"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bCs/>
                <w:sz w:val="14"/>
                <w:szCs w:val="14"/>
              </w:rPr>
              <w:t xml:space="preserve">    13,730,016 </w:t>
            </w:r>
          </w:p>
        </w:tc>
      </w:tr>
      <w:tr w:rsidR="00736E78" w:rsidRPr="00B84B0C" w14:paraId="32F28CC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05751E1"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126" w:type="dxa"/>
            <w:tcBorders>
              <w:top w:val="nil"/>
              <w:left w:val="nil"/>
              <w:bottom w:val="nil"/>
              <w:right w:val="nil"/>
            </w:tcBorders>
          </w:tcPr>
          <w:p w14:paraId="70ECF3D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color w:val="000000"/>
                <w:sz w:val="14"/>
                <w:szCs w:val="14"/>
              </w:rPr>
              <w:t xml:space="preserve"> 32,402,375 </w:t>
            </w:r>
          </w:p>
        </w:tc>
        <w:tc>
          <w:tcPr>
            <w:tcW w:w="2234" w:type="dxa"/>
            <w:tcBorders>
              <w:top w:val="nil"/>
              <w:left w:val="nil"/>
              <w:bottom w:val="nil"/>
              <w:right w:val="nil"/>
            </w:tcBorders>
            <w:vAlign w:val="center"/>
          </w:tcPr>
          <w:p w14:paraId="4D5437EE"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bCs/>
                <w:color w:val="000000"/>
                <w:sz w:val="14"/>
                <w:szCs w:val="14"/>
              </w:rPr>
              <w:t xml:space="preserve">    33,335,319 </w:t>
            </w:r>
          </w:p>
        </w:tc>
      </w:tr>
      <w:tr w:rsidR="00736E78" w:rsidRPr="00B84B0C" w14:paraId="3ABDA5F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E0FE75E"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632BCDA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 xml:space="preserve"> 339,276 </w:t>
            </w:r>
          </w:p>
        </w:tc>
        <w:tc>
          <w:tcPr>
            <w:tcW w:w="2234" w:type="dxa"/>
            <w:tcBorders>
              <w:top w:val="nil"/>
              <w:left w:val="nil"/>
              <w:bottom w:val="nil"/>
              <w:right w:val="nil"/>
            </w:tcBorders>
            <w:vAlign w:val="center"/>
          </w:tcPr>
          <w:p w14:paraId="227D449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xml:space="preserve">          676,381 </w:t>
            </w:r>
          </w:p>
        </w:tc>
      </w:tr>
      <w:tr w:rsidR="00736E78" w:rsidRPr="00B84B0C" w14:paraId="4A0C5F75"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8956674"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126" w:type="dxa"/>
            <w:tcBorders>
              <w:top w:val="nil"/>
              <w:left w:val="nil"/>
              <w:bottom w:val="nil"/>
              <w:right w:val="nil"/>
            </w:tcBorders>
          </w:tcPr>
          <w:p w14:paraId="36882291"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 xml:space="preserve"> 31,950,173 </w:t>
            </w:r>
          </w:p>
        </w:tc>
        <w:tc>
          <w:tcPr>
            <w:tcW w:w="2234" w:type="dxa"/>
            <w:tcBorders>
              <w:top w:val="nil"/>
              <w:left w:val="nil"/>
              <w:bottom w:val="nil"/>
              <w:right w:val="nil"/>
            </w:tcBorders>
            <w:vAlign w:val="center"/>
          </w:tcPr>
          <w:p w14:paraId="1FA2F7E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 xml:space="preserve">    32,441,394 </w:t>
            </w:r>
          </w:p>
        </w:tc>
      </w:tr>
      <w:tr w:rsidR="00736E78" w:rsidRPr="00B84B0C" w14:paraId="4A026083"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7B6FAD9"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21C22D8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 xml:space="preserve"> 112,926 </w:t>
            </w:r>
          </w:p>
        </w:tc>
        <w:tc>
          <w:tcPr>
            <w:tcW w:w="2234" w:type="dxa"/>
            <w:tcBorders>
              <w:top w:val="nil"/>
              <w:left w:val="nil"/>
              <w:bottom w:val="nil"/>
              <w:right w:val="nil"/>
            </w:tcBorders>
            <w:vAlign w:val="center"/>
          </w:tcPr>
          <w:p w14:paraId="31594D9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xml:space="preserve">          217,544 </w:t>
            </w:r>
          </w:p>
        </w:tc>
      </w:tr>
      <w:tr w:rsidR="00736E78" w:rsidRPr="00B84B0C" w14:paraId="674A028E"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83D6671"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126" w:type="dxa"/>
            <w:tcBorders>
              <w:top w:val="nil"/>
              <w:left w:val="nil"/>
              <w:bottom w:val="nil"/>
              <w:right w:val="nil"/>
            </w:tcBorders>
          </w:tcPr>
          <w:p w14:paraId="468FE99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color w:val="000000"/>
                <w:sz w:val="14"/>
                <w:szCs w:val="14"/>
              </w:rPr>
              <w:t xml:space="preserve"> 254,569,759 </w:t>
            </w:r>
          </w:p>
        </w:tc>
        <w:tc>
          <w:tcPr>
            <w:tcW w:w="2234" w:type="dxa"/>
            <w:tcBorders>
              <w:top w:val="nil"/>
              <w:left w:val="nil"/>
              <w:bottom w:val="nil"/>
              <w:right w:val="nil"/>
            </w:tcBorders>
            <w:vAlign w:val="center"/>
          </w:tcPr>
          <w:p w14:paraId="1A025A2C"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bCs/>
                <w:color w:val="000000"/>
                <w:sz w:val="14"/>
                <w:szCs w:val="14"/>
              </w:rPr>
              <w:t xml:space="preserve"> 258,554,680 </w:t>
            </w:r>
          </w:p>
        </w:tc>
      </w:tr>
      <w:tr w:rsidR="00736E78" w:rsidRPr="00B84B0C" w14:paraId="752FEB1F"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D50E0BF"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42CACD1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color w:val="000000"/>
                <w:sz w:val="14"/>
                <w:szCs w:val="14"/>
              </w:rPr>
              <w:t xml:space="preserve"> --   </w:t>
            </w:r>
          </w:p>
        </w:tc>
        <w:tc>
          <w:tcPr>
            <w:tcW w:w="2234" w:type="dxa"/>
            <w:tcBorders>
              <w:top w:val="nil"/>
              <w:left w:val="nil"/>
              <w:bottom w:val="nil"/>
              <w:right w:val="nil"/>
            </w:tcBorders>
            <w:vAlign w:val="center"/>
          </w:tcPr>
          <w:p w14:paraId="792AACB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w:t>
            </w:r>
          </w:p>
        </w:tc>
      </w:tr>
      <w:tr w:rsidR="00736E78" w:rsidRPr="00B84B0C" w14:paraId="23B47FFC"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A5C08F6"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126" w:type="dxa"/>
            <w:tcBorders>
              <w:top w:val="nil"/>
              <w:left w:val="nil"/>
              <w:bottom w:val="nil"/>
              <w:right w:val="nil"/>
            </w:tcBorders>
          </w:tcPr>
          <w:p w14:paraId="47D0933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color w:val="000000"/>
                <w:sz w:val="14"/>
                <w:szCs w:val="14"/>
              </w:rPr>
              <w:t xml:space="preserve"> 254,544,224 </w:t>
            </w:r>
          </w:p>
        </w:tc>
        <w:tc>
          <w:tcPr>
            <w:tcW w:w="2234" w:type="dxa"/>
            <w:tcBorders>
              <w:top w:val="nil"/>
              <w:left w:val="nil"/>
              <w:bottom w:val="nil"/>
              <w:right w:val="nil"/>
            </w:tcBorders>
            <w:vAlign w:val="center"/>
          </w:tcPr>
          <w:p w14:paraId="27AC9A9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 xml:space="preserve"> 257,369,919 </w:t>
            </w:r>
          </w:p>
        </w:tc>
      </w:tr>
      <w:tr w:rsidR="00736E78" w:rsidRPr="00B84B0C" w14:paraId="361E8BB6"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E9E9F31"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Other non-</w:t>
            </w:r>
            <w:proofErr w:type="spellStart"/>
            <w:r w:rsidRPr="00B84B0C">
              <w:rPr>
                <w:rFonts w:cs="Arial"/>
                <w:b w:val="0"/>
                <w:color w:val="auto"/>
                <w:szCs w:val="14"/>
              </w:rPr>
              <w:t>current</w:t>
            </w:r>
            <w:proofErr w:type="spellEnd"/>
            <w:r w:rsidRPr="00B84B0C">
              <w:rPr>
                <w:rFonts w:cs="Arial"/>
                <w:b w:val="0"/>
                <w:color w:val="auto"/>
                <w:szCs w:val="14"/>
              </w:rPr>
              <w:t xml:space="preserve">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064E00E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color w:val="000000"/>
                <w:sz w:val="14"/>
                <w:szCs w:val="14"/>
              </w:rPr>
              <w:t xml:space="preserve"> 25,535 </w:t>
            </w:r>
          </w:p>
        </w:tc>
        <w:tc>
          <w:tcPr>
            <w:tcW w:w="2234" w:type="dxa"/>
            <w:tcBorders>
              <w:top w:val="nil"/>
              <w:left w:val="nil"/>
              <w:bottom w:val="nil"/>
              <w:right w:val="nil"/>
            </w:tcBorders>
            <w:vAlign w:val="center"/>
          </w:tcPr>
          <w:p w14:paraId="7986740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xml:space="preserve">      1,184,761 </w:t>
            </w:r>
          </w:p>
        </w:tc>
      </w:tr>
      <w:tr w:rsidR="00736E78" w:rsidRPr="00B84B0C" w14:paraId="460095CB"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CE28422"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Adjusted</w:t>
            </w:r>
            <w:proofErr w:type="spellEnd"/>
            <w:r w:rsidRPr="00B84B0C">
              <w:rPr>
                <w:rFonts w:cs="Arial"/>
                <w:color w:val="auto"/>
                <w:szCs w:val="14"/>
              </w:rPr>
              <w:t xml:space="preserve"> net </w:t>
            </w:r>
            <w:proofErr w:type="spellStart"/>
            <w:r w:rsidRPr="00B84B0C">
              <w:rPr>
                <w:rFonts w:cs="Arial"/>
                <w:color w:val="auto"/>
                <w:szCs w:val="14"/>
              </w:rPr>
              <w:t>equity</w:t>
            </w:r>
            <w:proofErr w:type="spellEnd"/>
          </w:p>
        </w:tc>
        <w:tc>
          <w:tcPr>
            <w:tcW w:w="2126" w:type="dxa"/>
            <w:tcBorders>
              <w:top w:val="nil"/>
              <w:left w:val="nil"/>
              <w:bottom w:val="nil"/>
              <w:right w:val="nil"/>
            </w:tcBorders>
          </w:tcPr>
          <w:p w14:paraId="28F3DCFA"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bCs/>
                <w:color w:val="000000"/>
                <w:sz w:val="14"/>
                <w:szCs w:val="14"/>
              </w:rPr>
              <w:t xml:space="preserve"> 3,199,951 </w:t>
            </w:r>
          </w:p>
        </w:tc>
        <w:tc>
          <w:tcPr>
            <w:tcW w:w="2234" w:type="dxa"/>
            <w:tcBorders>
              <w:top w:val="nil"/>
              <w:left w:val="nil"/>
              <w:bottom w:val="nil"/>
              <w:right w:val="nil"/>
            </w:tcBorders>
            <w:vAlign w:val="center"/>
          </w:tcPr>
          <w:p w14:paraId="2E71276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bCs/>
                <w:sz w:val="14"/>
                <w:szCs w:val="14"/>
              </w:rPr>
              <w:t xml:space="preserve">      3,284,200 </w:t>
            </w:r>
          </w:p>
        </w:tc>
      </w:tr>
      <w:tr w:rsidR="00736E78" w:rsidRPr="00B84B0C" w14:paraId="5729001B"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F7F799F"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Attributable</w:t>
            </w:r>
            <w:proofErr w:type="spellEnd"/>
            <w:r w:rsidRPr="00B84B0C">
              <w:rPr>
                <w:rFonts w:cs="Arial"/>
                <w:b w:val="0"/>
                <w:color w:val="auto"/>
                <w:szCs w:val="14"/>
              </w:rPr>
              <w:t xml:space="preserve"> </w:t>
            </w:r>
            <w:proofErr w:type="spellStart"/>
            <w:r w:rsidRPr="00B84B0C">
              <w:rPr>
                <w:rFonts w:cs="Arial"/>
                <w:b w:val="0"/>
                <w:color w:val="auto"/>
                <w:szCs w:val="14"/>
              </w:rPr>
              <w:t>to</w:t>
            </w:r>
            <w:proofErr w:type="spellEnd"/>
            <w:r w:rsidRPr="00B84B0C">
              <w:rPr>
                <w:rFonts w:cs="Arial"/>
                <w:b w:val="0"/>
                <w:color w:val="auto"/>
                <w:szCs w:val="14"/>
              </w:rPr>
              <w:t xml:space="preserve"> BB Seguridade</w:t>
            </w:r>
          </w:p>
        </w:tc>
        <w:tc>
          <w:tcPr>
            <w:tcW w:w="2126" w:type="dxa"/>
            <w:tcBorders>
              <w:top w:val="nil"/>
              <w:left w:val="nil"/>
              <w:bottom w:val="nil"/>
              <w:right w:val="nil"/>
            </w:tcBorders>
          </w:tcPr>
          <w:p w14:paraId="78697950"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color w:val="000000"/>
                <w:sz w:val="14"/>
                <w:szCs w:val="14"/>
              </w:rPr>
              <w:t xml:space="preserve"> 2,399,804 </w:t>
            </w:r>
          </w:p>
        </w:tc>
        <w:tc>
          <w:tcPr>
            <w:tcW w:w="2234" w:type="dxa"/>
            <w:tcBorders>
              <w:top w:val="nil"/>
              <w:left w:val="nil"/>
              <w:bottom w:val="nil"/>
              <w:right w:val="nil"/>
            </w:tcBorders>
            <w:vAlign w:val="center"/>
          </w:tcPr>
          <w:p w14:paraId="015FE6E1"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color w:val="000000"/>
                <w:sz w:val="14"/>
                <w:szCs w:val="14"/>
              </w:rPr>
              <w:t xml:space="preserve">      2,462,986 </w:t>
            </w:r>
          </w:p>
        </w:tc>
      </w:tr>
      <w:tr w:rsidR="00736E78" w:rsidRPr="00B84B0C" w14:paraId="794F94D1"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AF5F8C1"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adjustments</w:t>
            </w:r>
            <w:proofErr w:type="spellEnd"/>
            <w:r w:rsidRPr="00B84B0C">
              <w:rPr>
                <w:rFonts w:cs="Arial"/>
                <w:b w:val="0"/>
                <w:color w:val="auto"/>
                <w:szCs w:val="14"/>
              </w:rPr>
              <w:t xml:space="preserve"> </w:t>
            </w:r>
          </w:p>
        </w:tc>
        <w:tc>
          <w:tcPr>
            <w:tcW w:w="2126" w:type="dxa"/>
            <w:tcBorders>
              <w:top w:val="nil"/>
              <w:left w:val="nil"/>
              <w:bottom w:val="nil"/>
              <w:right w:val="nil"/>
            </w:tcBorders>
          </w:tcPr>
          <w:p w14:paraId="2954ED77"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color w:val="000000"/>
                <w:sz w:val="14"/>
                <w:szCs w:val="14"/>
              </w:rPr>
              <w:t xml:space="preserve"> (24,686)</w:t>
            </w:r>
          </w:p>
        </w:tc>
        <w:tc>
          <w:tcPr>
            <w:tcW w:w="2234" w:type="dxa"/>
            <w:tcBorders>
              <w:top w:val="nil"/>
              <w:left w:val="nil"/>
              <w:bottom w:val="nil"/>
              <w:right w:val="nil"/>
            </w:tcBorders>
            <w:vAlign w:val="center"/>
          </w:tcPr>
          <w:p w14:paraId="3A26B08B"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color w:val="000000"/>
                <w:sz w:val="14"/>
                <w:szCs w:val="14"/>
              </w:rPr>
              <w:t xml:space="preserve">          (22,831)</w:t>
            </w:r>
          </w:p>
        </w:tc>
      </w:tr>
      <w:tr w:rsidR="00736E78" w:rsidRPr="00B84B0C" w14:paraId="5D479EE2"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7D0D0B56"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 xml:space="preserve">Book balance </w:t>
            </w:r>
            <w:proofErr w:type="spellStart"/>
            <w:r w:rsidRPr="00B84B0C">
              <w:rPr>
                <w:rFonts w:cs="Arial"/>
                <w:color w:val="auto"/>
                <w:szCs w:val="14"/>
              </w:rPr>
              <w:t>of</w:t>
            </w:r>
            <w:proofErr w:type="spellEnd"/>
            <w:r w:rsidRPr="00B84B0C">
              <w:rPr>
                <w:rFonts w:cs="Arial"/>
                <w:color w:val="auto"/>
                <w:szCs w:val="14"/>
              </w:rPr>
              <w:t xml:space="preserve"> </w:t>
            </w:r>
            <w:proofErr w:type="spellStart"/>
            <w:r w:rsidRPr="00B84B0C">
              <w:rPr>
                <w:rFonts w:cs="Arial"/>
                <w:color w:val="auto"/>
                <w:szCs w:val="14"/>
              </w:rPr>
              <w:t>investment</w:t>
            </w:r>
            <w:proofErr w:type="spellEnd"/>
          </w:p>
        </w:tc>
        <w:tc>
          <w:tcPr>
            <w:tcW w:w="2126" w:type="dxa"/>
            <w:tcBorders>
              <w:top w:val="nil"/>
              <w:left w:val="nil"/>
              <w:bottom w:val="single" w:sz="2" w:space="0" w:color="8EAADB" w:themeColor="accent5" w:themeTint="99"/>
              <w:right w:val="nil"/>
            </w:tcBorders>
          </w:tcPr>
          <w:p w14:paraId="7878D45B"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4B0C">
              <w:rPr>
                <w:rFonts w:cs="Arial"/>
                <w:b/>
                <w:bCs/>
                <w:color w:val="000000"/>
                <w:sz w:val="14"/>
                <w:szCs w:val="14"/>
              </w:rPr>
              <w:t xml:space="preserve"> 2,375,118 </w:t>
            </w:r>
          </w:p>
        </w:tc>
        <w:tc>
          <w:tcPr>
            <w:tcW w:w="2234" w:type="dxa"/>
            <w:tcBorders>
              <w:top w:val="nil"/>
              <w:left w:val="nil"/>
              <w:bottom w:val="single" w:sz="2" w:space="0" w:color="8EAADB" w:themeColor="accent5" w:themeTint="99"/>
              <w:right w:val="nil"/>
            </w:tcBorders>
            <w:vAlign w:val="center"/>
          </w:tcPr>
          <w:p w14:paraId="4E779979"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bCs/>
                <w:color w:val="000000"/>
                <w:sz w:val="14"/>
                <w:szCs w:val="14"/>
              </w:rPr>
              <w:t xml:space="preserve">      2,440,155 </w:t>
            </w:r>
          </w:p>
        </w:tc>
      </w:tr>
    </w:tbl>
    <w:p w14:paraId="1FA71B78" w14:textId="77777777" w:rsidR="00736E78" w:rsidRPr="00B84B0C" w:rsidRDefault="00736E78" w:rsidP="00736E78">
      <w:pPr>
        <w:keepNext/>
        <w:keepLines/>
        <w:pageBreakBefore/>
        <w:spacing w:before="120" w:after="120" w:line="240" w:lineRule="auto"/>
        <w:jc w:val="both"/>
        <w:outlineLvl w:val="1"/>
        <w:rPr>
          <w:rFonts w:eastAsia="Times New Roman" w:cs="Arial"/>
          <w:b/>
          <w:color w:val="1F4E79" w:themeColor="accent1" w:themeShade="80"/>
          <w:spacing w:val="-2"/>
          <w:szCs w:val="18"/>
          <w:lang w:eastAsia="pt-BR"/>
        </w:rPr>
      </w:pPr>
    </w:p>
    <w:p w14:paraId="68D59C7D" w14:textId="77777777" w:rsidR="00736E78" w:rsidRPr="00B84B0C" w:rsidRDefault="00736E78" w:rsidP="00736E78">
      <w:pPr>
        <w:keepNext/>
        <w:spacing w:before="120" w:after="120" w:line="240" w:lineRule="auto"/>
        <w:jc w:val="both"/>
        <w:outlineLvl w:val="1"/>
        <w:rPr>
          <w:rFonts w:cs="Arial"/>
          <w:b/>
          <w:sz w:val="16"/>
          <w:lang w:eastAsia="pt-BR"/>
        </w:rPr>
      </w:pPr>
      <w:r w:rsidRPr="00B84B0C">
        <w:rPr>
          <w:rFonts w:eastAsia="Times New Roman" w:cs="Arial"/>
          <w:b/>
          <w:color w:val="1F4E79" w:themeColor="accent1" w:themeShade="80"/>
          <w:spacing w:val="-2"/>
          <w:sz w:val="20"/>
          <w:szCs w:val="18"/>
          <w:lang w:eastAsia="pt-BR"/>
        </w:rPr>
        <w:t xml:space="preserve">e.5) </w:t>
      </w:r>
      <w:proofErr w:type="spellStart"/>
      <w:r w:rsidRPr="00B84B0C">
        <w:rPr>
          <w:rFonts w:eastAsia="Times New Roman" w:cs="Arial"/>
          <w:b/>
          <w:color w:val="1F4E79" w:themeColor="accent1" w:themeShade="80"/>
          <w:spacing w:val="-2"/>
          <w:sz w:val="20"/>
          <w:szCs w:val="18"/>
          <w:lang w:eastAsia="pt-BR"/>
        </w:rPr>
        <w:t>Brasildental</w:t>
      </w:r>
      <w:proofErr w:type="spellEnd"/>
      <w:r w:rsidRPr="00B84B0C">
        <w:rPr>
          <w:rFonts w:eastAsia="Times New Roman" w:cs="Arial"/>
          <w:b/>
          <w:color w:val="1F4E79" w:themeColor="accent1" w:themeShade="80"/>
          <w:spacing w:val="-2"/>
          <w:sz w:val="20"/>
          <w:szCs w:val="18"/>
          <w:lang w:eastAsia="pt-BR"/>
        </w:rPr>
        <w:t xml:space="preserve"> Operadora de Planos Odontológicos</w:t>
      </w:r>
      <w:r w:rsidRPr="00B84B0C">
        <w:rPr>
          <w:rFonts w:cs="Arial"/>
          <w:b/>
          <w:sz w:val="16"/>
          <w:lang w:eastAsia="pt-BR"/>
        </w:rPr>
        <w:t xml:space="preserve"> </w:t>
      </w:r>
    </w:p>
    <w:p w14:paraId="65E155B4"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4800FFAF"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10A1C29E" w14:textId="77777777" w:rsidR="00736E78" w:rsidRPr="00B84B0C" w:rsidRDefault="00736E78" w:rsidP="00736E78">
            <w:pPr>
              <w:rPr>
                <w:rFonts w:cs="Arial"/>
                <w:sz w:val="14"/>
                <w:szCs w:val="14"/>
              </w:rPr>
            </w:pPr>
            <w:proofErr w:type="spellStart"/>
            <w:r w:rsidRPr="00B84B0C">
              <w:rPr>
                <w:rFonts w:cs="Arial"/>
                <w:sz w:val="14"/>
                <w:szCs w:val="14"/>
              </w:rPr>
              <w:t>Brasildental</w:t>
            </w:r>
            <w:proofErr w:type="spellEnd"/>
            <w:r w:rsidRPr="00B84B0C">
              <w:rPr>
                <w:rFonts w:cs="Arial"/>
                <w:sz w:val="14"/>
                <w:szCs w:val="14"/>
              </w:rPr>
              <w:t xml:space="preserve"> Operadora de Planos Odontológicos</w:t>
            </w:r>
          </w:p>
        </w:tc>
        <w:tc>
          <w:tcPr>
            <w:tcW w:w="2126" w:type="dxa"/>
            <w:tcBorders>
              <w:top w:val="single" w:sz="2" w:space="0" w:color="8EAADB" w:themeColor="accent5" w:themeTint="99"/>
              <w:bottom w:val="single" w:sz="2" w:space="0" w:color="8EAADB" w:themeColor="accent5" w:themeTint="99"/>
            </w:tcBorders>
            <w:vAlign w:val="center"/>
            <w:hideMark/>
          </w:tcPr>
          <w:p w14:paraId="28B3F447"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eastAsia="Times New Roman" w:cs="Arial"/>
                <w:spacing w:val="-2"/>
                <w:sz w:val="14"/>
                <w:szCs w:val="14"/>
              </w:rPr>
              <w:t>Mar 31, 2020</w:t>
            </w:r>
          </w:p>
        </w:tc>
        <w:tc>
          <w:tcPr>
            <w:tcW w:w="2234" w:type="dxa"/>
            <w:tcBorders>
              <w:top w:val="single" w:sz="2" w:space="0" w:color="8EAADB" w:themeColor="accent5" w:themeTint="99"/>
              <w:bottom w:val="single" w:sz="2" w:space="0" w:color="8EAADB" w:themeColor="accent5" w:themeTint="99"/>
            </w:tcBorders>
            <w:vAlign w:val="center"/>
            <w:hideMark/>
          </w:tcPr>
          <w:p w14:paraId="1AAF0935"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Dec</w:t>
            </w:r>
            <w:proofErr w:type="spellEnd"/>
            <w:r w:rsidRPr="00B84B0C">
              <w:rPr>
                <w:rFonts w:cs="Arial"/>
                <w:sz w:val="14"/>
                <w:szCs w:val="14"/>
              </w:rPr>
              <w:t xml:space="preserve"> 31, 2019</w:t>
            </w:r>
          </w:p>
        </w:tc>
      </w:tr>
      <w:tr w:rsidR="00736E78" w:rsidRPr="00B84B0C" w14:paraId="7A13DC7A"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695DB6B6"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126" w:type="dxa"/>
            <w:tcBorders>
              <w:top w:val="single" w:sz="2" w:space="0" w:color="8EAADB" w:themeColor="accent5" w:themeTint="99"/>
              <w:left w:val="nil"/>
              <w:bottom w:val="nil"/>
              <w:right w:val="nil"/>
            </w:tcBorders>
          </w:tcPr>
          <w:p w14:paraId="4B3751A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B84B0C">
              <w:rPr>
                <w:rFonts w:cs="Arial"/>
                <w:b/>
                <w:bCs/>
                <w:color w:val="000000"/>
                <w:sz w:val="14"/>
                <w:szCs w:val="14"/>
              </w:rPr>
              <w:t xml:space="preserve"> 46,709 </w:t>
            </w:r>
          </w:p>
        </w:tc>
        <w:tc>
          <w:tcPr>
            <w:tcW w:w="2234" w:type="dxa"/>
            <w:tcBorders>
              <w:top w:val="single" w:sz="2" w:space="0" w:color="8EAADB" w:themeColor="accent5" w:themeTint="99"/>
              <w:left w:val="nil"/>
              <w:bottom w:val="nil"/>
              <w:right w:val="nil"/>
            </w:tcBorders>
            <w:vAlign w:val="center"/>
          </w:tcPr>
          <w:p w14:paraId="2444AFA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bCs/>
                <w:color w:val="000000"/>
                <w:sz w:val="14"/>
                <w:szCs w:val="14"/>
              </w:rPr>
              <w:t xml:space="preserve">       42,702 </w:t>
            </w:r>
          </w:p>
        </w:tc>
      </w:tr>
      <w:tr w:rsidR="00736E78" w:rsidRPr="00B84B0C" w14:paraId="336FF7AF"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6FE3EB6"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Cash </w:t>
            </w:r>
            <w:proofErr w:type="spellStart"/>
            <w:r w:rsidRPr="00B84B0C">
              <w:rPr>
                <w:rFonts w:cs="Arial"/>
                <w:b w:val="0"/>
                <w:color w:val="auto"/>
                <w:szCs w:val="14"/>
              </w:rPr>
              <w:t>and</w:t>
            </w:r>
            <w:proofErr w:type="spellEnd"/>
            <w:r w:rsidRPr="00B84B0C">
              <w:rPr>
                <w:rFonts w:cs="Arial"/>
                <w:b w:val="0"/>
                <w:color w:val="auto"/>
                <w:szCs w:val="14"/>
              </w:rPr>
              <w:t xml:space="preserve"> cash </w:t>
            </w:r>
            <w:proofErr w:type="spellStart"/>
            <w:r w:rsidRPr="00B84B0C">
              <w:rPr>
                <w:rFonts w:cs="Arial"/>
                <w:b w:val="0"/>
                <w:color w:val="auto"/>
                <w:szCs w:val="14"/>
              </w:rPr>
              <w:t>equivalents</w:t>
            </w:r>
            <w:proofErr w:type="spellEnd"/>
          </w:p>
        </w:tc>
        <w:tc>
          <w:tcPr>
            <w:tcW w:w="2126" w:type="dxa"/>
            <w:tcBorders>
              <w:top w:val="nil"/>
              <w:left w:val="nil"/>
              <w:bottom w:val="nil"/>
              <w:right w:val="nil"/>
            </w:tcBorders>
          </w:tcPr>
          <w:p w14:paraId="42B8B8D7"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 xml:space="preserve"> 2,307 </w:t>
            </w:r>
          </w:p>
        </w:tc>
        <w:tc>
          <w:tcPr>
            <w:tcW w:w="2234" w:type="dxa"/>
            <w:tcBorders>
              <w:top w:val="nil"/>
              <w:left w:val="nil"/>
              <w:bottom w:val="nil"/>
              <w:right w:val="nil"/>
            </w:tcBorders>
            <w:vAlign w:val="center"/>
          </w:tcPr>
          <w:p w14:paraId="4397D916"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 xml:space="preserve">    2,238 </w:t>
            </w:r>
          </w:p>
        </w:tc>
      </w:tr>
      <w:tr w:rsidR="00736E78" w:rsidRPr="00B84B0C" w14:paraId="53687418"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97DD47B"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applications</w:t>
            </w:r>
            <w:proofErr w:type="spellEnd"/>
          </w:p>
        </w:tc>
        <w:tc>
          <w:tcPr>
            <w:tcW w:w="2126" w:type="dxa"/>
            <w:tcBorders>
              <w:top w:val="nil"/>
              <w:left w:val="nil"/>
              <w:bottom w:val="nil"/>
              <w:right w:val="nil"/>
            </w:tcBorders>
          </w:tcPr>
          <w:p w14:paraId="1B4D5FB5"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 xml:space="preserve"> 36,244 </w:t>
            </w:r>
          </w:p>
        </w:tc>
        <w:tc>
          <w:tcPr>
            <w:tcW w:w="2234" w:type="dxa"/>
            <w:tcBorders>
              <w:top w:val="nil"/>
              <w:left w:val="nil"/>
              <w:bottom w:val="nil"/>
              <w:right w:val="nil"/>
            </w:tcBorders>
            <w:vAlign w:val="center"/>
          </w:tcPr>
          <w:p w14:paraId="025D614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xml:space="preserve"> 32,144 </w:t>
            </w:r>
          </w:p>
        </w:tc>
      </w:tr>
      <w:tr w:rsidR="00736E78" w:rsidRPr="00B84B0C" w14:paraId="015B854F"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93A9E20"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assets</w:t>
            </w:r>
            <w:proofErr w:type="spellEnd"/>
          </w:p>
        </w:tc>
        <w:tc>
          <w:tcPr>
            <w:tcW w:w="2126" w:type="dxa"/>
            <w:tcBorders>
              <w:top w:val="nil"/>
              <w:left w:val="nil"/>
              <w:bottom w:val="nil"/>
              <w:right w:val="nil"/>
            </w:tcBorders>
          </w:tcPr>
          <w:p w14:paraId="08D12791"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 xml:space="preserve"> 8,158 </w:t>
            </w:r>
          </w:p>
        </w:tc>
        <w:tc>
          <w:tcPr>
            <w:tcW w:w="2234" w:type="dxa"/>
            <w:tcBorders>
              <w:top w:val="nil"/>
              <w:left w:val="nil"/>
              <w:bottom w:val="nil"/>
              <w:right w:val="nil"/>
            </w:tcBorders>
            <w:vAlign w:val="center"/>
          </w:tcPr>
          <w:p w14:paraId="5AE79567"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 xml:space="preserve">    8,320 </w:t>
            </w:r>
          </w:p>
        </w:tc>
      </w:tr>
      <w:tr w:rsidR="00736E78" w:rsidRPr="00B84B0C" w14:paraId="777F8D0C"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2F15E8F7"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126" w:type="dxa"/>
            <w:tcBorders>
              <w:top w:val="nil"/>
              <w:left w:val="nil"/>
              <w:bottom w:val="nil"/>
              <w:right w:val="nil"/>
            </w:tcBorders>
          </w:tcPr>
          <w:p w14:paraId="7697073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4B0C">
              <w:rPr>
                <w:rFonts w:cs="Arial"/>
                <w:b/>
                <w:bCs/>
                <w:color w:val="000000"/>
                <w:sz w:val="14"/>
                <w:szCs w:val="14"/>
              </w:rPr>
              <w:t xml:space="preserve"> 1,317 </w:t>
            </w:r>
          </w:p>
        </w:tc>
        <w:tc>
          <w:tcPr>
            <w:tcW w:w="2234" w:type="dxa"/>
            <w:tcBorders>
              <w:top w:val="nil"/>
              <w:left w:val="nil"/>
              <w:bottom w:val="nil"/>
              <w:right w:val="nil"/>
            </w:tcBorders>
            <w:vAlign w:val="center"/>
          </w:tcPr>
          <w:p w14:paraId="1AFD039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bCs/>
                <w:sz w:val="14"/>
                <w:szCs w:val="14"/>
              </w:rPr>
              <w:t xml:space="preserve">    1,125,00 </w:t>
            </w:r>
          </w:p>
        </w:tc>
      </w:tr>
      <w:tr w:rsidR="00736E78" w:rsidRPr="00B84B0C" w14:paraId="27679603"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352F35A"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126" w:type="dxa"/>
            <w:tcBorders>
              <w:top w:val="nil"/>
              <w:left w:val="nil"/>
              <w:bottom w:val="nil"/>
              <w:right w:val="nil"/>
            </w:tcBorders>
          </w:tcPr>
          <w:p w14:paraId="504EB669"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color w:val="000000"/>
                <w:sz w:val="14"/>
                <w:szCs w:val="14"/>
              </w:rPr>
            </w:pPr>
            <w:r w:rsidRPr="00B84B0C">
              <w:rPr>
                <w:rFonts w:cs="Arial"/>
                <w:b/>
                <w:color w:val="000000"/>
                <w:sz w:val="14"/>
                <w:szCs w:val="14"/>
              </w:rPr>
              <w:t xml:space="preserve"> 22,008 </w:t>
            </w:r>
          </w:p>
        </w:tc>
        <w:tc>
          <w:tcPr>
            <w:tcW w:w="2234" w:type="dxa"/>
            <w:tcBorders>
              <w:top w:val="nil"/>
              <w:left w:val="nil"/>
              <w:bottom w:val="nil"/>
              <w:right w:val="nil"/>
            </w:tcBorders>
            <w:vAlign w:val="center"/>
          </w:tcPr>
          <w:p w14:paraId="76B8B79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color w:val="000000"/>
                <w:sz w:val="14"/>
                <w:szCs w:val="14"/>
              </w:rPr>
              <w:t xml:space="preserve">       24,263 </w:t>
            </w:r>
          </w:p>
        </w:tc>
      </w:tr>
      <w:tr w:rsidR="00736E78" w:rsidRPr="00B84B0C" w14:paraId="5594D13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BF2C4A2"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3B6E68F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 xml:space="preserve"> --   </w:t>
            </w:r>
          </w:p>
        </w:tc>
        <w:tc>
          <w:tcPr>
            <w:tcW w:w="2234" w:type="dxa"/>
            <w:tcBorders>
              <w:top w:val="nil"/>
              <w:left w:val="nil"/>
              <w:bottom w:val="nil"/>
              <w:right w:val="nil"/>
            </w:tcBorders>
            <w:vAlign w:val="center"/>
          </w:tcPr>
          <w:p w14:paraId="15BED8EE"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w:t>
            </w:r>
          </w:p>
        </w:tc>
      </w:tr>
      <w:tr w:rsidR="00736E78" w:rsidRPr="00B84B0C" w14:paraId="75558763"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492B1202"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126" w:type="dxa"/>
            <w:tcBorders>
              <w:top w:val="nil"/>
              <w:left w:val="nil"/>
              <w:bottom w:val="nil"/>
              <w:right w:val="nil"/>
            </w:tcBorders>
          </w:tcPr>
          <w:p w14:paraId="145EA73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bCs/>
                <w:color w:val="000000"/>
                <w:sz w:val="14"/>
                <w:szCs w:val="14"/>
              </w:rPr>
              <w:t xml:space="preserve"> 13,248 </w:t>
            </w:r>
          </w:p>
        </w:tc>
        <w:tc>
          <w:tcPr>
            <w:tcW w:w="2234" w:type="dxa"/>
            <w:tcBorders>
              <w:top w:val="nil"/>
              <w:left w:val="nil"/>
              <w:bottom w:val="nil"/>
              <w:right w:val="nil"/>
            </w:tcBorders>
            <w:vAlign w:val="center"/>
          </w:tcPr>
          <w:p w14:paraId="0E412C84"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 xml:space="preserve"> 15,827,00 </w:t>
            </w:r>
          </w:p>
        </w:tc>
      </w:tr>
      <w:tr w:rsidR="00736E78" w:rsidRPr="00B84B0C" w14:paraId="35048CDC"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D37CD15"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10C3A308"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bCs/>
                <w:color w:val="000000"/>
                <w:sz w:val="14"/>
                <w:szCs w:val="14"/>
              </w:rPr>
              <w:t xml:space="preserve"> 8,760 </w:t>
            </w:r>
          </w:p>
        </w:tc>
        <w:tc>
          <w:tcPr>
            <w:tcW w:w="2234" w:type="dxa"/>
            <w:tcBorders>
              <w:top w:val="nil"/>
              <w:left w:val="nil"/>
              <w:bottom w:val="nil"/>
              <w:right w:val="nil"/>
            </w:tcBorders>
            <w:vAlign w:val="center"/>
          </w:tcPr>
          <w:p w14:paraId="3C521BE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xml:space="preserve">    8,436,00 </w:t>
            </w:r>
          </w:p>
        </w:tc>
      </w:tr>
      <w:tr w:rsidR="00736E78" w:rsidRPr="00B84B0C" w14:paraId="3593E69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A9CB302"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126" w:type="dxa"/>
            <w:tcBorders>
              <w:top w:val="nil"/>
              <w:left w:val="nil"/>
              <w:bottom w:val="nil"/>
              <w:right w:val="nil"/>
            </w:tcBorders>
          </w:tcPr>
          <w:p w14:paraId="388C1A76"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color w:val="000000"/>
                <w:sz w:val="14"/>
                <w:szCs w:val="14"/>
              </w:rPr>
              <w:t xml:space="preserve"> 2,668 </w:t>
            </w:r>
          </w:p>
        </w:tc>
        <w:tc>
          <w:tcPr>
            <w:tcW w:w="2234" w:type="dxa"/>
            <w:tcBorders>
              <w:top w:val="nil"/>
              <w:left w:val="nil"/>
              <w:bottom w:val="nil"/>
              <w:right w:val="nil"/>
            </w:tcBorders>
            <w:vAlign w:val="center"/>
          </w:tcPr>
          <w:p w14:paraId="71DFE65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bCs/>
                <w:color w:val="000000"/>
                <w:sz w:val="14"/>
                <w:szCs w:val="14"/>
              </w:rPr>
              <w:t xml:space="preserve">          2,391 </w:t>
            </w:r>
          </w:p>
        </w:tc>
      </w:tr>
      <w:tr w:rsidR="00736E78" w:rsidRPr="00B84B0C" w14:paraId="3BCB846D"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60283E1"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298A11BA"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color w:val="000000"/>
                <w:sz w:val="14"/>
                <w:szCs w:val="14"/>
              </w:rPr>
              <w:t xml:space="preserve"> --   </w:t>
            </w:r>
          </w:p>
        </w:tc>
        <w:tc>
          <w:tcPr>
            <w:tcW w:w="2234" w:type="dxa"/>
            <w:tcBorders>
              <w:top w:val="nil"/>
              <w:left w:val="nil"/>
              <w:bottom w:val="nil"/>
              <w:right w:val="nil"/>
            </w:tcBorders>
            <w:vAlign w:val="center"/>
          </w:tcPr>
          <w:p w14:paraId="30D6CEE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color w:val="000000"/>
                <w:sz w:val="14"/>
                <w:szCs w:val="14"/>
              </w:rPr>
              <w:t>--</w:t>
            </w:r>
          </w:p>
        </w:tc>
      </w:tr>
      <w:tr w:rsidR="00736E78" w:rsidRPr="00B84B0C" w14:paraId="5C744FA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09A418A7"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126" w:type="dxa"/>
            <w:tcBorders>
              <w:top w:val="nil"/>
              <w:left w:val="nil"/>
              <w:bottom w:val="nil"/>
              <w:right w:val="nil"/>
            </w:tcBorders>
          </w:tcPr>
          <w:p w14:paraId="775263F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color w:val="000000"/>
                <w:sz w:val="14"/>
                <w:szCs w:val="14"/>
              </w:rPr>
              <w:t xml:space="preserve"> --   </w:t>
            </w:r>
          </w:p>
        </w:tc>
        <w:tc>
          <w:tcPr>
            <w:tcW w:w="2234" w:type="dxa"/>
            <w:tcBorders>
              <w:top w:val="nil"/>
              <w:left w:val="nil"/>
              <w:bottom w:val="nil"/>
              <w:right w:val="nil"/>
            </w:tcBorders>
            <w:vAlign w:val="center"/>
          </w:tcPr>
          <w:p w14:paraId="2ED27F8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 --</w:t>
            </w:r>
          </w:p>
        </w:tc>
      </w:tr>
      <w:tr w:rsidR="00736E78" w:rsidRPr="00B84B0C" w14:paraId="412917E8"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52107DE"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Other non-</w:t>
            </w:r>
            <w:proofErr w:type="spellStart"/>
            <w:r w:rsidRPr="00B84B0C">
              <w:rPr>
                <w:rFonts w:cs="Arial"/>
                <w:b w:val="0"/>
                <w:color w:val="auto"/>
                <w:szCs w:val="14"/>
              </w:rPr>
              <w:t>current</w:t>
            </w:r>
            <w:proofErr w:type="spellEnd"/>
            <w:r w:rsidRPr="00B84B0C">
              <w:rPr>
                <w:rFonts w:cs="Arial"/>
                <w:b w:val="0"/>
                <w:color w:val="auto"/>
                <w:szCs w:val="14"/>
              </w:rPr>
              <w:t xml:space="preserve">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0F37CB0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color w:val="000000"/>
                <w:sz w:val="14"/>
                <w:szCs w:val="14"/>
              </w:rPr>
              <w:t xml:space="preserve"> 2,668 </w:t>
            </w:r>
          </w:p>
        </w:tc>
        <w:tc>
          <w:tcPr>
            <w:tcW w:w="2234" w:type="dxa"/>
            <w:tcBorders>
              <w:top w:val="nil"/>
              <w:left w:val="nil"/>
              <w:bottom w:val="nil"/>
              <w:right w:val="nil"/>
            </w:tcBorders>
            <w:vAlign w:val="center"/>
          </w:tcPr>
          <w:p w14:paraId="6A75B83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xml:space="preserve">          2,391 </w:t>
            </w:r>
          </w:p>
        </w:tc>
      </w:tr>
      <w:tr w:rsidR="00736E78" w:rsidRPr="00B84B0C" w14:paraId="389FAD8E"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086F7C5"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Adjusted</w:t>
            </w:r>
            <w:proofErr w:type="spellEnd"/>
            <w:r w:rsidRPr="00B84B0C">
              <w:rPr>
                <w:rFonts w:cs="Arial"/>
                <w:color w:val="auto"/>
                <w:szCs w:val="14"/>
              </w:rPr>
              <w:t xml:space="preserve"> net </w:t>
            </w:r>
            <w:proofErr w:type="spellStart"/>
            <w:r w:rsidRPr="00B84B0C">
              <w:rPr>
                <w:rFonts w:cs="Arial"/>
                <w:color w:val="auto"/>
                <w:szCs w:val="14"/>
              </w:rPr>
              <w:t>equity</w:t>
            </w:r>
            <w:proofErr w:type="spellEnd"/>
          </w:p>
        </w:tc>
        <w:tc>
          <w:tcPr>
            <w:tcW w:w="2126" w:type="dxa"/>
            <w:tcBorders>
              <w:top w:val="nil"/>
              <w:left w:val="nil"/>
              <w:bottom w:val="nil"/>
              <w:right w:val="nil"/>
            </w:tcBorders>
          </w:tcPr>
          <w:p w14:paraId="34DC2E43"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bCs/>
                <w:color w:val="000000"/>
                <w:sz w:val="14"/>
                <w:szCs w:val="14"/>
              </w:rPr>
              <w:t xml:space="preserve"> 23,350 </w:t>
            </w:r>
          </w:p>
        </w:tc>
        <w:tc>
          <w:tcPr>
            <w:tcW w:w="2234" w:type="dxa"/>
            <w:tcBorders>
              <w:top w:val="nil"/>
              <w:left w:val="nil"/>
              <w:bottom w:val="nil"/>
              <w:right w:val="nil"/>
            </w:tcBorders>
            <w:vAlign w:val="center"/>
          </w:tcPr>
          <w:p w14:paraId="7DE7972E"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bCs/>
                <w:sz w:val="14"/>
                <w:szCs w:val="14"/>
              </w:rPr>
              <w:t xml:space="preserve">       17,173 </w:t>
            </w:r>
          </w:p>
        </w:tc>
      </w:tr>
      <w:tr w:rsidR="00736E78" w:rsidRPr="00B84B0C" w14:paraId="31E1A5D1"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0D20583"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Attributable</w:t>
            </w:r>
            <w:proofErr w:type="spellEnd"/>
            <w:r w:rsidRPr="00B84B0C">
              <w:rPr>
                <w:rFonts w:cs="Arial"/>
                <w:b w:val="0"/>
                <w:color w:val="auto"/>
                <w:szCs w:val="14"/>
              </w:rPr>
              <w:t xml:space="preserve"> </w:t>
            </w:r>
            <w:proofErr w:type="spellStart"/>
            <w:r w:rsidRPr="00B84B0C">
              <w:rPr>
                <w:rFonts w:cs="Arial"/>
                <w:b w:val="0"/>
                <w:color w:val="auto"/>
                <w:szCs w:val="14"/>
              </w:rPr>
              <w:t>to</w:t>
            </w:r>
            <w:proofErr w:type="spellEnd"/>
            <w:r w:rsidRPr="00B84B0C">
              <w:rPr>
                <w:rFonts w:cs="Arial"/>
                <w:b w:val="0"/>
                <w:color w:val="auto"/>
                <w:szCs w:val="14"/>
              </w:rPr>
              <w:t xml:space="preserve"> BB Seguridade</w:t>
            </w:r>
          </w:p>
        </w:tc>
        <w:tc>
          <w:tcPr>
            <w:tcW w:w="2126" w:type="dxa"/>
            <w:tcBorders>
              <w:top w:val="nil"/>
              <w:left w:val="nil"/>
              <w:bottom w:val="nil"/>
              <w:right w:val="nil"/>
            </w:tcBorders>
          </w:tcPr>
          <w:p w14:paraId="742A6620"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color w:val="000000"/>
                <w:sz w:val="14"/>
                <w:szCs w:val="14"/>
              </w:rPr>
              <w:t xml:space="preserve"> 17,512 </w:t>
            </w:r>
          </w:p>
        </w:tc>
        <w:tc>
          <w:tcPr>
            <w:tcW w:w="2234" w:type="dxa"/>
            <w:tcBorders>
              <w:top w:val="nil"/>
              <w:left w:val="nil"/>
              <w:bottom w:val="nil"/>
              <w:right w:val="nil"/>
            </w:tcBorders>
            <w:vAlign w:val="center"/>
          </w:tcPr>
          <w:p w14:paraId="199CDD47"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 xml:space="preserve">       12,880 </w:t>
            </w:r>
          </w:p>
        </w:tc>
      </w:tr>
      <w:tr w:rsidR="00736E78" w:rsidRPr="00B84B0C" w14:paraId="2EA22B56"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38A2FF2B" w14:textId="77777777" w:rsidR="00736E78" w:rsidRPr="00B84B0C" w:rsidRDefault="00736E78" w:rsidP="00736E78">
            <w:pPr>
              <w:keepNext/>
              <w:keepLines/>
              <w:spacing w:before="40" w:after="40"/>
              <w:rPr>
                <w:rFonts w:eastAsia="Times New Roman" w:cs="Arial"/>
                <w:spacing w:val="-2"/>
                <w:sz w:val="14"/>
                <w:szCs w:val="14"/>
              </w:rPr>
            </w:pPr>
            <w:r w:rsidRPr="00B84B0C">
              <w:rPr>
                <w:rFonts w:eastAsia="Times New Roman" w:cs="Arial"/>
                <w:spacing w:val="-2"/>
                <w:sz w:val="14"/>
                <w:szCs w:val="14"/>
              </w:rPr>
              <w:t xml:space="preserve">Book balance </w:t>
            </w:r>
            <w:proofErr w:type="spellStart"/>
            <w:r w:rsidRPr="00B84B0C">
              <w:rPr>
                <w:rFonts w:eastAsia="Times New Roman" w:cs="Arial"/>
                <w:spacing w:val="-2"/>
                <w:sz w:val="14"/>
                <w:szCs w:val="14"/>
              </w:rPr>
              <w:t>of</w:t>
            </w:r>
            <w:proofErr w:type="spellEnd"/>
            <w:r w:rsidRPr="00B84B0C">
              <w:rPr>
                <w:rFonts w:eastAsia="Times New Roman" w:cs="Arial"/>
                <w:spacing w:val="-2"/>
                <w:sz w:val="14"/>
                <w:szCs w:val="14"/>
              </w:rPr>
              <w:t xml:space="preserve"> </w:t>
            </w:r>
            <w:proofErr w:type="spellStart"/>
            <w:r w:rsidRPr="00B84B0C">
              <w:rPr>
                <w:rFonts w:eastAsia="Times New Roman" w:cs="Arial"/>
                <w:spacing w:val="-2"/>
                <w:sz w:val="14"/>
                <w:szCs w:val="14"/>
              </w:rPr>
              <w:t>investment</w:t>
            </w:r>
            <w:proofErr w:type="spellEnd"/>
          </w:p>
        </w:tc>
        <w:tc>
          <w:tcPr>
            <w:tcW w:w="2126" w:type="dxa"/>
            <w:tcBorders>
              <w:top w:val="nil"/>
              <w:left w:val="nil"/>
              <w:bottom w:val="single" w:sz="2" w:space="0" w:color="8EAADB" w:themeColor="accent5" w:themeTint="99"/>
              <w:right w:val="nil"/>
            </w:tcBorders>
          </w:tcPr>
          <w:p w14:paraId="6023EFF5"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bCs/>
                <w:color w:val="000000"/>
                <w:sz w:val="14"/>
                <w:szCs w:val="14"/>
              </w:rPr>
              <w:t xml:space="preserve"> 17,512 </w:t>
            </w:r>
          </w:p>
        </w:tc>
        <w:tc>
          <w:tcPr>
            <w:tcW w:w="2234" w:type="dxa"/>
            <w:tcBorders>
              <w:top w:val="nil"/>
              <w:left w:val="nil"/>
              <w:bottom w:val="single" w:sz="2" w:space="0" w:color="8EAADB" w:themeColor="accent5" w:themeTint="99"/>
              <w:right w:val="nil"/>
            </w:tcBorders>
            <w:vAlign w:val="center"/>
          </w:tcPr>
          <w:p w14:paraId="5DB973F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bCs/>
                <w:sz w:val="14"/>
                <w:szCs w:val="14"/>
              </w:rPr>
              <w:t xml:space="preserve">       12,880 </w:t>
            </w:r>
          </w:p>
        </w:tc>
      </w:tr>
    </w:tbl>
    <w:p w14:paraId="30EC4A6A" w14:textId="77777777" w:rsidR="00736E78" w:rsidRPr="00B84B0C" w:rsidRDefault="00736E78" w:rsidP="00736E78">
      <w:pPr>
        <w:spacing w:after="0" w:line="240" w:lineRule="auto"/>
        <w:rPr>
          <w:rFonts w:eastAsia="Times New Roman" w:cs="Arial"/>
          <w:b/>
          <w:color w:val="1F4E79" w:themeColor="accent1" w:themeShade="80"/>
          <w:spacing w:val="-2"/>
          <w:szCs w:val="20"/>
          <w:lang w:eastAsia="pt-BR"/>
        </w:rPr>
      </w:pPr>
    </w:p>
    <w:p w14:paraId="73EF9A5F" w14:textId="77777777" w:rsidR="00736E78" w:rsidRPr="00B84B0C" w:rsidRDefault="00736E78" w:rsidP="00736E78">
      <w:pPr>
        <w:pStyle w:val="03-SubttulodeNota"/>
        <w:rPr>
          <w:rFonts w:cs="Arial"/>
          <w:color w:val="1F4E79" w:themeColor="accent1" w:themeShade="80"/>
        </w:rPr>
      </w:pPr>
      <w:r w:rsidRPr="00B84B0C">
        <w:rPr>
          <w:rFonts w:cs="Arial"/>
          <w:color w:val="1F4E79" w:themeColor="accent1" w:themeShade="80"/>
        </w:rPr>
        <w:t xml:space="preserve">e.6) BB Corretora de Seguros e Adm. de Bens - </w:t>
      </w:r>
      <w:proofErr w:type="spellStart"/>
      <w:r w:rsidRPr="00B84B0C">
        <w:rPr>
          <w:rFonts w:cs="Arial"/>
          <w:color w:val="1F4E79" w:themeColor="accent1" w:themeShade="80"/>
        </w:rPr>
        <w:t>Brokerage</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Segment</w:t>
      </w:r>
      <w:proofErr w:type="spellEnd"/>
    </w:p>
    <w:p w14:paraId="4A0234DC"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6A195F8F"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51B2A99F" w14:textId="77777777" w:rsidR="00736E78" w:rsidRPr="00B84B0C" w:rsidRDefault="00736E78" w:rsidP="00736E78">
            <w:pPr>
              <w:rPr>
                <w:rFonts w:cs="Arial"/>
                <w:sz w:val="14"/>
                <w:szCs w:val="14"/>
              </w:rPr>
            </w:pPr>
            <w:r w:rsidRPr="00B84B0C">
              <w:rPr>
                <w:rFonts w:cs="Arial"/>
                <w:sz w:val="14"/>
                <w:szCs w:val="14"/>
              </w:rPr>
              <w:t>BB Corretora de Seguros e Adm. de Bens</w:t>
            </w:r>
          </w:p>
        </w:tc>
        <w:tc>
          <w:tcPr>
            <w:tcW w:w="2126" w:type="dxa"/>
            <w:tcBorders>
              <w:top w:val="single" w:sz="2" w:space="0" w:color="8EAADB" w:themeColor="accent5" w:themeTint="99"/>
              <w:bottom w:val="single" w:sz="2" w:space="0" w:color="8EAADB" w:themeColor="accent5" w:themeTint="99"/>
            </w:tcBorders>
            <w:vAlign w:val="center"/>
            <w:hideMark/>
          </w:tcPr>
          <w:p w14:paraId="4E222076"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eastAsia="Times New Roman" w:cs="Arial"/>
                <w:spacing w:val="-2"/>
                <w:sz w:val="14"/>
                <w:szCs w:val="14"/>
              </w:rPr>
              <w:t>Mar 31, 2020</w:t>
            </w:r>
          </w:p>
        </w:tc>
        <w:tc>
          <w:tcPr>
            <w:tcW w:w="2234" w:type="dxa"/>
            <w:tcBorders>
              <w:top w:val="single" w:sz="2" w:space="0" w:color="8EAADB" w:themeColor="accent5" w:themeTint="99"/>
              <w:bottom w:val="single" w:sz="2" w:space="0" w:color="8EAADB" w:themeColor="accent5" w:themeTint="99"/>
            </w:tcBorders>
            <w:vAlign w:val="center"/>
            <w:hideMark/>
          </w:tcPr>
          <w:p w14:paraId="0E4437B2"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Dec</w:t>
            </w:r>
            <w:proofErr w:type="spellEnd"/>
            <w:r w:rsidRPr="00B84B0C">
              <w:rPr>
                <w:rFonts w:cs="Arial"/>
                <w:sz w:val="14"/>
                <w:szCs w:val="14"/>
              </w:rPr>
              <w:t xml:space="preserve"> 31, 2019</w:t>
            </w:r>
          </w:p>
        </w:tc>
      </w:tr>
      <w:tr w:rsidR="00736E78" w:rsidRPr="00B84B0C" w14:paraId="5044D5EF"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6A73DE1E" w14:textId="77777777" w:rsidR="00736E78" w:rsidRPr="00B84B0C" w:rsidRDefault="00736E78" w:rsidP="00736E78">
            <w:pPr>
              <w:pStyle w:val="08-Tabelageral"/>
              <w:jc w:val="left"/>
              <w:rPr>
                <w:rFonts w:cs="Arial"/>
              </w:rPr>
            </w:pPr>
            <w:proofErr w:type="spellStart"/>
            <w:r w:rsidRPr="00B84B0C">
              <w:rPr>
                <w:rFonts w:cs="Arial"/>
              </w:rPr>
              <w:t>Current</w:t>
            </w:r>
            <w:proofErr w:type="spellEnd"/>
            <w:r w:rsidRPr="00B84B0C">
              <w:rPr>
                <w:rFonts w:cs="Arial"/>
              </w:rPr>
              <w:t xml:space="preserve"> </w:t>
            </w:r>
            <w:proofErr w:type="spellStart"/>
            <w:r w:rsidRPr="00B84B0C">
              <w:rPr>
                <w:rFonts w:cs="Arial"/>
              </w:rPr>
              <w:t>assets</w:t>
            </w:r>
            <w:proofErr w:type="spellEnd"/>
          </w:p>
        </w:tc>
        <w:tc>
          <w:tcPr>
            <w:tcW w:w="2126" w:type="dxa"/>
            <w:tcBorders>
              <w:top w:val="single" w:sz="2" w:space="0" w:color="8EAADB" w:themeColor="accent5" w:themeTint="99"/>
              <w:left w:val="nil"/>
              <w:bottom w:val="nil"/>
              <w:right w:val="nil"/>
            </w:tcBorders>
            <w:vAlign w:val="center"/>
          </w:tcPr>
          <w:p w14:paraId="7A1D17AF"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B84B0C">
              <w:rPr>
                <w:rFonts w:eastAsia="Times New Roman" w:cs="Arial"/>
                <w:b/>
                <w:bCs/>
                <w:color w:val="000000"/>
                <w:sz w:val="14"/>
                <w:szCs w:val="14"/>
              </w:rPr>
              <w:t>1,633,186</w:t>
            </w:r>
          </w:p>
        </w:tc>
        <w:tc>
          <w:tcPr>
            <w:tcW w:w="2234" w:type="dxa"/>
            <w:tcBorders>
              <w:top w:val="single" w:sz="2" w:space="0" w:color="8EAADB" w:themeColor="accent5" w:themeTint="99"/>
              <w:left w:val="nil"/>
              <w:bottom w:val="nil"/>
              <w:right w:val="nil"/>
            </w:tcBorders>
            <w:vAlign w:val="center"/>
          </w:tcPr>
          <w:p w14:paraId="49229F44"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eastAsia="Times New Roman" w:cs="Arial"/>
                <w:b/>
                <w:bCs/>
                <w:color w:val="000000"/>
                <w:sz w:val="14"/>
                <w:szCs w:val="14"/>
              </w:rPr>
              <w:t>2,753,321</w:t>
            </w:r>
          </w:p>
        </w:tc>
      </w:tr>
      <w:tr w:rsidR="00736E78" w:rsidRPr="00B84B0C" w14:paraId="3C742374"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BD010AE" w14:textId="77777777" w:rsidR="00736E78" w:rsidRPr="00B84B0C" w:rsidRDefault="00736E78" w:rsidP="00736E78">
            <w:pPr>
              <w:pStyle w:val="08-Tabelageral"/>
              <w:jc w:val="left"/>
              <w:rPr>
                <w:rFonts w:cs="Arial"/>
                <w:b w:val="0"/>
              </w:rPr>
            </w:pPr>
            <w:r w:rsidRPr="00B84B0C">
              <w:rPr>
                <w:rFonts w:cs="Arial"/>
                <w:b w:val="0"/>
              </w:rPr>
              <w:t xml:space="preserve">Cash </w:t>
            </w:r>
            <w:proofErr w:type="spellStart"/>
            <w:r w:rsidRPr="00B84B0C">
              <w:rPr>
                <w:rFonts w:cs="Arial"/>
                <w:b w:val="0"/>
              </w:rPr>
              <w:t>and</w:t>
            </w:r>
            <w:proofErr w:type="spellEnd"/>
            <w:r w:rsidRPr="00B84B0C">
              <w:rPr>
                <w:rFonts w:cs="Arial"/>
                <w:b w:val="0"/>
              </w:rPr>
              <w:t xml:space="preserve"> cash </w:t>
            </w:r>
            <w:proofErr w:type="spellStart"/>
            <w:r w:rsidRPr="00B84B0C">
              <w:rPr>
                <w:rFonts w:cs="Arial"/>
                <w:b w:val="0"/>
              </w:rPr>
              <w:t>equivalents</w:t>
            </w:r>
            <w:proofErr w:type="spellEnd"/>
          </w:p>
        </w:tc>
        <w:tc>
          <w:tcPr>
            <w:tcW w:w="2126" w:type="dxa"/>
            <w:tcBorders>
              <w:top w:val="nil"/>
              <w:left w:val="nil"/>
              <w:bottom w:val="nil"/>
              <w:right w:val="nil"/>
            </w:tcBorders>
            <w:vAlign w:val="center"/>
          </w:tcPr>
          <w:p w14:paraId="781CE1C3"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439,472</w:t>
            </w:r>
          </w:p>
        </w:tc>
        <w:tc>
          <w:tcPr>
            <w:tcW w:w="2234" w:type="dxa"/>
            <w:tcBorders>
              <w:top w:val="nil"/>
              <w:left w:val="nil"/>
              <w:bottom w:val="nil"/>
              <w:right w:val="nil"/>
            </w:tcBorders>
            <w:vAlign w:val="center"/>
          </w:tcPr>
          <w:p w14:paraId="070DEE1B"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1,453,569</w:t>
            </w:r>
          </w:p>
        </w:tc>
      </w:tr>
      <w:tr w:rsidR="00736E78" w:rsidRPr="00B84B0C" w14:paraId="38BBF47A"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tcPr>
          <w:p w14:paraId="4E80E1F8" w14:textId="77777777" w:rsidR="00736E78" w:rsidRPr="00B84B0C" w:rsidRDefault="00736E78" w:rsidP="00736E78">
            <w:pPr>
              <w:pStyle w:val="08-Tabelageral"/>
              <w:jc w:val="left"/>
              <w:rPr>
                <w:rFonts w:cs="Arial"/>
              </w:rPr>
            </w:pPr>
            <w:r w:rsidRPr="00B84B0C">
              <w:rPr>
                <w:rFonts w:cs="Arial"/>
                <w:b w:val="0"/>
              </w:rPr>
              <w:t xml:space="preserve">Financial </w:t>
            </w:r>
            <w:proofErr w:type="spellStart"/>
            <w:r w:rsidRPr="00B84B0C">
              <w:rPr>
                <w:rFonts w:cs="Arial"/>
                <w:b w:val="0"/>
              </w:rPr>
              <w:t>applications</w:t>
            </w:r>
            <w:proofErr w:type="spellEnd"/>
          </w:p>
        </w:tc>
        <w:tc>
          <w:tcPr>
            <w:tcW w:w="2126" w:type="dxa"/>
            <w:tcBorders>
              <w:top w:val="nil"/>
              <w:left w:val="nil"/>
              <w:bottom w:val="nil"/>
              <w:right w:val="nil"/>
            </w:tcBorders>
            <w:vAlign w:val="center"/>
          </w:tcPr>
          <w:p w14:paraId="4169D63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435,939</w:t>
            </w:r>
          </w:p>
        </w:tc>
        <w:tc>
          <w:tcPr>
            <w:tcW w:w="2234" w:type="dxa"/>
            <w:tcBorders>
              <w:top w:val="nil"/>
              <w:left w:val="nil"/>
              <w:bottom w:val="nil"/>
              <w:right w:val="nil"/>
            </w:tcBorders>
            <w:vAlign w:val="center"/>
          </w:tcPr>
          <w:p w14:paraId="144BBDC5"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286,301</w:t>
            </w:r>
          </w:p>
        </w:tc>
      </w:tr>
      <w:tr w:rsidR="00736E78" w:rsidRPr="00B84B0C" w14:paraId="37193B9A"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D9EB1DB" w14:textId="77777777" w:rsidR="00736E78" w:rsidRPr="00B84B0C" w:rsidRDefault="00736E78" w:rsidP="00736E78">
            <w:pPr>
              <w:pStyle w:val="08-Tabelageral"/>
              <w:jc w:val="left"/>
              <w:rPr>
                <w:rFonts w:cs="Arial"/>
                <w:b w:val="0"/>
                <w:bCs w:val="0"/>
              </w:rPr>
            </w:pPr>
            <w:proofErr w:type="spellStart"/>
            <w:r w:rsidRPr="00B84B0C">
              <w:rPr>
                <w:rFonts w:cs="Arial"/>
                <w:b w:val="0"/>
                <w:bCs w:val="0"/>
              </w:rPr>
              <w:t>Commissions</w:t>
            </w:r>
            <w:proofErr w:type="spellEnd"/>
            <w:r w:rsidRPr="00B84B0C">
              <w:rPr>
                <w:rFonts w:cs="Arial"/>
                <w:b w:val="0"/>
                <w:bCs w:val="0"/>
              </w:rPr>
              <w:t xml:space="preserve"> </w:t>
            </w:r>
            <w:proofErr w:type="spellStart"/>
            <w:r w:rsidRPr="00B84B0C">
              <w:rPr>
                <w:rFonts w:cs="Arial"/>
                <w:b w:val="0"/>
                <w:bCs w:val="0"/>
              </w:rPr>
              <w:t>receivable</w:t>
            </w:r>
            <w:proofErr w:type="spellEnd"/>
          </w:p>
        </w:tc>
        <w:tc>
          <w:tcPr>
            <w:tcW w:w="2126" w:type="dxa"/>
            <w:tcBorders>
              <w:top w:val="nil"/>
              <w:left w:val="nil"/>
              <w:bottom w:val="nil"/>
              <w:right w:val="nil"/>
            </w:tcBorders>
            <w:vAlign w:val="center"/>
          </w:tcPr>
          <w:p w14:paraId="6C19E79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662,137</w:t>
            </w:r>
          </w:p>
        </w:tc>
        <w:tc>
          <w:tcPr>
            <w:tcW w:w="2234" w:type="dxa"/>
            <w:tcBorders>
              <w:top w:val="nil"/>
              <w:left w:val="nil"/>
              <w:bottom w:val="nil"/>
              <w:right w:val="nil"/>
            </w:tcBorders>
            <w:vAlign w:val="center"/>
          </w:tcPr>
          <w:p w14:paraId="38D74FB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996,720</w:t>
            </w:r>
          </w:p>
        </w:tc>
      </w:tr>
      <w:tr w:rsidR="00736E78" w:rsidRPr="00B84B0C" w14:paraId="0446B65A"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E1057EA" w14:textId="77777777" w:rsidR="00736E78" w:rsidRPr="00B84B0C" w:rsidRDefault="00736E78" w:rsidP="00736E78">
            <w:pPr>
              <w:pStyle w:val="08-Tabelageral"/>
              <w:jc w:val="left"/>
              <w:rPr>
                <w:rFonts w:cs="Arial"/>
                <w:b w:val="0"/>
                <w:bCs w:val="0"/>
              </w:rPr>
            </w:pPr>
            <w:r w:rsidRPr="00B84B0C">
              <w:rPr>
                <w:rFonts w:cs="Arial"/>
                <w:b w:val="0"/>
                <w:bCs w:val="0"/>
              </w:rPr>
              <w:t xml:space="preserve">Other </w:t>
            </w:r>
            <w:proofErr w:type="spellStart"/>
            <w:r w:rsidRPr="00B84B0C">
              <w:rPr>
                <w:rFonts w:cs="Arial"/>
                <w:b w:val="0"/>
                <w:bCs w:val="0"/>
              </w:rPr>
              <w:t>current</w:t>
            </w:r>
            <w:proofErr w:type="spellEnd"/>
            <w:r w:rsidRPr="00B84B0C">
              <w:rPr>
                <w:rFonts w:cs="Arial"/>
                <w:b w:val="0"/>
                <w:bCs w:val="0"/>
              </w:rPr>
              <w:t xml:space="preserve"> </w:t>
            </w:r>
            <w:proofErr w:type="spellStart"/>
            <w:r w:rsidRPr="00B84B0C">
              <w:rPr>
                <w:rFonts w:cs="Arial"/>
                <w:b w:val="0"/>
                <w:bCs w:val="0"/>
              </w:rPr>
              <w:t>assets</w:t>
            </w:r>
            <w:proofErr w:type="spellEnd"/>
          </w:p>
        </w:tc>
        <w:tc>
          <w:tcPr>
            <w:tcW w:w="2126" w:type="dxa"/>
            <w:tcBorders>
              <w:top w:val="nil"/>
              <w:left w:val="nil"/>
              <w:bottom w:val="nil"/>
              <w:right w:val="nil"/>
            </w:tcBorders>
            <w:vAlign w:val="center"/>
          </w:tcPr>
          <w:p w14:paraId="3409851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95,638</w:t>
            </w:r>
          </w:p>
        </w:tc>
        <w:tc>
          <w:tcPr>
            <w:tcW w:w="2234" w:type="dxa"/>
            <w:tcBorders>
              <w:top w:val="nil"/>
              <w:left w:val="nil"/>
              <w:bottom w:val="nil"/>
              <w:right w:val="nil"/>
            </w:tcBorders>
            <w:vAlign w:val="center"/>
          </w:tcPr>
          <w:p w14:paraId="6C43E8CB"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16,731</w:t>
            </w:r>
          </w:p>
        </w:tc>
      </w:tr>
      <w:tr w:rsidR="00736E78" w:rsidRPr="00B84B0C" w14:paraId="27BB3919"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27CE3EE3" w14:textId="77777777" w:rsidR="00736E78" w:rsidRPr="00B84B0C" w:rsidRDefault="00736E78" w:rsidP="00736E78">
            <w:pPr>
              <w:pStyle w:val="08-Tabelageral"/>
              <w:jc w:val="left"/>
              <w:rPr>
                <w:rFonts w:cs="Arial"/>
                <w:bCs w:val="0"/>
              </w:rPr>
            </w:pPr>
            <w:r w:rsidRPr="00B84B0C">
              <w:rPr>
                <w:rFonts w:cs="Arial"/>
                <w:bCs w:val="0"/>
              </w:rPr>
              <w:t>Non-</w:t>
            </w:r>
            <w:proofErr w:type="spellStart"/>
            <w:r w:rsidRPr="00B84B0C">
              <w:rPr>
                <w:rFonts w:cs="Arial"/>
                <w:bCs w:val="0"/>
              </w:rPr>
              <w:t>current</w:t>
            </w:r>
            <w:proofErr w:type="spellEnd"/>
            <w:r w:rsidRPr="00B84B0C">
              <w:rPr>
                <w:rFonts w:cs="Arial"/>
                <w:bCs w:val="0"/>
              </w:rPr>
              <w:t xml:space="preserve"> </w:t>
            </w:r>
            <w:proofErr w:type="spellStart"/>
            <w:r w:rsidRPr="00B84B0C">
              <w:rPr>
                <w:rFonts w:cs="Arial"/>
                <w:bCs w:val="0"/>
              </w:rPr>
              <w:t>assets</w:t>
            </w:r>
            <w:proofErr w:type="spellEnd"/>
          </w:p>
        </w:tc>
        <w:tc>
          <w:tcPr>
            <w:tcW w:w="2126" w:type="dxa"/>
            <w:tcBorders>
              <w:top w:val="nil"/>
              <w:left w:val="nil"/>
              <w:bottom w:val="nil"/>
              <w:right w:val="nil"/>
            </w:tcBorders>
            <w:vAlign w:val="center"/>
          </w:tcPr>
          <w:p w14:paraId="2E4F5A0A"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bCs/>
                <w:sz w:val="14"/>
                <w:szCs w:val="14"/>
              </w:rPr>
              <w:t>1,491,056</w:t>
            </w:r>
          </w:p>
        </w:tc>
        <w:tc>
          <w:tcPr>
            <w:tcW w:w="2234" w:type="dxa"/>
            <w:tcBorders>
              <w:top w:val="nil"/>
              <w:left w:val="nil"/>
              <w:bottom w:val="nil"/>
              <w:right w:val="nil"/>
            </w:tcBorders>
            <w:vAlign w:val="center"/>
          </w:tcPr>
          <w:p w14:paraId="353E07BA"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bCs/>
                <w:sz w:val="14"/>
                <w:szCs w:val="14"/>
              </w:rPr>
              <w:t>1,257,846</w:t>
            </w:r>
          </w:p>
        </w:tc>
      </w:tr>
      <w:tr w:rsidR="00736E78" w:rsidRPr="00B84B0C" w14:paraId="197E5EB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48A3558" w14:textId="77777777" w:rsidR="00736E78" w:rsidRPr="00B84B0C" w:rsidRDefault="00736E78" w:rsidP="00736E78">
            <w:pPr>
              <w:pStyle w:val="08-Tabelageral"/>
              <w:jc w:val="left"/>
              <w:rPr>
                <w:rFonts w:cs="Arial"/>
                <w:b w:val="0"/>
                <w:bCs w:val="0"/>
              </w:rPr>
            </w:pPr>
            <w:r w:rsidRPr="00B84B0C">
              <w:rPr>
                <w:rFonts w:cs="Arial"/>
                <w:b w:val="0"/>
                <w:bCs w:val="0"/>
              </w:rPr>
              <w:t xml:space="preserve">Financial </w:t>
            </w:r>
            <w:proofErr w:type="spellStart"/>
            <w:r w:rsidRPr="00B84B0C">
              <w:rPr>
                <w:rFonts w:cs="Arial"/>
                <w:b w:val="0"/>
                <w:bCs w:val="0"/>
              </w:rPr>
              <w:t>applications</w:t>
            </w:r>
            <w:proofErr w:type="spellEnd"/>
          </w:p>
        </w:tc>
        <w:tc>
          <w:tcPr>
            <w:tcW w:w="2126" w:type="dxa"/>
            <w:tcBorders>
              <w:top w:val="nil"/>
              <w:left w:val="nil"/>
              <w:bottom w:val="nil"/>
              <w:right w:val="nil"/>
            </w:tcBorders>
            <w:vAlign w:val="center"/>
          </w:tcPr>
          <w:p w14:paraId="552D52D3"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Cs/>
                <w:color w:val="000000"/>
                <w:sz w:val="14"/>
                <w:szCs w:val="14"/>
              </w:rPr>
            </w:pPr>
            <w:r w:rsidRPr="00B84B0C">
              <w:rPr>
                <w:rFonts w:cs="Arial"/>
                <w:bCs/>
                <w:color w:val="000000"/>
                <w:sz w:val="14"/>
                <w:szCs w:val="14"/>
              </w:rPr>
              <w:t>753,295</w:t>
            </w:r>
          </w:p>
        </w:tc>
        <w:tc>
          <w:tcPr>
            <w:tcW w:w="2234" w:type="dxa"/>
            <w:tcBorders>
              <w:top w:val="nil"/>
              <w:left w:val="nil"/>
              <w:bottom w:val="nil"/>
              <w:right w:val="nil"/>
            </w:tcBorders>
            <w:vAlign w:val="center"/>
          </w:tcPr>
          <w:p w14:paraId="46CF4B0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bCs/>
                <w:color w:val="000000"/>
                <w:sz w:val="14"/>
                <w:szCs w:val="14"/>
              </w:rPr>
              <w:t>695,039</w:t>
            </w:r>
          </w:p>
        </w:tc>
      </w:tr>
      <w:tr w:rsidR="00736E78" w:rsidRPr="00B84B0C" w14:paraId="0D3ED6FE"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tcPr>
          <w:p w14:paraId="2003EF57" w14:textId="77777777" w:rsidR="00736E78" w:rsidRPr="00B84B0C" w:rsidRDefault="00736E78" w:rsidP="00736E78">
            <w:pPr>
              <w:pStyle w:val="08-Tabelageral"/>
              <w:jc w:val="left"/>
              <w:rPr>
                <w:rFonts w:cs="Arial"/>
              </w:rPr>
            </w:pPr>
            <w:proofErr w:type="spellStart"/>
            <w:r w:rsidRPr="00B84B0C">
              <w:rPr>
                <w:rFonts w:cs="Arial"/>
                <w:b w:val="0"/>
              </w:rPr>
              <w:t>Commissions</w:t>
            </w:r>
            <w:proofErr w:type="spellEnd"/>
            <w:r w:rsidRPr="00B84B0C">
              <w:rPr>
                <w:rFonts w:cs="Arial"/>
                <w:b w:val="0"/>
              </w:rPr>
              <w:t xml:space="preserve"> </w:t>
            </w:r>
            <w:proofErr w:type="spellStart"/>
            <w:r w:rsidRPr="00B84B0C">
              <w:rPr>
                <w:rFonts w:cs="Arial"/>
                <w:b w:val="0"/>
              </w:rPr>
              <w:t>receivable</w:t>
            </w:r>
            <w:proofErr w:type="spellEnd"/>
          </w:p>
        </w:tc>
        <w:tc>
          <w:tcPr>
            <w:tcW w:w="2126" w:type="dxa"/>
            <w:tcBorders>
              <w:top w:val="nil"/>
              <w:left w:val="nil"/>
              <w:bottom w:val="nil"/>
              <w:right w:val="nil"/>
            </w:tcBorders>
            <w:vAlign w:val="center"/>
          </w:tcPr>
          <w:p w14:paraId="5201AF2D"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B84B0C">
              <w:rPr>
                <w:rFonts w:cs="Arial"/>
                <w:sz w:val="14"/>
                <w:szCs w:val="14"/>
              </w:rPr>
              <w:t>509,265</w:t>
            </w:r>
          </w:p>
        </w:tc>
        <w:tc>
          <w:tcPr>
            <w:tcW w:w="2234" w:type="dxa"/>
            <w:tcBorders>
              <w:top w:val="nil"/>
              <w:left w:val="nil"/>
              <w:bottom w:val="nil"/>
              <w:right w:val="nil"/>
            </w:tcBorders>
            <w:vAlign w:val="center"/>
          </w:tcPr>
          <w:p w14:paraId="25AA31A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sz w:val="14"/>
                <w:szCs w:val="14"/>
              </w:rPr>
              <w:t>343,595</w:t>
            </w:r>
          </w:p>
        </w:tc>
      </w:tr>
      <w:tr w:rsidR="00736E78" w:rsidRPr="00B84B0C" w14:paraId="1097AA79"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3ECA7829" w14:textId="77777777" w:rsidR="00736E78" w:rsidRPr="00B84B0C" w:rsidRDefault="00736E78" w:rsidP="00736E78">
            <w:pPr>
              <w:pStyle w:val="08-Tabelageral"/>
              <w:jc w:val="left"/>
              <w:rPr>
                <w:rFonts w:cs="Arial"/>
                <w:b w:val="0"/>
              </w:rPr>
            </w:pPr>
            <w:r w:rsidRPr="00B84B0C">
              <w:rPr>
                <w:rFonts w:cs="Arial"/>
                <w:b w:val="0"/>
              </w:rPr>
              <w:t>Other non-</w:t>
            </w: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assets</w:t>
            </w:r>
            <w:proofErr w:type="spellEnd"/>
          </w:p>
        </w:tc>
        <w:tc>
          <w:tcPr>
            <w:tcW w:w="2126" w:type="dxa"/>
            <w:tcBorders>
              <w:top w:val="nil"/>
              <w:left w:val="nil"/>
              <w:bottom w:val="nil"/>
              <w:right w:val="nil"/>
            </w:tcBorders>
            <w:vAlign w:val="center"/>
          </w:tcPr>
          <w:p w14:paraId="787084F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228,496</w:t>
            </w:r>
          </w:p>
        </w:tc>
        <w:tc>
          <w:tcPr>
            <w:tcW w:w="2234" w:type="dxa"/>
            <w:tcBorders>
              <w:top w:val="nil"/>
              <w:left w:val="nil"/>
              <w:bottom w:val="nil"/>
              <w:right w:val="nil"/>
            </w:tcBorders>
            <w:vAlign w:val="center"/>
          </w:tcPr>
          <w:p w14:paraId="0FAA3A9F"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219,212</w:t>
            </w:r>
          </w:p>
        </w:tc>
      </w:tr>
      <w:tr w:rsidR="00736E78" w:rsidRPr="00B84B0C" w14:paraId="1D61735F"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2573AD17" w14:textId="77777777" w:rsidR="00736E78" w:rsidRPr="00B84B0C" w:rsidRDefault="00736E78" w:rsidP="00736E78">
            <w:pPr>
              <w:pStyle w:val="08-Tabelageral"/>
              <w:jc w:val="left"/>
              <w:rPr>
                <w:rFonts w:cs="Arial"/>
              </w:rPr>
            </w:pPr>
            <w:proofErr w:type="spellStart"/>
            <w:r w:rsidRPr="00B84B0C">
              <w:rPr>
                <w:rFonts w:cs="Arial"/>
              </w:rPr>
              <w:t>Current</w:t>
            </w:r>
            <w:proofErr w:type="spellEnd"/>
            <w:r w:rsidRPr="00B84B0C">
              <w:rPr>
                <w:rFonts w:cs="Arial"/>
              </w:rPr>
              <w:t xml:space="preserve"> </w:t>
            </w:r>
            <w:proofErr w:type="spellStart"/>
            <w:r w:rsidRPr="00B84B0C">
              <w:rPr>
                <w:rFonts w:cs="Arial"/>
              </w:rPr>
              <w:t>liabilities</w:t>
            </w:r>
            <w:proofErr w:type="spellEnd"/>
          </w:p>
        </w:tc>
        <w:tc>
          <w:tcPr>
            <w:tcW w:w="2126" w:type="dxa"/>
            <w:tcBorders>
              <w:top w:val="nil"/>
              <w:left w:val="nil"/>
              <w:bottom w:val="nil"/>
              <w:right w:val="nil"/>
            </w:tcBorders>
            <w:vAlign w:val="center"/>
          </w:tcPr>
          <w:p w14:paraId="61C4099F"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1,292,045</w:t>
            </w:r>
          </w:p>
        </w:tc>
        <w:tc>
          <w:tcPr>
            <w:tcW w:w="2234" w:type="dxa"/>
            <w:tcBorders>
              <w:top w:val="nil"/>
              <w:left w:val="nil"/>
              <w:bottom w:val="nil"/>
              <w:right w:val="nil"/>
            </w:tcBorders>
            <w:vAlign w:val="center"/>
          </w:tcPr>
          <w:p w14:paraId="38B1F06E"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sz w:val="14"/>
                <w:szCs w:val="14"/>
              </w:rPr>
              <w:t>2,731,240</w:t>
            </w:r>
          </w:p>
        </w:tc>
      </w:tr>
      <w:tr w:rsidR="00736E78" w:rsidRPr="00B84B0C" w14:paraId="5359114A"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E93BAF6" w14:textId="77777777" w:rsidR="00736E78" w:rsidRPr="00B84B0C" w:rsidRDefault="00736E78" w:rsidP="00736E78">
            <w:pPr>
              <w:pStyle w:val="08-Tabelageral"/>
              <w:jc w:val="left"/>
              <w:rPr>
                <w:rFonts w:cs="Arial"/>
                <w:b w:val="0"/>
                <w:bCs w:val="0"/>
              </w:rPr>
            </w:pPr>
            <w:proofErr w:type="spellStart"/>
            <w:r w:rsidRPr="00B84B0C">
              <w:rPr>
                <w:rFonts w:cs="Arial"/>
                <w:b w:val="0"/>
                <w:bCs w:val="0"/>
              </w:rPr>
              <w:t>Dividends</w:t>
            </w:r>
            <w:proofErr w:type="spellEnd"/>
            <w:r w:rsidRPr="00B84B0C">
              <w:rPr>
                <w:rFonts w:cs="Arial"/>
                <w:b w:val="0"/>
                <w:bCs w:val="0"/>
              </w:rPr>
              <w:t xml:space="preserve"> </w:t>
            </w:r>
            <w:proofErr w:type="spellStart"/>
            <w:r w:rsidRPr="00B84B0C">
              <w:rPr>
                <w:rFonts w:cs="Arial"/>
                <w:b w:val="0"/>
                <w:bCs w:val="0"/>
              </w:rPr>
              <w:t>payable</w:t>
            </w:r>
            <w:proofErr w:type="spellEnd"/>
          </w:p>
        </w:tc>
        <w:tc>
          <w:tcPr>
            <w:tcW w:w="2126" w:type="dxa"/>
            <w:tcBorders>
              <w:top w:val="nil"/>
              <w:left w:val="nil"/>
              <w:bottom w:val="nil"/>
              <w:right w:val="nil"/>
            </w:tcBorders>
            <w:vAlign w:val="center"/>
          </w:tcPr>
          <w:p w14:paraId="447832BA"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Cs/>
                <w:color w:val="000000"/>
                <w:sz w:val="14"/>
                <w:szCs w:val="14"/>
              </w:rPr>
            </w:pPr>
            <w:r w:rsidRPr="00B84B0C">
              <w:rPr>
                <w:rFonts w:cs="Arial"/>
                <w:bCs/>
                <w:color w:val="000000"/>
                <w:sz w:val="14"/>
                <w:szCs w:val="14"/>
              </w:rPr>
              <w:t>--</w:t>
            </w:r>
          </w:p>
        </w:tc>
        <w:tc>
          <w:tcPr>
            <w:tcW w:w="2234" w:type="dxa"/>
            <w:tcBorders>
              <w:top w:val="nil"/>
              <w:left w:val="nil"/>
              <w:bottom w:val="nil"/>
              <w:right w:val="nil"/>
            </w:tcBorders>
            <w:vAlign w:val="center"/>
          </w:tcPr>
          <w:p w14:paraId="523EEEB9"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bCs/>
                <w:color w:val="000000"/>
                <w:sz w:val="14"/>
                <w:szCs w:val="14"/>
              </w:rPr>
              <w:t>1,031,794</w:t>
            </w:r>
          </w:p>
        </w:tc>
      </w:tr>
      <w:tr w:rsidR="00736E78" w:rsidRPr="00B84B0C" w14:paraId="1F451016"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AF914CF" w14:textId="77777777" w:rsidR="00736E78" w:rsidRPr="00B84B0C" w:rsidRDefault="00736E78" w:rsidP="00736E78">
            <w:pPr>
              <w:pStyle w:val="08-Tabelageral"/>
              <w:jc w:val="left"/>
              <w:rPr>
                <w:rFonts w:cs="Arial"/>
                <w:b w:val="0"/>
                <w:bCs w:val="0"/>
              </w:rPr>
            </w:pPr>
            <w:proofErr w:type="spellStart"/>
            <w:r w:rsidRPr="00B84B0C">
              <w:rPr>
                <w:rFonts w:cs="Arial"/>
                <w:b w:val="0"/>
                <w:bCs w:val="0"/>
              </w:rPr>
              <w:t>Unearned</w:t>
            </w:r>
            <w:proofErr w:type="spellEnd"/>
            <w:r w:rsidRPr="00B84B0C">
              <w:rPr>
                <w:rFonts w:cs="Arial"/>
                <w:b w:val="0"/>
                <w:bCs w:val="0"/>
              </w:rPr>
              <w:t xml:space="preserve"> </w:t>
            </w:r>
            <w:proofErr w:type="spellStart"/>
            <w:r w:rsidRPr="00B84B0C">
              <w:rPr>
                <w:rFonts w:cs="Arial"/>
                <w:b w:val="0"/>
                <w:bCs w:val="0"/>
              </w:rPr>
              <w:t>commissions</w:t>
            </w:r>
            <w:proofErr w:type="spellEnd"/>
          </w:p>
        </w:tc>
        <w:tc>
          <w:tcPr>
            <w:tcW w:w="2126" w:type="dxa"/>
            <w:tcBorders>
              <w:top w:val="nil"/>
              <w:left w:val="nil"/>
              <w:bottom w:val="nil"/>
              <w:right w:val="nil"/>
            </w:tcBorders>
            <w:vAlign w:val="center"/>
          </w:tcPr>
          <w:p w14:paraId="60A00344"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Cs/>
                <w:color w:val="000000"/>
                <w:sz w:val="14"/>
                <w:szCs w:val="14"/>
              </w:rPr>
            </w:pPr>
            <w:r w:rsidRPr="00B84B0C">
              <w:rPr>
                <w:rFonts w:cs="Arial"/>
                <w:bCs/>
                <w:color w:val="000000"/>
                <w:sz w:val="14"/>
                <w:szCs w:val="14"/>
              </w:rPr>
              <w:t>949,137</w:t>
            </w:r>
          </w:p>
        </w:tc>
        <w:tc>
          <w:tcPr>
            <w:tcW w:w="2234" w:type="dxa"/>
            <w:tcBorders>
              <w:top w:val="nil"/>
              <w:left w:val="nil"/>
              <w:bottom w:val="nil"/>
              <w:right w:val="nil"/>
            </w:tcBorders>
            <w:vAlign w:val="center"/>
          </w:tcPr>
          <w:p w14:paraId="75AA3F2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bCs/>
                <w:color w:val="000000"/>
                <w:sz w:val="14"/>
                <w:szCs w:val="14"/>
              </w:rPr>
              <w:t>993,057</w:t>
            </w:r>
          </w:p>
        </w:tc>
      </w:tr>
      <w:tr w:rsidR="00736E78" w:rsidRPr="00B84B0C" w14:paraId="0D0EA2F0"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786E4E6" w14:textId="77777777" w:rsidR="00736E78" w:rsidRPr="00B84B0C" w:rsidRDefault="00736E78" w:rsidP="00736E78">
            <w:pPr>
              <w:pStyle w:val="08-Tabelageral"/>
              <w:jc w:val="left"/>
              <w:rPr>
                <w:rFonts w:cs="Arial"/>
                <w:b w:val="0"/>
                <w:bCs w:val="0"/>
              </w:rPr>
            </w:pPr>
            <w:r w:rsidRPr="00B84B0C">
              <w:rPr>
                <w:rFonts w:cs="Arial"/>
                <w:b w:val="0"/>
                <w:bCs w:val="0"/>
              </w:rPr>
              <w:t xml:space="preserve">Other </w:t>
            </w:r>
            <w:proofErr w:type="spellStart"/>
            <w:r w:rsidRPr="00B84B0C">
              <w:rPr>
                <w:rFonts w:cs="Arial"/>
                <w:b w:val="0"/>
                <w:bCs w:val="0"/>
              </w:rPr>
              <w:t>liabilities</w:t>
            </w:r>
            <w:proofErr w:type="spellEnd"/>
          </w:p>
        </w:tc>
        <w:tc>
          <w:tcPr>
            <w:tcW w:w="2126" w:type="dxa"/>
            <w:tcBorders>
              <w:top w:val="nil"/>
              <w:left w:val="nil"/>
              <w:bottom w:val="nil"/>
              <w:right w:val="nil"/>
            </w:tcBorders>
            <w:vAlign w:val="center"/>
          </w:tcPr>
          <w:p w14:paraId="4D081B47"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B0C">
              <w:rPr>
                <w:rFonts w:cs="Arial"/>
                <w:sz w:val="14"/>
                <w:szCs w:val="14"/>
              </w:rPr>
              <w:t>342,908</w:t>
            </w:r>
          </w:p>
        </w:tc>
        <w:tc>
          <w:tcPr>
            <w:tcW w:w="2234" w:type="dxa"/>
            <w:tcBorders>
              <w:top w:val="nil"/>
              <w:left w:val="nil"/>
              <w:bottom w:val="nil"/>
              <w:right w:val="nil"/>
            </w:tcBorders>
            <w:vAlign w:val="center"/>
          </w:tcPr>
          <w:p w14:paraId="4B0B56D2"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sz w:val="14"/>
                <w:szCs w:val="14"/>
              </w:rPr>
              <w:t>706,389</w:t>
            </w:r>
          </w:p>
        </w:tc>
      </w:tr>
      <w:tr w:rsidR="00736E78" w:rsidRPr="00B84B0C" w14:paraId="51886A42"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058D9334" w14:textId="77777777" w:rsidR="00736E78" w:rsidRPr="00B84B0C" w:rsidRDefault="00736E78" w:rsidP="00736E78">
            <w:pPr>
              <w:pStyle w:val="08-Tabelageral"/>
              <w:jc w:val="left"/>
              <w:rPr>
                <w:rFonts w:cs="Arial"/>
              </w:rPr>
            </w:pPr>
            <w:r w:rsidRPr="00B84B0C">
              <w:rPr>
                <w:rFonts w:cs="Arial"/>
              </w:rPr>
              <w:t>Non-</w:t>
            </w:r>
            <w:proofErr w:type="spellStart"/>
            <w:r w:rsidRPr="00B84B0C">
              <w:rPr>
                <w:rFonts w:cs="Arial"/>
              </w:rPr>
              <w:t>current</w:t>
            </w:r>
            <w:proofErr w:type="spellEnd"/>
            <w:r w:rsidRPr="00B84B0C">
              <w:rPr>
                <w:rFonts w:cs="Arial"/>
              </w:rPr>
              <w:t xml:space="preserve"> </w:t>
            </w:r>
            <w:proofErr w:type="spellStart"/>
            <w:r w:rsidRPr="00B84B0C">
              <w:rPr>
                <w:rFonts w:cs="Arial"/>
              </w:rPr>
              <w:t>liabilities</w:t>
            </w:r>
            <w:proofErr w:type="spellEnd"/>
          </w:p>
        </w:tc>
        <w:tc>
          <w:tcPr>
            <w:tcW w:w="2126" w:type="dxa"/>
            <w:tcBorders>
              <w:top w:val="nil"/>
              <w:left w:val="nil"/>
              <w:bottom w:val="nil"/>
              <w:right w:val="nil"/>
            </w:tcBorders>
            <w:vAlign w:val="center"/>
          </w:tcPr>
          <w:p w14:paraId="2354E658"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sz w:val="14"/>
                <w:szCs w:val="14"/>
              </w:rPr>
            </w:pPr>
            <w:r w:rsidRPr="00B84B0C">
              <w:rPr>
                <w:rFonts w:cs="Arial"/>
                <w:b/>
                <w:sz w:val="14"/>
                <w:szCs w:val="14"/>
              </w:rPr>
              <w:t>1,307,157</w:t>
            </w:r>
          </w:p>
        </w:tc>
        <w:tc>
          <w:tcPr>
            <w:tcW w:w="2234" w:type="dxa"/>
            <w:tcBorders>
              <w:top w:val="nil"/>
              <w:left w:val="nil"/>
              <w:bottom w:val="nil"/>
              <w:right w:val="nil"/>
            </w:tcBorders>
            <w:vAlign w:val="center"/>
          </w:tcPr>
          <w:p w14:paraId="0B157725"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sz w:val="14"/>
                <w:szCs w:val="14"/>
              </w:rPr>
              <w:t>1,233,019</w:t>
            </w:r>
          </w:p>
        </w:tc>
      </w:tr>
      <w:tr w:rsidR="00736E78" w:rsidRPr="00B84B0C" w14:paraId="6B5D906E"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79613912" w14:textId="77777777" w:rsidR="00736E78" w:rsidRPr="00B84B0C" w:rsidRDefault="00736E78" w:rsidP="00736E78">
            <w:pPr>
              <w:pStyle w:val="08-Tabelageral"/>
              <w:jc w:val="left"/>
              <w:rPr>
                <w:rFonts w:cs="Arial"/>
                <w:b w:val="0"/>
              </w:rPr>
            </w:pPr>
            <w:proofErr w:type="spellStart"/>
            <w:r w:rsidRPr="00B84B0C">
              <w:rPr>
                <w:rFonts w:cs="Arial"/>
                <w:b w:val="0"/>
              </w:rPr>
              <w:t>Unearned</w:t>
            </w:r>
            <w:proofErr w:type="spellEnd"/>
            <w:r w:rsidRPr="00B84B0C">
              <w:rPr>
                <w:rFonts w:cs="Arial"/>
                <w:b w:val="0"/>
              </w:rPr>
              <w:t xml:space="preserve"> </w:t>
            </w:r>
            <w:proofErr w:type="spellStart"/>
            <w:r w:rsidRPr="00B84B0C">
              <w:rPr>
                <w:rFonts w:cs="Arial"/>
                <w:b w:val="0"/>
              </w:rPr>
              <w:t>commissions</w:t>
            </w:r>
            <w:proofErr w:type="spellEnd"/>
          </w:p>
        </w:tc>
        <w:tc>
          <w:tcPr>
            <w:tcW w:w="2126" w:type="dxa"/>
            <w:tcBorders>
              <w:top w:val="nil"/>
              <w:left w:val="nil"/>
              <w:bottom w:val="nil"/>
              <w:right w:val="nil"/>
            </w:tcBorders>
            <w:vAlign w:val="center"/>
          </w:tcPr>
          <w:p w14:paraId="21D7523D"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sidRPr="00B84B0C">
              <w:rPr>
                <w:rFonts w:cs="Arial"/>
                <w:bCs/>
                <w:sz w:val="14"/>
                <w:szCs w:val="14"/>
              </w:rPr>
              <w:t>1,301,691</w:t>
            </w:r>
          </w:p>
        </w:tc>
        <w:tc>
          <w:tcPr>
            <w:tcW w:w="2234" w:type="dxa"/>
            <w:tcBorders>
              <w:top w:val="nil"/>
              <w:left w:val="nil"/>
              <w:bottom w:val="nil"/>
              <w:right w:val="nil"/>
            </w:tcBorders>
            <w:vAlign w:val="center"/>
          </w:tcPr>
          <w:p w14:paraId="5C7ABACF"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B84B0C">
              <w:rPr>
                <w:rFonts w:cs="Arial"/>
                <w:bCs/>
                <w:sz w:val="14"/>
                <w:szCs w:val="14"/>
              </w:rPr>
              <w:t>1,226,955</w:t>
            </w:r>
          </w:p>
        </w:tc>
      </w:tr>
      <w:tr w:rsidR="00736E78" w:rsidRPr="00B84B0C" w14:paraId="3DE2673C"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vAlign w:val="center"/>
            <w:hideMark/>
          </w:tcPr>
          <w:p w14:paraId="7F7AC81D" w14:textId="77777777" w:rsidR="00736E78" w:rsidRPr="00B84B0C" w:rsidRDefault="00736E78" w:rsidP="00736E78">
            <w:pPr>
              <w:pStyle w:val="08-Tabelageral"/>
              <w:jc w:val="left"/>
              <w:rPr>
                <w:rFonts w:cs="Arial"/>
                <w:b w:val="0"/>
              </w:rPr>
            </w:pPr>
            <w:r w:rsidRPr="00B84B0C">
              <w:rPr>
                <w:rFonts w:cs="Arial"/>
                <w:b w:val="0"/>
              </w:rPr>
              <w:t>Other non-</w:t>
            </w:r>
            <w:proofErr w:type="spellStart"/>
            <w:r w:rsidRPr="00B84B0C">
              <w:rPr>
                <w:rFonts w:cs="Arial"/>
                <w:b w:val="0"/>
              </w:rPr>
              <w:t>current</w:t>
            </w:r>
            <w:proofErr w:type="spellEnd"/>
            <w:r w:rsidRPr="00B84B0C">
              <w:rPr>
                <w:rFonts w:cs="Arial"/>
                <w:b w:val="0"/>
              </w:rPr>
              <w:t xml:space="preserve"> </w:t>
            </w:r>
            <w:proofErr w:type="spellStart"/>
            <w:r w:rsidRPr="00B84B0C">
              <w:rPr>
                <w:rFonts w:cs="Arial"/>
                <w:b w:val="0"/>
              </w:rPr>
              <w:t>liabilities</w:t>
            </w:r>
            <w:proofErr w:type="spellEnd"/>
          </w:p>
        </w:tc>
        <w:tc>
          <w:tcPr>
            <w:tcW w:w="2126" w:type="dxa"/>
            <w:tcBorders>
              <w:top w:val="nil"/>
              <w:left w:val="nil"/>
              <w:bottom w:val="nil"/>
              <w:right w:val="nil"/>
            </w:tcBorders>
            <w:vAlign w:val="center"/>
          </w:tcPr>
          <w:p w14:paraId="245BFFFD"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Cs/>
                <w:sz w:val="14"/>
                <w:szCs w:val="14"/>
              </w:rPr>
            </w:pPr>
            <w:r w:rsidRPr="00B84B0C">
              <w:rPr>
                <w:rFonts w:cs="Arial"/>
                <w:bCs/>
                <w:sz w:val="14"/>
                <w:szCs w:val="14"/>
              </w:rPr>
              <w:t>5,466</w:t>
            </w:r>
          </w:p>
        </w:tc>
        <w:tc>
          <w:tcPr>
            <w:tcW w:w="2234" w:type="dxa"/>
            <w:tcBorders>
              <w:top w:val="nil"/>
              <w:left w:val="nil"/>
              <w:bottom w:val="nil"/>
              <w:right w:val="nil"/>
            </w:tcBorders>
            <w:vAlign w:val="center"/>
          </w:tcPr>
          <w:p w14:paraId="787865B2"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B84B0C">
              <w:rPr>
                <w:rFonts w:cs="Arial"/>
                <w:bCs/>
                <w:sz w:val="14"/>
                <w:szCs w:val="14"/>
              </w:rPr>
              <w:t>6,064</w:t>
            </w:r>
          </w:p>
        </w:tc>
      </w:tr>
      <w:tr w:rsidR="00736E78" w:rsidRPr="00B84B0C" w14:paraId="71306C10"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19F2F28" w14:textId="77777777" w:rsidR="00736E78" w:rsidRPr="00B84B0C" w:rsidRDefault="00736E78" w:rsidP="00736E78">
            <w:pPr>
              <w:pStyle w:val="08-Tabelageral"/>
              <w:jc w:val="left"/>
              <w:rPr>
                <w:rFonts w:cs="Arial"/>
                <w:bCs w:val="0"/>
              </w:rPr>
            </w:pPr>
            <w:proofErr w:type="spellStart"/>
            <w:r w:rsidRPr="00B84B0C">
              <w:rPr>
                <w:rFonts w:cs="Arial"/>
                <w:bCs w:val="0"/>
              </w:rPr>
              <w:t>Adjusted</w:t>
            </w:r>
            <w:proofErr w:type="spellEnd"/>
            <w:r w:rsidRPr="00B84B0C">
              <w:rPr>
                <w:rFonts w:cs="Arial"/>
                <w:bCs w:val="0"/>
              </w:rPr>
              <w:t xml:space="preserve"> net </w:t>
            </w:r>
            <w:proofErr w:type="spellStart"/>
            <w:r w:rsidRPr="00B84B0C">
              <w:rPr>
                <w:rFonts w:cs="Arial"/>
                <w:bCs w:val="0"/>
              </w:rPr>
              <w:t>equity</w:t>
            </w:r>
            <w:proofErr w:type="spellEnd"/>
          </w:p>
        </w:tc>
        <w:tc>
          <w:tcPr>
            <w:tcW w:w="2126" w:type="dxa"/>
            <w:tcBorders>
              <w:top w:val="nil"/>
              <w:left w:val="nil"/>
              <w:bottom w:val="nil"/>
              <w:right w:val="nil"/>
            </w:tcBorders>
            <w:vAlign w:val="center"/>
          </w:tcPr>
          <w:p w14:paraId="42E0DA83"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4B0C">
              <w:rPr>
                <w:rFonts w:cs="Arial"/>
                <w:b/>
                <w:bCs/>
                <w:sz w:val="14"/>
                <w:szCs w:val="14"/>
              </w:rPr>
              <w:t>525,040</w:t>
            </w:r>
          </w:p>
        </w:tc>
        <w:tc>
          <w:tcPr>
            <w:tcW w:w="2234" w:type="dxa"/>
            <w:tcBorders>
              <w:top w:val="nil"/>
              <w:left w:val="nil"/>
              <w:bottom w:val="nil"/>
              <w:right w:val="nil"/>
            </w:tcBorders>
            <w:vAlign w:val="center"/>
          </w:tcPr>
          <w:p w14:paraId="472BAA4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84B0C">
              <w:rPr>
                <w:rFonts w:cs="Arial"/>
                <w:b/>
                <w:bCs/>
                <w:sz w:val="14"/>
                <w:szCs w:val="14"/>
              </w:rPr>
              <w:t>46,908</w:t>
            </w:r>
          </w:p>
        </w:tc>
      </w:tr>
      <w:tr w:rsidR="00736E78" w:rsidRPr="00B84B0C" w14:paraId="306BBBA9"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69AE8ED5" w14:textId="77777777" w:rsidR="00736E78" w:rsidRPr="00B84B0C" w:rsidRDefault="00736E78" w:rsidP="00736E78">
            <w:pPr>
              <w:pStyle w:val="08-Tabelageral"/>
              <w:jc w:val="left"/>
              <w:rPr>
                <w:rFonts w:cs="Arial"/>
                <w:bCs w:val="0"/>
              </w:rPr>
            </w:pPr>
            <w:r w:rsidRPr="00B84B0C">
              <w:rPr>
                <w:rFonts w:cs="Arial"/>
                <w:bCs w:val="0"/>
              </w:rPr>
              <w:t xml:space="preserve">Book balance </w:t>
            </w:r>
            <w:proofErr w:type="spellStart"/>
            <w:r w:rsidRPr="00B84B0C">
              <w:rPr>
                <w:rFonts w:cs="Arial"/>
                <w:bCs w:val="0"/>
              </w:rPr>
              <w:t>of</w:t>
            </w:r>
            <w:proofErr w:type="spellEnd"/>
            <w:r w:rsidRPr="00B84B0C">
              <w:rPr>
                <w:rFonts w:cs="Arial"/>
                <w:bCs w:val="0"/>
              </w:rPr>
              <w:t xml:space="preserve"> </w:t>
            </w:r>
            <w:proofErr w:type="spellStart"/>
            <w:r w:rsidRPr="00B84B0C">
              <w:rPr>
                <w:rFonts w:cs="Arial"/>
                <w:bCs w:val="0"/>
              </w:rPr>
              <w:t>investment</w:t>
            </w:r>
            <w:proofErr w:type="spellEnd"/>
          </w:p>
        </w:tc>
        <w:tc>
          <w:tcPr>
            <w:tcW w:w="2126" w:type="dxa"/>
            <w:tcBorders>
              <w:top w:val="nil"/>
              <w:left w:val="nil"/>
              <w:bottom w:val="single" w:sz="2" w:space="0" w:color="8EAADB" w:themeColor="accent5" w:themeTint="99"/>
              <w:right w:val="nil"/>
            </w:tcBorders>
            <w:vAlign w:val="center"/>
          </w:tcPr>
          <w:p w14:paraId="68AA664E"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B0C">
              <w:rPr>
                <w:rFonts w:cs="Arial"/>
                <w:b/>
                <w:bCs/>
                <w:sz w:val="14"/>
                <w:szCs w:val="14"/>
              </w:rPr>
              <w:t>525,040</w:t>
            </w:r>
          </w:p>
        </w:tc>
        <w:tc>
          <w:tcPr>
            <w:tcW w:w="2234" w:type="dxa"/>
            <w:tcBorders>
              <w:top w:val="nil"/>
              <w:left w:val="nil"/>
              <w:bottom w:val="single" w:sz="2" w:space="0" w:color="8EAADB" w:themeColor="accent5" w:themeTint="99"/>
              <w:right w:val="nil"/>
            </w:tcBorders>
            <w:vAlign w:val="center"/>
          </w:tcPr>
          <w:p w14:paraId="6C23B1D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4"/>
              </w:rPr>
            </w:pPr>
            <w:r w:rsidRPr="00B84B0C">
              <w:rPr>
                <w:rFonts w:cs="Arial"/>
                <w:b/>
                <w:bCs/>
                <w:sz w:val="14"/>
                <w:szCs w:val="14"/>
              </w:rPr>
              <w:t>46,908</w:t>
            </w:r>
          </w:p>
        </w:tc>
      </w:tr>
    </w:tbl>
    <w:p w14:paraId="300B21C8" w14:textId="77777777" w:rsidR="00736E78" w:rsidRPr="00B84B0C" w:rsidRDefault="00736E78" w:rsidP="00736E78">
      <w:pPr>
        <w:spacing w:after="0" w:line="240" w:lineRule="auto"/>
        <w:rPr>
          <w:rFonts w:cs="Arial"/>
          <w:lang w:eastAsia="pt-BR"/>
        </w:rPr>
      </w:pPr>
    </w:p>
    <w:p w14:paraId="361BB1E6" w14:textId="77777777" w:rsidR="00736E78" w:rsidRPr="00B84B0C" w:rsidRDefault="00736E78" w:rsidP="00736E78">
      <w:pPr>
        <w:keepNext/>
        <w:keepLines/>
        <w:pageBreakBefore/>
        <w:spacing w:after="0" w:line="240" w:lineRule="auto"/>
        <w:rPr>
          <w:rFonts w:eastAsia="Times New Roman" w:cs="Arial"/>
          <w:b/>
          <w:color w:val="1F4E79" w:themeColor="accent1" w:themeShade="80"/>
          <w:spacing w:val="-2"/>
          <w:sz w:val="20"/>
          <w:szCs w:val="20"/>
          <w:lang w:eastAsia="pt-BR"/>
        </w:rPr>
      </w:pPr>
      <w:r w:rsidRPr="00B84B0C">
        <w:rPr>
          <w:rFonts w:eastAsia="Times New Roman" w:cs="Arial"/>
          <w:b/>
          <w:color w:val="1F4E79" w:themeColor="accent1" w:themeShade="80"/>
          <w:spacing w:val="-2"/>
          <w:sz w:val="20"/>
          <w:szCs w:val="20"/>
          <w:lang w:eastAsia="pt-BR"/>
        </w:rPr>
        <w:lastRenderedPageBreak/>
        <w:t xml:space="preserve">e.7) </w:t>
      </w:r>
      <w:proofErr w:type="spellStart"/>
      <w:r w:rsidRPr="00B84B0C">
        <w:rPr>
          <w:rFonts w:eastAsia="Times New Roman" w:cs="Arial"/>
          <w:b/>
          <w:color w:val="1F4E79" w:themeColor="accent1" w:themeShade="80"/>
          <w:spacing w:val="-2"/>
          <w:sz w:val="20"/>
          <w:szCs w:val="20"/>
          <w:lang w:eastAsia="pt-BR"/>
        </w:rPr>
        <w:t>Ciclic</w:t>
      </w:r>
      <w:proofErr w:type="spellEnd"/>
      <w:r w:rsidRPr="00B84B0C">
        <w:rPr>
          <w:rFonts w:eastAsia="Times New Roman" w:cs="Arial"/>
          <w:b/>
          <w:color w:val="1F4E79" w:themeColor="accent1" w:themeShade="80"/>
          <w:spacing w:val="-2"/>
          <w:sz w:val="20"/>
          <w:szCs w:val="20"/>
          <w:lang w:eastAsia="pt-BR"/>
        </w:rPr>
        <w:t xml:space="preserve"> Corretora de Seguros</w:t>
      </w:r>
    </w:p>
    <w:p w14:paraId="5F849FE4" w14:textId="77777777" w:rsidR="00736E78" w:rsidRPr="00B84B0C" w:rsidRDefault="00736E78" w:rsidP="00736E78">
      <w:pPr>
        <w:spacing w:before="240"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5279"/>
        <w:gridCol w:w="2126"/>
        <w:gridCol w:w="2234"/>
      </w:tblGrid>
      <w:tr w:rsidR="00736E78" w:rsidRPr="00B84B0C" w14:paraId="7307F568" w14:textId="77777777" w:rsidTr="00736E78">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bottom w:val="single" w:sz="2" w:space="0" w:color="8EAADB" w:themeColor="accent5" w:themeTint="99"/>
            </w:tcBorders>
            <w:vAlign w:val="center"/>
            <w:hideMark/>
          </w:tcPr>
          <w:p w14:paraId="7DF6D7C6" w14:textId="77777777" w:rsidR="00736E78" w:rsidRPr="00B84B0C" w:rsidRDefault="00736E78" w:rsidP="00736E78">
            <w:pPr>
              <w:rPr>
                <w:rFonts w:cs="Arial"/>
                <w:sz w:val="14"/>
                <w:szCs w:val="14"/>
              </w:rPr>
            </w:pPr>
            <w:proofErr w:type="spellStart"/>
            <w:r w:rsidRPr="00B84B0C">
              <w:rPr>
                <w:rFonts w:cs="Arial"/>
                <w:sz w:val="14"/>
                <w:szCs w:val="14"/>
              </w:rPr>
              <w:t>Ciclic</w:t>
            </w:r>
            <w:proofErr w:type="spellEnd"/>
            <w:r w:rsidRPr="00B84B0C">
              <w:rPr>
                <w:rFonts w:cs="Arial"/>
                <w:sz w:val="14"/>
                <w:szCs w:val="14"/>
              </w:rPr>
              <w:t xml:space="preserve"> Corretora de Seguros S.A.</w:t>
            </w:r>
          </w:p>
        </w:tc>
        <w:tc>
          <w:tcPr>
            <w:tcW w:w="2126" w:type="dxa"/>
            <w:tcBorders>
              <w:top w:val="single" w:sz="2" w:space="0" w:color="8EAADB" w:themeColor="accent5" w:themeTint="99"/>
              <w:bottom w:val="single" w:sz="2" w:space="0" w:color="8EAADB" w:themeColor="accent5" w:themeTint="99"/>
            </w:tcBorders>
            <w:vAlign w:val="center"/>
            <w:hideMark/>
          </w:tcPr>
          <w:p w14:paraId="01C0C0FE"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eastAsia="Times New Roman" w:cs="Arial"/>
                <w:spacing w:val="-2"/>
                <w:sz w:val="14"/>
                <w:szCs w:val="14"/>
              </w:rPr>
              <w:t>Mar 31, 2020</w:t>
            </w:r>
          </w:p>
        </w:tc>
        <w:tc>
          <w:tcPr>
            <w:tcW w:w="2234" w:type="dxa"/>
            <w:tcBorders>
              <w:top w:val="single" w:sz="2" w:space="0" w:color="8EAADB" w:themeColor="accent5" w:themeTint="99"/>
              <w:bottom w:val="single" w:sz="2" w:space="0" w:color="8EAADB" w:themeColor="accent5" w:themeTint="99"/>
            </w:tcBorders>
            <w:vAlign w:val="center"/>
            <w:hideMark/>
          </w:tcPr>
          <w:p w14:paraId="5AB87FB4" w14:textId="77777777" w:rsidR="00736E78" w:rsidRPr="00B84B0C" w:rsidRDefault="00736E78" w:rsidP="00736E78">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Dec</w:t>
            </w:r>
            <w:proofErr w:type="spellEnd"/>
            <w:r w:rsidRPr="00B84B0C">
              <w:rPr>
                <w:rFonts w:cs="Arial"/>
                <w:sz w:val="14"/>
                <w:szCs w:val="14"/>
              </w:rPr>
              <w:t xml:space="preserve"> 31, 2019</w:t>
            </w:r>
          </w:p>
        </w:tc>
      </w:tr>
      <w:tr w:rsidR="00736E78" w:rsidRPr="00B84B0C" w14:paraId="32EDD2D7"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single" w:sz="2" w:space="0" w:color="8EAADB" w:themeColor="accent5" w:themeTint="99"/>
              <w:left w:val="nil"/>
              <w:bottom w:val="nil"/>
              <w:right w:val="nil"/>
            </w:tcBorders>
            <w:hideMark/>
          </w:tcPr>
          <w:p w14:paraId="135E7F89"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126" w:type="dxa"/>
            <w:tcBorders>
              <w:top w:val="single" w:sz="2" w:space="0" w:color="8EAADB" w:themeColor="accent5" w:themeTint="99"/>
              <w:left w:val="nil"/>
              <w:bottom w:val="nil"/>
              <w:right w:val="nil"/>
            </w:tcBorders>
          </w:tcPr>
          <w:p w14:paraId="2B4F5BD9"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B84B0C">
              <w:rPr>
                <w:rFonts w:cs="Arial"/>
                <w:b/>
                <w:bCs/>
                <w:color w:val="000000"/>
                <w:sz w:val="14"/>
                <w:szCs w:val="14"/>
              </w:rPr>
              <w:t>20,950</w:t>
            </w:r>
          </w:p>
        </w:tc>
        <w:tc>
          <w:tcPr>
            <w:tcW w:w="2234" w:type="dxa"/>
            <w:tcBorders>
              <w:top w:val="single" w:sz="2" w:space="0" w:color="8EAADB" w:themeColor="accent5" w:themeTint="99"/>
              <w:left w:val="nil"/>
              <w:bottom w:val="nil"/>
              <w:right w:val="nil"/>
            </w:tcBorders>
            <w:vAlign w:val="center"/>
          </w:tcPr>
          <w:p w14:paraId="1E836CB3"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10,507</w:t>
            </w:r>
          </w:p>
        </w:tc>
      </w:tr>
      <w:tr w:rsidR="00736E78" w:rsidRPr="00B84B0C" w14:paraId="2B496775"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68BE4457"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Cash </w:t>
            </w:r>
            <w:proofErr w:type="spellStart"/>
            <w:r w:rsidRPr="00B84B0C">
              <w:rPr>
                <w:rFonts w:cs="Arial"/>
                <w:b w:val="0"/>
                <w:color w:val="auto"/>
                <w:szCs w:val="14"/>
              </w:rPr>
              <w:t>and</w:t>
            </w:r>
            <w:proofErr w:type="spellEnd"/>
            <w:r w:rsidRPr="00B84B0C">
              <w:rPr>
                <w:rFonts w:cs="Arial"/>
                <w:b w:val="0"/>
                <w:color w:val="auto"/>
                <w:szCs w:val="14"/>
              </w:rPr>
              <w:t xml:space="preserve"> cash </w:t>
            </w:r>
            <w:proofErr w:type="spellStart"/>
            <w:r w:rsidRPr="00B84B0C">
              <w:rPr>
                <w:rFonts w:cs="Arial"/>
                <w:b w:val="0"/>
                <w:color w:val="auto"/>
                <w:szCs w:val="14"/>
              </w:rPr>
              <w:t>equivalents</w:t>
            </w:r>
            <w:proofErr w:type="spellEnd"/>
          </w:p>
        </w:tc>
        <w:tc>
          <w:tcPr>
            <w:tcW w:w="2126" w:type="dxa"/>
            <w:tcBorders>
              <w:top w:val="nil"/>
              <w:left w:val="nil"/>
              <w:bottom w:val="nil"/>
              <w:right w:val="nil"/>
            </w:tcBorders>
          </w:tcPr>
          <w:p w14:paraId="6650AD52"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bCs/>
                <w:color w:val="000000"/>
                <w:sz w:val="14"/>
                <w:szCs w:val="14"/>
              </w:rPr>
              <w:t>174</w:t>
            </w:r>
          </w:p>
        </w:tc>
        <w:tc>
          <w:tcPr>
            <w:tcW w:w="2234" w:type="dxa"/>
            <w:tcBorders>
              <w:top w:val="nil"/>
              <w:left w:val="nil"/>
              <w:bottom w:val="nil"/>
              <w:right w:val="nil"/>
            </w:tcBorders>
            <w:vAlign w:val="center"/>
          </w:tcPr>
          <w:p w14:paraId="40161C53"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color w:val="000000"/>
                <w:sz w:val="14"/>
                <w:szCs w:val="14"/>
              </w:rPr>
              <w:t>403</w:t>
            </w:r>
          </w:p>
        </w:tc>
      </w:tr>
      <w:tr w:rsidR="00736E78" w:rsidRPr="00B84B0C" w14:paraId="0EA39FA2"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A12BC09"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applications</w:t>
            </w:r>
            <w:proofErr w:type="spellEnd"/>
          </w:p>
        </w:tc>
        <w:tc>
          <w:tcPr>
            <w:tcW w:w="2126" w:type="dxa"/>
            <w:tcBorders>
              <w:top w:val="nil"/>
              <w:left w:val="nil"/>
              <w:bottom w:val="nil"/>
              <w:right w:val="nil"/>
            </w:tcBorders>
          </w:tcPr>
          <w:p w14:paraId="7BC47883"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bCs/>
                <w:color w:val="000000"/>
                <w:sz w:val="14"/>
                <w:szCs w:val="14"/>
              </w:rPr>
              <w:t>14,938</w:t>
            </w:r>
          </w:p>
        </w:tc>
        <w:tc>
          <w:tcPr>
            <w:tcW w:w="2234" w:type="dxa"/>
            <w:tcBorders>
              <w:top w:val="nil"/>
              <w:left w:val="nil"/>
              <w:bottom w:val="nil"/>
              <w:right w:val="nil"/>
            </w:tcBorders>
            <w:vAlign w:val="center"/>
          </w:tcPr>
          <w:p w14:paraId="3B50323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color w:val="000000"/>
                <w:sz w:val="14"/>
                <w:szCs w:val="14"/>
              </w:rPr>
              <w:t>5,332</w:t>
            </w:r>
          </w:p>
        </w:tc>
      </w:tr>
      <w:tr w:rsidR="00736E78" w:rsidRPr="00B84B0C" w14:paraId="00F5D321"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62FC50C"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assets</w:t>
            </w:r>
            <w:proofErr w:type="spellEnd"/>
          </w:p>
        </w:tc>
        <w:tc>
          <w:tcPr>
            <w:tcW w:w="2126" w:type="dxa"/>
            <w:tcBorders>
              <w:top w:val="nil"/>
              <w:left w:val="nil"/>
              <w:bottom w:val="nil"/>
              <w:right w:val="nil"/>
            </w:tcBorders>
          </w:tcPr>
          <w:p w14:paraId="61A723DD"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bCs/>
                <w:color w:val="000000"/>
                <w:sz w:val="14"/>
                <w:szCs w:val="14"/>
              </w:rPr>
              <w:t>5,838</w:t>
            </w:r>
          </w:p>
        </w:tc>
        <w:tc>
          <w:tcPr>
            <w:tcW w:w="2234" w:type="dxa"/>
            <w:tcBorders>
              <w:top w:val="nil"/>
              <w:left w:val="nil"/>
              <w:bottom w:val="nil"/>
              <w:right w:val="nil"/>
            </w:tcBorders>
            <w:vAlign w:val="center"/>
          </w:tcPr>
          <w:p w14:paraId="6417D290"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color w:val="000000"/>
                <w:sz w:val="14"/>
                <w:szCs w:val="14"/>
              </w:rPr>
              <w:t>4,772</w:t>
            </w:r>
          </w:p>
        </w:tc>
      </w:tr>
      <w:tr w:rsidR="00736E78" w:rsidRPr="00B84B0C" w14:paraId="5A53C054"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71B15348"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assets</w:t>
            </w:r>
            <w:proofErr w:type="spellEnd"/>
          </w:p>
        </w:tc>
        <w:tc>
          <w:tcPr>
            <w:tcW w:w="2126" w:type="dxa"/>
            <w:tcBorders>
              <w:top w:val="nil"/>
              <w:left w:val="nil"/>
              <w:bottom w:val="nil"/>
              <w:right w:val="nil"/>
            </w:tcBorders>
          </w:tcPr>
          <w:p w14:paraId="3AD4D723"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4B0C">
              <w:rPr>
                <w:rFonts w:cs="Arial"/>
                <w:b/>
                <w:bCs/>
                <w:color w:val="000000"/>
                <w:sz w:val="14"/>
                <w:szCs w:val="14"/>
              </w:rPr>
              <w:t>1,590</w:t>
            </w:r>
          </w:p>
        </w:tc>
        <w:tc>
          <w:tcPr>
            <w:tcW w:w="2234" w:type="dxa"/>
            <w:tcBorders>
              <w:top w:val="nil"/>
              <w:left w:val="nil"/>
              <w:bottom w:val="nil"/>
              <w:right w:val="nil"/>
            </w:tcBorders>
            <w:vAlign w:val="center"/>
          </w:tcPr>
          <w:p w14:paraId="124E20FA"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1,452</w:t>
            </w:r>
          </w:p>
        </w:tc>
      </w:tr>
      <w:tr w:rsidR="00736E78" w:rsidRPr="00B84B0C" w14:paraId="331126AB"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5A06487B"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126" w:type="dxa"/>
            <w:tcBorders>
              <w:top w:val="nil"/>
              <w:left w:val="nil"/>
              <w:bottom w:val="nil"/>
              <w:right w:val="nil"/>
            </w:tcBorders>
          </w:tcPr>
          <w:p w14:paraId="3E177B17"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color w:val="000000"/>
                <w:sz w:val="14"/>
                <w:szCs w:val="14"/>
              </w:rPr>
              <w:t>5,924</w:t>
            </w:r>
          </w:p>
        </w:tc>
        <w:tc>
          <w:tcPr>
            <w:tcW w:w="2234" w:type="dxa"/>
            <w:tcBorders>
              <w:top w:val="nil"/>
              <w:left w:val="nil"/>
              <w:bottom w:val="nil"/>
              <w:right w:val="nil"/>
            </w:tcBorders>
            <w:vAlign w:val="center"/>
          </w:tcPr>
          <w:p w14:paraId="25D9E41E"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5,562</w:t>
            </w:r>
          </w:p>
        </w:tc>
      </w:tr>
      <w:tr w:rsidR="00736E78" w:rsidRPr="00B84B0C" w14:paraId="4F95BB1C"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4054ACF"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4A13B520"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bCs/>
                <w:color w:val="000000"/>
                <w:sz w:val="14"/>
                <w:szCs w:val="14"/>
              </w:rPr>
              <w:t>2,378</w:t>
            </w:r>
          </w:p>
        </w:tc>
        <w:tc>
          <w:tcPr>
            <w:tcW w:w="2234" w:type="dxa"/>
            <w:tcBorders>
              <w:top w:val="nil"/>
              <w:left w:val="nil"/>
              <w:bottom w:val="nil"/>
              <w:right w:val="nil"/>
            </w:tcBorders>
            <w:vAlign w:val="center"/>
          </w:tcPr>
          <w:p w14:paraId="711862DD"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color w:val="000000"/>
                <w:sz w:val="14"/>
                <w:szCs w:val="14"/>
              </w:rPr>
              <w:t>4,954</w:t>
            </w:r>
          </w:p>
        </w:tc>
      </w:tr>
      <w:tr w:rsidR="00736E78" w:rsidRPr="00B84B0C" w14:paraId="4B804A12"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3E3800B5"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126" w:type="dxa"/>
            <w:tcBorders>
              <w:top w:val="nil"/>
              <w:left w:val="nil"/>
              <w:bottom w:val="nil"/>
              <w:right w:val="nil"/>
            </w:tcBorders>
          </w:tcPr>
          <w:p w14:paraId="057FE9F0"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bCs/>
                <w:color w:val="000000"/>
                <w:sz w:val="14"/>
                <w:szCs w:val="14"/>
              </w:rPr>
              <w:t>2,150</w:t>
            </w:r>
          </w:p>
        </w:tc>
        <w:tc>
          <w:tcPr>
            <w:tcW w:w="2234" w:type="dxa"/>
            <w:tcBorders>
              <w:top w:val="nil"/>
              <w:left w:val="nil"/>
              <w:bottom w:val="nil"/>
              <w:right w:val="nil"/>
            </w:tcBorders>
            <w:vAlign w:val="center"/>
          </w:tcPr>
          <w:p w14:paraId="173E48EC"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color w:val="000000"/>
                <w:sz w:val="14"/>
                <w:szCs w:val="14"/>
              </w:rPr>
              <w:t>607</w:t>
            </w:r>
          </w:p>
        </w:tc>
      </w:tr>
      <w:tr w:rsidR="00736E78" w:rsidRPr="00B84B0C" w14:paraId="002507E3"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3A66132"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Other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70EB67AB"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bCs/>
                <w:color w:val="000000"/>
                <w:sz w:val="14"/>
                <w:szCs w:val="14"/>
              </w:rPr>
              <w:t>1,397</w:t>
            </w:r>
          </w:p>
        </w:tc>
        <w:tc>
          <w:tcPr>
            <w:tcW w:w="2234" w:type="dxa"/>
            <w:tcBorders>
              <w:top w:val="nil"/>
              <w:left w:val="nil"/>
              <w:bottom w:val="nil"/>
              <w:right w:val="nil"/>
            </w:tcBorders>
            <w:vAlign w:val="center"/>
          </w:tcPr>
          <w:p w14:paraId="11F50748"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color w:val="000000"/>
                <w:sz w:val="14"/>
                <w:szCs w:val="14"/>
              </w:rPr>
              <w:t>--</w:t>
            </w:r>
          </w:p>
        </w:tc>
      </w:tr>
      <w:tr w:rsidR="00736E78" w:rsidRPr="00B84B0C" w14:paraId="7A29066F"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27AC41D2"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Non-</w:t>
            </w:r>
            <w:proofErr w:type="spellStart"/>
            <w:r w:rsidRPr="00B84B0C">
              <w:rPr>
                <w:rFonts w:cs="Arial"/>
                <w:color w:val="auto"/>
                <w:szCs w:val="14"/>
              </w:rPr>
              <w:t>current</w:t>
            </w:r>
            <w:proofErr w:type="spellEnd"/>
            <w:r w:rsidRPr="00B84B0C">
              <w:rPr>
                <w:rFonts w:cs="Arial"/>
                <w:color w:val="auto"/>
                <w:szCs w:val="14"/>
              </w:rPr>
              <w:t xml:space="preserve"> </w:t>
            </w:r>
            <w:proofErr w:type="spellStart"/>
            <w:r w:rsidRPr="00B84B0C">
              <w:rPr>
                <w:rFonts w:cs="Arial"/>
                <w:color w:val="auto"/>
                <w:szCs w:val="14"/>
              </w:rPr>
              <w:t>liabilities</w:t>
            </w:r>
            <w:proofErr w:type="spellEnd"/>
          </w:p>
        </w:tc>
        <w:tc>
          <w:tcPr>
            <w:tcW w:w="2126" w:type="dxa"/>
            <w:tcBorders>
              <w:top w:val="nil"/>
              <w:left w:val="nil"/>
              <w:bottom w:val="nil"/>
              <w:right w:val="nil"/>
            </w:tcBorders>
          </w:tcPr>
          <w:p w14:paraId="1665CB2B"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color w:val="000000"/>
                <w:sz w:val="14"/>
                <w:szCs w:val="14"/>
              </w:rPr>
            </w:pPr>
            <w:r w:rsidRPr="00B84B0C">
              <w:rPr>
                <w:rFonts w:cs="Arial"/>
                <w:b/>
                <w:bCs/>
                <w:color w:val="000000"/>
                <w:sz w:val="14"/>
                <w:szCs w:val="14"/>
              </w:rPr>
              <w:t>--</w:t>
            </w:r>
          </w:p>
        </w:tc>
        <w:tc>
          <w:tcPr>
            <w:tcW w:w="2234" w:type="dxa"/>
            <w:tcBorders>
              <w:top w:val="nil"/>
              <w:left w:val="nil"/>
              <w:bottom w:val="nil"/>
              <w:right w:val="nil"/>
            </w:tcBorders>
            <w:vAlign w:val="center"/>
          </w:tcPr>
          <w:p w14:paraId="5A2FE31F"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color w:val="000000"/>
                <w:sz w:val="14"/>
                <w:szCs w:val="14"/>
              </w:rPr>
              <w:t>--</w:t>
            </w:r>
          </w:p>
        </w:tc>
      </w:tr>
      <w:tr w:rsidR="00736E78" w:rsidRPr="00B84B0C" w14:paraId="3C01165E"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2E8B8ED"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 xml:space="preserve">Financial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050B2575"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color w:val="000000"/>
                <w:sz w:val="14"/>
                <w:szCs w:val="14"/>
              </w:rPr>
              <w:t>--</w:t>
            </w:r>
          </w:p>
        </w:tc>
        <w:tc>
          <w:tcPr>
            <w:tcW w:w="2234" w:type="dxa"/>
            <w:tcBorders>
              <w:top w:val="nil"/>
              <w:left w:val="nil"/>
              <w:bottom w:val="nil"/>
              <w:right w:val="nil"/>
            </w:tcBorders>
            <w:vAlign w:val="center"/>
          </w:tcPr>
          <w:p w14:paraId="17A8A650"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color w:val="000000"/>
                <w:sz w:val="14"/>
                <w:szCs w:val="14"/>
              </w:rPr>
              <w:t>--</w:t>
            </w:r>
          </w:p>
        </w:tc>
      </w:tr>
      <w:tr w:rsidR="00736E78" w:rsidRPr="00B84B0C" w14:paraId="45992AB4"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0C3DCAF"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Technical</w:t>
            </w:r>
            <w:proofErr w:type="spellEnd"/>
            <w:r w:rsidRPr="00B84B0C">
              <w:rPr>
                <w:rFonts w:cs="Arial"/>
                <w:b w:val="0"/>
                <w:color w:val="auto"/>
                <w:szCs w:val="14"/>
              </w:rPr>
              <w:t xml:space="preserve"> </w:t>
            </w:r>
            <w:proofErr w:type="spellStart"/>
            <w:r w:rsidRPr="00B84B0C">
              <w:rPr>
                <w:rFonts w:cs="Arial"/>
                <w:b w:val="0"/>
                <w:color w:val="auto"/>
                <w:szCs w:val="14"/>
              </w:rPr>
              <w:t>provisions</w:t>
            </w:r>
            <w:proofErr w:type="spellEnd"/>
          </w:p>
        </w:tc>
        <w:tc>
          <w:tcPr>
            <w:tcW w:w="2126" w:type="dxa"/>
            <w:tcBorders>
              <w:top w:val="nil"/>
              <w:left w:val="nil"/>
              <w:bottom w:val="nil"/>
              <w:right w:val="nil"/>
            </w:tcBorders>
          </w:tcPr>
          <w:p w14:paraId="44F5D275"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4B0C">
              <w:rPr>
                <w:rFonts w:cs="Arial"/>
                <w:color w:val="000000"/>
                <w:sz w:val="14"/>
                <w:szCs w:val="14"/>
              </w:rPr>
              <w:t>--</w:t>
            </w:r>
          </w:p>
        </w:tc>
        <w:tc>
          <w:tcPr>
            <w:tcW w:w="2234" w:type="dxa"/>
            <w:tcBorders>
              <w:top w:val="nil"/>
              <w:left w:val="nil"/>
              <w:bottom w:val="nil"/>
              <w:right w:val="nil"/>
            </w:tcBorders>
            <w:vAlign w:val="center"/>
          </w:tcPr>
          <w:p w14:paraId="2597A4C7"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8"/>
              </w:rPr>
            </w:pPr>
            <w:r w:rsidRPr="00B84B0C">
              <w:rPr>
                <w:rFonts w:cs="Arial"/>
                <w:color w:val="000000"/>
                <w:sz w:val="14"/>
                <w:szCs w:val="14"/>
              </w:rPr>
              <w:t>--</w:t>
            </w:r>
          </w:p>
        </w:tc>
      </w:tr>
      <w:tr w:rsidR="00736E78" w:rsidRPr="00B84B0C" w14:paraId="78CEBD12"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20080F03" w14:textId="77777777" w:rsidR="00736E78" w:rsidRPr="00B84B0C" w:rsidRDefault="00736E78" w:rsidP="00736E78">
            <w:pPr>
              <w:pStyle w:val="08-Tabelageral"/>
              <w:spacing w:before="0" w:after="0"/>
              <w:jc w:val="left"/>
              <w:rPr>
                <w:rFonts w:cs="Arial"/>
                <w:b w:val="0"/>
                <w:color w:val="auto"/>
                <w:szCs w:val="14"/>
              </w:rPr>
            </w:pPr>
            <w:r w:rsidRPr="00B84B0C">
              <w:rPr>
                <w:rFonts w:cs="Arial"/>
                <w:b w:val="0"/>
                <w:color w:val="auto"/>
                <w:szCs w:val="14"/>
              </w:rPr>
              <w:t>Other non-</w:t>
            </w:r>
            <w:proofErr w:type="spellStart"/>
            <w:r w:rsidRPr="00B84B0C">
              <w:rPr>
                <w:rFonts w:cs="Arial"/>
                <w:b w:val="0"/>
                <w:color w:val="auto"/>
                <w:szCs w:val="14"/>
              </w:rPr>
              <w:t>current</w:t>
            </w:r>
            <w:proofErr w:type="spellEnd"/>
            <w:r w:rsidRPr="00B84B0C">
              <w:rPr>
                <w:rFonts w:cs="Arial"/>
                <w:b w:val="0"/>
                <w:color w:val="auto"/>
                <w:szCs w:val="14"/>
              </w:rPr>
              <w:t xml:space="preserve"> </w:t>
            </w:r>
            <w:proofErr w:type="spellStart"/>
            <w:r w:rsidRPr="00B84B0C">
              <w:rPr>
                <w:rFonts w:cs="Arial"/>
                <w:b w:val="0"/>
                <w:color w:val="auto"/>
                <w:szCs w:val="14"/>
              </w:rPr>
              <w:t>liabilities</w:t>
            </w:r>
            <w:proofErr w:type="spellEnd"/>
          </w:p>
        </w:tc>
        <w:tc>
          <w:tcPr>
            <w:tcW w:w="2126" w:type="dxa"/>
            <w:tcBorders>
              <w:top w:val="nil"/>
              <w:left w:val="nil"/>
              <w:bottom w:val="nil"/>
              <w:right w:val="nil"/>
            </w:tcBorders>
          </w:tcPr>
          <w:p w14:paraId="7034B4D6"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color w:val="000000"/>
                <w:sz w:val="14"/>
                <w:szCs w:val="14"/>
              </w:rPr>
              <w:t>--</w:t>
            </w:r>
          </w:p>
        </w:tc>
        <w:tc>
          <w:tcPr>
            <w:tcW w:w="2234" w:type="dxa"/>
            <w:tcBorders>
              <w:top w:val="nil"/>
              <w:left w:val="nil"/>
              <w:bottom w:val="nil"/>
              <w:right w:val="nil"/>
            </w:tcBorders>
            <w:vAlign w:val="center"/>
          </w:tcPr>
          <w:p w14:paraId="310A7246"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color w:val="000000"/>
                <w:sz w:val="14"/>
                <w:szCs w:val="14"/>
              </w:rPr>
              <w:t>--</w:t>
            </w:r>
          </w:p>
        </w:tc>
      </w:tr>
      <w:tr w:rsidR="00736E78" w:rsidRPr="00B84B0C" w14:paraId="1D609226"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2E384CFB" w14:textId="77777777" w:rsidR="00736E78" w:rsidRPr="00B84B0C" w:rsidRDefault="00736E78" w:rsidP="00736E78">
            <w:pPr>
              <w:pStyle w:val="08-Tabelageral"/>
              <w:spacing w:before="0" w:after="0"/>
              <w:jc w:val="left"/>
              <w:rPr>
                <w:rFonts w:cs="Arial"/>
                <w:color w:val="auto"/>
                <w:szCs w:val="14"/>
              </w:rPr>
            </w:pPr>
            <w:proofErr w:type="spellStart"/>
            <w:r w:rsidRPr="00B84B0C">
              <w:rPr>
                <w:rFonts w:cs="Arial"/>
                <w:color w:val="auto"/>
                <w:szCs w:val="14"/>
              </w:rPr>
              <w:t>Adjusted</w:t>
            </w:r>
            <w:proofErr w:type="spellEnd"/>
            <w:r w:rsidRPr="00B84B0C">
              <w:rPr>
                <w:rFonts w:cs="Arial"/>
                <w:color w:val="auto"/>
                <w:szCs w:val="14"/>
              </w:rPr>
              <w:t xml:space="preserve"> net </w:t>
            </w:r>
            <w:proofErr w:type="spellStart"/>
            <w:r w:rsidRPr="00B84B0C">
              <w:rPr>
                <w:rFonts w:cs="Arial"/>
                <w:color w:val="auto"/>
                <w:szCs w:val="14"/>
              </w:rPr>
              <w:t>equity</w:t>
            </w:r>
            <w:proofErr w:type="spellEnd"/>
          </w:p>
        </w:tc>
        <w:tc>
          <w:tcPr>
            <w:tcW w:w="2126" w:type="dxa"/>
            <w:tcBorders>
              <w:top w:val="nil"/>
              <w:left w:val="nil"/>
              <w:bottom w:val="nil"/>
              <w:right w:val="nil"/>
            </w:tcBorders>
          </w:tcPr>
          <w:p w14:paraId="40EE1353"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color w:val="000000"/>
                <w:sz w:val="14"/>
                <w:szCs w:val="14"/>
              </w:rPr>
              <w:t>16,616</w:t>
            </w:r>
          </w:p>
        </w:tc>
        <w:tc>
          <w:tcPr>
            <w:tcW w:w="2234" w:type="dxa"/>
            <w:tcBorders>
              <w:top w:val="nil"/>
              <w:left w:val="nil"/>
              <w:bottom w:val="nil"/>
              <w:right w:val="nil"/>
            </w:tcBorders>
            <w:vAlign w:val="center"/>
          </w:tcPr>
          <w:p w14:paraId="08681E57"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6,398</w:t>
            </w:r>
          </w:p>
        </w:tc>
      </w:tr>
      <w:tr w:rsidR="00736E78" w:rsidRPr="00B84B0C" w14:paraId="08F8C49A" w14:textId="77777777" w:rsidTr="00736E7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nil"/>
              <w:right w:val="nil"/>
            </w:tcBorders>
            <w:hideMark/>
          </w:tcPr>
          <w:p w14:paraId="1CD38B88" w14:textId="77777777" w:rsidR="00736E78" w:rsidRPr="00B84B0C" w:rsidRDefault="00736E78" w:rsidP="00736E78">
            <w:pPr>
              <w:pStyle w:val="08-Tabelageral"/>
              <w:spacing w:before="0" w:after="0"/>
              <w:jc w:val="left"/>
              <w:rPr>
                <w:rFonts w:cs="Arial"/>
                <w:b w:val="0"/>
                <w:color w:val="auto"/>
                <w:szCs w:val="14"/>
              </w:rPr>
            </w:pPr>
            <w:proofErr w:type="spellStart"/>
            <w:r w:rsidRPr="00B84B0C">
              <w:rPr>
                <w:rFonts w:cs="Arial"/>
                <w:b w:val="0"/>
                <w:color w:val="auto"/>
                <w:szCs w:val="14"/>
              </w:rPr>
              <w:t>Attributable</w:t>
            </w:r>
            <w:proofErr w:type="spellEnd"/>
            <w:r w:rsidRPr="00B84B0C">
              <w:rPr>
                <w:rFonts w:cs="Arial"/>
                <w:b w:val="0"/>
                <w:color w:val="auto"/>
                <w:szCs w:val="14"/>
              </w:rPr>
              <w:t xml:space="preserve"> </w:t>
            </w:r>
            <w:proofErr w:type="spellStart"/>
            <w:r w:rsidRPr="00B84B0C">
              <w:rPr>
                <w:rFonts w:cs="Arial"/>
                <w:b w:val="0"/>
                <w:color w:val="auto"/>
                <w:szCs w:val="14"/>
              </w:rPr>
              <w:t>to</w:t>
            </w:r>
            <w:proofErr w:type="spellEnd"/>
            <w:r w:rsidRPr="00B84B0C">
              <w:rPr>
                <w:rFonts w:cs="Arial"/>
                <w:b w:val="0"/>
                <w:color w:val="auto"/>
                <w:szCs w:val="14"/>
              </w:rPr>
              <w:t xml:space="preserve"> BB Seguridade</w:t>
            </w:r>
          </w:p>
        </w:tc>
        <w:tc>
          <w:tcPr>
            <w:tcW w:w="2126" w:type="dxa"/>
            <w:tcBorders>
              <w:top w:val="nil"/>
              <w:left w:val="nil"/>
              <w:bottom w:val="nil"/>
              <w:right w:val="nil"/>
            </w:tcBorders>
          </w:tcPr>
          <w:p w14:paraId="7A9C9E12" w14:textId="77777777" w:rsidR="00736E78" w:rsidRPr="00B84B0C" w:rsidRDefault="00736E78" w:rsidP="00736E78">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4B0C">
              <w:rPr>
                <w:rFonts w:cs="Arial"/>
                <w:color w:val="000000"/>
                <w:sz w:val="14"/>
                <w:szCs w:val="14"/>
              </w:rPr>
              <w:t>12,461</w:t>
            </w:r>
          </w:p>
        </w:tc>
        <w:tc>
          <w:tcPr>
            <w:tcW w:w="2234" w:type="dxa"/>
            <w:tcBorders>
              <w:top w:val="nil"/>
              <w:left w:val="nil"/>
              <w:bottom w:val="nil"/>
              <w:right w:val="nil"/>
            </w:tcBorders>
            <w:vAlign w:val="center"/>
          </w:tcPr>
          <w:p w14:paraId="6569052F" w14:textId="77777777" w:rsidR="00736E78" w:rsidRPr="00B84B0C" w:rsidRDefault="00736E78" w:rsidP="00736E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B84B0C">
              <w:rPr>
                <w:rFonts w:cs="Arial"/>
                <w:color w:val="000000"/>
                <w:sz w:val="14"/>
                <w:szCs w:val="14"/>
              </w:rPr>
              <w:t>4,798</w:t>
            </w:r>
          </w:p>
        </w:tc>
      </w:tr>
      <w:tr w:rsidR="00736E78" w:rsidRPr="00B84B0C" w14:paraId="39F6DD10" w14:textId="77777777" w:rsidTr="00736E78">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5279" w:type="dxa"/>
            <w:tcBorders>
              <w:top w:val="nil"/>
              <w:left w:val="nil"/>
              <w:bottom w:val="single" w:sz="2" w:space="0" w:color="8EAADB" w:themeColor="accent5" w:themeTint="99"/>
              <w:right w:val="nil"/>
            </w:tcBorders>
            <w:hideMark/>
          </w:tcPr>
          <w:p w14:paraId="4A9B0A55" w14:textId="77777777" w:rsidR="00736E78" w:rsidRPr="00B84B0C" w:rsidRDefault="00736E78" w:rsidP="00736E78">
            <w:pPr>
              <w:pStyle w:val="08-Tabelageral"/>
              <w:spacing w:before="0" w:after="0"/>
              <w:jc w:val="left"/>
              <w:rPr>
                <w:rFonts w:cs="Arial"/>
                <w:color w:val="auto"/>
                <w:szCs w:val="14"/>
              </w:rPr>
            </w:pPr>
            <w:r w:rsidRPr="00B84B0C">
              <w:rPr>
                <w:rFonts w:cs="Arial"/>
                <w:color w:val="auto"/>
                <w:szCs w:val="14"/>
              </w:rPr>
              <w:t xml:space="preserve">Book balance </w:t>
            </w:r>
            <w:proofErr w:type="spellStart"/>
            <w:r w:rsidRPr="00B84B0C">
              <w:rPr>
                <w:rFonts w:cs="Arial"/>
                <w:color w:val="auto"/>
                <w:szCs w:val="14"/>
              </w:rPr>
              <w:t>of</w:t>
            </w:r>
            <w:proofErr w:type="spellEnd"/>
            <w:r w:rsidRPr="00B84B0C">
              <w:rPr>
                <w:rFonts w:cs="Arial"/>
                <w:color w:val="auto"/>
                <w:szCs w:val="14"/>
              </w:rPr>
              <w:t xml:space="preserve"> </w:t>
            </w:r>
            <w:proofErr w:type="spellStart"/>
            <w:r w:rsidRPr="00B84B0C">
              <w:rPr>
                <w:rFonts w:cs="Arial"/>
                <w:color w:val="auto"/>
                <w:szCs w:val="14"/>
              </w:rPr>
              <w:t>investment</w:t>
            </w:r>
            <w:proofErr w:type="spellEnd"/>
          </w:p>
        </w:tc>
        <w:tc>
          <w:tcPr>
            <w:tcW w:w="2126" w:type="dxa"/>
            <w:tcBorders>
              <w:top w:val="nil"/>
              <w:left w:val="nil"/>
              <w:bottom w:val="single" w:sz="2" w:space="0" w:color="8EAADB" w:themeColor="accent5" w:themeTint="99"/>
              <w:right w:val="nil"/>
            </w:tcBorders>
          </w:tcPr>
          <w:p w14:paraId="38E8362C" w14:textId="77777777" w:rsidR="00736E78" w:rsidRPr="00B84B0C" w:rsidRDefault="00736E78" w:rsidP="00736E78">
            <w:pPr>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4B0C">
              <w:rPr>
                <w:rFonts w:cs="Arial"/>
                <w:b/>
                <w:bCs/>
                <w:color w:val="000000"/>
                <w:sz w:val="14"/>
                <w:szCs w:val="14"/>
              </w:rPr>
              <w:t>12,461</w:t>
            </w:r>
          </w:p>
        </w:tc>
        <w:tc>
          <w:tcPr>
            <w:tcW w:w="2234" w:type="dxa"/>
            <w:tcBorders>
              <w:top w:val="nil"/>
              <w:left w:val="nil"/>
              <w:bottom w:val="single" w:sz="2" w:space="0" w:color="8EAADB" w:themeColor="accent5" w:themeTint="99"/>
              <w:right w:val="nil"/>
            </w:tcBorders>
            <w:vAlign w:val="center"/>
          </w:tcPr>
          <w:p w14:paraId="3F7300EA" w14:textId="77777777" w:rsidR="00736E78" w:rsidRPr="00B84B0C" w:rsidRDefault="00736E78" w:rsidP="00736E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spacing w:val="-2"/>
                <w:sz w:val="14"/>
                <w:szCs w:val="18"/>
              </w:rPr>
            </w:pPr>
            <w:r w:rsidRPr="00B84B0C">
              <w:rPr>
                <w:rFonts w:cs="Arial"/>
                <w:b/>
                <w:bCs/>
                <w:color w:val="000000"/>
                <w:sz w:val="14"/>
                <w:szCs w:val="14"/>
              </w:rPr>
              <w:t>4,798</w:t>
            </w:r>
          </w:p>
        </w:tc>
      </w:tr>
    </w:tbl>
    <w:p w14:paraId="56600A5F" w14:textId="77777777" w:rsidR="00736E78" w:rsidRPr="00B84B0C" w:rsidRDefault="00736E78" w:rsidP="00736E78">
      <w:pPr>
        <w:pStyle w:val="01-TtulodeNota"/>
        <w:spacing w:before="0" w:after="0"/>
        <w:jc w:val="left"/>
        <w:rPr>
          <w:rFonts w:cs="Arial"/>
        </w:rPr>
      </w:pPr>
    </w:p>
    <w:p w14:paraId="674A3742" w14:textId="0DF4FC2D" w:rsidR="00736E78" w:rsidRPr="00B84B0C" w:rsidRDefault="00736E78" w:rsidP="002A0BF8">
      <w:pPr>
        <w:pStyle w:val="02-TtulodeNota"/>
        <w:rPr>
          <w:rFonts w:cs="Arial"/>
          <w:color w:val="1F4E79" w:themeColor="accent1" w:themeShade="80"/>
        </w:rPr>
      </w:pPr>
      <w:bookmarkStart w:id="23" w:name="_Toc39131494"/>
      <w:r w:rsidRPr="00B84B0C">
        <w:rPr>
          <w:rFonts w:cs="Arial"/>
          <w:color w:val="1F4E79" w:themeColor="accent1" w:themeShade="80"/>
        </w:rPr>
        <w:t>10 – INTANGIBLE ASSET</w:t>
      </w:r>
      <w:bookmarkEnd w:id="23"/>
    </w:p>
    <w:p w14:paraId="2536D3CB" w14:textId="77777777" w:rsidR="00736E78" w:rsidRPr="00B84B0C" w:rsidRDefault="00736E78" w:rsidP="002A0BF8">
      <w:pPr>
        <w:pStyle w:val="01-TtulodeNota"/>
        <w:numPr>
          <w:ilvl w:val="0"/>
          <w:numId w:val="42"/>
        </w:numPr>
        <w:rPr>
          <w:rFonts w:cs="Arial"/>
          <w:color w:val="1F4E79" w:themeColor="accent1" w:themeShade="80"/>
        </w:rPr>
      </w:pPr>
      <w:r w:rsidRPr="00B84B0C">
        <w:rPr>
          <w:rFonts w:cs="Arial"/>
          <w:color w:val="1F4E79" w:themeColor="accent1" w:themeShade="80"/>
        </w:rPr>
        <w:t xml:space="preserve">ERP - Enterprise </w:t>
      </w:r>
      <w:proofErr w:type="spellStart"/>
      <w:r w:rsidRPr="00B84B0C">
        <w:rPr>
          <w:rFonts w:cs="Arial"/>
          <w:color w:val="1F4E79" w:themeColor="accent1" w:themeShade="80"/>
        </w:rPr>
        <w:t>Resource</w:t>
      </w:r>
      <w:proofErr w:type="spellEnd"/>
      <w:r w:rsidRPr="00B84B0C">
        <w:rPr>
          <w:rFonts w:cs="Arial"/>
          <w:color w:val="1F4E79" w:themeColor="accent1" w:themeShade="80"/>
        </w:rPr>
        <w:t xml:space="preserve"> Planning</w:t>
      </w:r>
    </w:p>
    <w:p w14:paraId="4367CD0A" w14:textId="77777777" w:rsidR="00736E78" w:rsidRPr="00B84B0C" w:rsidRDefault="00736E78" w:rsidP="00736E78">
      <w:pPr>
        <w:pStyle w:val="07-Legenda"/>
        <w:ind w:left="708" w:firstLine="0"/>
        <w:jc w:val="right"/>
        <w:rPr>
          <w:rFonts w:cs="Arial"/>
          <w:b/>
        </w:rPr>
      </w:pP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t xml:space="preserve">                      </w:t>
      </w:r>
      <w:r w:rsidRPr="00B84B0C">
        <w:rPr>
          <w:rFonts w:cs="Arial"/>
          <w:sz w:val="12"/>
          <w:szCs w:val="12"/>
        </w:rPr>
        <w:tab/>
      </w:r>
      <w:r w:rsidRPr="00B84B0C">
        <w:rPr>
          <w:rFonts w:cs="Arial"/>
          <w:b/>
          <w:lang w:val="en-US"/>
        </w:rPr>
        <w:t>R$ thousand</w:t>
      </w:r>
    </w:p>
    <w:tbl>
      <w:tblPr>
        <w:tblStyle w:val="TabeladeLista6Colorida-nfase53"/>
        <w:tblW w:w="9709" w:type="dxa"/>
        <w:jc w:val="center"/>
        <w:tblLayout w:type="fixed"/>
        <w:tblLook w:val="04A0" w:firstRow="1" w:lastRow="0" w:firstColumn="1" w:lastColumn="0" w:noHBand="0" w:noVBand="1"/>
      </w:tblPr>
      <w:tblGrid>
        <w:gridCol w:w="1935"/>
        <w:gridCol w:w="241"/>
        <w:gridCol w:w="1296"/>
        <w:gridCol w:w="292"/>
        <w:gridCol w:w="90"/>
        <w:gridCol w:w="65"/>
        <w:gridCol w:w="970"/>
        <w:gridCol w:w="1276"/>
        <w:gridCol w:w="283"/>
        <w:gridCol w:w="1196"/>
        <w:gridCol w:w="168"/>
        <w:gridCol w:w="947"/>
        <w:gridCol w:w="109"/>
        <w:gridCol w:w="841"/>
      </w:tblGrid>
      <w:tr w:rsidR="00736E78" w:rsidRPr="00B84B0C" w14:paraId="732C252A" w14:textId="77777777" w:rsidTr="002A0BF8">
        <w:trPr>
          <w:cnfStyle w:val="100000000000" w:firstRow="1" w:lastRow="0" w:firstColumn="0" w:lastColumn="0" w:oddVBand="0" w:evenVBand="0" w:oddHBand="0" w:evenHBand="0" w:firstRowFirstColumn="0" w:firstRowLastColumn="0" w:lastRowFirstColumn="0" w:lastRowLastColumn="0"/>
          <w:trHeight w:hRule="exact" w:val="239"/>
          <w:jc w:val="center"/>
        </w:trPr>
        <w:tc>
          <w:tcPr>
            <w:cnfStyle w:val="001000000000" w:firstRow="0" w:lastRow="0" w:firstColumn="1" w:lastColumn="0" w:oddVBand="0" w:evenVBand="0" w:oddHBand="0" w:evenHBand="0" w:firstRowFirstColumn="0" w:firstRowLastColumn="0" w:lastRowFirstColumn="0" w:lastRowLastColumn="0"/>
            <w:tcW w:w="1935" w:type="dxa"/>
            <w:tcBorders>
              <w:top w:val="single" w:sz="2" w:space="0" w:color="8EAADB" w:themeColor="accent5" w:themeTint="99"/>
              <w:bottom w:val="nil"/>
            </w:tcBorders>
            <w:shd w:val="clear" w:color="auto" w:fill="D9E2F3" w:themeFill="accent5" w:themeFillTint="33"/>
            <w:vAlign w:val="center"/>
          </w:tcPr>
          <w:p w14:paraId="0031DE9D" w14:textId="77777777" w:rsidR="00736E78" w:rsidRPr="00B84B0C" w:rsidRDefault="00736E78" w:rsidP="00736E78">
            <w:pPr>
              <w:rPr>
                <w:rFonts w:cs="Arial"/>
                <w:sz w:val="14"/>
                <w:szCs w:val="14"/>
              </w:rPr>
            </w:pPr>
          </w:p>
        </w:tc>
        <w:tc>
          <w:tcPr>
            <w:tcW w:w="7774" w:type="dxa"/>
            <w:gridSpan w:val="13"/>
            <w:tcBorders>
              <w:top w:val="single" w:sz="2" w:space="0" w:color="8EAADB" w:themeColor="accent5" w:themeTint="99"/>
              <w:bottom w:val="nil"/>
            </w:tcBorders>
            <w:shd w:val="clear" w:color="auto" w:fill="D9E2F3" w:themeFill="accent5" w:themeFillTint="33"/>
            <w:vAlign w:val="center"/>
          </w:tcPr>
          <w:p w14:paraId="1435E8AE"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snapToGrid w:val="0"/>
              </w:rPr>
              <w:t>Parent</w:t>
            </w:r>
            <w:proofErr w:type="spellEnd"/>
            <w:r w:rsidRPr="00B84B0C">
              <w:rPr>
                <w:rFonts w:cs="Arial"/>
                <w:snapToGrid w:val="0"/>
              </w:rPr>
              <w:t xml:space="preserve"> </w:t>
            </w:r>
            <w:proofErr w:type="spellStart"/>
            <w:r w:rsidRPr="00B84B0C">
              <w:rPr>
                <w:rFonts w:cs="Arial"/>
                <w:snapToGrid w:val="0"/>
              </w:rPr>
              <w:t>and</w:t>
            </w:r>
            <w:proofErr w:type="spellEnd"/>
            <w:r w:rsidRPr="00B84B0C">
              <w:rPr>
                <w:rFonts w:cs="Arial"/>
                <w:snapToGrid w:val="0"/>
              </w:rPr>
              <w:t xml:space="preserve"> </w:t>
            </w:r>
            <w:proofErr w:type="spellStart"/>
            <w:r w:rsidRPr="00B84B0C">
              <w:rPr>
                <w:rFonts w:cs="Arial"/>
              </w:rPr>
              <w:t>Consolidated</w:t>
            </w:r>
            <w:proofErr w:type="spellEnd"/>
          </w:p>
        </w:tc>
      </w:tr>
      <w:tr w:rsidR="00736E78" w:rsidRPr="00B84B0C" w14:paraId="43109CEF" w14:textId="77777777" w:rsidTr="002A0BF8">
        <w:trPr>
          <w:cnfStyle w:val="000000100000" w:firstRow="0" w:lastRow="0" w:firstColumn="0" w:lastColumn="0" w:oddVBand="0" w:evenVBand="0" w:oddHBand="1" w:evenHBand="0" w:firstRowFirstColumn="0" w:firstRowLastColumn="0" w:lastRowFirstColumn="0" w:lastRowLastColumn="0"/>
          <w:trHeight w:hRule="exact" w:val="362"/>
          <w:jc w:val="center"/>
        </w:trPr>
        <w:tc>
          <w:tcPr>
            <w:cnfStyle w:val="001000000000" w:firstRow="0" w:lastRow="0" w:firstColumn="1" w:lastColumn="0" w:oddVBand="0" w:evenVBand="0" w:oddHBand="0" w:evenHBand="0" w:firstRowFirstColumn="0" w:firstRowLastColumn="0" w:lastRowFirstColumn="0" w:lastRowLastColumn="0"/>
            <w:tcW w:w="1935" w:type="dxa"/>
            <w:tcBorders>
              <w:top w:val="nil"/>
              <w:bottom w:val="nil"/>
            </w:tcBorders>
            <w:vAlign w:val="center"/>
          </w:tcPr>
          <w:p w14:paraId="7F9AAF2D" w14:textId="77777777" w:rsidR="00736E78" w:rsidRPr="00B84B0C" w:rsidRDefault="00736E78" w:rsidP="00736E78">
            <w:pPr>
              <w:rPr>
                <w:rFonts w:cs="Arial"/>
                <w:sz w:val="14"/>
                <w:szCs w:val="14"/>
              </w:rPr>
            </w:pPr>
          </w:p>
        </w:tc>
        <w:tc>
          <w:tcPr>
            <w:tcW w:w="241" w:type="dxa"/>
            <w:tcBorders>
              <w:top w:val="nil"/>
              <w:bottom w:val="nil"/>
            </w:tcBorders>
            <w:vAlign w:val="center"/>
          </w:tcPr>
          <w:p w14:paraId="6C3F4B8E" w14:textId="77777777" w:rsidR="00736E78" w:rsidRPr="00B84B0C" w:rsidRDefault="00736E78" w:rsidP="00736E7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1296" w:type="dxa"/>
            <w:tcBorders>
              <w:top w:val="nil"/>
              <w:bottom w:val="single" w:sz="2" w:space="0" w:color="8EAADB" w:themeColor="accent5" w:themeTint="99"/>
            </w:tcBorders>
            <w:vAlign w:val="center"/>
          </w:tcPr>
          <w:p w14:paraId="53426A51" w14:textId="77777777" w:rsidR="00736E78" w:rsidRPr="00B84B0C" w:rsidRDefault="00736E78" w:rsidP="00736E78">
            <w:pPr>
              <w:pStyle w:val="08-Tabelageral"/>
              <w:spacing w:before="0" w:after="0"/>
              <w:ind w:right="28"/>
              <w:jc w:val="center"/>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c>
          <w:tcPr>
            <w:tcW w:w="292" w:type="dxa"/>
            <w:tcBorders>
              <w:top w:val="nil"/>
              <w:bottom w:val="nil"/>
            </w:tcBorders>
            <w:vAlign w:val="center"/>
          </w:tcPr>
          <w:p w14:paraId="35F57646"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2401" w:type="dxa"/>
            <w:gridSpan w:val="4"/>
            <w:tcBorders>
              <w:top w:val="nil"/>
              <w:bottom w:val="single" w:sz="2" w:space="0" w:color="8EAADB" w:themeColor="accent5" w:themeTint="99"/>
            </w:tcBorders>
            <w:vAlign w:val="center"/>
          </w:tcPr>
          <w:p w14:paraId="24C734E5"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283" w:type="dxa"/>
            <w:tcBorders>
              <w:top w:val="nil"/>
              <w:bottom w:val="nil"/>
            </w:tcBorders>
            <w:vAlign w:val="center"/>
          </w:tcPr>
          <w:p w14:paraId="09450A63"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3261" w:type="dxa"/>
            <w:gridSpan w:val="5"/>
            <w:tcBorders>
              <w:top w:val="nil"/>
              <w:bottom w:val="single" w:sz="2" w:space="0" w:color="8EAADB" w:themeColor="accent5" w:themeTint="99"/>
            </w:tcBorders>
            <w:vAlign w:val="center"/>
          </w:tcPr>
          <w:p w14:paraId="38AC3F99"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Mar 31,2020</w:t>
            </w:r>
          </w:p>
        </w:tc>
      </w:tr>
      <w:tr w:rsidR="00736E78" w:rsidRPr="00B84B0C" w14:paraId="43CF2063" w14:textId="77777777" w:rsidTr="002A0BF8">
        <w:trPr>
          <w:trHeight w:hRule="exact" w:val="417"/>
          <w:jc w:val="center"/>
        </w:trPr>
        <w:tc>
          <w:tcPr>
            <w:cnfStyle w:val="001000000000" w:firstRow="0" w:lastRow="0" w:firstColumn="1" w:lastColumn="0" w:oddVBand="0" w:evenVBand="0" w:oddHBand="0" w:evenHBand="0" w:firstRowFirstColumn="0" w:firstRowLastColumn="0" w:lastRowFirstColumn="0" w:lastRowLastColumn="0"/>
            <w:tcW w:w="1935" w:type="dxa"/>
            <w:tcBorders>
              <w:top w:val="nil"/>
              <w:bottom w:val="single" w:sz="2" w:space="0" w:color="8EAADB" w:themeColor="accent5" w:themeTint="99"/>
            </w:tcBorders>
            <w:shd w:val="clear" w:color="auto" w:fill="D9E2F3" w:themeFill="accent5" w:themeFillTint="33"/>
            <w:vAlign w:val="center"/>
          </w:tcPr>
          <w:p w14:paraId="6F615A2F" w14:textId="77777777" w:rsidR="00736E78" w:rsidRPr="00B84B0C" w:rsidRDefault="00736E78" w:rsidP="00736E78">
            <w:pPr>
              <w:rPr>
                <w:rFonts w:cs="Arial"/>
                <w:sz w:val="14"/>
                <w:szCs w:val="14"/>
              </w:rPr>
            </w:pPr>
          </w:p>
        </w:tc>
        <w:tc>
          <w:tcPr>
            <w:tcW w:w="241" w:type="dxa"/>
            <w:tcBorders>
              <w:top w:val="nil"/>
              <w:bottom w:val="single" w:sz="2" w:space="0" w:color="8EAADB" w:themeColor="accent5" w:themeTint="99"/>
            </w:tcBorders>
            <w:shd w:val="clear" w:color="auto" w:fill="D9E2F3" w:themeFill="accent5" w:themeFillTint="33"/>
            <w:vAlign w:val="center"/>
          </w:tcPr>
          <w:p w14:paraId="04CDA35B" w14:textId="77777777" w:rsidR="00736E78" w:rsidRPr="00B84B0C" w:rsidRDefault="00736E78" w:rsidP="00736E78">
            <w:pPr>
              <w:jc w:val="center"/>
              <w:cnfStyle w:val="000000000000" w:firstRow="0" w:lastRow="0" w:firstColumn="0" w:lastColumn="0" w:oddVBand="0" w:evenVBand="0" w:oddHBand="0" w:evenHBand="0" w:firstRowFirstColumn="0" w:firstRowLastColumn="0" w:lastRowFirstColumn="0" w:lastRowLastColumn="0"/>
              <w:rPr>
                <w:rFonts w:cs="Arial"/>
                <w:b/>
                <w:sz w:val="14"/>
                <w:szCs w:val="14"/>
              </w:rPr>
            </w:pPr>
          </w:p>
        </w:tc>
        <w:tc>
          <w:tcPr>
            <w:tcW w:w="1296"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0008B49" w14:textId="77777777" w:rsidR="00736E78" w:rsidRPr="00B84B0C" w:rsidRDefault="00736E78"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 xml:space="preserve">Book </w:t>
            </w:r>
            <w:proofErr w:type="spellStart"/>
            <w:r w:rsidRPr="00B84B0C">
              <w:rPr>
                <w:rFonts w:cs="Arial"/>
                <w:b/>
              </w:rPr>
              <w:t>value</w:t>
            </w:r>
            <w:proofErr w:type="spellEnd"/>
          </w:p>
        </w:tc>
        <w:tc>
          <w:tcPr>
            <w:tcW w:w="382" w:type="dxa"/>
            <w:gridSpan w:val="2"/>
            <w:tcBorders>
              <w:top w:val="nil"/>
              <w:bottom w:val="single" w:sz="2" w:space="0" w:color="8EAADB" w:themeColor="accent5" w:themeTint="99"/>
            </w:tcBorders>
            <w:shd w:val="clear" w:color="auto" w:fill="D9E2F3" w:themeFill="accent5" w:themeFillTint="33"/>
            <w:vAlign w:val="center"/>
          </w:tcPr>
          <w:p w14:paraId="0FEC5653" w14:textId="77777777" w:rsidR="00736E78" w:rsidRPr="00B84B0C" w:rsidRDefault="00736E78"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35"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78B869B8" w14:textId="77777777" w:rsidR="00736E78" w:rsidRPr="00B84B0C" w:rsidRDefault="00736E78"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roofErr w:type="spellStart"/>
            <w:r w:rsidRPr="00B84B0C">
              <w:rPr>
                <w:rFonts w:cs="Arial"/>
                <w:b/>
              </w:rPr>
              <w:t>Acquisitions</w:t>
            </w:r>
            <w:proofErr w:type="spellEnd"/>
          </w:p>
        </w:tc>
        <w:tc>
          <w:tcPr>
            <w:tcW w:w="1276"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5BCA131" w14:textId="77777777" w:rsidR="00736E78" w:rsidRPr="00B84B0C" w:rsidRDefault="00736E78"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roofErr w:type="spellStart"/>
            <w:r w:rsidRPr="00B84B0C">
              <w:rPr>
                <w:rFonts w:cs="Arial"/>
                <w:b/>
              </w:rPr>
              <w:t>Amortization</w:t>
            </w:r>
            <w:proofErr w:type="spellEnd"/>
          </w:p>
        </w:tc>
        <w:tc>
          <w:tcPr>
            <w:tcW w:w="283" w:type="dxa"/>
            <w:tcBorders>
              <w:top w:val="nil"/>
              <w:bottom w:val="single" w:sz="2" w:space="0" w:color="8EAADB" w:themeColor="accent5" w:themeTint="99"/>
            </w:tcBorders>
            <w:shd w:val="clear" w:color="auto" w:fill="D9E2F3" w:themeFill="accent5" w:themeFillTint="33"/>
            <w:vAlign w:val="center"/>
          </w:tcPr>
          <w:p w14:paraId="4080BDA0" w14:textId="77777777" w:rsidR="00736E78" w:rsidRPr="00B84B0C" w:rsidRDefault="00736E78"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196"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5F78163" w14:textId="77777777" w:rsidR="00736E78" w:rsidRPr="00B84B0C" w:rsidRDefault="00736E78"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roofErr w:type="spellStart"/>
            <w:r w:rsidRPr="00B84B0C">
              <w:rPr>
                <w:rFonts w:cs="Arial"/>
                <w:b/>
                <w:bCs/>
              </w:rPr>
              <w:t>Cost</w:t>
            </w:r>
            <w:proofErr w:type="spellEnd"/>
            <w:r w:rsidRPr="00B84B0C">
              <w:rPr>
                <w:rFonts w:cs="Arial"/>
                <w:b/>
                <w:bCs/>
              </w:rPr>
              <w:t xml:space="preserve"> </w:t>
            </w:r>
            <w:proofErr w:type="spellStart"/>
            <w:r w:rsidRPr="00B84B0C">
              <w:rPr>
                <w:rFonts w:cs="Arial"/>
                <w:b/>
                <w:bCs/>
              </w:rPr>
              <w:t>value</w:t>
            </w:r>
            <w:proofErr w:type="spellEnd"/>
          </w:p>
        </w:tc>
        <w:tc>
          <w:tcPr>
            <w:tcW w:w="1115"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32B79C6" w14:textId="77777777" w:rsidR="00736E78" w:rsidRPr="00B84B0C" w:rsidRDefault="00736E78"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roofErr w:type="spellStart"/>
            <w:r w:rsidRPr="00B84B0C">
              <w:rPr>
                <w:rFonts w:cs="Arial"/>
                <w:b/>
                <w:bCs/>
              </w:rPr>
              <w:t>Accumulated</w:t>
            </w:r>
            <w:proofErr w:type="spellEnd"/>
            <w:r w:rsidRPr="00B84B0C">
              <w:rPr>
                <w:rFonts w:cs="Arial"/>
                <w:b/>
                <w:bCs/>
              </w:rPr>
              <w:t xml:space="preserve"> </w:t>
            </w:r>
            <w:proofErr w:type="spellStart"/>
            <w:r w:rsidRPr="00B84B0C">
              <w:rPr>
                <w:rFonts w:cs="Arial"/>
                <w:b/>
                <w:bCs/>
              </w:rPr>
              <w:t>amortization</w:t>
            </w:r>
            <w:proofErr w:type="spellEnd"/>
          </w:p>
        </w:tc>
        <w:tc>
          <w:tcPr>
            <w:tcW w:w="950"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5EB6D5B" w14:textId="77777777" w:rsidR="00736E78" w:rsidRPr="00B84B0C" w:rsidRDefault="00736E78" w:rsidP="00736E78">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bCs/>
              </w:rPr>
              <w:t xml:space="preserve">Book </w:t>
            </w:r>
            <w:proofErr w:type="spellStart"/>
            <w:r w:rsidRPr="00B84B0C">
              <w:rPr>
                <w:rFonts w:cs="Arial"/>
                <w:b/>
                <w:bCs/>
              </w:rPr>
              <w:t>value</w:t>
            </w:r>
            <w:proofErr w:type="spellEnd"/>
          </w:p>
        </w:tc>
      </w:tr>
      <w:tr w:rsidR="00736E78" w:rsidRPr="00B84B0C" w14:paraId="791F0DCE" w14:textId="77777777" w:rsidTr="002A0BF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935"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7C1A581E" w14:textId="77777777" w:rsidR="00736E78" w:rsidRPr="00B84B0C" w:rsidRDefault="00736E78" w:rsidP="00736E78">
            <w:pPr>
              <w:pStyle w:val="08-Tabelageral"/>
              <w:jc w:val="left"/>
              <w:rPr>
                <w:rFonts w:cs="Arial"/>
                <w:b w:val="0"/>
                <w:szCs w:val="14"/>
                <w:vertAlign w:val="superscript"/>
              </w:rPr>
            </w:pPr>
            <w:r w:rsidRPr="00B84B0C">
              <w:rPr>
                <w:rFonts w:cs="Arial"/>
                <w:b w:val="0"/>
                <w:lang w:val="en-US"/>
              </w:rPr>
              <w:t xml:space="preserve">Software – ERP </w:t>
            </w:r>
            <w:r w:rsidRPr="00B84B0C">
              <w:rPr>
                <w:rFonts w:cs="Arial"/>
                <w:b w:val="0"/>
                <w:vertAlign w:val="superscript"/>
                <w:lang w:val="en-US"/>
              </w:rPr>
              <w:t>(1)</w:t>
            </w:r>
          </w:p>
        </w:tc>
        <w:tc>
          <w:tcPr>
            <w:tcW w:w="241"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19B37528"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296"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14A2358F"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5,901</w:t>
            </w:r>
          </w:p>
        </w:tc>
        <w:tc>
          <w:tcPr>
            <w:tcW w:w="447" w:type="dxa"/>
            <w:gridSpan w:val="3"/>
            <w:tcBorders>
              <w:top w:val="single" w:sz="2" w:space="0" w:color="8EAADB" w:themeColor="accent5" w:themeTint="99"/>
              <w:bottom w:val="single" w:sz="2" w:space="0" w:color="8EAADB" w:themeColor="accent5" w:themeTint="99"/>
            </w:tcBorders>
            <w:shd w:val="clear" w:color="auto" w:fill="FFFFFF" w:themeFill="background1"/>
            <w:vAlign w:val="center"/>
          </w:tcPr>
          <w:p w14:paraId="2DED6101"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970"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06AF23BB"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9</w:t>
            </w:r>
          </w:p>
        </w:tc>
        <w:tc>
          <w:tcPr>
            <w:tcW w:w="1276"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07FA7189"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(184)</w:t>
            </w:r>
          </w:p>
        </w:tc>
        <w:tc>
          <w:tcPr>
            <w:tcW w:w="283"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2DE25BE1" w14:textId="77777777" w:rsidR="00736E78" w:rsidRPr="00B84B0C" w:rsidRDefault="00736E78" w:rsidP="00736E7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364" w:type="dxa"/>
            <w:gridSpan w:val="2"/>
            <w:tcBorders>
              <w:top w:val="single" w:sz="2" w:space="0" w:color="8EAADB" w:themeColor="accent5" w:themeTint="99"/>
              <w:bottom w:val="single" w:sz="2" w:space="0" w:color="8EAADB" w:themeColor="accent5" w:themeTint="99"/>
            </w:tcBorders>
            <w:shd w:val="clear" w:color="auto" w:fill="FFFFFF" w:themeFill="background1"/>
            <w:vAlign w:val="center"/>
          </w:tcPr>
          <w:p w14:paraId="5FEB88AC"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7,163</w:t>
            </w:r>
          </w:p>
        </w:tc>
        <w:tc>
          <w:tcPr>
            <w:tcW w:w="1056" w:type="dxa"/>
            <w:gridSpan w:val="2"/>
            <w:tcBorders>
              <w:top w:val="single" w:sz="2" w:space="0" w:color="8EAADB" w:themeColor="accent5" w:themeTint="99"/>
              <w:bottom w:val="single" w:sz="2" w:space="0" w:color="8EAADB" w:themeColor="accent5" w:themeTint="99"/>
            </w:tcBorders>
            <w:shd w:val="clear" w:color="auto" w:fill="FFFFFF" w:themeFill="background1"/>
            <w:vAlign w:val="center"/>
          </w:tcPr>
          <w:p w14:paraId="69E728B1"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(1,437)</w:t>
            </w:r>
          </w:p>
        </w:tc>
        <w:tc>
          <w:tcPr>
            <w:tcW w:w="841" w:type="dxa"/>
            <w:tcBorders>
              <w:top w:val="single" w:sz="2" w:space="0" w:color="8EAADB" w:themeColor="accent5" w:themeTint="99"/>
              <w:bottom w:val="single" w:sz="2" w:space="0" w:color="8EAADB" w:themeColor="accent5" w:themeTint="99"/>
            </w:tcBorders>
            <w:shd w:val="clear" w:color="auto" w:fill="FFFFFF" w:themeFill="background1"/>
            <w:vAlign w:val="center"/>
          </w:tcPr>
          <w:p w14:paraId="6410F1F4"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5,726</w:t>
            </w:r>
          </w:p>
        </w:tc>
      </w:tr>
    </w:tbl>
    <w:p w14:paraId="376194D1" w14:textId="77777777" w:rsidR="00736E78" w:rsidRPr="00B84B0C" w:rsidRDefault="00736E78" w:rsidP="00736E78">
      <w:pPr>
        <w:pStyle w:val="07-Legenda"/>
        <w:tabs>
          <w:tab w:val="clear" w:pos="284"/>
          <w:tab w:val="left" w:pos="0"/>
        </w:tabs>
        <w:ind w:left="0" w:firstLine="0"/>
        <w:rPr>
          <w:rFonts w:cs="Arial"/>
        </w:rPr>
      </w:pPr>
      <w:r w:rsidRPr="00B84B0C">
        <w:rPr>
          <w:rFonts w:cs="Arial"/>
        </w:rPr>
        <w:t xml:space="preserve">(1) </w:t>
      </w:r>
      <w:r w:rsidRPr="00B84B0C">
        <w:rPr>
          <w:rFonts w:cs="Arial"/>
          <w:lang w:val="en-US"/>
        </w:rPr>
        <w:t>In January 2018, the amortization of Enterprise Resource Planning (ERP) began, according to CPC 04 (IAS 38) - Intangible Assets in which the amortization period of intangible assets with a defined useful life is 10 years and amortization is calculated at the annual rate of 10% and recognized to the income statement on a straight-line method.</w:t>
      </w:r>
    </w:p>
    <w:p w14:paraId="3596EEDE" w14:textId="77777777" w:rsidR="00736E78" w:rsidRPr="00B84B0C" w:rsidRDefault="00736E78" w:rsidP="00736E78">
      <w:pPr>
        <w:spacing w:after="120"/>
        <w:rPr>
          <w:rFonts w:cs="Arial"/>
          <w:b/>
          <w:color w:val="1F4E79" w:themeColor="accent1" w:themeShade="80"/>
          <w:szCs w:val="18"/>
        </w:rPr>
      </w:pPr>
    </w:p>
    <w:p w14:paraId="7A56856C" w14:textId="77777777" w:rsidR="00736E78" w:rsidRPr="00B84B0C" w:rsidRDefault="00736E78" w:rsidP="00736E78">
      <w:pPr>
        <w:pStyle w:val="01-TtulodeNota"/>
        <w:rPr>
          <w:rFonts w:cs="Arial"/>
          <w:color w:val="1F4E79" w:themeColor="accent1" w:themeShade="80"/>
        </w:rPr>
      </w:pPr>
      <w:r w:rsidRPr="00B84B0C">
        <w:rPr>
          <w:rFonts w:cs="Arial"/>
          <w:color w:val="1F4E79" w:themeColor="accent1" w:themeShade="80"/>
        </w:rPr>
        <w:t xml:space="preserve">a.1) </w:t>
      </w:r>
      <w:proofErr w:type="spellStart"/>
      <w:r w:rsidRPr="00B84B0C">
        <w:rPr>
          <w:rFonts w:cs="Arial"/>
          <w:color w:val="1F4E79" w:themeColor="accent1" w:themeShade="80"/>
        </w:rPr>
        <w:t>Estimate</w:t>
      </w:r>
      <w:proofErr w:type="spellEnd"/>
      <w:r w:rsidRPr="00B84B0C">
        <w:rPr>
          <w:rFonts w:cs="Arial"/>
          <w:color w:val="1F4E79" w:themeColor="accent1" w:themeShade="80"/>
        </w:rPr>
        <w:t xml:space="preserve"> for </w:t>
      </w:r>
      <w:proofErr w:type="spellStart"/>
      <w:r w:rsidRPr="00B84B0C">
        <w:rPr>
          <w:rFonts w:cs="Arial"/>
          <w:color w:val="1F4E79" w:themeColor="accent1" w:themeShade="80"/>
        </w:rPr>
        <w:t>amortization</w:t>
      </w:r>
      <w:proofErr w:type="spellEnd"/>
      <w:r w:rsidRPr="00B84B0C">
        <w:rPr>
          <w:rFonts w:cs="Arial"/>
          <w:color w:val="1F4E79" w:themeColor="accent1" w:themeShade="80"/>
        </w:rPr>
        <w:tab/>
      </w:r>
    </w:p>
    <w:p w14:paraId="64498B13" w14:textId="77777777" w:rsidR="00736E78" w:rsidRPr="00B84B0C" w:rsidRDefault="00736E78" w:rsidP="00736E78">
      <w:pPr>
        <w:pStyle w:val="07-Legenda"/>
        <w:ind w:left="708" w:firstLine="0"/>
        <w:jc w:val="right"/>
        <w:rPr>
          <w:rFonts w:cs="Arial"/>
          <w:b/>
          <w:sz w:val="12"/>
          <w:szCs w:val="12"/>
        </w:rPr>
      </w:pPr>
      <w:r w:rsidRPr="00B84B0C">
        <w:rPr>
          <w:rFonts w:cs="Arial"/>
          <w:b/>
          <w:lang w:val="en-US"/>
        </w:rPr>
        <w:t>R$ thousand</w:t>
      </w:r>
    </w:p>
    <w:tbl>
      <w:tblPr>
        <w:tblStyle w:val="TabeladeLista6Colorida-nfase510"/>
        <w:tblW w:w="9709" w:type="dxa"/>
        <w:jc w:val="center"/>
        <w:tblInd w:w="0" w:type="dxa"/>
        <w:tblLook w:val="04A0" w:firstRow="1" w:lastRow="0" w:firstColumn="1" w:lastColumn="0" w:noHBand="0" w:noVBand="1"/>
      </w:tblPr>
      <w:tblGrid>
        <w:gridCol w:w="2481"/>
        <w:gridCol w:w="850"/>
        <w:gridCol w:w="860"/>
        <w:gridCol w:w="860"/>
        <w:gridCol w:w="860"/>
        <w:gridCol w:w="860"/>
        <w:gridCol w:w="860"/>
        <w:gridCol w:w="944"/>
        <w:gridCol w:w="1134"/>
      </w:tblGrid>
      <w:tr w:rsidR="00736E78" w:rsidRPr="00B84B0C" w14:paraId="788A741E" w14:textId="77777777" w:rsidTr="002A0BF8">
        <w:trPr>
          <w:cnfStyle w:val="100000000000" w:firstRow="1" w:lastRow="0" w:firstColumn="0" w:lastColumn="0" w:oddVBand="0" w:evenVBand="0" w:oddHBand="0" w:evenHBand="0" w:firstRowFirstColumn="0" w:firstRowLastColumn="0" w:lastRowFirstColumn="0" w:lastRowLastColumn="0"/>
          <w:trHeight w:hRule="exact" w:val="522"/>
          <w:jc w:val="center"/>
        </w:trPr>
        <w:tc>
          <w:tcPr>
            <w:cnfStyle w:val="001000000000" w:firstRow="0" w:lastRow="0" w:firstColumn="1" w:lastColumn="0" w:oddVBand="0" w:evenVBand="0" w:oddHBand="0" w:evenHBand="0" w:firstRowFirstColumn="0" w:firstRowLastColumn="0" w:lastRowFirstColumn="0" w:lastRowLastColumn="0"/>
            <w:tcW w:w="2481" w:type="dxa"/>
            <w:tcBorders>
              <w:top w:val="single" w:sz="2" w:space="0" w:color="8EAADB" w:themeColor="accent5" w:themeTint="99"/>
              <w:bottom w:val="single" w:sz="2" w:space="0" w:color="8EAADB" w:themeColor="accent5" w:themeTint="99"/>
            </w:tcBorders>
            <w:vAlign w:val="center"/>
          </w:tcPr>
          <w:p w14:paraId="74694811" w14:textId="77777777" w:rsidR="00736E78" w:rsidRPr="00B84B0C" w:rsidRDefault="00736E78" w:rsidP="00736E78">
            <w:pPr>
              <w:pStyle w:val="08-Tabelageral"/>
              <w:rPr>
                <w:rFonts w:cs="Arial"/>
              </w:rPr>
            </w:pPr>
          </w:p>
        </w:tc>
        <w:tc>
          <w:tcPr>
            <w:tcW w:w="850" w:type="dxa"/>
            <w:tcBorders>
              <w:top w:val="single" w:sz="2" w:space="0" w:color="8EAADB" w:themeColor="accent5" w:themeTint="99"/>
              <w:bottom w:val="single" w:sz="2" w:space="0" w:color="8EAADB" w:themeColor="accent5" w:themeTint="99"/>
            </w:tcBorders>
            <w:vAlign w:val="center"/>
          </w:tcPr>
          <w:p w14:paraId="05FEB129"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2020</w:t>
            </w:r>
          </w:p>
        </w:tc>
        <w:tc>
          <w:tcPr>
            <w:tcW w:w="860" w:type="dxa"/>
            <w:tcBorders>
              <w:top w:val="single" w:sz="2" w:space="0" w:color="8EAADB" w:themeColor="accent5" w:themeTint="99"/>
              <w:bottom w:val="single" w:sz="2" w:space="0" w:color="8EAADB" w:themeColor="accent5" w:themeTint="99"/>
            </w:tcBorders>
            <w:vAlign w:val="center"/>
          </w:tcPr>
          <w:p w14:paraId="16DF2479"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2021</w:t>
            </w:r>
          </w:p>
        </w:tc>
        <w:tc>
          <w:tcPr>
            <w:tcW w:w="860" w:type="dxa"/>
            <w:tcBorders>
              <w:top w:val="single" w:sz="2" w:space="0" w:color="8EAADB" w:themeColor="accent5" w:themeTint="99"/>
              <w:bottom w:val="single" w:sz="2" w:space="0" w:color="8EAADB" w:themeColor="accent5" w:themeTint="99"/>
            </w:tcBorders>
            <w:vAlign w:val="center"/>
          </w:tcPr>
          <w:p w14:paraId="098700BD"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2022</w:t>
            </w:r>
          </w:p>
        </w:tc>
        <w:tc>
          <w:tcPr>
            <w:tcW w:w="860" w:type="dxa"/>
            <w:tcBorders>
              <w:top w:val="single" w:sz="2" w:space="0" w:color="8EAADB" w:themeColor="accent5" w:themeTint="99"/>
              <w:bottom w:val="single" w:sz="2" w:space="0" w:color="8EAADB" w:themeColor="accent5" w:themeTint="99"/>
            </w:tcBorders>
            <w:vAlign w:val="center"/>
          </w:tcPr>
          <w:p w14:paraId="1B3410C7"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2023</w:t>
            </w:r>
          </w:p>
        </w:tc>
        <w:tc>
          <w:tcPr>
            <w:tcW w:w="860" w:type="dxa"/>
            <w:tcBorders>
              <w:top w:val="single" w:sz="2" w:space="0" w:color="8EAADB" w:themeColor="accent5" w:themeTint="99"/>
              <w:bottom w:val="single" w:sz="2" w:space="0" w:color="8EAADB" w:themeColor="accent5" w:themeTint="99"/>
            </w:tcBorders>
            <w:vAlign w:val="center"/>
          </w:tcPr>
          <w:p w14:paraId="37746C06"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2024</w:t>
            </w:r>
          </w:p>
        </w:tc>
        <w:tc>
          <w:tcPr>
            <w:tcW w:w="860" w:type="dxa"/>
            <w:tcBorders>
              <w:top w:val="single" w:sz="2" w:space="0" w:color="8EAADB" w:themeColor="accent5" w:themeTint="99"/>
              <w:bottom w:val="single" w:sz="2" w:space="0" w:color="8EAADB" w:themeColor="accent5" w:themeTint="99"/>
            </w:tcBorders>
            <w:vAlign w:val="center"/>
          </w:tcPr>
          <w:p w14:paraId="0860F1D5"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2025</w:t>
            </w:r>
          </w:p>
        </w:tc>
        <w:tc>
          <w:tcPr>
            <w:tcW w:w="944" w:type="dxa"/>
            <w:tcBorders>
              <w:top w:val="single" w:sz="2" w:space="0" w:color="8EAADB" w:themeColor="accent5" w:themeTint="99"/>
              <w:bottom w:val="single" w:sz="2" w:space="0" w:color="8EAADB" w:themeColor="accent5" w:themeTint="99"/>
            </w:tcBorders>
            <w:vAlign w:val="center"/>
          </w:tcPr>
          <w:p w14:paraId="0A2A2F15"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After</w:t>
            </w:r>
            <w:proofErr w:type="spellEnd"/>
            <w:r w:rsidRPr="00B84B0C">
              <w:rPr>
                <w:rFonts w:cs="Arial"/>
              </w:rPr>
              <w:t xml:space="preserve"> 2025</w:t>
            </w:r>
          </w:p>
        </w:tc>
        <w:tc>
          <w:tcPr>
            <w:tcW w:w="1134" w:type="dxa"/>
            <w:tcBorders>
              <w:top w:val="single" w:sz="2" w:space="0" w:color="8EAADB" w:themeColor="accent5" w:themeTint="99"/>
              <w:bottom w:val="single" w:sz="2" w:space="0" w:color="8EAADB" w:themeColor="accent5" w:themeTint="99"/>
            </w:tcBorders>
            <w:vAlign w:val="center"/>
          </w:tcPr>
          <w:p w14:paraId="0F5CDCAC" w14:textId="77777777" w:rsidR="00736E78" w:rsidRPr="00B84B0C" w:rsidRDefault="00736E78" w:rsidP="00736E78">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Total</w:t>
            </w:r>
          </w:p>
        </w:tc>
      </w:tr>
      <w:tr w:rsidR="00736E78" w:rsidRPr="00B84B0C" w14:paraId="5FA9A7C5" w14:textId="77777777" w:rsidTr="002A0BF8">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481" w:type="dxa"/>
            <w:tcBorders>
              <w:top w:val="single" w:sz="2" w:space="0" w:color="8EAADB" w:themeColor="accent5" w:themeTint="99"/>
              <w:bottom w:val="single" w:sz="2" w:space="0" w:color="8EAADB" w:themeColor="accent5" w:themeTint="99"/>
            </w:tcBorders>
            <w:vAlign w:val="center"/>
          </w:tcPr>
          <w:p w14:paraId="7295A798" w14:textId="77777777" w:rsidR="00736E78" w:rsidRPr="00B84B0C" w:rsidRDefault="00736E78" w:rsidP="00736E78">
            <w:pPr>
              <w:pStyle w:val="08-Tabelageral"/>
              <w:jc w:val="left"/>
              <w:rPr>
                <w:rFonts w:cs="Arial"/>
                <w:b w:val="0"/>
                <w:szCs w:val="14"/>
              </w:rPr>
            </w:pPr>
            <w:proofErr w:type="spellStart"/>
            <w:r w:rsidRPr="00B84B0C">
              <w:rPr>
                <w:rFonts w:cs="Arial"/>
                <w:b w:val="0"/>
              </w:rPr>
              <w:t>Amounts</w:t>
            </w:r>
            <w:proofErr w:type="spellEnd"/>
            <w:r w:rsidRPr="00B84B0C">
              <w:rPr>
                <w:rFonts w:cs="Arial"/>
                <w:b w:val="0"/>
              </w:rPr>
              <w:t xml:space="preserve"> </w:t>
            </w:r>
            <w:proofErr w:type="spellStart"/>
            <w:r w:rsidRPr="00B84B0C">
              <w:rPr>
                <w:rFonts w:cs="Arial"/>
                <w:b w:val="0"/>
              </w:rPr>
              <w:t>to</w:t>
            </w:r>
            <w:proofErr w:type="spellEnd"/>
            <w:r w:rsidRPr="00B84B0C">
              <w:rPr>
                <w:rFonts w:cs="Arial"/>
                <w:b w:val="0"/>
              </w:rPr>
              <w:t xml:space="preserve"> </w:t>
            </w:r>
            <w:proofErr w:type="spellStart"/>
            <w:r w:rsidRPr="00B84B0C">
              <w:rPr>
                <w:rFonts w:cs="Arial"/>
                <w:b w:val="0"/>
              </w:rPr>
              <w:t>be</w:t>
            </w:r>
            <w:proofErr w:type="spellEnd"/>
            <w:r w:rsidRPr="00B84B0C">
              <w:rPr>
                <w:rFonts w:cs="Arial"/>
                <w:b w:val="0"/>
              </w:rPr>
              <w:t xml:space="preserve"> </w:t>
            </w:r>
            <w:proofErr w:type="spellStart"/>
            <w:r w:rsidRPr="00B84B0C">
              <w:rPr>
                <w:rFonts w:cs="Arial"/>
                <w:b w:val="0"/>
              </w:rPr>
              <w:t>amortized</w:t>
            </w:r>
            <w:proofErr w:type="spellEnd"/>
          </w:p>
        </w:tc>
        <w:tc>
          <w:tcPr>
            <w:tcW w:w="850" w:type="dxa"/>
            <w:tcBorders>
              <w:top w:val="single" w:sz="2" w:space="0" w:color="8EAADB" w:themeColor="accent5" w:themeTint="99"/>
              <w:bottom w:val="single" w:sz="2" w:space="0" w:color="8EAADB" w:themeColor="accent5" w:themeTint="99"/>
            </w:tcBorders>
            <w:vAlign w:val="center"/>
          </w:tcPr>
          <w:p w14:paraId="724B666E"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739</w:t>
            </w:r>
          </w:p>
        </w:tc>
        <w:tc>
          <w:tcPr>
            <w:tcW w:w="860" w:type="dxa"/>
            <w:tcBorders>
              <w:top w:val="single" w:sz="2" w:space="0" w:color="8EAADB" w:themeColor="accent5" w:themeTint="99"/>
              <w:bottom w:val="single" w:sz="2" w:space="0" w:color="8EAADB" w:themeColor="accent5" w:themeTint="99"/>
            </w:tcBorders>
            <w:vAlign w:val="center"/>
          </w:tcPr>
          <w:p w14:paraId="51A57FAC"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739</w:t>
            </w:r>
          </w:p>
        </w:tc>
        <w:tc>
          <w:tcPr>
            <w:tcW w:w="860" w:type="dxa"/>
            <w:tcBorders>
              <w:top w:val="single" w:sz="2" w:space="0" w:color="8EAADB" w:themeColor="accent5" w:themeTint="99"/>
              <w:bottom w:val="single" w:sz="2" w:space="0" w:color="8EAADB" w:themeColor="accent5" w:themeTint="99"/>
            </w:tcBorders>
            <w:vAlign w:val="center"/>
          </w:tcPr>
          <w:p w14:paraId="551FD11C"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739</w:t>
            </w:r>
          </w:p>
        </w:tc>
        <w:tc>
          <w:tcPr>
            <w:tcW w:w="860" w:type="dxa"/>
            <w:tcBorders>
              <w:top w:val="single" w:sz="2" w:space="0" w:color="8EAADB" w:themeColor="accent5" w:themeTint="99"/>
              <w:bottom w:val="single" w:sz="2" w:space="0" w:color="8EAADB" w:themeColor="accent5" w:themeTint="99"/>
            </w:tcBorders>
            <w:vAlign w:val="center"/>
          </w:tcPr>
          <w:p w14:paraId="40A60107"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739</w:t>
            </w:r>
          </w:p>
        </w:tc>
        <w:tc>
          <w:tcPr>
            <w:tcW w:w="860" w:type="dxa"/>
            <w:tcBorders>
              <w:top w:val="single" w:sz="2" w:space="0" w:color="8EAADB" w:themeColor="accent5" w:themeTint="99"/>
              <w:bottom w:val="single" w:sz="2" w:space="0" w:color="8EAADB" w:themeColor="accent5" w:themeTint="99"/>
            </w:tcBorders>
            <w:vAlign w:val="center"/>
          </w:tcPr>
          <w:p w14:paraId="3B824BED"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739</w:t>
            </w:r>
          </w:p>
        </w:tc>
        <w:tc>
          <w:tcPr>
            <w:tcW w:w="860" w:type="dxa"/>
            <w:tcBorders>
              <w:top w:val="single" w:sz="2" w:space="0" w:color="8EAADB" w:themeColor="accent5" w:themeTint="99"/>
              <w:bottom w:val="single" w:sz="2" w:space="0" w:color="8EAADB" w:themeColor="accent5" w:themeTint="99"/>
            </w:tcBorders>
            <w:vAlign w:val="center"/>
          </w:tcPr>
          <w:p w14:paraId="10A78989"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739</w:t>
            </w:r>
          </w:p>
        </w:tc>
        <w:tc>
          <w:tcPr>
            <w:tcW w:w="944" w:type="dxa"/>
            <w:tcBorders>
              <w:top w:val="single" w:sz="2" w:space="0" w:color="8EAADB" w:themeColor="accent5" w:themeTint="99"/>
              <w:bottom w:val="single" w:sz="2" w:space="0" w:color="8EAADB" w:themeColor="accent5" w:themeTint="99"/>
            </w:tcBorders>
            <w:vAlign w:val="center"/>
          </w:tcPr>
          <w:p w14:paraId="0653F65C"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1,476</w:t>
            </w:r>
          </w:p>
        </w:tc>
        <w:tc>
          <w:tcPr>
            <w:tcW w:w="1134" w:type="dxa"/>
            <w:tcBorders>
              <w:top w:val="nil"/>
              <w:bottom w:val="single" w:sz="2" w:space="0" w:color="8EAADB" w:themeColor="accent5" w:themeTint="99"/>
            </w:tcBorders>
            <w:vAlign w:val="center"/>
          </w:tcPr>
          <w:p w14:paraId="5E1ED3A1" w14:textId="77777777" w:rsidR="00736E78" w:rsidRPr="00B84B0C" w:rsidRDefault="00736E78" w:rsidP="00736E78">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5,910</w:t>
            </w:r>
          </w:p>
        </w:tc>
      </w:tr>
    </w:tbl>
    <w:p w14:paraId="0A961A12" w14:textId="77777777" w:rsidR="00736E78" w:rsidRPr="00B84B0C" w:rsidRDefault="00736E78" w:rsidP="00736E78">
      <w:pPr>
        <w:rPr>
          <w:rFonts w:cs="Arial"/>
          <w:b/>
          <w:color w:val="1F4E79" w:themeColor="accent1" w:themeShade="80"/>
          <w:szCs w:val="18"/>
        </w:rPr>
      </w:pPr>
    </w:p>
    <w:p w14:paraId="0F2C5088" w14:textId="0850A83B" w:rsidR="002A0BF8" w:rsidRPr="00B84B0C" w:rsidRDefault="002A0BF8" w:rsidP="002A0BF8">
      <w:pPr>
        <w:pStyle w:val="02-TtulodeNota"/>
        <w:rPr>
          <w:rFonts w:cs="Arial"/>
          <w:color w:val="1F4E79" w:themeColor="accent1" w:themeShade="80"/>
        </w:rPr>
      </w:pPr>
      <w:bookmarkStart w:id="24" w:name="_Toc39131495"/>
      <w:r w:rsidRPr="00B84B0C">
        <w:rPr>
          <w:rFonts w:cs="Arial"/>
          <w:color w:val="1F4E79" w:themeColor="accent1" w:themeShade="80"/>
        </w:rPr>
        <w:t>11 – DIVIDENDS / INTEREST ON EQUITY CAPITAL RECEIVABLE</w:t>
      </w:r>
      <w:bookmarkEnd w:id="24"/>
    </w:p>
    <w:p w14:paraId="321A239C" w14:textId="77777777" w:rsidR="002A0BF8" w:rsidRPr="00B84B0C" w:rsidRDefault="002A0BF8" w:rsidP="002A0BF8">
      <w:pPr>
        <w:pStyle w:val="07-Legenda"/>
        <w:ind w:left="708" w:firstLine="0"/>
        <w:jc w:val="right"/>
        <w:rPr>
          <w:rFonts w:cs="Arial"/>
          <w:b/>
          <w:lang w:val="en-US"/>
        </w:rPr>
      </w:pPr>
      <w:r w:rsidRPr="00B84B0C">
        <w:rPr>
          <w:rFonts w:cs="Arial"/>
          <w:b/>
          <w:lang w:val="en-US"/>
        </w:rPr>
        <w:t>R$ thousand</w:t>
      </w:r>
    </w:p>
    <w:tbl>
      <w:tblPr>
        <w:tblStyle w:val="TabeladeLista6Colorida-nfase510"/>
        <w:tblW w:w="9639" w:type="dxa"/>
        <w:tblInd w:w="108" w:type="dxa"/>
        <w:shd w:val="clear" w:color="auto" w:fill="D9E2F3"/>
        <w:tblLook w:val="04A0" w:firstRow="1" w:lastRow="0" w:firstColumn="1" w:lastColumn="0" w:noHBand="0" w:noVBand="1"/>
      </w:tblPr>
      <w:tblGrid>
        <w:gridCol w:w="850"/>
        <w:gridCol w:w="2244"/>
        <w:gridCol w:w="604"/>
        <w:gridCol w:w="1411"/>
        <w:gridCol w:w="1412"/>
        <w:gridCol w:w="283"/>
        <w:gridCol w:w="1417"/>
        <w:gridCol w:w="1418"/>
      </w:tblGrid>
      <w:tr w:rsidR="002A0BF8" w:rsidRPr="00B84B0C" w14:paraId="63617FB0" w14:textId="77777777" w:rsidTr="002A0BF8">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8EAADB"/>
              <w:bottom w:val="nil"/>
            </w:tcBorders>
            <w:shd w:val="clear" w:color="auto" w:fill="D9E2F3"/>
          </w:tcPr>
          <w:p w14:paraId="2FD4E5F9" w14:textId="77777777" w:rsidR="002A0BF8" w:rsidRPr="00B84B0C" w:rsidRDefault="002A0BF8" w:rsidP="00081370">
            <w:pPr>
              <w:keepNext/>
              <w:keepLines/>
              <w:spacing w:before="40" w:after="40"/>
              <w:jc w:val="center"/>
              <w:rPr>
                <w:rFonts w:cs="Arial"/>
                <w:b w:val="0"/>
                <w:bCs w:val="0"/>
                <w:spacing w:val="-2"/>
                <w:sz w:val="14"/>
                <w:szCs w:val="14"/>
              </w:rPr>
            </w:pPr>
          </w:p>
        </w:tc>
        <w:tc>
          <w:tcPr>
            <w:tcW w:w="2848" w:type="dxa"/>
            <w:gridSpan w:val="2"/>
            <w:tcBorders>
              <w:top w:val="single" w:sz="2" w:space="0" w:color="8EAADB"/>
              <w:bottom w:val="nil"/>
            </w:tcBorders>
            <w:shd w:val="clear" w:color="auto" w:fill="D9E2F3"/>
          </w:tcPr>
          <w:p w14:paraId="1587542E" w14:textId="77777777" w:rsidR="002A0BF8" w:rsidRPr="00B84B0C" w:rsidRDefault="002A0BF8"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rPr>
            </w:pPr>
          </w:p>
        </w:tc>
        <w:tc>
          <w:tcPr>
            <w:tcW w:w="2823" w:type="dxa"/>
            <w:gridSpan w:val="2"/>
            <w:tcBorders>
              <w:top w:val="single" w:sz="2" w:space="0" w:color="8EAADB"/>
              <w:bottom w:val="single" w:sz="2" w:space="0" w:color="8EAADB"/>
            </w:tcBorders>
            <w:shd w:val="clear" w:color="auto" w:fill="D9E2F3"/>
          </w:tcPr>
          <w:p w14:paraId="03B53092" w14:textId="77777777" w:rsidR="002A0BF8" w:rsidRPr="00B84B0C" w:rsidRDefault="002A0BF8"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vertAlign w:val="superscript"/>
              </w:rPr>
            </w:pPr>
            <w:proofErr w:type="spellStart"/>
            <w:r w:rsidRPr="00B84B0C">
              <w:rPr>
                <w:rFonts w:cs="Arial"/>
                <w:spacing w:val="-2"/>
                <w:sz w:val="14"/>
                <w:szCs w:val="14"/>
              </w:rPr>
              <w:t>Parent</w:t>
            </w:r>
            <w:proofErr w:type="spellEnd"/>
          </w:p>
        </w:tc>
        <w:tc>
          <w:tcPr>
            <w:tcW w:w="283" w:type="dxa"/>
            <w:tcBorders>
              <w:top w:val="single" w:sz="2" w:space="0" w:color="8EAADB"/>
              <w:bottom w:val="nil"/>
            </w:tcBorders>
            <w:shd w:val="clear" w:color="auto" w:fill="D9E2F3"/>
          </w:tcPr>
          <w:p w14:paraId="59150BEE" w14:textId="77777777" w:rsidR="002A0BF8" w:rsidRPr="00B84B0C" w:rsidRDefault="002A0BF8"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pacing w:val="-2"/>
                <w:sz w:val="14"/>
                <w:szCs w:val="14"/>
              </w:rPr>
            </w:pPr>
          </w:p>
        </w:tc>
        <w:tc>
          <w:tcPr>
            <w:tcW w:w="2835" w:type="dxa"/>
            <w:gridSpan w:val="2"/>
            <w:tcBorders>
              <w:top w:val="single" w:sz="2" w:space="0" w:color="8EAADB"/>
              <w:bottom w:val="nil"/>
            </w:tcBorders>
            <w:shd w:val="clear" w:color="auto" w:fill="D9E2F3"/>
          </w:tcPr>
          <w:p w14:paraId="1777A0D3" w14:textId="77777777" w:rsidR="002A0BF8" w:rsidRPr="00B84B0C" w:rsidRDefault="002A0BF8"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vertAlign w:val="superscript"/>
              </w:rPr>
            </w:pPr>
            <w:proofErr w:type="spellStart"/>
            <w:r w:rsidRPr="00B84B0C">
              <w:rPr>
                <w:rFonts w:cs="Arial"/>
                <w:spacing w:val="-2"/>
                <w:sz w:val="14"/>
                <w:szCs w:val="14"/>
              </w:rPr>
              <w:t>Consolidated</w:t>
            </w:r>
            <w:proofErr w:type="spellEnd"/>
          </w:p>
        </w:tc>
      </w:tr>
      <w:tr w:rsidR="002A0BF8" w:rsidRPr="00B84B0C" w14:paraId="0CC6DC97" w14:textId="77777777" w:rsidTr="002A0BF8">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shd w:val="clear" w:color="auto" w:fill="D9E2F3"/>
          </w:tcPr>
          <w:p w14:paraId="2E6C7641" w14:textId="77777777" w:rsidR="002A0BF8" w:rsidRPr="00B84B0C" w:rsidRDefault="002A0BF8" w:rsidP="00081370">
            <w:pPr>
              <w:keepNext/>
              <w:keepLines/>
              <w:spacing w:before="40" w:after="40"/>
              <w:rPr>
                <w:rFonts w:cs="Arial"/>
                <w:spacing w:val="-2"/>
                <w:sz w:val="14"/>
                <w:szCs w:val="14"/>
              </w:rPr>
            </w:pPr>
          </w:p>
        </w:tc>
        <w:tc>
          <w:tcPr>
            <w:tcW w:w="604" w:type="dxa"/>
            <w:tcBorders>
              <w:top w:val="nil"/>
              <w:bottom w:val="single" w:sz="2" w:space="0" w:color="8EAADB"/>
            </w:tcBorders>
            <w:shd w:val="clear" w:color="auto" w:fill="D9E2F3"/>
          </w:tcPr>
          <w:p w14:paraId="120163FF" w14:textId="77777777" w:rsidR="002A0BF8" w:rsidRPr="00B84B0C" w:rsidRDefault="002A0BF8" w:rsidP="00081370">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top w:val="single" w:sz="2" w:space="0" w:color="8EAADB"/>
              <w:bottom w:val="single" w:sz="2" w:space="0" w:color="8EAADB"/>
            </w:tcBorders>
            <w:shd w:val="clear" w:color="auto" w:fill="D9E2F3"/>
            <w:vAlign w:val="center"/>
          </w:tcPr>
          <w:p w14:paraId="5A65F2F2" w14:textId="77777777" w:rsidR="002A0BF8" w:rsidRPr="00B84B0C" w:rsidRDefault="002A0BF8"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B84B0C">
              <w:rPr>
                <w:rFonts w:cs="Arial"/>
                <w:b/>
                <w:spacing w:val="-2"/>
                <w:sz w:val="14"/>
                <w:szCs w:val="14"/>
              </w:rPr>
              <w:t>Mar 31, 2020</w:t>
            </w:r>
          </w:p>
        </w:tc>
        <w:tc>
          <w:tcPr>
            <w:tcW w:w="1412" w:type="dxa"/>
            <w:tcBorders>
              <w:top w:val="single" w:sz="2" w:space="0" w:color="8EAADB"/>
              <w:bottom w:val="single" w:sz="2" w:space="0" w:color="8EAADB"/>
            </w:tcBorders>
            <w:shd w:val="clear" w:color="auto" w:fill="D9E2F3"/>
            <w:vAlign w:val="center"/>
          </w:tcPr>
          <w:p w14:paraId="1426086E" w14:textId="77777777" w:rsidR="002A0BF8" w:rsidRPr="00B84B0C" w:rsidRDefault="002A0BF8"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roofErr w:type="spellStart"/>
            <w:r w:rsidRPr="00B84B0C">
              <w:rPr>
                <w:rFonts w:cs="Arial"/>
                <w:b/>
                <w:spacing w:val="-2"/>
                <w:sz w:val="14"/>
                <w:szCs w:val="14"/>
              </w:rPr>
              <w:t>Dec</w:t>
            </w:r>
            <w:proofErr w:type="spellEnd"/>
            <w:r w:rsidRPr="00B84B0C">
              <w:rPr>
                <w:rFonts w:cs="Arial"/>
                <w:b/>
                <w:spacing w:val="-2"/>
                <w:sz w:val="14"/>
                <w:szCs w:val="14"/>
              </w:rPr>
              <w:t xml:space="preserve"> 31, 2019</w:t>
            </w:r>
            <w:r w:rsidRPr="00B84B0C">
              <w:rPr>
                <w:rFonts w:cs="Arial"/>
                <w:spacing w:val="-2"/>
                <w:sz w:val="14"/>
                <w:szCs w:val="14"/>
                <w:vertAlign w:val="superscript"/>
              </w:rPr>
              <w:t>(1)</w:t>
            </w:r>
          </w:p>
        </w:tc>
        <w:tc>
          <w:tcPr>
            <w:tcW w:w="283" w:type="dxa"/>
            <w:tcBorders>
              <w:top w:val="nil"/>
              <w:bottom w:val="single" w:sz="2" w:space="0" w:color="8EAADB"/>
            </w:tcBorders>
            <w:shd w:val="clear" w:color="auto" w:fill="D9E2F3"/>
            <w:vAlign w:val="center"/>
          </w:tcPr>
          <w:p w14:paraId="121E27A0" w14:textId="77777777" w:rsidR="002A0BF8" w:rsidRPr="00B84B0C" w:rsidRDefault="002A0BF8"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7" w:type="dxa"/>
            <w:tcBorders>
              <w:top w:val="single" w:sz="2" w:space="0" w:color="8EAADB"/>
              <w:bottom w:val="single" w:sz="2" w:space="0" w:color="8EAADB"/>
            </w:tcBorders>
            <w:shd w:val="clear" w:color="auto" w:fill="D9E2F3"/>
            <w:vAlign w:val="center"/>
          </w:tcPr>
          <w:p w14:paraId="29E2D96D" w14:textId="77777777" w:rsidR="002A0BF8" w:rsidRPr="00B84B0C" w:rsidRDefault="002A0BF8"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B84B0C">
              <w:rPr>
                <w:rFonts w:cs="Arial"/>
                <w:b/>
                <w:spacing w:val="-2"/>
                <w:sz w:val="14"/>
                <w:szCs w:val="14"/>
              </w:rPr>
              <w:t>Mar 31, 2020</w:t>
            </w:r>
          </w:p>
        </w:tc>
        <w:tc>
          <w:tcPr>
            <w:tcW w:w="1418" w:type="dxa"/>
            <w:tcBorders>
              <w:top w:val="single" w:sz="2" w:space="0" w:color="8EAADB"/>
              <w:bottom w:val="single" w:sz="2" w:space="0" w:color="8EAADB"/>
            </w:tcBorders>
            <w:shd w:val="clear" w:color="auto" w:fill="D9E2F3"/>
            <w:vAlign w:val="center"/>
          </w:tcPr>
          <w:p w14:paraId="7EBBFC31" w14:textId="77777777" w:rsidR="002A0BF8" w:rsidRPr="00B84B0C" w:rsidRDefault="002A0BF8"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roofErr w:type="spellStart"/>
            <w:r w:rsidRPr="00B84B0C">
              <w:rPr>
                <w:rFonts w:cs="Arial"/>
                <w:b/>
                <w:spacing w:val="-2"/>
                <w:sz w:val="14"/>
                <w:szCs w:val="14"/>
              </w:rPr>
              <w:t>Dec</w:t>
            </w:r>
            <w:proofErr w:type="spellEnd"/>
            <w:r w:rsidRPr="00B84B0C">
              <w:rPr>
                <w:rFonts w:cs="Arial"/>
                <w:b/>
                <w:spacing w:val="-2"/>
                <w:sz w:val="14"/>
                <w:szCs w:val="14"/>
              </w:rPr>
              <w:t xml:space="preserve"> 31, 2019</w:t>
            </w:r>
          </w:p>
        </w:tc>
      </w:tr>
      <w:tr w:rsidR="002A0BF8" w:rsidRPr="00B84B0C" w14:paraId="3EF2E2CF" w14:textId="77777777" w:rsidTr="002A0BF8">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8EAADB"/>
              <w:bottom w:val="nil"/>
            </w:tcBorders>
            <w:shd w:val="clear" w:color="auto" w:fill="FFFFFF" w:themeFill="background1"/>
          </w:tcPr>
          <w:p w14:paraId="440938D7" w14:textId="77777777" w:rsidR="002A0BF8" w:rsidRPr="00B84B0C" w:rsidRDefault="002A0BF8" w:rsidP="00081370">
            <w:pPr>
              <w:pStyle w:val="08-Tabelageral"/>
              <w:jc w:val="left"/>
              <w:rPr>
                <w:rFonts w:cs="Arial"/>
                <w:b w:val="0"/>
                <w:szCs w:val="14"/>
                <w:vertAlign w:val="superscript"/>
              </w:rPr>
            </w:pPr>
            <w:proofErr w:type="spellStart"/>
            <w:r w:rsidRPr="00B84B0C">
              <w:rPr>
                <w:rFonts w:cs="Arial"/>
                <w:b w:val="0"/>
                <w:szCs w:val="14"/>
              </w:rPr>
              <w:t>Dividends</w:t>
            </w:r>
            <w:proofErr w:type="spellEnd"/>
            <w:r w:rsidRPr="00B84B0C">
              <w:rPr>
                <w:rFonts w:cs="Arial"/>
                <w:b w:val="0"/>
                <w:szCs w:val="14"/>
              </w:rPr>
              <w:t xml:space="preserve"> </w:t>
            </w:r>
            <w:proofErr w:type="spellStart"/>
            <w:r w:rsidRPr="00B84B0C">
              <w:rPr>
                <w:rFonts w:cs="Arial"/>
                <w:b w:val="0"/>
                <w:szCs w:val="14"/>
              </w:rPr>
              <w:t>receivable</w:t>
            </w:r>
            <w:proofErr w:type="spellEnd"/>
            <w:r w:rsidRPr="00B84B0C">
              <w:rPr>
                <w:rFonts w:cs="Arial"/>
                <w:b w:val="0"/>
                <w:szCs w:val="14"/>
              </w:rPr>
              <w:t xml:space="preserve"> </w:t>
            </w:r>
          </w:p>
        </w:tc>
        <w:tc>
          <w:tcPr>
            <w:tcW w:w="604" w:type="dxa"/>
            <w:tcBorders>
              <w:top w:val="single" w:sz="2" w:space="0" w:color="8EAADB"/>
              <w:bottom w:val="nil"/>
            </w:tcBorders>
            <w:shd w:val="clear" w:color="auto" w:fill="FFFFFF" w:themeFill="background1"/>
            <w:vAlign w:val="center"/>
          </w:tcPr>
          <w:p w14:paraId="30D65B7C"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single" w:sz="2" w:space="0" w:color="8EAADB"/>
              <w:bottom w:val="nil"/>
            </w:tcBorders>
            <w:shd w:val="clear" w:color="auto" w:fill="FFFFFF" w:themeFill="background1"/>
          </w:tcPr>
          <w:p w14:paraId="2A80738C"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412" w:type="dxa"/>
            <w:tcBorders>
              <w:top w:val="single" w:sz="2" w:space="0" w:color="8EAADB"/>
              <w:bottom w:val="nil"/>
            </w:tcBorders>
            <w:shd w:val="clear" w:color="auto" w:fill="FFFFFF" w:themeFill="background1"/>
          </w:tcPr>
          <w:p w14:paraId="1CDD90FC"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1,961,491</w:t>
            </w:r>
          </w:p>
        </w:tc>
        <w:tc>
          <w:tcPr>
            <w:tcW w:w="283" w:type="dxa"/>
            <w:tcBorders>
              <w:top w:val="single" w:sz="2" w:space="0" w:color="8EAADB"/>
              <w:bottom w:val="nil"/>
            </w:tcBorders>
            <w:shd w:val="clear" w:color="auto" w:fill="FFFFFF" w:themeFill="background1"/>
            <w:vAlign w:val="center"/>
          </w:tcPr>
          <w:p w14:paraId="7B0FE631"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single" w:sz="2" w:space="0" w:color="8EAADB"/>
              <w:bottom w:val="nil"/>
            </w:tcBorders>
            <w:shd w:val="clear" w:color="auto" w:fill="FFFFFF" w:themeFill="background1"/>
          </w:tcPr>
          <w:p w14:paraId="2BFECD0E"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418" w:type="dxa"/>
            <w:tcBorders>
              <w:top w:val="single" w:sz="2" w:space="0" w:color="8EAADB"/>
              <w:bottom w:val="nil"/>
            </w:tcBorders>
            <w:shd w:val="clear" w:color="auto" w:fill="FFFFFF" w:themeFill="background1"/>
          </w:tcPr>
          <w:p w14:paraId="690D5140"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r>
      <w:tr w:rsidR="002A0BF8" w:rsidRPr="00B84B0C" w14:paraId="6E076626" w14:textId="77777777" w:rsidTr="002A0BF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shd w:val="clear" w:color="auto" w:fill="D9E2F3"/>
          </w:tcPr>
          <w:p w14:paraId="06F401E2" w14:textId="77777777" w:rsidR="002A0BF8" w:rsidRPr="00B84B0C" w:rsidRDefault="002A0BF8" w:rsidP="00081370">
            <w:pPr>
              <w:pStyle w:val="08-Tabelageral"/>
              <w:jc w:val="left"/>
              <w:rPr>
                <w:rFonts w:cs="Arial"/>
                <w:b w:val="0"/>
                <w:szCs w:val="14"/>
              </w:rPr>
            </w:pPr>
            <w:proofErr w:type="spellStart"/>
            <w:r w:rsidRPr="00B84B0C">
              <w:rPr>
                <w:rFonts w:cs="Arial"/>
                <w:b w:val="0"/>
                <w:szCs w:val="14"/>
              </w:rPr>
              <w:t>Interest</w:t>
            </w:r>
            <w:proofErr w:type="spellEnd"/>
            <w:r w:rsidRPr="00B84B0C">
              <w:rPr>
                <w:rFonts w:cs="Arial"/>
                <w:b w:val="0"/>
                <w:szCs w:val="14"/>
              </w:rPr>
              <w:t xml:space="preserve"> </w:t>
            </w:r>
            <w:proofErr w:type="spellStart"/>
            <w:r w:rsidRPr="00B84B0C">
              <w:rPr>
                <w:rFonts w:cs="Arial"/>
                <w:b w:val="0"/>
                <w:szCs w:val="14"/>
              </w:rPr>
              <w:t>on</w:t>
            </w:r>
            <w:proofErr w:type="spellEnd"/>
            <w:r w:rsidRPr="00B84B0C">
              <w:rPr>
                <w:rFonts w:cs="Arial"/>
                <w:b w:val="0"/>
                <w:szCs w:val="14"/>
              </w:rPr>
              <w:t xml:space="preserve"> </w:t>
            </w:r>
            <w:proofErr w:type="spellStart"/>
            <w:r w:rsidRPr="00B84B0C">
              <w:rPr>
                <w:rFonts w:cs="Arial"/>
                <w:b w:val="0"/>
                <w:szCs w:val="14"/>
              </w:rPr>
              <w:t>equity</w:t>
            </w:r>
            <w:proofErr w:type="spellEnd"/>
            <w:r w:rsidRPr="00B84B0C">
              <w:rPr>
                <w:rFonts w:cs="Arial"/>
                <w:b w:val="0"/>
                <w:szCs w:val="14"/>
              </w:rPr>
              <w:t xml:space="preserve"> capital </w:t>
            </w:r>
            <w:proofErr w:type="spellStart"/>
            <w:r w:rsidRPr="00B84B0C">
              <w:rPr>
                <w:rFonts w:cs="Arial"/>
                <w:b w:val="0"/>
                <w:szCs w:val="14"/>
              </w:rPr>
              <w:t>receivable</w:t>
            </w:r>
            <w:proofErr w:type="spellEnd"/>
          </w:p>
        </w:tc>
        <w:tc>
          <w:tcPr>
            <w:tcW w:w="604" w:type="dxa"/>
            <w:tcBorders>
              <w:top w:val="nil"/>
              <w:bottom w:val="nil"/>
            </w:tcBorders>
            <w:shd w:val="clear" w:color="auto" w:fill="D9E2F3"/>
            <w:vAlign w:val="center"/>
          </w:tcPr>
          <w:p w14:paraId="59F8F70B" w14:textId="77777777" w:rsidR="002A0BF8" w:rsidRPr="00B84B0C" w:rsidRDefault="002A0BF8"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D9E2F3"/>
          </w:tcPr>
          <w:p w14:paraId="3F2A46D3" w14:textId="77777777" w:rsidR="002A0BF8" w:rsidRPr="00B84B0C" w:rsidRDefault="002A0BF8"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shd w:val="clear" w:color="auto" w:fill="D9E2F3"/>
          </w:tcPr>
          <w:p w14:paraId="53EBE0B9" w14:textId="77777777" w:rsidR="002A0BF8" w:rsidRPr="00B84B0C" w:rsidRDefault="002A0BF8"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shd w:val="clear" w:color="auto" w:fill="D9E2F3"/>
            <w:vAlign w:val="center"/>
          </w:tcPr>
          <w:p w14:paraId="1B18EB68" w14:textId="77777777" w:rsidR="002A0BF8" w:rsidRPr="00B84B0C" w:rsidRDefault="002A0BF8"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tcPr>
          <w:p w14:paraId="260BB239" w14:textId="77777777" w:rsidR="002A0BF8" w:rsidRPr="00B84B0C" w:rsidRDefault="002A0BF8"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8" w:type="dxa"/>
            <w:tcBorders>
              <w:top w:val="nil"/>
              <w:bottom w:val="nil"/>
            </w:tcBorders>
            <w:shd w:val="clear" w:color="auto" w:fill="D9E2F3"/>
          </w:tcPr>
          <w:p w14:paraId="29C10C73" w14:textId="77777777" w:rsidR="002A0BF8" w:rsidRPr="00B84B0C" w:rsidRDefault="002A0BF8"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r>
      <w:tr w:rsidR="002A0BF8" w:rsidRPr="00B84B0C" w14:paraId="7613F1E0" w14:textId="77777777" w:rsidTr="002A0BF8">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shd w:val="clear" w:color="auto" w:fill="FFFFFF" w:themeFill="background1"/>
          </w:tcPr>
          <w:p w14:paraId="2CE6BFDC" w14:textId="77777777" w:rsidR="002A0BF8" w:rsidRPr="00B84B0C" w:rsidRDefault="002A0BF8" w:rsidP="00081370">
            <w:pPr>
              <w:keepNext/>
              <w:keepLines/>
              <w:spacing w:before="40" w:after="40"/>
              <w:rPr>
                <w:rFonts w:cs="Arial"/>
                <w:bCs w:val="0"/>
                <w:spacing w:val="-2"/>
                <w:sz w:val="14"/>
                <w:szCs w:val="14"/>
              </w:rPr>
            </w:pPr>
            <w:r w:rsidRPr="00B84B0C">
              <w:rPr>
                <w:rFonts w:cs="Arial"/>
                <w:bCs w:val="0"/>
                <w:spacing w:val="-2"/>
                <w:sz w:val="14"/>
                <w:szCs w:val="14"/>
              </w:rPr>
              <w:t>Total</w:t>
            </w:r>
          </w:p>
        </w:tc>
        <w:tc>
          <w:tcPr>
            <w:tcW w:w="604" w:type="dxa"/>
            <w:tcBorders>
              <w:top w:val="nil"/>
              <w:bottom w:val="single" w:sz="2" w:space="0" w:color="8EAADB"/>
            </w:tcBorders>
            <w:shd w:val="clear" w:color="auto" w:fill="FFFFFF" w:themeFill="background1"/>
            <w:vAlign w:val="center"/>
          </w:tcPr>
          <w:p w14:paraId="2B5B1EBC"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single" w:sz="2" w:space="0" w:color="8EAADB"/>
            </w:tcBorders>
            <w:shd w:val="clear" w:color="auto" w:fill="FFFFFF" w:themeFill="background1"/>
          </w:tcPr>
          <w:p w14:paraId="61B6D488"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w:t>
            </w:r>
          </w:p>
        </w:tc>
        <w:tc>
          <w:tcPr>
            <w:tcW w:w="1412" w:type="dxa"/>
            <w:tcBorders>
              <w:top w:val="nil"/>
              <w:bottom w:val="single" w:sz="2" w:space="0" w:color="8EAADB"/>
            </w:tcBorders>
            <w:shd w:val="clear" w:color="auto" w:fill="FFFFFF" w:themeFill="background1"/>
          </w:tcPr>
          <w:p w14:paraId="3E045520"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1,961,491</w:t>
            </w:r>
          </w:p>
        </w:tc>
        <w:tc>
          <w:tcPr>
            <w:tcW w:w="283" w:type="dxa"/>
            <w:tcBorders>
              <w:top w:val="nil"/>
              <w:bottom w:val="single" w:sz="2" w:space="0" w:color="8EAADB"/>
            </w:tcBorders>
            <w:shd w:val="clear" w:color="auto" w:fill="FFFFFF" w:themeFill="background1"/>
            <w:vAlign w:val="center"/>
          </w:tcPr>
          <w:p w14:paraId="47427FCC"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bottom w:val="single" w:sz="2" w:space="0" w:color="8EAADB"/>
            </w:tcBorders>
            <w:shd w:val="clear" w:color="auto" w:fill="FFFFFF" w:themeFill="background1"/>
          </w:tcPr>
          <w:p w14:paraId="5D2D8069"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w:t>
            </w:r>
          </w:p>
        </w:tc>
        <w:tc>
          <w:tcPr>
            <w:tcW w:w="1418" w:type="dxa"/>
            <w:tcBorders>
              <w:top w:val="nil"/>
              <w:bottom w:val="single" w:sz="2" w:space="0" w:color="8EAADB"/>
            </w:tcBorders>
            <w:shd w:val="clear" w:color="auto" w:fill="FFFFFF" w:themeFill="background1"/>
          </w:tcPr>
          <w:p w14:paraId="35A42B0A" w14:textId="77777777" w:rsidR="002A0BF8" w:rsidRPr="00B84B0C" w:rsidRDefault="002A0BF8"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w:t>
            </w:r>
          </w:p>
        </w:tc>
      </w:tr>
    </w:tbl>
    <w:p w14:paraId="76331702" w14:textId="77777777" w:rsidR="002A0BF8" w:rsidRPr="00B84B0C" w:rsidRDefault="002A0BF8" w:rsidP="00081370">
      <w:pPr>
        <w:pStyle w:val="07-Legenda"/>
        <w:rPr>
          <w:rFonts w:cs="Arial"/>
          <w:szCs w:val="14"/>
        </w:rPr>
      </w:pPr>
      <w:r w:rsidRPr="00B84B0C">
        <w:rPr>
          <w:rFonts w:cs="Arial"/>
          <w:lang w:val="en-US"/>
        </w:rPr>
        <w:t xml:space="preserve">(3) On Dec </w:t>
      </w:r>
      <w:r w:rsidRPr="00B84B0C">
        <w:rPr>
          <w:rFonts w:cs="Arial"/>
          <w:szCs w:val="14"/>
        </w:rPr>
        <w:t xml:space="preserve">31, 2019, R$ 1,031,794 </w:t>
      </w:r>
      <w:proofErr w:type="spellStart"/>
      <w:r w:rsidRPr="00B84B0C">
        <w:rPr>
          <w:rFonts w:cs="Arial"/>
          <w:szCs w:val="14"/>
        </w:rPr>
        <w:t>thousand</w:t>
      </w:r>
      <w:proofErr w:type="spellEnd"/>
      <w:r w:rsidRPr="00B84B0C">
        <w:rPr>
          <w:rFonts w:cs="Arial"/>
          <w:szCs w:val="14"/>
        </w:rPr>
        <w:t xml:space="preserve"> </w:t>
      </w:r>
      <w:proofErr w:type="spellStart"/>
      <w:r w:rsidRPr="00B84B0C">
        <w:rPr>
          <w:rFonts w:cs="Arial"/>
          <w:szCs w:val="14"/>
        </w:rPr>
        <w:t>refers</w:t>
      </w:r>
      <w:proofErr w:type="spellEnd"/>
      <w:r w:rsidRPr="00B84B0C">
        <w:rPr>
          <w:rFonts w:cs="Arial"/>
          <w:szCs w:val="14"/>
        </w:rPr>
        <w:t xml:space="preserve"> </w:t>
      </w:r>
      <w:proofErr w:type="spellStart"/>
      <w:r w:rsidRPr="00B84B0C">
        <w:rPr>
          <w:rFonts w:cs="Arial"/>
          <w:szCs w:val="14"/>
        </w:rPr>
        <w:t>to</w:t>
      </w:r>
      <w:proofErr w:type="spellEnd"/>
      <w:r w:rsidRPr="00B84B0C">
        <w:rPr>
          <w:rFonts w:cs="Arial"/>
          <w:szCs w:val="14"/>
        </w:rPr>
        <w:t xml:space="preserve"> </w:t>
      </w:r>
      <w:proofErr w:type="spellStart"/>
      <w:r w:rsidRPr="00B84B0C">
        <w:rPr>
          <w:rFonts w:cs="Arial"/>
          <w:szCs w:val="14"/>
        </w:rPr>
        <w:t>dividends</w:t>
      </w:r>
      <w:proofErr w:type="spellEnd"/>
      <w:r w:rsidRPr="00B84B0C">
        <w:rPr>
          <w:rFonts w:cs="Arial"/>
          <w:szCs w:val="14"/>
        </w:rPr>
        <w:t xml:space="preserve"> </w:t>
      </w:r>
      <w:proofErr w:type="spellStart"/>
      <w:r w:rsidRPr="00B84B0C">
        <w:rPr>
          <w:rFonts w:cs="Arial"/>
          <w:szCs w:val="14"/>
        </w:rPr>
        <w:t>receivable</w:t>
      </w:r>
      <w:proofErr w:type="spellEnd"/>
      <w:r w:rsidRPr="00B84B0C">
        <w:rPr>
          <w:rFonts w:cs="Arial"/>
          <w:szCs w:val="14"/>
        </w:rPr>
        <w:t xml:space="preserve"> </w:t>
      </w:r>
      <w:proofErr w:type="spellStart"/>
      <w:r w:rsidRPr="00B84B0C">
        <w:rPr>
          <w:rFonts w:cs="Arial"/>
          <w:szCs w:val="14"/>
        </w:rPr>
        <w:t>from</w:t>
      </w:r>
      <w:proofErr w:type="spellEnd"/>
      <w:r w:rsidRPr="00B84B0C">
        <w:rPr>
          <w:rFonts w:cs="Arial"/>
          <w:szCs w:val="14"/>
        </w:rPr>
        <w:t xml:space="preserve"> BB Corretora de Seguros e Administradora de Bens S.A </w:t>
      </w:r>
      <w:proofErr w:type="spellStart"/>
      <w:r w:rsidRPr="00B84B0C">
        <w:rPr>
          <w:rFonts w:cs="Arial"/>
          <w:szCs w:val="14"/>
        </w:rPr>
        <w:t>and</w:t>
      </w:r>
      <w:proofErr w:type="spellEnd"/>
      <w:r w:rsidRPr="00B84B0C">
        <w:rPr>
          <w:rFonts w:cs="Arial"/>
          <w:szCs w:val="14"/>
        </w:rPr>
        <w:t xml:space="preserve"> R$ 929,697 </w:t>
      </w:r>
      <w:proofErr w:type="spellStart"/>
      <w:r w:rsidRPr="00B84B0C">
        <w:rPr>
          <w:rFonts w:cs="Arial"/>
          <w:szCs w:val="14"/>
        </w:rPr>
        <w:t>refers</w:t>
      </w:r>
      <w:proofErr w:type="spellEnd"/>
      <w:r w:rsidRPr="00B84B0C">
        <w:rPr>
          <w:rFonts w:cs="Arial"/>
          <w:szCs w:val="14"/>
        </w:rPr>
        <w:t xml:space="preserve"> </w:t>
      </w:r>
      <w:proofErr w:type="spellStart"/>
      <w:r w:rsidRPr="00B84B0C">
        <w:rPr>
          <w:rFonts w:cs="Arial"/>
          <w:szCs w:val="14"/>
        </w:rPr>
        <w:t>to</w:t>
      </w:r>
      <w:proofErr w:type="spellEnd"/>
      <w:r w:rsidRPr="00B84B0C">
        <w:rPr>
          <w:rFonts w:cs="Arial"/>
          <w:szCs w:val="14"/>
        </w:rPr>
        <w:t xml:space="preserve"> </w:t>
      </w:r>
      <w:proofErr w:type="spellStart"/>
      <w:r w:rsidRPr="00B84B0C">
        <w:rPr>
          <w:rFonts w:cs="Arial"/>
          <w:szCs w:val="14"/>
        </w:rPr>
        <w:t>dividends</w:t>
      </w:r>
      <w:proofErr w:type="spellEnd"/>
      <w:r w:rsidRPr="00B84B0C">
        <w:rPr>
          <w:rFonts w:cs="Arial"/>
          <w:szCs w:val="14"/>
        </w:rPr>
        <w:t xml:space="preserve"> </w:t>
      </w:r>
      <w:proofErr w:type="spellStart"/>
      <w:r w:rsidRPr="00B84B0C">
        <w:rPr>
          <w:rFonts w:cs="Arial"/>
          <w:szCs w:val="14"/>
        </w:rPr>
        <w:t>receivable</w:t>
      </w:r>
      <w:proofErr w:type="spellEnd"/>
      <w:r w:rsidRPr="00B84B0C">
        <w:rPr>
          <w:rFonts w:cs="Arial"/>
          <w:szCs w:val="14"/>
        </w:rPr>
        <w:t xml:space="preserve"> </w:t>
      </w:r>
      <w:proofErr w:type="spellStart"/>
      <w:r w:rsidRPr="00B84B0C">
        <w:rPr>
          <w:rFonts w:cs="Arial"/>
          <w:szCs w:val="14"/>
        </w:rPr>
        <w:t>from</w:t>
      </w:r>
      <w:proofErr w:type="spellEnd"/>
      <w:r w:rsidRPr="00B84B0C">
        <w:rPr>
          <w:rFonts w:cs="Arial"/>
          <w:szCs w:val="14"/>
        </w:rPr>
        <w:t xml:space="preserve"> BB Seguros Participações S.A.</w:t>
      </w:r>
    </w:p>
    <w:p w14:paraId="4FAD009E" w14:textId="2D922913" w:rsidR="000767B3" w:rsidRPr="00B84B0C" w:rsidRDefault="000767B3" w:rsidP="002A0BF8">
      <w:pPr>
        <w:pStyle w:val="01-TtulodeNota"/>
        <w:rPr>
          <w:rFonts w:cs="Arial"/>
          <w:b w:val="0"/>
        </w:rPr>
      </w:pPr>
    </w:p>
    <w:p w14:paraId="395AD552" w14:textId="32D4ECEE" w:rsidR="00081370" w:rsidRPr="00B84B0C" w:rsidRDefault="00081370" w:rsidP="00081370">
      <w:pPr>
        <w:pStyle w:val="02-TtulodeNota"/>
        <w:keepNext/>
        <w:keepLines/>
        <w:pageBreakBefore/>
        <w:rPr>
          <w:rFonts w:cs="Arial"/>
          <w:color w:val="1F4E79" w:themeColor="accent1" w:themeShade="80"/>
          <w:lang w:val="en-US"/>
        </w:rPr>
      </w:pPr>
      <w:bookmarkStart w:id="25" w:name="_Toc39131496"/>
      <w:r w:rsidRPr="00B84B0C">
        <w:rPr>
          <w:rFonts w:cs="Arial"/>
          <w:color w:val="1F4E79" w:themeColor="accent1" w:themeShade="80"/>
          <w:lang w:val="en-US"/>
        </w:rPr>
        <w:lastRenderedPageBreak/>
        <w:t>12 – TAXES</w:t>
      </w:r>
      <w:bookmarkEnd w:id="25"/>
    </w:p>
    <w:p w14:paraId="6CB67DBB" w14:textId="77777777" w:rsidR="00081370" w:rsidRPr="00B84B0C" w:rsidRDefault="00081370" w:rsidP="00081370">
      <w:pPr>
        <w:pStyle w:val="01-TtulodeNota"/>
        <w:jc w:val="left"/>
        <w:rPr>
          <w:rFonts w:cs="Arial"/>
          <w:sz w:val="18"/>
          <w:szCs w:val="18"/>
          <w:lang w:val="en-US"/>
        </w:rPr>
      </w:pPr>
      <w:r w:rsidRPr="00B84B0C">
        <w:rPr>
          <w:rFonts w:cs="Arial"/>
          <w:color w:val="1F4E79" w:themeColor="accent1" w:themeShade="80"/>
          <w:sz w:val="18"/>
          <w:szCs w:val="18"/>
          <w:lang w:val="en-US"/>
        </w:rPr>
        <w:t>a) Breakdown of income tax (IR) and social contribution expenses (CSLL)</w:t>
      </w:r>
    </w:p>
    <w:p w14:paraId="3002720F" w14:textId="77777777" w:rsidR="00081370" w:rsidRPr="00B84B0C" w:rsidRDefault="00081370" w:rsidP="00081370">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2986"/>
        <w:gridCol w:w="604"/>
        <w:gridCol w:w="1411"/>
        <w:gridCol w:w="1412"/>
        <w:gridCol w:w="283"/>
        <w:gridCol w:w="1417"/>
        <w:gridCol w:w="1526"/>
      </w:tblGrid>
      <w:tr w:rsidR="00081370" w:rsidRPr="00B84B0C" w14:paraId="48811E80"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themeFill="accent5" w:themeFillTint="33"/>
            <w:vAlign w:val="center"/>
          </w:tcPr>
          <w:p w14:paraId="68DE7E7E" w14:textId="77777777" w:rsidR="00081370" w:rsidRPr="00B84B0C" w:rsidRDefault="00081370" w:rsidP="00081370">
            <w:pPr>
              <w:jc w:val="center"/>
              <w:rPr>
                <w:rFonts w:cs="Arial"/>
                <w:b w:val="0"/>
                <w:szCs w:val="18"/>
              </w:rPr>
            </w:pPr>
          </w:p>
        </w:tc>
        <w:tc>
          <w:tcPr>
            <w:tcW w:w="604" w:type="dxa"/>
            <w:tcBorders>
              <w:top w:val="single" w:sz="2" w:space="0" w:color="8EAADB" w:themeColor="accent5" w:themeTint="99"/>
              <w:bottom w:val="nil"/>
            </w:tcBorders>
            <w:shd w:val="clear" w:color="auto" w:fill="D9E2F3" w:themeFill="accent5" w:themeFillTint="33"/>
          </w:tcPr>
          <w:p w14:paraId="3AA787D5"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2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812CAF9"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14018F12"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4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1ADA6C80"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081370" w:rsidRPr="00B84B0C" w14:paraId="54FDD73C"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1C7BF097" w14:textId="77777777" w:rsidR="00081370" w:rsidRPr="00B84B0C" w:rsidRDefault="00081370" w:rsidP="00081370">
            <w:pPr>
              <w:pStyle w:val="08-Tabelageral"/>
              <w:rPr>
                <w:rFonts w:cs="Arial"/>
                <w:b w:val="0"/>
              </w:rPr>
            </w:pPr>
          </w:p>
        </w:tc>
        <w:tc>
          <w:tcPr>
            <w:tcW w:w="604" w:type="dxa"/>
            <w:tcBorders>
              <w:top w:val="nil"/>
              <w:bottom w:val="single" w:sz="2" w:space="0" w:color="8EAADB" w:themeColor="accent5" w:themeTint="99"/>
            </w:tcBorders>
          </w:tcPr>
          <w:p w14:paraId="59C98D6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244252E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412" w:type="dxa"/>
            <w:tcBorders>
              <w:top w:val="single" w:sz="2" w:space="0" w:color="8EAADB" w:themeColor="accent5" w:themeTint="99"/>
              <w:bottom w:val="single" w:sz="2" w:space="0" w:color="8EAADB" w:themeColor="accent5" w:themeTint="99"/>
            </w:tcBorders>
            <w:vAlign w:val="center"/>
          </w:tcPr>
          <w:p w14:paraId="1F73416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/2019</w:t>
            </w:r>
          </w:p>
        </w:tc>
        <w:tc>
          <w:tcPr>
            <w:tcW w:w="283" w:type="dxa"/>
            <w:tcBorders>
              <w:top w:val="nil"/>
              <w:bottom w:val="single" w:sz="2" w:space="0" w:color="8EAADB" w:themeColor="accent5" w:themeTint="99"/>
            </w:tcBorders>
            <w:vAlign w:val="center"/>
          </w:tcPr>
          <w:p w14:paraId="23A021C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513D56B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526" w:type="dxa"/>
            <w:tcBorders>
              <w:top w:val="single" w:sz="2" w:space="0" w:color="8EAADB" w:themeColor="accent5" w:themeTint="99"/>
              <w:bottom w:val="single" w:sz="2" w:space="0" w:color="8EAADB" w:themeColor="accent5" w:themeTint="99"/>
            </w:tcBorders>
            <w:vAlign w:val="center"/>
          </w:tcPr>
          <w:p w14:paraId="3935836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/2019</w:t>
            </w:r>
          </w:p>
        </w:tc>
      </w:tr>
      <w:tr w:rsidR="00081370" w:rsidRPr="00B84B0C" w14:paraId="4F95236B"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tcPr>
          <w:p w14:paraId="2936FF13" w14:textId="77777777" w:rsidR="00081370" w:rsidRPr="00B84B0C" w:rsidRDefault="00081370" w:rsidP="00081370">
            <w:pPr>
              <w:pStyle w:val="08-Tabelageral"/>
              <w:jc w:val="left"/>
              <w:rPr>
                <w:rFonts w:cs="Arial"/>
                <w:bCs w:val="0"/>
                <w:szCs w:val="14"/>
              </w:rPr>
            </w:pPr>
            <w:proofErr w:type="spellStart"/>
            <w:r w:rsidRPr="00B84B0C">
              <w:rPr>
                <w:rFonts w:cs="Arial"/>
                <w:szCs w:val="14"/>
              </w:rPr>
              <w:t>Current</w:t>
            </w:r>
            <w:proofErr w:type="spellEnd"/>
            <w:r w:rsidRPr="00B84B0C">
              <w:rPr>
                <w:rFonts w:cs="Arial"/>
                <w:szCs w:val="14"/>
              </w:rPr>
              <w:t xml:space="preserve"> </w:t>
            </w:r>
            <w:proofErr w:type="spellStart"/>
            <w:r w:rsidRPr="00B84B0C">
              <w:rPr>
                <w:rFonts w:cs="Arial"/>
                <w:szCs w:val="14"/>
              </w:rPr>
              <w:t>values</w:t>
            </w:r>
            <w:proofErr w:type="spellEnd"/>
          </w:p>
        </w:tc>
        <w:tc>
          <w:tcPr>
            <w:tcW w:w="604" w:type="dxa"/>
            <w:tcBorders>
              <w:top w:val="single" w:sz="2" w:space="0" w:color="8EAADB" w:themeColor="accent5" w:themeTint="99"/>
              <w:bottom w:val="nil"/>
            </w:tcBorders>
            <w:vAlign w:val="center"/>
          </w:tcPr>
          <w:p w14:paraId="3DE4536B"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single" w:sz="2" w:space="0" w:color="8EAADB" w:themeColor="accent5" w:themeTint="99"/>
              <w:bottom w:val="nil"/>
            </w:tcBorders>
            <w:vAlign w:val="center"/>
          </w:tcPr>
          <w:p w14:paraId="7B610FB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(7,528)</w:t>
            </w:r>
          </w:p>
        </w:tc>
        <w:tc>
          <w:tcPr>
            <w:tcW w:w="1412" w:type="dxa"/>
            <w:tcBorders>
              <w:top w:val="single" w:sz="2" w:space="0" w:color="8EAADB" w:themeColor="accent5" w:themeTint="99"/>
              <w:bottom w:val="nil"/>
            </w:tcBorders>
            <w:vAlign w:val="center"/>
          </w:tcPr>
          <w:p w14:paraId="55A45271"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(5,340)</w:t>
            </w:r>
          </w:p>
        </w:tc>
        <w:tc>
          <w:tcPr>
            <w:tcW w:w="283" w:type="dxa"/>
            <w:tcBorders>
              <w:top w:val="single" w:sz="2" w:space="0" w:color="8EAADB" w:themeColor="accent5" w:themeTint="99"/>
              <w:bottom w:val="nil"/>
            </w:tcBorders>
            <w:vAlign w:val="center"/>
          </w:tcPr>
          <w:p w14:paraId="1BFBA22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7" w:type="dxa"/>
            <w:tcBorders>
              <w:top w:val="single" w:sz="2" w:space="0" w:color="8EAADB" w:themeColor="accent5" w:themeTint="99"/>
              <w:bottom w:val="nil"/>
            </w:tcBorders>
            <w:vAlign w:val="center"/>
          </w:tcPr>
          <w:p w14:paraId="1F896C1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(256,584)</w:t>
            </w:r>
          </w:p>
        </w:tc>
        <w:tc>
          <w:tcPr>
            <w:tcW w:w="1526" w:type="dxa"/>
            <w:tcBorders>
              <w:top w:val="single" w:sz="2" w:space="0" w:color="8EAADB" w:themeColor="accent5" w:themeTint="99"/>
              <w:bottom w:val="nil"/>
            </w:tcBorders>
            <w:vAlign w:val="center"/>
          </w:tcPr>
          <w:p w14:paraId="7605979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(223,594)</w:t>
            </w:r>
          </w:p>
        </w:tc>
      </w:tr>
      <w:tr w:rsidR="00081370" w:rsidRPr="00B84B0C" w14:paraId="7F485E8B"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277C961E" w14:textId="77777777" w:rsidR="00081370" w:rsidRPr="00B84B0C" w:rsidRDefault="00081370" w:rsidP="00081370">
            <w:pPr>
              <w:pStyle w:val="08-Tabelageral"/>
              <w:ind w:left="113"/>
              <w:jc w:val="left"/>
              <w:rPr>
                <w:rFonts w:cs="Arial"/>
                <w:b w:val="0"/>
                <w:szCs w:val="14"/>
                <w:lang w:val="en-US"/>
              </w:rPr>
            </w:pPr>
            <w:r w:rsidRPr="00B84B0C">
              <w:rPr>
                <w:rFonts w:cs="Arial"/>
                <w:b w:val="0"/>
                <w:szCs w:val="14"/>
                <w:lang w:val="en-US"/>
              </w:rPr>
              <w:t>Domestic income tax and social contribution</w:t>
            </w:r>
          </w:p>
        </w:tc>
        <w:tc>
          <w:tcPr>
            <w:tcW w:w="604" w:type="dxa"/>
            <w:tcBorders>
              <w:top w:val="nil"/>
              <w:bottom w:val="nil"/>
            </w:tcBorders>
            <w:vAlign w:val="center"/>
          </w:tcPr>
          <w:p w14:paraId="7197B2FE"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1" w:type="dxa"/>
            <w:tcBorders>
              <w:top w:val="nil"/>
              <w:bottom w:val="nil"/>
            </w:tcBorders>
            <w:vAlign w:val="center"/>
          </w:tcPr>
          <w:p w14:paraId="63BAC005"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(7,528)</w:t>
            </w:r>
          </w:p>
        </w:tc>
        <w:tc>
          <w:tcPr>
            <w:tcW w:w="1412" w:type="dxa"/>
            <w:tcBorders>
              <w:top w:val="nil"/>
              <w:bottom w:val="nil"/>
            </w:tcBorders>
            <w:vAlign w:val="center"/>
          </w:tcPr>
          <w:p w14:paraId="0E65628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(5,340)</w:t>
            </w:r>
          </w:p>
        </w:tc>
        <w:tc>
          <w:tcPr>
            <w:tcW w:w="283" w:type="dxa"/>
            <w:tcBorders>
              <w:top w:val="nil"/>
              <w:bottom w:val="nil"/>
            </w:tcBorders>
            <w:vAlign w:val="center"/>
          </w:tcPr>
          <w:p w14:paraId="62808471"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7765C8E0"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(256,584)</w:t>
            </w:r>
          </w:p>
        </w:tc>
        <w:tc>
          <w:tcPr>
            <w:tcW w:w="1526" w:type="dxa"/>
            <w:tcBorders>
              <w:top w:val="nil"/>
              <w:bottom w:val="nil"/>
            </w:tcBorders>
            <w:vAlign w:val="center"/>
          </w:tcPr>
          <w:p w14:paraId="16D833D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(223,594)</w:t>
            </w:r>
          </w:p>
        </w:tc>
      </w:tr>
      <w:tr w:rsidR="00081370" w:rsidRPr="00B84B0C" w14:paraId="3F46E2FB"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165FEC3D" w14:textId="77777777" w:rsidR="00081370" w:rsidRPr="00B84B0C" w:rsidRDefault="00081370" w:rsidP="00081370">
            <w:pPr>
              <w:pStyle w:val="08-Tabelageral"/>
              <w:jc w:val="left"/>
              <w:rPr>
                <w:rFonts w:cs="Arial"/>
                <w:szCs w:val="14"/>
              </w:rPr>
            </w:pPr>
            <w:proofErr w:type="spellStart"/>
            <w:r w:rsidRPr="00B84B0C">
              <w:rPr>
                <w:rFonts w:cs="Arial"/>
                <w:szCs w:val="14"/>
              </w:rPr>
              <w:t>Deferred</w:t>
            </w:r>
            <w:proofErr w:type="spellEnd"/>
            <w:r w:rsidRPr="00B84B0C">
              <w:rPr>
                <w:rFonts w:cs="Arial"/>
                <w:szCs w:val="14"/>
              </w:rPr>
              <w:t xml:space="preserve"> </w:t>
            </w:r>
            <w:proofErr w:type="spellStart"/>
            <w:r w:rsidRPr="00B84B0C">
              <w:rPr>
                <w:rFonts w:cs="Arial"/>
                <w:szCs w:val="14"/>
              </w:rPr>
              <w:t>values</w:t>
            </w:r>
            <w:proofErr w:type="spellEnd"/>
          </w:p>
        </w:tc>
        <w:tc>
          <w:tcPr>
            <w:tcW w:w="604" w:type="dxa"/>
            <w:tcBorders>
              <w:top w:val="nil"/>
              <w:bottom w:val="nil"/>
            </w:tcBorders>
            <w:vAlign w:val="center"/>
          </w:tcPr>
          <w:p w14:paraId="78F6AFCE"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nil"/>
            </w:tcBorders>
            <w:vAlign w:val="center"/>
          </w:tcPr>
          <w:p w14:paraId="2AC3754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2</w:t>
            </w:r>
          </w:p>
        </w:tc>
        <w:tc>
          <w:tcPr>
            <w:tcW w:w="1412" w:type="dxa"/>
            <w:tcBorders>
              <w:top w:val="nil"/>
              <w:bottom w:val="nil"/>
            </w:tcBorders>
            <w:vAlign w:val="center"/>
          </w:tcPr>
          <w:p w14:paraId="277655E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w:t>
            </w:r>
          </w:p>
        </w:tc>
        <w:tc>
          <w:tcPr>
            <w:tcW w:w="283" w:type="dxa"/>
            <w:tcBorders>
              <w:top w:val="nil"/>
              <w:bottom w:val="nil"/>
            </w:tcBorders>
            <w:vAlign w:val="center"/>
          </w:tcPr>
          <w:p w14:paraId="01CA01C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7" w:type="dxa"/>
            <w:tcBorders>
              <w:top w:val="nil"/>
              <w:bottom w:val="nil"/>
            </w:tcBorders>
            <w:vAlign w:val="center"/>
          </w:tcPr>
          <w:p w14:paraId="3DB2924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398</w:t>
            </w:r>
          </w:p>
        </w:tc>
        <w:tc>
          <w:tcPr>
            <w:tcW w:w="1526" w:type="dxa"/>
            <w:tcBorders>
              <w:top w:val="nil"/>
              <w:bottom w:val="nil"/>
            </w:tcBorders>
            <w:vAlign w:val="center"/>
          </w:tcPr>
          <w:p w14:paraId="06A33C24"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810</w:t>
            </w:r>
          </w:p>
        </w:tc>
      </w:tr>
      <w:tr w:rsidR="00081370" w:rsidRPr="00B84B0C" w14:paraId="2080C1BD"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1D7E8FFA" w14:textId="77777777" w:rsidR="00081370" w:rsidRPr="00B84B0C" w:rsidRDefault="00081370" w:rsidP="00081370">
            <w:pPr>
              <w:pStyle w:val="08-Tabelageral"/>
              <w:jc w:val="left"/>
              <w:rPr>
                <w:rFonts w:cs="Arial"/>
                <w:szCs w:val="14"/>
              </w:rPr>
            </w:pPr>
            <w:proofErr w:type="spellStart"/>
            <w:r w:rsidRPr="00B84B0C">
              <w:rPr>
                <w:rFonts w:cs="Arial"/>
                <w:szCs w:val="14"/>
              </w:rPr>
              <w:t>Deferred</w:t>
            </w:r>
            <w:proofErr w:type="spellEnd"/>
            <w:r w:rsidRPr="00B84B0C">
              <w:rPr>
                <w:rFonts w:cs="Arial"/>
                <w:szCs w:val="14"/>
              </w:rPr>
              <w:t xml:space="preserve"> </w:t>
            </w:r>
            <w:proofErr w:type="spellStart"/>
            <w:r w:rsidRPr="00B84B0C">
              <w:rPr>
                <w:rFonts w:cs="Arial"/>
                <w:szCs w:val="14"/>
              </w:rPr>
              <w:t>tax</w:t>
            </w:r>
            <w:proofErr w:type="spellEnd"/>
            <w:r w:rsidRPr="00B84B0C">
              <w:rPr>
                <w:rFonts w:cs="Arial"/>
                <w:szCs w:val="14"/>
              </w:rPr>
              <w:t xml:space="preserve"> </w:t>
            </w:r>
            <w:proofErr w:type="spellStart"/>
            <w:r w:rsidRPr="00B84B0C">
              <w:rPr>
                <w:rFonts w:cs="Arial"/>
                <w:szCs w:val="14"/>
              </w:rPr>
              <w:t>assets</w:t>
            </w:r>
            <w:proofErr w:type="spellEnd"/>
          </w:p>
        </w:tc>
        <w:tc>
          <w:tcPr>
            <w:tcW w:w="604" w:type="dxa"/>
            <w:tcBorders>
              <w:top w:val="nil"/>
              <w:bottom w:val="nil"/>
            </w:tcBorders>
            <w:vAlign w:val="center"/>
          </w:tcPr>
          <w:p w14:paraId="1B6626AA"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vAlign w:val="center"/>
          </w:tcPr>
          <w:p w14:paraId="38E60E1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w:t>
            </w:r>
          </w:p>
        </w:tc>
        <w:tc>
          <w:tcPr>
            <w:tcW w:w="1412" w:type="dxa"/>
            <w:tcBorders>
              <w:top w:val="nil"/>
              <w:bottom w:val="nil"/>
            </w:tcBorders>
            <w:vAlign w:val="center"/>
          </w:tcPr>
          <w:p w14:paraId="6CB85DE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w:t>
            </w:r>
          </w:p>
        </w:tc>
        <w:tc>
          <w:tcPr>
            <w:tcW w:w="283" w:type="dxa"/>
            <w:tcBorders>
              <w:top w:val="nil"/>
              <w:bottom w:val="nil"/>
            </w:tcBorders>
            <w:vAlign w:val="center"/>
          </w:tcPr>
          <w:p w14:paraId="77F6576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nil"/>
            </w:tcBorders>
            <w:vAlign w:val="center"/>
          </w:tcPr>
          <w:p w14:paraId="4084F6F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398</w:t>
            </w:r>
          </w:p>
        </w:tc>
        <w:tc>
          <w:tcPr>
            <w:tcW w:w="1526" w:type="dxa"/>
            <w:tcBorders>
              <w:top w:val="nil"/>
              <w:bottom w:val="nil"/>
            </w:tcBorders>
            <w:vAlign w:val="center"/>
          </w:tcPr>
          <w:p w14:paraId="48026F9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810</w:t>
            </w:r>
          </w:p>
        </w:tc>
      </w:tr>
      <w:tr w:rsidR="00081370" w:rsidRPr="00B84B0C" w14:paraId="3AC8B4A4"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06953220" w14:textId="77777777" w:rsidR="00081370" w:rsidRPr="00B84B0C" w:rsidRDefault="00081370" w:rsidP="00081370">
            <w:pPr>
              <w:pStyle w:val="08-Tabelageral"/>
              <w:ind w:left="113"/>
              <w:jc w:val="left"/>
              <w:rPr>
                <w:rFonts w:cs="Arial"/>
                <w:b w:val="0"/>
                <w:szCs w:val="14"/>
              </w:rPr>
            </w:pPr>
            <w:proofErr w:type="spellStart"/>
            <w:r w:rsidRPr="00B84B0C">
              <w:rPr>
                <w:rFonts w:cs="Arial"/>
                <w:b w:val="0"/>
                <w:szCs w:val="14"/>
              </w:rPr>
              <w:t>Temporary</w:t>
            </w:r>
            <w:proofErr w:type="spellEnd"/>
            <w:r w:rsidRPr="00B84B0C">
              <w:rPr>
                <w:rFonts w:cs="Arial"/>
                <w:b w:val="0"/>
                <w:szCs w:val="14"/>
              </w:rPr>
              <w:t xml:space="preserve"> </w:t>
            </w:r>
            <w:proofErr w:type="spellStart"/>
            <w:r w:rsidRPr="00B84B0C">
              <w:rPr>
                <w:rFonts w:cs="Arial"/>
                <w:b w:val="0"/>
                <w:szCs w:val="14"/>
              </w:rPr>
              <w:t>differences</w:t>
            </w:r>
            <w:proofErr w:type="spellEnd"/>
          </w:p>
        </w:tc>
        <w:tc>
          <w:tcPr>
            <w:tcW w:w="604" w:type="dxa"/>
            <w:tcBorders>
              <w:top w:val="nil"/>
              <w:bottom w:val="nil"/>
            </w:tcBorders>
            <w:vAlign w:val="center"/>
          </w:tcPr>
          <w:p w14:paraId="24B0AD86"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28FDB47D"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w:t>
            </w:r>
          </w:p>
        </w:tc>
        <w:tc>
          <w:tcPr>
            <w:tcW w:w="1412" w:type="dxa"/>
            <w:tcBorders>
              <w:top w:val="nil"/>
              <w:bottom w:val="nil"/>
            </w:tcBorders>
            <w:vAlign w:val="center"/>
          </w:tcPr>
          <w:p w14:paraId="2801EBD7"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6CC15512"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4FE975B2"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398</w:t>
            </w:r>
          </w:p>
        </w:tc>
        <w:tc>
          <w:tcPr>
            <w:tcW w:w="1526" w:type="dxa"/>
            <w:tcBorders>
              <w:top w:val="nil"/>
              <w:bottom w:val="nil"/>
            </w:tcBorders>
            <w:vAlign w:val="center"/>
          </w:tcPr>
          <w:p w14:paraId="4A5505B4"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810</w:t>
            </w:r>
          </w:p>
        </w:tc>
      </w:tr>
      <w:tr w:rsidR="00081370" w:rsidRPr="00B84B0C" w14:paraId="0E6A799A"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40C6C0C9" w14:textId="77777777" w:rsidR="00081370" w:rsidRPr="00B84B0C" w:rsidRDefault="00081370" w:rsidP="00081370">
            <w:pPr>
              <w:pStyle w:val="08-Tabelageral"/>
              <w:jc w:val="left"/>
              <w:rPr>
                <w:rFonts w:cs="Arial"/>
              </w:rPr>
            </w:pPr>
            <w:r w:rsidRPr="00B84B0C">
              <w:rPr>
                <w:rFonts w:cs="Arial"/>
              </w:rPr>
              <w:t xml:space="preserve">Total </w:t>
            </w:r>
          </w:p>
          <w:p w14:paraId="23DEA441" w14:textId="77777777" w:rsidR="00081370" w:rsidRPr="00B84B0C" w:rsidRDefault="00081370" w:rsidP="00081370">
            <w:pPr>
              <w:pStyle w:val="08-Tabelageral"/>
              <w:jc w:val="left"/>
              <w:rPr>
                <w:rFonts w:cs="Arial"/>
                <w:szCs w:val="14"/>
              </w:rPr>
            </w:pPr>
          </w:p>
        </w:tc>
        <w:tc>
          <w:tcPr>
            <w:tcW w:w="604" w:type="dxa"/>
            <w:tcBorders>
              <w:top w:val="nil"/>
              <w:bottom w:val="single" w:sz="2" w:space="0" w:color="8EAADB" w:themeColor="accent5" w:themeTint="99"/>
            </w:tcBorders>
            <w:vAlign w:val="center"/>
          </w:tcPr>
          <w:p w14:paraId="2F502529"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single" w:sz="2" w:space="0" w:color="8EAADB" w:themeColor="accent5" w:themeTint="99"/>
            </w:tcBorders>
            <w:vAlign w:val="center"/>
          </w:tcPr>
          <w:p w14:paraId="30AE5DA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(7,526)</w:t>
            </w:r>
          </w:p>
        </w:tc>
        <w:tc>
          <w:tcPr>
            <w:tcW w:w="1412" w:type="dxa"/>
            <w:tcBorders>
              <w:top w:val="nil"/>
              <w:bottom w:val="single" w:sz="2" w:space="0" w:color="8EAADB" w:themeColor="accent5" w:themeTint="99"/>
            </w:tcBorders>
            <w:vAlign w:val="center"/>
          </w:tcPr>
          <w:p w14:paraId="2C4C902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(5,340)</w:t>
            </w:r>
          </w:p>
        </w:tc>
        <w:tc>
          <w:tcPr>
            <w:tcW w:w="283" w:type="dxa"/>
            <w:tcBorders>
              <w:top w:val="nil"/>
              <w:bottom w:val="single" w:sz="2" w:space="0" w:color="8EAADB" w:themeColor="accent5" w:themeTint="99"/>
            </w:tcBorders>
            <w:vAlign w:val="center"/>
          </w:tcPr>
          <w:p w14:paraId="104263D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single" w:sz="2" w:space="0" w:color="8EAADB" w:themeColor="accent5" w:themeTint="99"/>
            </w:tcBorders>
            <w:vAlign w:val="center"/>
          </w:tcPr>
          <w:p w14:paraId="5DFCC96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(256,186)</w:t>
            </w:r>
          </w:p>
        </w:tc>
        <w:tc>
          <w:tcPr>
            <w:tcW w:w="1526" w:type="dxa"/>
            <w:tcBorders>
              <w:top w:val="nil"/>
              <w:bottom w:val="single" w:sz="2" w:space="0" w:color="8EAADB" w:themeColor="accent5" w:themeTint="99"/>
            </w:tcBorders>
            <w:vAlign w:val="center"/>
          </w:tcPr>
          <w:p w14:paraId="45C76B4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(222,784)</w:t>
            </w:r>
          </w:p>
        </w:tc>
      </w:tr>
    </w:tbl>
    <w:p w14:paraId="25C7CC62" w14:textId="77777777" w:rsidR="00081370" w:rsidRPr="00B84B0C" w:rsidRDefault="00081370">
      <w:pPr>
        <w:rPr>
          <w:rFonts w:cs="Arial"/>
          <w:b/>
          <w:color w:val="1F4E79" w:themeColor="accent1" w:themeShade="80"/>
          <w:szCs w:val="18"/>
        </w:rPr>
      </w:pPr>
    </w:p>
    <w:p w14:paraId="7CF8915B" w14:textId="77777777" w:rsidR="00081370" w:rsidRPr="00B84B0C" w:rsidRDefault="00081370">
      <w:pPr>
        <w:rPr>
          <w:rFonts w:cs="Arial"/>
          <w:b/>
          <w:color w:val="1F4E79" w:themeColor="accent1" w:themeShade="80"/>
          <w:szCs w:val="18"/>
          <w:lang w:val="en-US"/>
        </w:rPr>
      </w:pPr>
      <w:r w:rsidRPr="00B84B0C">
        <w:rPr>
          <w:rFonts w:cs="Arial"/>
          <w:b/>
          <w:color w:val="1F4E79" w:themeColor="accent1" w:themeShade="80"/>
          <w:szCs w:val="18"/>
          <w:lang w:val="en-US"/>
        </w:rPr>
        <w:t>b) Reconciliation of Income Tax and Social Contribution Expenses</w:t>
      </w:r>
    </w:p>
    <w:p w14:paraId="66ED5461" w14:textId="77777777" w:rsidR="00081370" w:rsidRPr="00B84B0C" w:rsidRDefault="00081370" w:rsidP="00081370">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3153"/>
        <w:gridCol w:w="437"/>
        <w:gridCol w:w="1411"/>
        <w:gridCol w:w="1412"/>
        <w:gridCol w:w="283"/>
        <w:gridCol w:w="1417"/>
        <w:gridCol w:w="1526"/>
      </w:tblGrid>
      <w:tr w:rsidR="00081370" w:rsidRPr="00B84B0C" w14:paraId="23471D19"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153" w:type="dxa"/>
            <w:tcBorders>
              <w:top w:val="single" w:sz="2" w:space="0" w:color="8EAADB" w:themeColor="accent5" w:themeTint="99"/>
              <w:bottom w:val="nil"/>
            </w:tcBorders>
            <w:shd w:val="clear" w:color="auto" w:fill="D9E2F3" w:themeFill="accent5" w:themeFillTint="33"/>
            <w:vAlign w:val="center"/>
          </w:tcPr>
          <w:p w14:paraId="39CB050D" w14:textId="77777777" w:rsidR="00081370" w:rsidRPr="00B84B0C" w:rsidRDefault="00081370" w:rsidP="00081370">
            <w:pPr>
              <w:jc w:val="center"/>
              <w:rPr>
                <w:rFonts w:cs="Arial"/>
                <w:b w:val="0"/>
                <w:szCs w:val="18"/>
              </w:rPr>
            </w:pPr>
          </w:p>
        </w:tc>
        <w:tc>
          <w:tcPr>
            <w:tcW w:w="437" w:type="dxa"/>
            <w:tcBorders>
              <w:top w:val="single" w:sz="2" w:space="0" w:color="8EAADB" w:themeColor="accent5" w:themeTint="99"/>
              <w:bottom w:val="nil"/>
            </w:tcBorders>
            <w:shd w:val="clear" w:color="auto" w:fill="D9E2F3" w:themeFill="accent5" w:themeFillTint="33"/>
          </w:tcPr>
          <w:p w14:paraId="3C8D8835"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2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1CAF33D8"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0864B01A"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4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19C485A0"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081370" w:rsidRPr="00B84B0C" w14:paraId="69BE2B11"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tcBorders>
              <w:top w:val="nil"/>
              <w:bottom w:val="single" w:sz="2" w:space="0" w:color="8EAADB" w:themeColor="accent5" w:themeTint="99"/>
            </w:tcBorders>
          </w:tcPr>
          <w:p w14:paraId="7A3416FA" w14:textId="77777777" w:rsidR="00081370" w:rsidRPr="00B84B0C" w:rsidRDefault="00081370" w:rsidP="00081370">
            <w:pPr>
              <w:pStyle w:val="08-Tabelageral"/>
              <w:rPr>
                <w:rFonts w:cs="Arial"/>
                <w:b w:val="0"/>
              </w:rPr>
            </w:pPr>
          </w:p>
        </w:tc>
        <w:tc>
          <w:tcPr>
            <w:tcW w:w="437" w:type="dxa"/>
            <w:tcBorders>
              <w:top w:val="nil"/>
              <w:bottom w:val="single" w:sz="2" w:space="0" w:color="8EAADB" w:themeColor="accent5" w:themeTint="99"/>
            </w:tcBorders>
          </w:tcPr>
          <w:p w14:paraId="3B627F4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4CBA072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412" w:type="dxa"/>
            <w:tcBorders>
              <w:top w:val="single" w:sz="2" w:space="0" w:color="8EAADB" w:themeColor="accent5" w:themeTint="99"/>
              <w:bottom w:val="single" w:sz="2" w:space="0" w:color="8EAADB" w:themeColor="accent5" w:themeTint="99"/>
            </w:tcBorders>
            <w:vAlign w:val="center"/>
          </w:tcPr>
          <w:p w14:paraId="17B0879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/2019</w:t>
            </w:r>
          </w:p>
        </w:tc>
        <w:tc>
          <w:tcPr>
            <w:tcW w:w="283" w:type="dxa"/>
            <w:tcBorders>
              <w:top w:val="nil"/>
              <w:bottom w:val="single" w:sz="2" w:space="0" w:color="8EAADB" w:themeColor="accent5" w:themeTint="99"/>
            </w:tcBorders>
            <w:vAlign w:val="center"/>
          </w:tcPr>
          <w:p w14:paraId="6A4F207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789E842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526" w:type="dxa"/>
            <w:tcBorders>
              <w:top w:val="single" w:sz="2" w:space="0" w:color="8EAADB" w:themeColor="accent5" w:themeTint="99"/>
              <w:bottom w:val="single" w:sz="2" w:space="0" w:color="8EAADB" w:themeColor="accent5" w:themeTint="99"/>
            </w:tcBorders>
            <w:vAlign w:val="center"/>
          </w:tcPr>
          <w:p w14:paraId="744081B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/2019</w:t>
            </w:r>
          </w:p>
        </w:tc>
      </w:tr>
      <w:tr w:rsidR="00081370" w:rsidRPr="00B84B0C" w14:paraId="6FFDDA09" w14:textId="77777777" w:rsidTr="00081370">
        <w:trPr>
          <w:trHeight w:hRule="exact" w:val="397"/>
        </w:trPr>
        <w:tc>
          <w:tcPr>
            <w:cnfStyle w:val="001000000000" w:firstRow="0" w:lastRow="0" w:firstColumn="1" w:lastColumn="0" w:oddVBand="0" w:evenVBand="0" w:oddHBand="0" w:evenHBand="0" w:firstRowFirstColumn="0" w:firstRowLastColumn="0" w:lastRowFirstColumn="0" w:lastRowLastColumn="0"/>
            <w:tcW w:w="3153" w:type="dxa"/>
            <w:tcBorders>
              <w:top w:val="single" w:sz="2" w:space="0" w:color="8EAADB" w:themeColor="accent5" w:themeTint="99"/>
              <w:bottom w:val="nil"/>
            </w:tcBorders>
            <w:vAlign w:val="center"/>
          </w:tcPr>
          <w:p w14:paraId="3F870B4F" w14:textId="77777777" w:rsidR="00081370" w:rsidRPr="00B84B0C" w:rsidRDefault="00081370" w:rsidP="00081370">
            <w:pPr>
              <w:pStyle w:val="08-Tabelageral"/>
              <w:jc w:val="left"/>
              <w:rPr>
                <w:rFonts w:cs="Arial"/>
                <w:bCs w:val="0"/>
                <w:szCs w:val="14"/>
                <w:lang w:val="en-US"/>
              </w:rPr>
            </w:pPr>
            <w:r w:rsidRPr="00B84B0C">
              <w:rPr>
                <w:rFonts w:cs="Arial"/>
                <w:szCs w:val="14"/>
                <w:lang w:val="en-US"/>
              </w:rPr>
              <w:t xml:space="preserve">Profit before income tax and social contribution </w:t>
            </w:r>
          </w:p>
        </w:tc>
        <w:tc>
          <w:tcPr>
            <w:tcW w:w="437" w:type="dxa"/>
            <w:tcBorders>
              <w:top w:val="single" w:sz="2" w:space="0" w:color="8EAADB" w:themeColor="accent5" w:themeTint="99"/>
              <w:bottom w:val="nil"/>
            </w:tcBorders>
            <w:vAlign w:val="center"/>
          </w:tcPr>
          <w:p w14:paraId="3AC9B143"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1" w:type="dxa"/>
            <w:tcBorders>
              <w:top w:val="single" w:sz="2" w:space="0" w:color="8EAADB" w:themeColor="accent5" w:themeTint="99"/>
              <w:bottom w:val="nil"/>
            </w:tcBorders>
            <w:vAlign w:val="center"/>
          </w:tcPr>
          <w:p w14:paraId="66A22FD4"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890,247</w:t>
            </w:r>
          </w:p>
        </w:tc>
        <w:tc>
          <w:tcPr>
            <w:tcW w:w="1412" w:type="dxa"/>
            <w:tcBorders>
              <w:top w:val="single" w:sz="2" w:space="0" w:color="8EAADB" w:themeColor="accent5" w:themeTint="99"/>
              <w:bottom w:val="nil"/>
            </w:tcBorders>
            <w:vAlign w:val="center"/>
          </w:tcPr>
          <w:p w14:paraId="7711C5B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1,019,098</w:t>
            </w:r>
          </w:p>
        </w:tc>
        <w:tc>
          <w:tcPr>
            <w:tcW w:w="283" w:type="dxa"/>
            <w:tcBorders>
              <w:top w:val="single" w:sz="2" w:space="0" w:color="8EAADB" w:themeColor="accent5" w:themeTint="99"/>
              <w:bottom w:val="nil"/>
            </w:tcBorders>
            <w:vAlign w:val="center"/>
          </w:tcPr>
          <w:p w14:paraId="7FDAADF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single" w:sz="2" w:space="0" w:color="8EAADB" w:themeColor="accent5" w:themeTint="99"/>
              <w:bottom w:val="nil"/>
            </w:tcBorders>
            <w:vAlign w:val="center"/>
          </w:tcPr>
          <w:p w14:paraId="03507DE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1,138,907</w:t>
            </w:r>
          </w:p>
        </w:tc>
        <w:tc>
          <w:tcPr>
            <w:tcW w:w="1526" w:type="dxa"/>
            <w:tcBorders>
              <w:top w:val="single" w:sz="2" w:space="0" w:color="8EAADB" w:themeColor="accent5" w:themeTint="99"/>
              <w:bottom w:val="nil"/>
            </w:tcBorders>
            <w:vAlign w:val="center"/>
          </w:tcPr>
          <w:p w14:paraId="41FBB28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1,236,542</w:t>
            </w:r>
          </w:p>
        </w:tc>
      </w:tr>
      <w:tr w:rsidR="00081370" w:rsidRPr="00B84B0C" w14:paraId="472658ED"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tcBorders>
              <w:top w:val="nil"/>
              <w:bottom w:val="nil"/>
            </w:tcBorders>
          </w:tcPr>
          <w:p w14:paraId="78A2840D" w14:textId="77777777" w:rsidR="00081370" w:rsidRPr="00B84B0C" w:rsidRDefault="00081370" w:rsidP="00081370">
            <w:pPr>
              <w:pStyle w:val="08-Tabelageral"/>
              <w:ind w:left="113"/>
              <w:jc w:val="left"/>
              <w:rPr>
                <w:rFonts w:cs="Arial"/>
                <w:b w:val="0"/>
                <w:szCs w:val="14"/>
                <w:lang w:val="en-US"/>
              </w:rPr>
            </w:pPr>
            <w:r w:rsidRPr="00B84B0C">
              <w:rPr>
                <w:rFonts w:cs="Arial"/>
                <w:b w:val="0"/>
                <w:szCs w:val="14"/>
                <w:lang w:val="en-US"/>
              </w:rPr>
              <w:t xml:space="preserve">a) Total income tax (25%) and CSLL (9%) </w:t>
            </w:r>
            <w:proofErr w:type="spellStart"/>
            <w:r w:rsidRPr="00B84B0C">
              <w:rPr>
                <w:rFonts w:cs="Arial"/>
                <w:b w:val="0"/>
                <w:szCs w:val="14"/>
                <w:lang w:val="en-US"/>
              </w:rPr>
              <w:t>chages</w:t>
            </w:r>
            <w:proofErr w:type="spellEnd"/>
          </w:p>
        </w:tc>
        <w:tc>
          <w:tcPr>
            <w:tcW w:w="437" w:type="dxa"/>
            <w:tcBorders>
              <w:top w:val="nil"/>
              <w:bottom w:val="nil"/>
            </w:tcBorders>
            <w:vAlign w:val="center"/>
          </w:tcPr>
          <w:p w14:paraId="0DB0DF6F"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1" w:type="dxa"/>
            <w:tcBorders>
              <w:top w:val="nil"/>
              <w:bottom w:val="nil"/>
            </w:tcBorders>
            <w:vAlign w:val="center"/>
          </w:tcPr>
          <w:p w14:paraId="557870C7"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(302,684)</w:t>
            </w:r>
          </w:p>
        </w:tc>
        <w:tc>
          <w:tcPr>
            <w:tcW w:w="1412" w:type="dxa"/>
            <w:tcBorders>
              <w:top w:val="nil"/>
              <w:bottom w:val="nil"/>
            </w:tcBorders>
            <w:vAlign w:val="center"/>
          </w:tcPr>
          <w:p w14:paraId="088B58C4"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(346,493)</w:t>
            </w:r>
          </w:p>
        </w:tc>
        <w:tc>
          <w:tcPr>
            <w:tcW w:w="283" w:type="dxa"/>
            <w:tcBorders>
              <w:top w:val="nil"/>
              <w:bottom w:val="nil"/>
            </w:tcBorders>
            <w:vAlign w:val="center"/>
          </w:tcPr>
          <w:p w14:paraId="64D8FBD7"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7342607D"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(387,228)</w:t>
            </w:r>
          </w:p>
        </w:tc>
        <w:tc>
          <w:tcPr>
            <w:tcW w:w="1526" w:type="dxa"/>
            <w:tcBorders>
              <w:top w:val="nil"/>
              <w:bottom w:val="nil"/>
            </w:tcBorders>
            <w:vAlign w:val="center"/>
          </w:tcPr>
          <w:p w14:paraId="547C7F2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(420,424)</w:t>
            </w:r>
          </w:p>
        </w:tc>
      </w:tr>
      <w:tr w:rsidR="00081370" w:rsidRPr="00B84B0C" w14:paraId="23F3E97B"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3153" w:type="dxa"/>
            <w:tcBorders>
              <w:top w:val="nil"/>
              <w:bottom w:val="nil"/>
            </w:tcBorders>
          </w:tcPr>
          <w:p w14:paraId="252E5590" w14:textId="77777777" w:rsidR="00081370" w:rsidRPr="00B84B0C" w:rsidRDefault="00081370" w:rsidP="00081370">
            <w:pPr>
              <w:pStyle w:val="08-Tabelageral"/>
              <w:jc w:val="left"/>
              <w:rPr>
                <w:rFonts w:cs="Arial"/>
                <w:szCs w:val="14"/>
                <w:lang w:val="en-US"/>
              </w:rPr>
            </w:pPr>
            <w:r w:rsidRPr="00B84B0C">
              <w:rPr>
                <w:rFonts w:cs="Arial"/>
                <w:szCs w:val="14"/>
                <w:lang w:val="en-US"/>
              </w:rPr>
              <w:t>Effect on the tax calculation:</w:t>
            </w:r>
          </w:p>
        </w:tc>
        <w:tc>
          <w:tcPr>
            <w:tcW w:w="437" w:type="dxa"/>
            <w:tcBorders>
              <w:top w:val="nil"/>
              <w:bottom w:val="nil"/>
            </w:tcBorders>
            <w:vAlign w:val="center"/>
          </w:tcPr>
          <w:p w14:paraId="7D954A81"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1" w:type="dxa"/>
            <w:tcBorders>
              <w:top w:val="nil"/>
              <w:bottom w:val="nil"/>
            </w:tcBorders>
            <w:vAlign w:val="center"/>
          </w:tcPr>
          <w:p w14:paraId="635824DB"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2" w:type="dxa"/>
            <w:tcBorders>
              <w:top w:val="nil"/>
              <w:bottom w:val="nil"/>
            </w:tcBorders>
            <w:vAlign w:val="center"/>
          </w:tcPr>
          <w:p w14:paraId="478AD846"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283" w:type="dxa"/>
            <w:tcBorders>
              <w:top w:val="nil"/>
              <w:bottom w:val="nil"/>
            </w:tcBorders>
            <w:vAlign w:val="center"/>
          </w:tcPr>
          <w:p w14:paraId="3497D2CB"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7" w:type="dxa"/>
            <w:tcBorders>
              <w:top w:val="nil"/>
              <w:bottom w:val="nil"/>
            </w:tcBorders>
            <w:vAlign w:val="center"/>
          </w:tcPr>
          <w:p w14:paraId="3F7E75A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526" w:type="dxa"/>
            <w:tcBorders>
              <w:top w:val="nil"/>
              <w:bottom w:val="nil"/>
            </w:tcBorders>
            <w:vAlign w:val="center"/>
          </w:tcPr>
          <w:p w14:paraId="7174ABE8"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r>
      <w:tr w:rsidR="00081370" w:rsidRPr="00B84B0C" w14:paraId="42D7730D" w14:textId="77777777" w:rsidTr="00081370">
        <w:trPr>
          <w:cnfStyle w:val="000000100000" w:firstRow="0" w:lastRow="0" w:firstColumn="0" w:lastColumn="0" w:oddVBand="0" w:evenVBand="0" w:oddHBand="1" w:evenHBand="0" w:firstRowFirstColumn="0" w:firstRowLastColumn="0" w:lastRowFirstColumn="0" w:lastRowLastColumn="0"/>
          <w:trHeight w:hRule="exact" w:val="397"/>
        </w:trPr>
        <w:tc>
          <w:tcPr>
            <w:cnfStyle w:val="001000000000" w:firstRow="0" w:lastRow="0" w:firstColumn="1" w:lastColumn="0" w:oddVBand="0" w:evenVBand="0" w:oddHBand="0" w:evenHBand="0" w:firstRowFirstColumn="0" w:firstRowLastColumn="0" w:lastRowFirstColumn="0" w:lastRowLastColumn="0"/>
            <w:tcW w:w="3153" w:type="dxa"/>
            <w:tcBorders>
              <w:top w:val="nil"/>
              <w:bottom w:val="nil"/>
            </w:tcBorders>
          </w:tcPr>
          <w:p w14:paraId="5F50D372" w14:textId="77777777" w:rsidR="00081370" w:rsidRPr="00B84B0C" w:rsidRDefault="00081370" w:rsidP="00081370">
            <w:pPr>
              <w:pStyle w:val="08-Tabelageral"/>
              <w:ind w:left="113"/>
              <w:jc w:val="left"/>
              <w:rPr>
                <w:rFonts w:cs="Arial"/>
                <w:b w:val="0"/>
                <w:szCs w:val="14"/>
                <w:lang w:val="en-US"/>
              </w:rPr>
            </w:pPr>
            <w:r w:rsidRPr="00B84B0C">
              <w:rPr>
                <w:rFonts w:cs="Arial"/>
                <w:b w:val="0"/>
                <w:szCs w:val="14"/>
                <w:lang w:val="en-US"/>
              </w:rPr>
              <w:t>b) Nontaxable income - share of profit (loss) of subsidiaries associates and joint ventures (34%)</w:t>
            </w:r>
          </w:p>
        </w:tc>
        <w:tc>
          <w:tcPr>
            <w:tcW w:w="437" w:type="dxa"/>
            <w:tcBorders>
              <w:top w:val="nil"/>
              <w:bottom w:val="nil"/>
            </w:tcBorders>
            <w:vAlign w:val="center"/>
          </w:tcPr>
          <w:p w14:paraId="3ACCAC5C"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lang w:val="en-US"/>
              </w:rPr>
            </w:pPr>
          </w:p>
        </w:tc>
        <w:tc>
          <w:tcPr>
            <w:tcW w:w="1411" w:type="dxa"/>
            <w:tcBorders>
              <w:top w:val="nil"/>
              <w:bottom w:val="nil"/>
            </w:tcBorders>
            <w:vAlign w:val="center"/>
          </w:tcPr>
          <w:p w14:paraId="58FD0722"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295,198</w:t>
            </w:r>
          </w:p>
        </w:tc>
        <w:tc>
          <w:tcPr>
            <w:tcW w:w="1412" w:type="dxa"/>
            <w:tcBorders>
              <w:top w:val="nil"/>
              <w:bottom w:val="nil"/>
            </w:tcBorders>
            <w:vAlign w:val="center"/>
          </w:tcPr>
          <w:p w14:paraId="7E0788A7"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340,693</w:t>
            </w:r>
          </w:p>
        </w:tc>
        <w:tc>
          <w:tcPr>
            <w:tcW w:w="283" w:type="dxa"/>
            <w:tcBorders>
              <w:top w:val="nil"/>
              <w:bottom w:val="nil"/>
            </w:tcBorders>
            <w:vAlign w:val="center"/>
          </w:tcPr>
          <w:p w14:paraId="02125EB1"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15C74EB2"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132,178</w:t>
            </w:r>
          </w:p>
        </w:tc>
        <w:tc>
          <w:tcPr>
            <w:tcW w:w="1526" w:type="dxa"/>
            <w:tcBorders>
              <w:top w:val="nil"/>
              <w:bottom w:val="nil"/>
            </w:tcBorders>
            <w:vAlign w:val="center"/>
          </w:tcPr>
          <w:p w14:paraId="1A22C47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199,469</w:t>
            </w:r>
          </w:p>
        </w:tc>
      </w:tr>
      <w:tr w:rsidR="00081370" w:rsidRPr="00B84B0C" w14:paraId="7EC89E5B" w14:textId="77777777" w:rsidTr="00081370">
        <w:trPr>
          <w:trHeight w:hRule="exact" w:val="397"/>
        </w:trPr>
        <w:tc>
          <w:tcPr>
            <w:cnfStyle w:val="001000000000" w:firstRow="0" w:lastRow="0" w:firstColumn="1" w:lastColumn="0" w:oddVBand="0" w:evenVBand="0" w:oddHBand="0" w:evenHBand="0" w:firstRowFirstColumn="0" w:firstRowLastColumn="0" w:lastRowFirstColumn="0" w:lastRowLastColumn="0"/>
            <w:tcW w:w="3153" w:type="dxa"/>
            <w:tcBorders>
              <w:top w:val="nil"/>
              <w:bottom w:val="nil"/>
            </w:tcBorders>
          </w:tcPr>
          <w:p w14:paraId="5E659C8D" w14:textId="77777777" w:rsidR="00081370" w:rsidRPr="00B84B0C" w:rsidRDefault="00081370" w:rsidP="00081370">
            <w:pPr>
              <w:pStyle w:val="08-Tabelageral"/>
              <w:ind w:left="113"/>
              <w:jc w:val="left"/>
              <w:rPr>
                <w:rFonts w:cs="Arial"/>
                <w:b w:val="0"/>
                <w:szCs w:val="14"/>
                <w:lang w:val="en-US"/>
              </w:rPr>
            </w:pPr>
            <w:r w:rsidRPr="00B84B0C">
              <w:rPr>
                <w:rFonts w:cs="Arial"/>
                <w:b w:val="0"/>
                <w:szCs w:val="14"/>
                <w:lang w:val="en-US"/>
              </w:rPr>
              <w:t>c) Non-deductible expenses, net of nontaxable income (34%)</w:t>
            </w:r>
          </w:p>
        </w:tc>
        <w:tc>
          <w:tcPr>
            <w:tcW w:w="437" w:type="dxa"/>
            <w:tcBorders>
              <w:top w:val="nil"/>
              <w:bottom w:val="nil"/>
            </w:tcBorders>
            <w:vAlign w:val="center"/>
          </w:tcPr>
          <w:p w14:paraId="7B33BD76"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1" w:type="dxa"/>
            <w:tcBorders>
              <w:top w:val="nil"/>
              <w:bottom w:val="nil"/>
            </w:tcBorders>
            <w:vAlign w:val="center"/>
          </w:tcPr>
          <w:p w14:paraId="0AF85BD2"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(40)</w:t>
            </w:r>
          </w:p>
        </w:tc>
        <w:tc>
          <w:tcPr>
            <w:tcW w:w="1412" w:type="dxa"/>
            <w:tcBorders>
              <w:top w:val="nil"/>
              <w:bottom w:val="nil"/>
            </w:tcBorders>
            <w:vAlign w:val="center"/>
          </w:tcPr>
          <w:p w14:paraId="74E735D1"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460</w:t>
            </w:r>
          </w:p>
        </w:tc>
        <w:tc>
          <w:tcPr>
            <w:tcW w:w="283" w:type="dxa"/>
            <w:tcBorders>
              <w:top w:val="nil"/>
              <w:bottom w:val="nil"/>
            </w:tcBorders>
            <w:vAlign w:val="center"/>
          </w:tcPr>
          <w:p w14:paraId="65088B6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13D917F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(1,136)</w:t>
            </w:r>
          </w:p>
        </w:tc>
        <w:tc>
          <w:tcPr>
            <w:tcW w:w="1526" w:type="dxa"/>
            <w:tcBorders>
              <w:top w:val="nil"/>
              <w:bottom w:val="nil"/>
            </w:tcBorders>
            <w:vAlign w:val="center"/>
          </w:tcPr>
          <w:p w14:paraId="0A79D40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(1,829)</w:t>
            </w:r>
          </w:p>
        </w:tc>
      </w:tr>
      <w:tr w:rsidR="00081370" w:rsidRPr="00B84B0C" w14:paraId="74D4D05E"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153" w:type="dxa"/>
            <w:tcBorders>
              <w:top w:val="nil"/>
              <w:bottom w:val="single" w:sz="2" w:space="0" w:color="8EAADB" w:themeColor="accent5" w:themeTint="99"/>
            </w:tcBorders>
          </w:tcPr>
          <w:p w14:paraId="71700CA1" w14:textId="77777777" w:rsidR="00081370" w:rsidRPr="00B84B0C" w:rsidRDefault="00081370" w:rsidP="00081370">
            <w:pPr>
              <w:pStyle w:val="08-Tabelageral"/>
              <w:jc w:val="left"/>
              <w:rPr>
                <w:rFonts w:cs="Arial"/>
                <w:szCs w:val="14"/>
                <w:lang w:val="en-US"/>
              </w:rPr>
            </w:pPr>
            <w:r w:rsidRPr="00B84B0C">
              <w:rPr>
                <w:rFonts w:cs="Arial"/>
                <w:lang w:val="en-US"/>
              </w:rPr>
              <w:t>Income tax and social contribution (</w:t>
            </w:r>
            <w:proofErr w:type="spellStart"/>
            <w:r w:rsidRPr="00B84B0C">
              <w:rPr>
                <w:rFonts w:cs="Arial"/>
                <w:lang w:val="en-US"/>
              </w:rPr>
              <w:t>a+b+c</w:t>
            </w:r>
            <w:proofErr w:type="spellEnd"/>
            <w:r w:rsidRPr="00B84B0C">
              <w:rPr>
                <w:rFonts w:cs="Arial"/>
                <w:lang w:val="en-US"/>
              </w:rPr>
              <w:t>)</w:t>
            </w:r>
          </w:p>
        </w:tc>
        <w:tc>
          <w:tcPr>
            <w:tcW w:w="437" w:type="dxa"/>
            <w:tcBorders>
              <w:top w:val="nil"/>
              <w:bottom w:val="single" w:sz="2" w:space="0" w:color="8EAADB" w:themeColor="accent5" w:themeTint="99"/>
            </w:tcBorders>
            <w:vAlign w:val="center"/>
          </w:tcPr>
          <w:p w14:paraId="72A17B30"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lang w:val="en-US"/>
              </w:rPr>
            </w:pPr>
          </w:p>
        </w:tc>
        <w:tc>
          <w:tcPr>
            <w:tcW w:w="1411" w:type="dxa"/>
            <w:tcBorders>
              <w:top w:val="nil"/>
              <w:bottom w:val="single" w:sz="2" w:space="0" w:color="8EAADB" w:themeColor="accent5" w:themeTint="99"/>
            </w:tcBorders>
            <w:vAlign w:val="center"/>
          </w:tcPr>
          <w:p w14:paraId="37FFE6A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(7,526)</w:t>
            </w:r>
          </w:p>
        </w:tc>
        <w:tc>
          <w:tcPr>
            <w:tcW w:w="1412" w:type="dxa"/>
            <w:tcBorders>
              <w:top w:val="nil"/>
              <w:bottom w:val="single" w:sz="2" w:space="0" w:color="8EAADB" w:themeColor="accent5" w:themeTint="99"/>
            </w:tcBorders>
            <w:vAlign w:val="center"/>
          </w:tcPr>
          <w:p w14:paraId="6F3FBAF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(5,340)</w:t>
            </w:r>
          </w:p>
        </w:tc>
        <w:tc>
          <w:tcPr>
            <w:tcW w:w="283" w:type="dxa"/>
            <w:tcBorders>
              <w:top w:val="nil"/>
              <w:bottom w:val="single" w:sz="2" w:space="0" w:color="8EAADB" w:themeColor="accent5" w:themeTint="99"/>
            </w:tcBorders>
            <w:vAlign w:val="center"/>
          </w:tcPr>
          <w:p w14:paraId="7AF4F8C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single" w:sz="2" w:space="0" w:color="8EAADB" w:themeColor="accent5" w:themeTint="99"/>
            </w:tcBorders>
            <w:vAlign w:val="center"/>
          </w:tcPr>
          <w:p w14:paraId="22F8391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(256,186)</w:t>
            </w:r>
          </w:p>
        </w:tc>
        <w:tc>
          <w:tcPr>
            <w:tcW w:w="1526" w:type="dxa"/>
            <w:tcBorders>
              <w:top w:val="nil"/>
              <w:bottom w:val="single" w:sz="2" w:space="0" w:color="8EAADB" w:themeColor="accent5" w:themeTint="99"/>
            </w:tcBorders>
            <w:vAlign w:val="center"/>
          </w:tcPr>
          <w:p w14:paraId="27B20E2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(222,784)</w:t>
            </w:r>
          </w:p>
        </w:tc>
      </w:tr>
    </w:tbl>
    <w:p w14:paraId="234A91D3" w14:textId="77777777" w:rsidR="00081370" w:rsidRPr="00B84B0C" w:rsidRDefault="00081370">
      <w:pPr>
        <w:rPr>
          <w:rFonts w:cs="Arial"/>
          <w:b/>
          <w:color w:val="1F4E79" w:themeColor="accent1" w:themeShade="80"/>
          <w:szCs w:val="18"/>
        </w:rPr>
      </w:pPr>
    </w:p>
    <w:p w14:paraId="7EC8FFE0" w14:textId="77777777" w:rsidR="00081370" w:rsidRPr="00B84B0C" w:rsidRDefault="00081370" w:rsidP="00081370">
      <w:pPr>
        <w:rPr>
          <w:rFonts w:cs="Arial"/>
          <w:b/>
          <w:color w:val="1F4E79" w:themeColor="accent1" w:themeShade="80"/>
          <w:szCs w:val="18"/>
        </w:rPr>
      </w:pPr>
      <w:r w:rsidRPr="00B84B0C">
        <w:rPr>
          <w:rFonts w:cs="Arial"/>
          <w:b/>
          <w:color w:val="1F4E79" w:themeColor="accent1" w:themeShade="80"/>
          <w:szCs w:val="18"/>
        </w:rPr>
        <w:t xml:space="preserve">c) </w:t>
      </w:r>
      <w:proofErr w:type="spellStart"/>
      <w:r w:rsidRPr="00B84B0C">
        <w:rPr>
          <w:rFonts w:cs="Arial"/>
          <w:b/>
          <w:color w:val="1F4E79" w:themeColor="accent1" w:themeShade="80"/>
          <w:szCs w:val="18"/>
        </w:rPr>
        <w:t>Tax</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Expenses</w:t>
      </w:r>
      <w:proofErr w:type="spellEnd"/>
    </w:p>
    <w:p w14:paraId="000D255F" w14:textId="77777777" w:rsidR="00081370" w:rsidRPr="00B84B0C" w:rsidRDefault="00081370" w:rsidP="00081370">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2986"/>
        <w:gridCol w:w="604"/>
        <w:gridCol w:w="1411"/>
        <w:gridCol w:w="1412"/>
        <w:gridCol w:w="283"/>
        <w:gridCol w:w="1417"/>
        <w:gridCol w:w="1526"/>
      </w:tblGrid>
      <w:tr w:rsidR="00081370" w:rsidRPr="00B84B0C" w14:paraId="6CC789D3"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themeFill="accent5" w:themeFillTint="33"/>
            <w:vAlign w:val="center"/>
          </w:tcPr>
          <w:p w14:paraId="135F5DB2" w14:textId="77777777" w:rsidR="00081370" w:rsidRPr="00B84B0C" w:rsidRDefault="00081370" w:rsidP="00081370">
            <w:pPr>
              <w:jc w:val="center"/>
              <w:rPr>
                <w:rFonts w:cs="Arial"/>
                <w:b w:val="0"/>
                <w:szCs w:val="18"/>
              </w:rPr>
            </w:pPr>
          </w:p>
        </w:tc>
        <w:tc>
          <w:tcPr>
            <w:tcW w:w="604" w:type="dxa"/>
            <w:tcBorders>
              <w:top w:val="single" w:sz="2" w:space="0" w:color="8EAADB" w:themeColor="accent5" w:themeTint="99"/>
              <w:bottom w:val="nil"/>
            </w:tcBorders>
            <w:shd w:val="clear" w:color="auto" w:fill="D9E2F3" w:themeFill="accent5" w:themeFillTint="33"/>
          </w:tcPr>
          <w:p w14:paraId="4C9A2146"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2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FFB56FC"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7844E007"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4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05536E9F"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081370" w:rsidRPr="00B84B0C" w14:paraId="09814E23"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3DFF491B" w14:textId="77777777" w:rsidR="00081370" w:rsidRPr="00B84B0C" w:rsidRDefault="00081370" w:rsidP="00081370">
            <w:pPr>
              <w:pStyle w:val="08-Tabelageral"/>
              <w:rPr>
                <w:rFonts w:cs="Arial"/>
                <w:b w:val="0"/>
              </w:rPr>
            </w:pPr>
          </w:p>
        </w:tc>
        <w:tc>
          <w:tcPr>
            <w:tcW w:w="604" w:type="dxa"/>
            <w:tcBorders>
              <w:top w:val="nil"/>
              <w:bottom w:val="single" w:sz="2" w:space="0" w:color="8EAADB" w:themeColor="accent5" w:themeTint="99"/>
            </w:tcBorders>
          </w:tcPr>
          <w:p w14:paraId="05A4688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0F4BB79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412" w:type="dxa"/>
            <w:tcBorders>
              <w:top w:val="single" w:sz="2" w:space="0" w:color="8EAADB" w:themeColor="accent5" w:themeTint="99"/>
              <w:bottom w:val="single" w:sz="2" w:space="0" w:color="8EAADB" w:themeColor="accent5" w:themeTint="99"/>
            </w:tcBorders>
            <w:vAlign w:val="center"/>
          </w:tcPr>
          <w:p w14:paraId="66CF424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/2019</w:t>
            </w:r>
          </w:p>
        </w:tc>
        <w:tc>
          <w:tcPr>
            <w:tcW w:w="283" w:type="dxa"/>
            <w:tcBorders>
              <w:top w:val="nil"/>
              <w:bottom w:val="single" w:sz="2" w:space="0" w:color="8EAADB" w:themeColor="accent5" w:themeTint="99"/>
            </w:tcBorders>
            <w:vAlign w:val="center"/>
          </w:tcPr>
          <w:p w14:paraId="382E3B2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60A09BE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526" w:type="dxa"/>
            <w:tcBorders>
              <w:top w:val="single" w:sz="2" w:space="0" w:color="8EAADB" w:themeColor="accent5" w:themeTint="99"/>
              <w:bottom w:val="single" w:sz="2" w:space="0" w:color="8EAADB" w:themeColor="accent5" w:themeTint="99"/>
            </w:tcBorders>
            <w:vAlign w:val="center"/>
          </w:tcPr>
          <w:p w14:paraId="0C89474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/2019</w:t>
            </w:r>
          </w:p>
        </w:tc>
      </w:tr>
      <w:tr w:rsidR="00081370" w:rsidRPr="00B84B0C" w14:paraId="25C7ECBB"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vAlign w:val="center"/>
          </w:tcPr>
          <w:p w14:paraId="409F3D2D" w14:textId="77777777" w:rsidR="00081370" w:rsidRPr="00B84B0C" w:rsidRDefault="00081370" w:rsidP="00081370">
            <w:pPr>
              <w:pStyle w:val="08-Tabelageral"/>
              <w:jc w:val="left"/>
              <w:rPr>
                <w:rFonts w:cs="Arial"/>
                <w:bCs w:val="0"/>
                <w:szCs w:val="14"/>
                <w:lang w:val="en-US"/>
              </w:rPr>
            </w:pPr>
            <w:r w:rsidRPr="00B84B0C">
              <w:rPr>
                <w:rFonts w:cs="Arial"/>
                <w:bCs w:val="0"/>
                <w:szCs w:val="14"/>
                <w:lang w:val="en-US"/>
              </w:rPr>
              <w:t>On financial income and other</w:t>
            </w:r>
          </w:p>
        </w:tc>
        <w:tc>
          <w:tcPr>
            <w:tcW w:w="604" w:type="dxa"/>
            <w:tcBorders>
              <w:top w:val="single" w:sz="2" w:space="0" w:color="8EAADB" w:themeColor="accent5" w:themeTint="99"/>
              <w:bottom w:val="nil"/>
            </w:tcBorders>
            <w:vAlign w:val="center"/>
          </w:tcPr>
          <w:p w14:paraId="37FAC47C"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1" w:type="dxa"/>
            <w:tcBorders>
              <w:top w:val="single" w:sz="2" w:space="0" w:color="8EAADB" w:themeColor="accent5" w:themeTint="99"/>
              <w:bottom w:val="nil"/>
            </w:tcBorders>
            <w:vAlign w:val="center"/>
          </w:tcPr>
          <w:p w14:paraId="2A509A6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2" w:type="dxa"/>
            <w:tcBorders>
              <w:top w:val="single" w:sz="2" w:space="0" w:color="8EAADB" w:themeColor="accent5" w:themeTint="99"/>
              <w:bottom w:val="nil"/>
            </w:tcBorders>
            <w:vAlign w:val="center"/>
          </w:tcPr>
          <w:p w14:paraId="7140DEB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c>
          <w:tcPr>
            <w:tcW w:w="283" w:type="dxa"/>
            <w:tcBorders>
              <w:top w:val="single" w:sz="2" w:space="0" w:color="8EAADB" w:themeColor="accent5" w:themeTint="99"/>
              <w:bottom w:val="nil"/>
            </w:tcBorders>
            <w:vAlign w:val="center"/>
          </w:tcPr>
          <w:p w14:paraId="60AE4A7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417" w:type="dxa"/>
            <w:tcBorders>
              <w:top w:val="single" w:sz="2" w:space="0" w:color="8EAADB" w:themeColor="accent5" w:themeTint="99"/>
              <w:bottom w:val="nil"/>
            </w:tcBorders>
            <w:vAlign w:val="center"/>
          </w:tcPr>
          <w:p w14:paraId="196B5B20"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lang w:val="en-US"/>
              </w:rPr>
            </w:pPr>
          </w:p>
        </w:tc>
        <w:tc>
          <w:tcPr>
            <w:tcW w:w="1526" w:type="dxa"/>
            <w:tcBorders>
              <w:top w:val="single" w:sz="2" w:space="0" w:color="8EAADB" w:themeColor="accent5" w:themeTint="99"/>
              <w:bottom w:val="nil"/>
            </w:tcBorders>
            <w:vAlign w:val="center"/>
          </w:tcPr>
          <w:p w14:paraId="46938E5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lang w:val="en-US"/>
              </w:rPr>
            </w:pPr>
          </w:p>
        </w:tc>
      </w:tr>
      <w:tr w:rsidR="00081370" w:rsidRPr="00B84B0C" w14:paraId="17A392D3"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01D18EF7" w14:textId="77777777" w:rsidR="00081370" w:rsidRPr="00B84B0C" w:rsidRDefault="00081370" w:rsidP="00081370">
            <w:pPr>
              <w:pStyle w:val="08-Tabelageral"/>
              <w:ind w:left="113"/>
              <w:jc w:val="left"/>
              <w:rPr>
                <w:rFonts w:cs="Arial"/>
                <w:b w:val="0"/>
                <w:szCs w:val="14"/>
              </w:rPr>
            </w:pPr>
            <w:proofErr w:type="spellStart"/>
            <w:r w:rsidRPr="00B84B0C">
              <w:rPr>
                <w:rFonts w:cs="Arial"/>
                <w:b w:val="0"/>
                <w:szCs w:val="14"/>
              </w:rPr>
              <w:t>Cofins</w:t>
            </w:r>
            <w:proofErr w:type="spellEnd"/>
          </w:p>
        </w:tc>
        <w:tc>
          <w:tcPr>
            <w:tcW w:w="604" w:type="dxa"/>
            <w:tcBorders>
              <w:top w:val="nil"/>
              <w:bottom w:val="nil"/>
            </w:tcBorders>
            <w:vAlign w:val="center"/>
          </w:tcPr>
          <w:p w14:paraId="5F6642B7"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711A4E08"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(2,281)</w:t>
            </w:r>
          </w:p>
        </w:tc>
        <w:tc>
          <w:tcPr>
            <w:tcW w:w="1412" w:type="dxa"/>
            <w:tcBorders>
              <w:top w:val="nil"/>
              <w:bottom w:val="nil"/>
            </w:tcBorders>
            <w:vAlign w:val="center"/>
          </w:tcPr>
          <w:p w14:paraId="19307AC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(1,479)</w:t>
            </w:r>
          </w:p>
        </w:tc>
        <w:tc>
          <w:tcPr>
            <w:tcW w:w="283" w:type="dxa"/>
            <w:tcBorders>
              <w:top w:val="nil"/>
              <w:bottom w:val="nil"/>
            </w:tcBorders>
            <w:vAlign w:val="center"/>
          </w:tcPr>
          <w:p w14:paraId="73E3C18B"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0384DEBF"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(3,655)</w:t>
            </w:r>
          </w:p>
        </w:tc>
        <w:tc>
          <w:tcPr>
            <w:tcW w:w="1526" w:type="dxa"/>
            <w:tcBorders>
              <w:top w:val="nil"/>
              <w:bottom w:val="nil"/>
            </w:tcBorders>
            <w:vAlign w:val="center"/>
          </w:tcPr>
          <w:p w14:paraId="1B61F29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(3,722)</w:t>
            </w:r>
          </w:p>
        </w:tc>
      </w:tr>
      <w:tr w:rsidR="00081370" w:rsidRPr="00B84B0C" w14:paraId="077658CD"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79445C93" w14:textId="77777777" w:rsidR="00081370" w:rsidRPr="00B84B0C" w:rsidRDefault="00081370" w:rsidP="00081370">
            <w:pPr>
              <w:pStyle w:val="08-Tabelageral"/>
              <w:ind w:left="113"/>
              <w:jc w:val="left"/>
              <w:rPr>
                <w:rFonts w:cs="Arial"/>
                <w:b w:val="0"/>
                <w:szCs w:val="14"/>
              </w:rPr>
            </w:pPr>
            <w:r w:rsidRPr="00B84B0C">
              <w:rPr>
                <w:rFonts w:cs="Arial"/>
                <w:b w:val="0"/>
                <w:szCs w:val="14"/>
              </w:rPr>
              <w:t>Pis/Pasep</w:t>
            </w:r>
          </w:p>
        </w:tc>
        <w:tc>
          <w:tcPr>
            <w:tcW w:w="604" w:type="dxa"/>
            <w:tcBorders>
              <w:top w:val="nil"/>
              <w:bottom w:val="nil"/>
            </w:tcBorders>
            <w:vAlign w:val="center"/>
          </w:tcPr>
          <w:p w14:paraId="4EA06EE2"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7BCABB20"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(387)</w:t>
            </w:r>
          </w:p>
        </w:tc>
        <w:tc>
          <w:tcPr>
            <w:tcW w:w="1412" w:type="dxa"/>
            <w:tcBorders>
              <w:top w:val="nil"/>
              <w:bottom w:val="nil"/>
            </w:tcBorders>
            <w:vAlign w:val="center"/>
          </w:tcPr>
          <w:p w14:paraId="2B79B176"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(247)</w:t>
            </w:r>
          </w:p>
        </w:tc>
        <w:tc>
          <w:tcPr>
            <w:tcW w:w="283" w:type="dxa"/>
            <w:tcBorders>
              <w:top w:val="nil"/>
              <w:bottom w:val="nil"/>
            </w:tcBorders>
            <w:vAlign w:val="center"/>
          </w:tcPr>
          <w:p w14:paraId="7699D900"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0726CCBD"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(609)</w:t>
            </w:r>
          </w:p>
        </w:tc>
        <w:tc>
          <w:tcPr>
            <w:tcW w:w="1526" w:type="dxa"/>
            <w:tcBorders>
              <w:top w:val="nil"/>
              <w:bottom w:val="nil"/>
            </w:tcBorders>
            <w:vAlign w:val="center"/>
          </w:tcPr>
          <w:p w14:paraId="76892C5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(655)</w:t>
            </w:r>
          </w:p>
        </w:tc>
      </w:tr>
      <w:tr w:rsidR="00081370" w:rsidRPr="00B84B0C" w14:paraId="7AFDC244"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623972A2" w14:textId="77777777" w:rsidR="00081370" w:rsidRPr="00B84B0C" w:rsidRDefault="00081370" w:rsidP="00081370">
            <w:pPr>
              <w:pStyle w:val="08-Tabelageral"/>
              <w:ind w:left="113"/>
              <w:jc w:val="left"/>
              <w:rPr>
                <w:rFonts w:cs="Arial"/>
                <w:b w:val="0"/>
                <w:szCs w:val="14"/>
              </w:rPr>
            </w:pPr>
            <w:r w:rsidRPr="00B84B0C">
              <w:rPr>
                <w:rFonts w:cs="Arial"/>
                <w:b w:val="0"/>
                <w:szCs w:val="14"/>
              </w:rPr>
              <w:t>IOF</w:t>
            </w:r>
          </w:p>
        </w:tc>
        <w:tc>
          <w:tcPr>
            <w:tcW w:w="604" w:type="dxa"/>
            <w:tcBorders>
              <w:top w:val="nil"/>
              <w:bottom w:val="nil"/>
            </w:tcBorders>
            <w:vAlign w:val="center"/>
          </w:tcPr>
          <w:p w14:paraId="50EF999A"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12E4803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w:t>
            </w:r>
          </w:p>
        </w:tc>
        <w:tc>
          <w:tcPr>
            <w:tcW w:w="1412" w:type="dxa"/>
            <w:tcBorders>
              <w:top w:val="nil"/>
              <w:bottom w:val="nil"/>
            </w:tcBorders>
            <w:vAlign w:val="center"/>
          </w:tcPr>
          <w:p w14:paraId="63186F1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3B6A916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02592AA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w:t>
            </w:r>
          </w:p>
        </w:tc>
        <w:tc>
          <w:tcPr>
            <w:tcW w:w="1526" w:type="dxa"/>
            <w:tcBorders>
              <w:top w:val="nil"/>
              <w:bottom w:val="nil"/>
            </w:tcBorders>
            <w:vAlign w:val="center"/>
          </w:tcPr>
          <w:p w14:paraId="31C5594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081370" w:rsidRPr="00B84B0C" w14:paraId="7C39BC49"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7412AFA0" w14:textId="77777777" w:rsidR="00081370" w:rsidRPr="00B84B0C" w:rsidRDefault="00081370" w:rsidP="00081370">
            <w:pPr>
              <w:pStyle w:val="08-Tabelageral"/>
              <w:ind w:left="113"/>
              <w:jc w:val="left"/>
              <w:rPr>
                <w:rFonts w:cs="Arial"/>
                <w:b w:val="0"/>
                <w:szCs w:val="14"/>
              </w:rPr>
            </w:pPr>
            <w:r w:rsidRPr="00B84B0C">
              <w:rPr>
                <w:rFonts w:cs="Arial"/>
                <w:b w:val="0"/>
                <w:szCs w:val="14"/>
              </w:rPr>
              <w:t>Other</w:t>
            </w:r>
          </w:p>
        </w:tc>
        <w:tc>
          <w:tcPr>
            <w:tcW w:w="604" w:type="dxa"/>
            <w:tcBorders>
              <w:top w:val="nil"/>
              <w:bottom w:val="nil"/>
            </w:tcBorders>
            <w:vAlign w:val="center"/>
          </w:tcPr>
          <w:p w14:paraId="0BE86FF5"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6F1BD3F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(23)</w:t>
            </w:r>
          </w:p>
        </w:tc>
        <w:tc>
          <w:tcPr>
            <w:tcW w:w="1412" w:type="dxa"/>
            <w:tcBorders>
              <w:top w:val="nil"/>
              <w:bottom w:val="nil"/>
            </w:tcBorders>
            <w:vAlign w:val="center"/>
          </w:tcPr>
          <w:p w14:paraId="199F428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w:t>
            </w:r>
          </w:p>
        </w:tc>
        <w:tc>
          <w:tcPr>
            <w:tcW w:w="283" w:type="dxa"/>
            <w:tcBorders>
              <w:top w:val="nil"/>
              <w:bottom w:val="nil"/>
            </w:tcBorders>
            <w:vAlign w:val="center"/>
          </w:tcPr>
          <w:p w14:paraId="0DC938C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7B94C392"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(73)</w:t>
            </w:r>
          </w:p>
        </w:tc>
        <w:tc>
          <w:tcPr>
            <w:tcW w:w="1526" w:type="dxa"/>
            <w:tcBorders>
              <w:top w:val="nil"/>
              <w:bottom w:val="nil"/>
            </w:tcBorders>
            <w:vAlign w:val="center"/>
          </w:tcPr>
          <w:p w14:paraId="151FB39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(57)</w:t>
            </w:r>
          </w:p>
        </w:tc>
      </w:tr>
      <w:tr w:rsidR="00081370" w:rsidRPr="00B84B0C" w14:paraId="49D39169"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4DF93634" w14:textId="77777777" w:rsidR="00081370" w:rsidRPr="00B84B0C" w:rsidRDefault="00081370" w:rsidP="00081370">
            <w:pPr>
              <w:pStyle w:val="08-Tabelageral"/>
              <w:jc w:val="left"/>
              <w:rPr>
                <w:rFonts w:cs="Arial"/>
              </w:rPr>
            </w:pPr>
            <w:r w:rsidRPr="00B84B0C">
              <w:rPr>
                <w:rFonts w:cs="Arial"/>
              </w:rPr>
              <w:t>Total</w:t>
            </w:r>
          </w:p>
          <w:p w14:paraId="6CA14221" w14:textId="77777777" w:rsidR="00081370" w:rsidRPr="00B84B0C" w:rsidRDefault="00081370" w:rsidP="00081370">
            <w:pPr>
              <w:pStyle w:val="08-Tabelageral"/>
              <w:jc w:val="left"/>
              <w:rPr>
                <w:rFonts w:cs="Arial"/>
                <w:szCs w:val="14"/>
              </w:rPr>
            </w:pPr>
          </w:p>
        </w:tc>
        <w:tc>
          <w:tcPr>
            <w:tcW w:w="604" w:type="dxa"/>
            <w:tcBorders>
              <w:top w:val="nil"/>
              <w:bottom w:val="single" w:sz="2" w:space="0" w:color="8EAADB" w:themeColor="accent5" w:themeTint="99"/>
            </w:tcBorders>
            <w:vAlign w:val="center"/>
          </w:tcPr>
          <w:p w14:paraId="0172D2A5"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single" w:sz="2" w:space="0" w:color="8EAADB" w:themeColor="accent5" w:themeTint="99"/>
            </w:tcBorders>
            <w:vAlign w:val="center"/>
          </w:tcPr>
          <w:p w14:paraId="2D07B1B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(2,693)</w:t>
            </w:r>
          </w:p>
        </w:tc>
        <w:tc>
          <w:tcPr>
            <w:tcW w:w="1412" w:type="dxa"/>
            <w:tcBorders>
              <w:top w:val="nil"/>
              <w:bottom w:val="single" w:sz="2" w:space="0" w:color="8EAADB" w:themeColor="accent5" w:themeTint="99"/>
            </w:tcBorders>
            <w:vAlign w:val="center"/>
          </w:tcPr>
          <w:p w14:paraId="1B39DF6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(1,730)</w:t>
            </w:r>
          </w:p>
        </w:tc>
        <w:tc>
          <w:tcPr>
            <w:tcW w:w="283" w:type="dxa"/>
            <w:tcBorders>
              <w:top w:val="nil"/>
              <w:bottom w:val="single" w:sz="2" w:space="0" w:color="8EAADB" w:themeColor="accent5" w:themeTint="99"/>
            </w:tcBorders>
            <w:vAlign w:val="center"/>
          </w:tcPr>
          <w:p w14:paraId="163B2AB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single" w:sz="2" w:space="0" w:color="8EAADB" w:themeColor="accent5" w:themeTint="99"/>
            </w:tcBorders>
            <w:vAlign w:val="center"/>
          </w:tcPr>
          <w:p w14:paraId="76E1D56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(4,339)</w:t>
            </w:r>
          </w:p>
        </w:tc>
        <w:tc>
          <w:tcPr>
            <w:tcW w:w="1526" w:type="dxa"/>
            <w:tcBorders>
              <w:top w:val="nil"/>
              <w:bottom w:val="single" w:sz="2" w:space="0" w:color="8EAADB" w:themeColor="accent5" w:themeTint="99"/>
            </w:tcBorders>
            <w:vAlign w:val="center"/>
          </w:tcPr>
          <w:p w14:paraId="50C5A83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(4,434)</w:t>
            </w:r>
          </w:p>
        </w:tc>
      </w:tr>
    </w:tbl>
    <w:p w14:paraId="547E48E7" w14:textId="77777777" w:rsidR="00081370" w:rsidRPr="00B84B0C" w:rsidRDefault="00081370">
      <w:pPr>
        <w:rPr>
          <w:rFonts w:cs="Arial"/>
          <w:b/>
          <w:color w:val="1F4E79" w:themeColor="accent1" w:themeShade="80"/>
          <w:szCs w:val="18"/>
        </w:rPr>
      </w:pPr>
    </w:p>
    <w:p w14:paraId="0BBFA501" w14:textId="77777777" w:rsidR="00081370" w:rsidRPr="00B84B0C" w:rsidRDefault="00081370" w:rsidP="00081370">
      <w:pPr>
        <w:rPr>
          <w:rFonts w:cs="Arial"/>
          <w:b/>
          <w:color w:val="1F4E79" w:themeColor="accent1" w:themeShade="80"/>
          <w:szCs w:val="18"/>
        </w:rPr>
      </w:pPr>
      <w:r w:rsidRPr="00B84B0C">
        <w:rPr>
          <w:rFonts w:cs="Arial"/>
          <w:b/>
          <w:color w:val="1F4E79" w:themeColor="accent1" w:themeShade="80"/>
          <w:szCs w:val="18"/>
        </w:rPr>
        <w:t xml:space="preserve">d) </w:t>
      </w:r>
      <w:proofErr w:type="spellStart"/>
      <w:r w:rsidRPr="00B84B0C">
        <w:rPr>
          <w:rFonts w:cs="Arial"/>
          <w:b/>
          <w:color w:val="1F4E79" w:themeColor="accent1" w:themeShade="80"/>
          <w:szCs w:val="18"/>
        </w:rPr>
        <w:t>Current</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tax</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assets</w:t>
      </w:r>
      <w:proofErr w:type="spellEnd"/>
    </w:p>
    <w:p w14:paraId="5229DE18" w14:textId="77777777" w:rsidR="00081370" w:rsidRPr="00B84B0C" w:rsidRDefault="00081370" w:rsidP="00081370">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2986"/>
        <w:gridCol w:w="604"/>
        <w:gridCol w:w="1411"/>
        <w:gridCol w:w="1412"/>
        <w:gridCol w:w="283"/>
        <w:gridCol w:w="1417"/>
        <w:gridCol w:w="1526"/>
      </w:tblGrid>
      <w:tr w:rsidR="00081370" w:rsidRPr="00B84B0C" w14:paraId="5A84D8D4"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themeFill="accent5" w:themeFillTint="33"/>
            <w:vAlign w:val="center"/>
          </w:tcPr>
          <w:p w14:paraId="2B3A2A8B" w14:textId="77777777" w:rsidR="00081370" w:rsidRPr="00B84B0C" w:rsidRDefault="00081370" w:rsidP="00081370">
            <w:pPr>
              <w:jc w:val="center"/>
              <w:rPr>
                <w:rFonts w:cs="Arial"/>
                <w:b w:val="0"/>
                <w:szCs w:val="18"/>
              </w:rPr>
            </w:pPr>
          </w:p>
        </w:tc>
        <w:tc>
          <w:tcPr>
            <w:tcW w:w="604" w:type="dxa"/>
            <w:tcBorders>
              <w:top w:val="single" w:sz="2" w:space="0" w:color="8EAADB" w:themeColor="accent5" w:themeTint="99"/>
              <w:bottom w:val="nil"/>
            </w:tcBorders>
            <w:shd w:val="clear" w:color="auto" w:fill="D9E2F3" w:themeFill="accent5" w:themeFillTint="33"/>
          </w:tcPr>
          <w:p w14:paraId="717ED895"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2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A47ADE9"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1AE79F22"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4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2D0ACE0"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081370" w:rsidRPr="00B84B0C" w14:paraId="44293CD5"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357F137C" w14:textId="77777777" w:rsidR="00081370" w:rsidRPr="00B84B0C" w:rsidRDefault="00081370" w:rsidP="00081370">
            <w:pPr>
              <w:pStyle w:val="08-Tabelageral"/>
              <w:rPr>
                <w:rFonts w:cs="Arial"/>
                <w:b w:val="0"/>
              </w:rPr>
            </w:pPr>
          </w:p>
        </w:tc>
        <w:tc>
          <w:tcPr>
            <w:tcW w:w="604" w:type="dxa"/>
            <w:tcBorders>
              <w:top w:val="nil"/>
              <w:bottom w:val="single" w:sz="2" w:space="0" w:color="8EAADB" w:themeColor="accent5" w:themeTint="99"/>
            </w:tcBorders>
          </w:tcPr>
          <w:p w14:paraId="671B470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1C8190B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412" w:type="dxa"/>
            <w:tcBorders>
              <w:top w:val="single" w:sz="2" w:space="0" w:color="8EAADB" w:themeColor="accent5" w:themeTint="99"/>
              <w:bottom w:val="single" w:sz="2" w:space="0" w:color="8EAADB" w:themeColor="accent5" w:themeTint="99"/>
            </w:tcBorders>
            <w:vAlign w:val="center"/>
          </w:tcPr>
          <w:p w14:paraId="319AACC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c>
          <w:tcPr>
            <w:tcW w:w="283" w:type="dxa"/>
            <w:tcBorders>
              <w:top w:val="nil"/>
              <w:bottom w:val="single" w:sz="2" w:space="0" w:color="8EAADB" w:themeColor="accent5" w:themeTint="99"/>
            </w:tcBorders>
            <w:vAlign w:val="center"/>
          </w:tcPr>
          <w:p w14:paraId="15E238E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22AD2EF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526" w:type="dxa"/>
            <w:tcBorders>
              <w:top w:val="single" w:sz="2" w:space="0" w:color="8EAADB" w:themeColor="accent5" w:themeTint="99"/>
              <w:bottom w:val="single" w:sz="2" w:space="0" w:color="8EAADB" w:themeColor="accent5" w:themeTint="99"/>
            </w:tcBorders>
            <w:vAlign w:val="center"/>
          </w:tcPr>
          <w:p w14:paraId="68EF6CA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081370" w:rsidRPr="00B84B0C" w14:paraId="474E8AE0"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7D0F8740" w14:textId="77777777" w:rsidR="00081370" w:rsidRPr="00B84B0C" w:rsidRDefault="00081370" w:rsidP="00081370">
            <w:pPr>
              <w:pStyle w:val="08-Tabelageral"/>
              <w:jc w:val="left"/>
              <w:rPr>
                <w:rFonts w:cs="Arial"/>
                <w:b w:val="0"/>
                <w:szCs w:val="14"/>
              </w:rPr>
            </w:pPr>
            <w:r w:rsidRPr="00B84B0C">
              <w:rPr>
                <w:rFonts w:cs="Arial"/>
                <w:b w:val="0"/>
                <w:szCs w:val="14"/>
              </w:rPr>
              <w:t xml:space="preserve">Taxes </w:t>
            </w:r>
            <w:proofErr w:type="spellStart"/>
            <w:r w:rsidRPr="00B84B0C">
              <w:rPr>
                <w:rFonts w:cs="Arial"/>
                <w:b w:val="0"/>
                <w:szCs w:val="14"/>
              </w:rPr>
              <w:t>to</w:t>
            </w:r>
            <w:proofErr w:type="spellEnd"/>
            <w:r w:rsidRPr="00B84B0C">
              <w:rPr>
                <w:rFonts w:cs="Arial"/>
                <w:b w:val="0"/>
                <w:szCs w:val="14"/>
              </w:rPr>
              <w:t xml:space="preserve"> </w:t>
            </w:r>
            <w:proofErr w:type="spellStart"/>
            <w:r w:rsidRPr="00B84B0C">
              <w:rPr>
                <w:rFonts w:cs="Arial"/>
                <w:b w:val="0"/>
                <w:szCs w:val="14"/>
              </w:rPr>
              <w:t>compensate</w:t>
            </w:r>
            <w:proofErr w:type="spellEnd"/>
          </w:p>
        </w:tc>
        <w:tc>
          <w:tcPr>
            <w:tcW w:w="604" w:type="dxa"/>
            <w:tcBorders>
              <w:top w:val="nil"/>
              <w:bottom w:val="nil"/>
            </w:tcBorders>
            <w:vAlign w:val="center"/>
          </w:tcPr>
          <w:p w14:paraId="57C49437"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2B76E676"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54,200</w:t>
            </w:r>
          </w:p>
        </w:tc>
        <w:tc>
          <w:tcPr>
            <w:tcW w:w="1412" w:type="dxa"/>
            <w:tcBorders>
              <w:top w:val="nil"/>
              <w:bottom w:val="nil"/>
            </w:tcBorders>
            <w:vAlign w:val="center"/>
          </w:tcPr>
          <w:p w14:paraId="0B74069A"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45,598</w:t>
            </w:r>
          </w:p>
        </w:tc>
        <w:tc>
          <w:tcPr>
            <w:tcW w:w="283" w:type="dxa"/>
            <w:tcBorders>
              <w:top w:val="nil"/>
              <w:bottom w:val="nil"/>
            </w:tcBorders>
            <w:vAlign w:val="center"/>
          </w:tcPr>
          <w:p w14:paraId="7D2DEB3A"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65A6137E"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70,559</w:t>
            </w:r>
          </w:p>
        </w:tc>
        <w:tc>
          <w:tcPr>
            <w:tcW w:w="1526" w:type="dxa"/>
            <w:tcBorders>
              <w:top w:val="nil"/>
              <w:bottom w:val="nil"/>
            </w:tcBorders>
            <w:vAlign w:val="center"/>
          </w:tcPr>
          <w:p w14:paraId="2F46B9B1"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61,956</w:t>
            </w:r>
          </w:p>
        </w:tc>
      </w:tr>
      <w:tr w:rsidR="00081370" w:rsidRPr="00B84B0C" w14:paraId="34F9000F"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vAlign w:val="center"/>
          </w:tcPr>
          <w:p w14:paraId="2B328978" w14:textId="77777777" w:rsidR="00081370" w:rsidRPr="00B84B0C" w:rsidRDefault="00081370" w:rsidP="00081370">
            <w:pPr>
              <w:pStyle w:val="08-Tabelageral"/>
              <w:jc w:val="left"/>
              <w:rPr>
                <w:rFonts w:cs="Arial"/>
                <w:b w:val="0"/>
                <w:vertAlign w:val="superscript"/>
              </w:rPr>
            </w:pPr>
            <w:proofErr w:type="spellStart"/>
            <w:r w:rsidRPr="00B84B0C">
              <w:rPr>
                <w:rFonts w:cs="Arial"/>
                <w:b w:val="0"/>
                <w:szCs w:val="14"/>
              </w:rPr>
              <w:t>Antecipation</w:t>
            </w:r>
            <w:proofErr w:type="spellEnd"/>
            <w:r w:rsidRPr="00B84B0C">
              <w:rPr>
                <w:rFonts w:cs="Arial"/>
                <w:b w:val="0"/>
                <w:szCs w:val="14"/>
              </w:rPr>
              <w:t xml:space="preserve"> </w:t>
            </w:r>
            <w:proofErr w:type="spellStart"/>
            <w:r w:rsidRPr="00B84B0C">
              <w:rPr>
                <w:rFonts w:cs="Arial"/>
                <w:b w:val="0"/>
                <w:szCs w:val="14"/>
              </w:rPr>
              <w:t>of</w:t>
            </w:r>
            <w:proofErr w:type="spellEnd"/>
            <w:r w:rsidRPr="00B84B0C">
              <w:rPr>
                <w:rFonts w:cs="Arial"/>
                <w:b w:val="0"/>
                <w:szCs w:val="14"/>
              </w:rPr>
              <w:t xml:space="preserve"> IR e </w:t>
            </w:r>
            <w:proofErr w:type="gramStart"/>
            <w:r w:rsidRPr="00B84B0C">
              <w:rPr>
                <w:rFonts w:cs="Arial"/>
                <w:b w:val="0"/>
                <w:szCs w:val="14"/>
              </w:rPr>
              <w:t>CS</w:t>
            </w:r>
            <w:r w:rsidRPr="00B84B0C">
              <w:rPr>
                <w:rFonts w:cs="Arial"/>
                <w:b w:val="0"/>
                <w:szCs w:val="14"/>
                <w:vertAlign w:val="superscript"/>
              </w:rPr>
              <w:t>(</w:t>
            </w:r>
            <w:proofErr w:type="gramEnd"/>
            <w:r w:rsidRPr="00B84B0C">
              <w:rPr>
                <w:rFonts w:cs="Arial"/>
                <w:b w:val="0"/>
                <w:szCs w:val="14"/>
                <w:vertAlign w:val="superscript"/>
              </w:rPr>
              <w:t>1)</w:t>
            </w:r>
          </w:p>
        </w:tc>
        <w:tc>
          <w:tcPr>
            <w:tcW w:w="604" w:type="dxa"/>
            <w:tcBorders>
              <w:top w:val="nil"/>
              <w:bottom w:val="nil"/>
            </w:tcBorders>
            <w:vAlign w:val="center"/>
          </w:tcPr>
          <w:p w14:paraId="4CD08F1E"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780F5985"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2,835</w:t>
            </w:r>
          </w:p>
        </w:tc>
        <w:tc>
          <w:tcPr>
            <w:tcW w:w="1412" w:type="dxa"/>
            <w:tcBorders>
              <w:top w:val="nil"/>
              <w:bottom w:val="nil"/>
            </w:tcBorders>
            <w:vAlign w:val="center"/>
          </w:tcPr>
          <w:p w14:paraId="7FEA4B88"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vAlign w:val="center"/>
          </w:tcPr>
          <w:p w14:paraId="5A60A94D"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494BC36B"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70,317</w:t>
            </w:r>
          </w:p>
        </w:tc>
        <w:tc>
          <w:tcPr>
            <w:tcW w:w="1526" w:type="dxa"/>
            <w:tcBorders>
              <w:top w:val="nil"/>
              <w:bottom w:val="nil"/>
            </w:tcBorders>
            <w:vAlign w:val="center"/>
          </w:tcPr>
          <w:p w14:paraId="7A94AE8B"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r>
      <w:tr w:rsidR="00081370" w:rsidRPr="00B84B0C" w14:paraId="0C74BCA2"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4F841923" w14:textId="77777777" w:rsidR="00081370" w:rsidRPr="00B84B0C" w:rsidRDefault="00081370" w:rsidP="00081370">
            <w:pPr>
              <w:pStyle w:val="08-Tabelageral"/>
              <w:jc w:val="left"/>
              <w:rPr>
                <w:rFonts w:cs="Arial"/>
                <w:b w:val="0"/>
                <w:szCs w:val="14"/>
              </w:rPr>
            </w:pPr>
            <w:r w:rsidRPr="00B84B0C">
              <w:rPr>
                <w:rFonts w:cs="Arial"/>
                <w:b w:val="0"/>
                <w:szCs w:val="14"/>
              </w:rPr>
              <w:t>IRRF</w:t>
            </w:r>
          </w:p>
        </w:tc>
        <w:tc>
          <w:tcPr>
            <w:tcW w:w="604" w:type="dxa"/>
            <w:tcBorders>
              <w:top w:val="nil"/>
              <w:bottom w:val="nil"/>
            </w:tcBorders>
            <w:vAlign w:val="center"/>
          </w:tcPr>
          <w:p w14:paraId="19C53DD1"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3EE13632"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17,452</w:t>
            </w:r>
          </w:p>
        </w:tc>
        <w:tc>
          <w:tcPr>
            <w:tcW w:w="1412" w:type="dxa"/>
            <w:tcBorders>
              <w:top w:val="nil"/>
              <w:bottom w:val="nil"/>
            </w:tcBorders>
            <w:vAlign w:val="center"/>
          </w:tcPr>
          <w:p w14:paraId="60E8E9A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13,102</w:t>
            </w:r>
          </w:p>
        </w:tc>
        <w:tc>
          <w:tcPr>
            <w:tcW w:w="283" w:type="dxa"/>
            <w:tcBorders>
              <w:top w:val="nil"/>
              <w:bottom w:val="nil"/>
            </w:tcBorders>
            <w:vAlign w:val="center"/>
          </w:tcPr>
          <w:p w14:paraId="62580B5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66B930B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30,601</w:t>
            </w:r>
          </w:p>
        </w:tc>
        <w:tc>
          <w:tcPr>
            <w:tcW w:w="1526" w:type="dxa"/>
            <w:tcBorders>
              <w:top w:val="nil"/>
              <w:bottom w:val="nil"/>
            </w:tcBorders>
            <w:vAlign w:val="center"/>
          </w:tcPr>
          <w:p w14:paraId="698E202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40,112</w:t>
            </w:r>
          </w:p>
        </w:tc>
      </w:tr>
      <w:tr w:rsidR="00081370" w:rsidRPr="00B84B0C" w14:paraId="1C100DDD"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7575505D" w14:textId="77777777" w:rsidR="00081370" w:rsidRPr="00B84B0C" w:rsidRDefault="00081370" w:rsidP="00081370">
            <w:pPr>
              <w:pStyle w:val="08-Tabelageral"/>
              <w:jc w:val="left"/>
              <w:rPr>
                <w:rFonts w:cs="Arial"/>
                <w:b w:val="0"/>
                <w:szCs w:val="14"/>
              </w:rPr>
            </w:pPr>
            <w:r w:rsidRPr="00B84B0C">
              <w:rPr>
                <w:rFonts w:cs="Arial"/>
                <w:b w:val="0"/>
                <w:szCs w:val="14"/>
              </w:rPr>
              <w:t xml:space="preserve">(-) </w:t>
            </w:r>
            <w:proofErr w:type="spellStart"/>
            <w:r w:rsidRPr="00B84B0C">
              <w:rPr>
                <w:rFonts w:cs="Arial"/>
                <w:b w:val="0"/>
                <w:szCs w:val="14"/>
              </w:rPr>
              <w:t>Current</w:t>
            </w:r>
            <w:proofErr w:type="spellEnd"/>
            <w:r w:rsidRPr="00B84B0C">
              <w:rPr>
                <w:rFonts w:cs="Arial"/>
                <w:b w:val="0"/>
                <w:szCs w:val="14"/>
              </w:rPr>
              <w:t xml:space="preserve"> taxes </w:t>
            </w:r>
            <w:proofErr w:type="spellStart"/>
            <w:r w:rsidRPr="00B84B0C">
              <w:rPr>
                <w:rFonts w:cs="Arial"/>
                <w:b w:val="0"/>
                <w:szCs w:val="14"/>
              </w:rPr>
              <w:t>deducted</w:t>
            </w:r>
            <w:proofErr w:type="spellEnd"/>
            <w:r w:rsidRPr="00B84B0C">
              <w:rPr>
                <w:rFonts w:cs="Arial"/>
                <w:b w:val="0"/>
                <w:szCs w:val="14"/>
              </w:rPr>
              <w:t>/offset</w:t>
            </w:r>
          </w:p>
        </w:tc>
        <w:tc>
          <w:tcPr>
            <w:tcW w:w="604" w:type="dxa"/>
            <w:tcBorders>
              <w:top w:val="nil"/>
              <w:bottom w:val="nil"/>
            </w:tcBorders>
            <w:vAlign w:val="center"/>
          </w:tcPr>
          <w:p w14:paraId="309904DC"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795C362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vAlign w:val="center"/>
          </w:tcPr>
          <w:p w14:paraId="6197366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(3,168)</w:t>
            </w:r>
          </w:p>
        </w:tc>
        <w:tc>
          <w:tcPr>
            <w:tcW w:w="283" w:type="dxa"/>
            <w:tcBorders>
              <w:top w:val="nil"/>
              <w:bottom w:val="nil"/>
            </w:tcBorders>
            <w:vAlign w:val="center"/>
          </w:tcPr>
          <w:p w14:paraId="010F40E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413885F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526" w:type="dxa"/>
            <w:tcBorders>
              <w:top w:val="nil"/>
              <w:bottom w:val="nil"/>
            </w:tcBorders>
            <w:vAlign w:val="center"/>
          </w:tcPr>
          <w:p w14:paraId="30788EE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 xml:space="preserve"> (30,179)</w:t>
            </w:r>
          </w:p>
        </w:tc>
      </w:tr>
      <w:tr w:rsidR="00081370" w:rsidRPr="00B84B0C" w14:paraId="31214D6E"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2EF0A31D" w14:textId="77777777" w:rsidR="00081370" w:rsidRPr="00B84B0C" w:rsidRDefault="00081370" w:rsidP="00081370">
            <w:pPr>
              <w:pStyle w:val="08-Tabelageral"/>
              <w:jc w:val="left"/>
              <w:rPr>
                <w:rFonts w:cs="Arial"/>
                <w:vertAlign w:val="superscript"/>
              </w:rPr>
            </w:pPr>
            <w:proofErr w:type="gramStart"/>
            <w:r w:rsidRPr="00B84B0C">
              <w:rPr>
                <w:rFonts w:cs="Arial"/>
              </w:rPr>
              <w:t>Total</w:t>
            </w:r>
            <w:r w:rsidRPr="00B84B0C">
              <w:rPr>
                <w:rFonts w:cs="Arial"/>
                <w:vertAlign w:val="superscript"/>
              </w:rPr>
              <w:t>(</w:t>
            </w:r>
            <w:proofErr w:type="gramEnd"/>
            <w:r w:rsidRPr="00B84B0C">
              <w:rPr>
                <w:rFonts w:cs="Arial"/>
                <w:vertAlign w:val="superscript"/>
              </w:rPr>
              <w:t>2)</w:t>
            </w:r>
          </w:p>
          <w:p w14:paraId="60AE627B" w14:textId="77777777" w:rsidR="00081370" w:rsidRPr="00B84B0C" w:rsidRDefault="00081370" w:rsidP="00081370">
            <w:pPr>
              <w:pStyle w:val="08-Tabelageral"/>
              <w:jc w:val="left"/>
              <w:rPr>
                <w:rFonts w:cs="Arial"/>
                <w:szCs w:val="14"/>
              </w:rPr>
            </w:pPr>
          </w:p>
        </w:tc>
        <w:tc>
          <w:tcPr>
            <w:tcW w:w="604" w:type="dxa"/>
            <w:tcBorders>
              <w:top w:val="nil"/>
              <w:bottom w:val="single" w:sz="2" w:space="0" w:color="8EAADB" w:themeColor="accent5" w:themeTint="99"/>
            </w:tcBorders>
            <w:vAlign w:val="center"/>
          </w:tcPr>
          <w:p w14:paraId="1D04E573"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single" w:sz="2" w:space="0" w:color="8EAADB" w:themeColor="accent5" w:themeTint="99"/>
            </w:tcBorders>
            <w:vAlign w:val="center"/>
          </w:tcPr>
          <w:p w14:paraId="5FE31B4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74,487</w:t>
            </w:r>
          </w:p>
        </w:tc>
        <w:tc>
          <w:tcPr>
            <w:tcW w:w="1412" w:type="dxa"/>
            <w:tcBorders>
              <w:top w:val="nil"/>
              <w:bottom w:val="single" w:sz="2" w:space="0" w:color="8EAADB" w:themeColor="accent5" w:themeTint="99"/>
            </w:tcBorders>
            <w:vAlign w:val="center"/>
          </w:tcPr>
          <w:p w14:paraId="269B77D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55,532</w:t>
            </w:r>
          </w:p>
        </w:tc>
        <w:tc>
          <w:tcPr>
            <w:tcW w:w="283" w:type="dxa"/>
            <w:tcBorders>
              <w:top w:val="nil"/>
              <w:bottom w:val="single" w:sz="2" w:space="0" w:color="8EAADB" w:themeColor="accent5" w:themeTint="99"/>
            </w:tcBorders>
            <w:vAlign w:val="center"/>
          </w:tcPr>
          <w:p w14:paraId="35509020"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7" w:type="dxa"/>
            <w:tcBorders>
              <w:top w:val="nil"/>
              <w:bottom w:val="single" w:sz="2" w:space="0" w:color="8EAADB" w:themeColor="accent5" w:themeTint="99"/>
            </w:tcBorders>
            <w:vAlign w:val="center"/>
          </w:tcPr>
          <w:p w14:paraId="6EB5F77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171,477</w:t>
            </w:r>
          </w:p>
        </w:tc>
        <w:tc>
          <w:tcPr>
            <w:tcW w:w="1526" w:type="dxa"/>
            <w:tcBorders>
              <w:top w:val="nil"/>
              <w:bottom w:val="single" w:sz="2" w:space="0" w:color="8EAADB" w:themeColor="accent5" w:themeTint="99"/>
            </w:tcBorders>
            <w:vAlign w:val="center"/>
          </w:tcPr>
          <w:p w14:paraId="55E4446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71,889</w:t>
            </w:r>
          </w:p>
        </w:tc>
      </w:tr>
    </w:tbl>
    <w:p w14:paraId="65A45445" w14:textId="77777777" w:rsidR="00081370" w:rsidRPr="00B84B0C" w:rsidRDefault="00081370" w:rsidP="00081370">
      <w:pPr>
        <w:pStyle w:val="Pr-formataoHTML"/>
        <w:jc w:val="both"/>
        <w:rPr>
          <w:rFonts w:ascii="Arial" w:eastAsia="Times New Roman" w:hAnsi="Arial" w:cs="Arial"/>
          <w:sz w:val="14"/>
          <w:szCs w:val="14"/>
          <w:lang w:val="en" w:eastAsia="pt-BR"/>
        </w:rPr>
      </w:pPr>
      <w:r w:rsidRPr="00B84B0C">
        <w:rPr>
          <w:rFonts w:ascii="Arial" w:hAnsi="Arial" w:cs="Arial"/>
          <w:sz w:val="14"/>
          <w:szCs w:val="14"/>
          <w:lang w:val="en-US"/>
        </w:rPr>
        <w:t>(1)</w:t>
      </w:r>
      <w:r w:rsidRPr="00B84B0C">
        <w:rPr>
          <w:rFonts w:ascii="Arial" w:eastAsia="Times New Roman" w:hAnsi="Arial" w:cs="Arial"/>
          <w:sz w:val="14"/>
          <w:szCs w:val="14"/>
          <w:lang w:val="en" w:eastAsia="pt-BR"/>
        </w:rPr>
        <w:t xml:space="preserve"> The balance on March 31, 2020 (parent company and consolidated) refers to the prepayments of income tax and social contribution based on the estimate of taxable income.</w:t>
      </w:r>
    </w:p>
    <w:p w14:paraId="6C41B6B4" w14:textId="77777777" w:rsidR="00081370" w:rsidRPr="00B84B0C" w:rsidRDefault="00081370" w:rsidP="00081370">
      <w:pPr>
        <w:pStyle w:val="Pr-formataoHTML"/>
        <w:jc w:val="both"/>
        <w:rPr>
          <w:rFonts w:ascii="Arial" w:hAnsi="Arial" w:cs="Arial"/>
          <w:sz w:val="14"/>
          <w:szCs w:val="14"/>
          <w:lang w:val="en-US"/>
        </w:rPr>
      </w:pPr>
      <w:r w:rsidRPr="00B84B0C">
        <w:rPr>
          <w:rFonts w:ascii="Arial" w:hAnsi="Arial" w:cs="Arial"/>
          <w:sz w:val="14"/>
          <w:szCs w:val="14"/>
          <w:lang w:val="en-US"/>
        </w:rPr>
        <w:t xml:space="preserve">(2) Balance on Dec 31, </w:t>
      </w:r>
      <w:proofErr w:type="gramStart"/>
      <w:r w:rsidRPr="00B84B0C">
        <w:rPr>
          <w:rFonts w:ascii="Arial" w:hAnsi="Arial" w:cs="Arial"/>
          <w:sz w:val="14"/>
          <w:szCs w:val="14"/>
          <w:lang w:val="en-US"/>
        </w:rPr>
        <w:t>2019</w:t>
      </w:r>
      <w:proofErr w:type="gramEnd"/>
      <w:r w:rsidRPr="00B84B0C">
        <w:rPr>
          <w:rFonts w:ascii="Arial" w:hAnsi="Arial" w:cs="Arial"/>
          <w:sz w:val="14"/>
          <w:szCs w:val="14"/>
          <w:lang w:val="en-US"/>
        </w:rPr>
        <w:t xml:space="preserve"> of the parent company and consolidated, refers mainly to IRRF of previous years not cleared/deducted. In the period 2019 no tax base supporting the offsetting of taxes was calculated.</w:t>
      </w:r>
    </w:p>
    <w:p w14:paraId="3E635CBE" w14:textId="77777777" w:rsidR="00081370" w:rsidRPr="00B84B0C" w:rsidRDefault="00081370" w:rsidP="00081370">
      <w:pPr>
        <w:keepNext/>
        <w:keepLines/>
        <w:pageBreakBefore/>
        <w:rPr>
          <w:rFonts w:cs="Arial"/>
          <w:b/>
          <w:color w:val="1F4E79" w:themeColor="accent1" w:themeShade="80"/>
          <w:szCs w:val="18"/>
        </w:rPr>
      </w:pPr>
      <w:r w:rsidRPr="00B84B0C">
        <w:rPr>
          <w:rFonts w:cs="Arial"/>
          <w:b/>
          <w:color w:val="1F4E79" w:themeColor="accent1" w:themeShade="80"/>
          <w:szCs w:val="18"/>
        </w:rPr>
        <w:lastRenderedPageBreak/>
        <w:t xml:space="preserve">e) </w:t>
      </w:r>
      <w:proofErr w:type="spellStart"/>
      <w:r w:rsidRPr="00B84B0C">
        <w:rPr>
          <w:rFonts w:cs="Arial"/>
          <w:b/>
          <w:color w:val="1F4E79" w:themeColor="accent1" w:themeShade="80"/>
          <w:szCs w:val="18"/>
        </w:rPr>
        <w:t>Deferred</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Tax</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Assets</w:t>
      </w:r>
      <w:proofErr w:type="spellEnd"/>
      <w:r w:rsidRPr="00B84B0C">
        <w:rPr>
          <w:rFonts w:cs="Arial"/>
          <w:b/>
          <w:color w:val="1F4E79" w:themeColor="accent1" w:themeShade="80"/>
          <w:szCs w:val="18"/>
        </w:rPr>
        <w:t xml:space="preserve"> </w:t>
      </w:r>
    </w:p>
    <w:p w14:paraId="04E9B5F3" w14:textId="77777777" w:rsidR="00081370" w:rsidRPr="00B84B0C" w:rsidRDefault="00081370" w:rsidP="00081370">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2986"/>
        <w:gridCol w:w="604"/>
        <w:gridCol w:w="1411"/>
        <w:gridCol w:w="1412"/>
        <w:gridCol w:w="283"/>
        <w:gridCol w:w="1417"/>
        <w:gridCol w:w="1526"/>
      </w:tblGrid>
      <w:tr w:rsidR="00081370" w:rsidRPr="00B84B0C" w14:paraId="1C4FEF37"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themeFill="accent5" w:themeFillTint="33"/>
            <w:vAlign w:val="center"/>
          </w:tcPr>
          <w:p w14:paraId="14F5E55A" w14:textId="77777777" w:rsidR="00081370" w:rsidRPr="00B84B0C" w:rsidRDefault="00081370" w:rsidP="00081370">
            <w:pPr>
              <w:jc w:val="center"/>
              <w:rPr>
                <w:rFonts w:cs="Arial"/>
                <w:b w:val="0"/>
                <w:szCs w:val="18"/>
              </w:rPr>
            </w:pPr>
          </w:p>
        </w:tc>
        <w:tc>
          <w:tcPr>
            <w:tcW w:w="604" w:type="dxa"/>
            <w:tcBorders>
              <w:top w:val="single" w:sz="2" w:space="0" w:color="8EAADB" w:themeColor="accent5" w:themeTint="99"/>
              <w:bottom w:val="nil"/>
            </w:tcBorders>
            <w:shd w:val="clear" w:color="auto" w:fill="D9E2F3" w:themeFill="accent5" w:themeFillTint="33"/>
          </w:tcPr>
          <w:p w14:paraId="386C5868"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6049" w:type="dxa"/>
            <w:gridSpan w:val="5"/>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F8855CA"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Parent</w:t>
            </w:r>
            <w:proofErr w:type="spellEnd"/>
          </w:p>
        </w:tc>
      </w:tr>
      <w:tr w:rsidR="00081370" w:rsidRPr="00B84B0C" w14:paraId="1CFC3C2B"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4198D9BC" w14:textId="77777777" w:rsidR="00081370" w:rsidRPr="00B84B0C" w:rsidRDefault="00081370" w:rsidP="00081370">
            <w:pPr>
              <w:pStyle w:val="08-Tabelageral"/>
              <w:rPr>
                <w:rFonts w:cs="Arial"/>
                <w:b w:val="0"/>
              </w:rPr>
            </w:pPr>
          </w:p>
        </w:tc>
        <w:tc>
          <w:tcPr>
            <w:tcW w:w="604" w:type="dxa"/>
            <w:tcBorders>
              <w:top w:val="nil"/>
              <w:bottom w:val="single" w:sz="2" w:space="0" w:color="8EAADB" w:themeColor="accent5" w:themeTint="99"/>
            </w:tcBorders>
          </w:tcPr>
          <w:p w14:paraId="1FE5E97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5239A6A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412" w:type="dxa"/>
            <w:tcBorders>
              <w:top w:val="single" w:sz="2" w:space="0" w:color="8EAADB" w:themeColor="accent5" w:themeTint="99"/>
              <w:bottom w:val="single" w:sz="2" w:space="0" w:color="8EAADB" w:themeColor="accent5" w:themeTint="99"/>
            </w:tcBorders>
            <w:vAlign w:val="center"/>
          </w:tcPr>
          <w:p w14:paraId="08BC737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Addition</w:t>
            </w:r>
            <w:proofErr w:type="spellEnd"/>
          </w:p>
        </w:tc>
        <w:tc>
          <w:tcPr>
            <w:tcW w:w="283" w:type="dxa"/>
            <w:tcBorders>
              <w:top w:val="nil"/>
              <w:bottom w:val="single" w:sz="2" w:space="0" w:color="8EAADB" w:themeColor="accent5" w:themeTint="99"/>
            </w:tcBorders>
            <w:vAlign w:val="center"/>
          </w:tcPr>
          <w:p w14:paraId="40A6B20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5607FAC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Derecognition</w:t>
            </w:r>
            <w:proofErr w:type="spellEnd"/>
          </w:p>
        </w:tc>
        <w:tc>
          <w:tcPr>
            <w:tcW w:w="1526" w:type="dxa"/>
            <w:tcBorders>
              <w:top w:val="single" w:sz="2" w:space="0" w:color="8EAADB" w:themeColor="accent5" w:themeTint="99"/>
              <w:bottom w:val="single" w:sz="2" w:space="0" w:color="8EAADB" w:themeColor="accent5" w:themeTint="99"/>
            </w:tcBorders>
            <w:vAlign w:val="center"/>
          </w:tcPr>
          <w:p w14:paraId="0B2B738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081370" w:rsidRPr="00B84B0C" w14:paraId="4748B010"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139CF898" w14:textId="77777777" w:rsidR="00081370" w:rsidRPr="00B84B0C" w:rsidRDefault="00081370" w:rsidP="00081370">
            <w:pPr>
              <w:pStyle w:val="08-Tabelageral"/>
              <w:jc w:val="left"/>
              <w:rPr>
                <w:rFonts w:cs="Arial"/>
                <w:bCs w:val="0"/>
                <w:szCs w:val="14"/>
              </w:rPr>
            </w:pPr>
            <w:proofErr w:type="spellStart"/>
            <w:r w:rsidRPr="00B84B0C">
              <w:rPr>
                <w:rFonts w:cs="Arial"/>
                <w:bCs w:val="0"/>
                <w:szCs w:val="14"/>
              </w:rPr>
              <w:t>Temporary</w:t>
            </w:r>
            <w:proofErr w:type="spellEnd"/>
            <w:r w:rsidRPr="00B84B0C">
              <w:rPr>
                <w:rFonts w:cs="Arial"/>
                <w:bCs w:val="0"/>
                <w:szCs w:val="14"/>
              </w:rPr>
              <w:t xml:space="preserve"> </w:t>
            </w:r>
            <w:proofErr w:type="spellStart"/>
            <w:r w:rsidRPr="00B84B0C">
              <w:rPr>
                <w:rFonts w:cs="Arial"/>
                <w:bCs w:val="0"/>
                <w:szCs w:val="14"/>
              </w:rPr>
              <w:t>differences</w:t>
            </w:r>
            <w:proofErr w:type="spellEnd"/>
          </w:p>
        </w:tc>
        <w:tc>
          <w:tcPr>
            <w:tcW w:w="604" w:type="dxa"/>
            <w:tcBorders>
              <w:top w:val="nil"/>
              <w:bottom w:val="nil"/>
            </w:tcBorders>
            <w:vAlign w:val="center"/>
          </w:tcPr>
          <w:p w14:paraId="07F990D3" w14:textId="77777777" w:rsidR="00081370" w:rsidRPr="00B84B0C" w:rsidRDefault="00081370" w:rsidP="00081370">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11" w:type="dxa"/>
            <w:tcBorders>
              <w:top w:val="nil"/>
              <w:bottom w:val="nil"/>
            </w:tcBorders>
            <w:vAlign w:val="center"/>
          </w:tcPr>
          <w:p w14:paraId="0C35AB9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12" w:type="dxa"/>
            <w:tcBorders>
              <w:top w:val="nil"/>
              <w:bottom w:val="nil"/>
            </w:tcBorders>
            <w:vAlign w:val="center"/>
          </w:tcPr>
          <w:p w14:paraId="0203CD5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283" w:type="dxa"/>
            <w:tcBorders>
              <w:top w:val="nil"/>
              <w:bottom w:val="nil"/>
            </w:tcBorders>
            <w:vAlign w:val="center"/>
          </w:tcPr>
          <w:p w14:paraId="66EA5401" w14:textId="77777777" w:rsidR="00081370" w:rsidRPr="00B84B0C" w:rsidRDefault="00081370" w:rsidP="00081370">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17" w:type="dxa"/>
            <w:tcBorders>
              <w:top w:val="nil"/>
              <w:bottom w:val="nil"/>
            </w:tcBorders>
            <w:vAlign w:val="center"/>
          </w:tcPr>
          <w:p w14:paraId="46A5A7C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526" w:type="dxa"/>
            <w:tcBorders>
              <w:top w:val="nil"/>
              <w:bottom w:val="nil"/>
            </w:tcBorders>
            <w:vAlign w:val="center"/>
          </w:tcPr>
          <w:p w14:paraId="5C230A22"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r>
      <w:tr w:rsidR="00081370" w:rsidRPr="00B84B0C" w14:paraId="5AC03C08"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4A973D5D" w14:textId="77777777" w:rsidR="00081370" w:rsidRPr="00B84B0C" w:rsidRDefault="00081370" w:rsidP="00081370">
            <w:pPr>
              <w:pStyle w:val="08-Tabelageral"/>
              <w:ind w:left="113"/>
              <w:jc w:val="left"/>
              <w:rPr>
                <w:rFonts w:cs="Arial"/>
                <w:b w:val="0"/>
                <w:szCs w:val="14"/>
              </w:rPr>
            </w:pP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losses</w:t>
            </w:r>
            <w:proofErr w:type="spellEnd"/>
            <w:r w:rsidRPr="00B84B0C">
              <w:rPr>
                <w:rFonts w:cs="Arial"/>
                <w:b w:val="0"/>
                <w:szCs w:val="14"/>
              </w:rPr>
              <w:t>/negative bases</w:t>
            </w:r>
          </w:p>
        </w:tc>
        <w:tc>
          <w:tcPr>
            <w:tcW w:w="604" w:type="dxa"/>
            <w:tcBorders>
              <w:top w:val="nil"/>
              <w:bottom w:val="nil"/>
            </w:tcBorders>
            <w:vAlign w:val="center"/>
          </w:tcPr>
          <w:p w14:paraId="2719F3AD"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29A5F3FD"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1,680</w:t>
            </w:r>
          </w:p>
        </w:tc>
        <w:tc>
          <w:tcPr>
            <w:tcW w:w="1412" w:type="dxa"/>
            <w:tcBorders>
              <w:top w:val="nil"/>
              <w:bottom w:val="nil"/>
            </w:tcBorders>
            <w:vAlign w:val="center"/>
          </w:tcPr>
          <w:p w14:paraId="5E8DF6F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07485B91"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7DED8A7C"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(2,260)</w:t>
            </w:r>
          </w:p>
        </w:tc>
        <w:tc>
          <w:tcPr>
            <w:tcW w:w="1526" w:type="dxa"/>
            <w:tcBorders>
              <w:top w:val="nil"/>
              <w:bottom w:val="nil"/>
            </w:tcBorders>
            <w:vAlign w:val="center"/>
          </w:tcPr>
          <w:p w14:paraId="1CE6BBD3"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3,940</w:t>
            </w:r>
          </w:p>
        </w:tc>
      </w:tr>
      <w:tr w:rsidR="00081370" w:rsidRPr="00B84B0C" w14:paraId="62B667CB"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1BCBE975" w14:textId="77777777" w:rsidR="00081370" w:rsidRPr="00B84B0C" w:rsidRDefault="00081370" w:rsidP="00081370">
            <w:pPr>
              <w:pStyle w:val="08-Tabelageral"/>
              <w:ind w:left="113"/>
              <w:jc w:val="left"/>
              <w:rPr>
                <w:rFonts w:cs="Arial"/>
                <w:b w:val="0"/>
                <w:szCs w:val="14"/>
              </w:rPr>
            </w:pPr>
            <w:proofErr w:type="spellStart"/>
            <w:r w:rsidRPr="00B84B0C">
              <w:rPr>
                <w:rFonts w:cs="Arial"/>
                <w:b w:val="0"/>
                <w:szCs w:val="14"/>
              </w:rPr>
              <w:t>Liabilities</w:t>
            </w:r>
            <w:proofErr w:type="spellEnd"/>
            <w:r w:rsidRPr="00B84B0C">
              <w:rPr>
                <w:rFonts w:cs="Arial"/>
                <w:b w:val="0"/>
                <w:szCs w:val="14"/>
              </w:rPr>
              <w:t xml:space="preserve"> </w:t>
            </w:r>
            <w:proofErr w:type="spellStart"/>
            <w:r w:rsidRPr="00B84B0C">
              <w:rPr>
                <w:rFonts w:cs="Arial"/>
                <w:b w:val="0"/>
                <w:szCs w:val="14"/>
              </w:rPr>
              <w:t>provision</w:t>
            </w:r>
            <w:proofErr w:type="spellEnd"/>
          </w:p>
        </w:tc>
        <w:tc>
          <w:tcPr>
            <w:tcW w:w="604" w:type="dxa"/>
            <w:tcBorders>
              <w:top w:val="nil"/>
              <w:bottom w:val="nil"/>
            </w:tcBorders>
            <w:vAlign w:val="center"/>
          </w:tcPr>
          <w:p w14:paraId="78C7EC37"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28BDFB7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36</w:t>
            </w:r>
          </w:p>
        </w:tc>
        <w:tc>
          <w:tcPr>
            <w:tcW w:w="1412" w:type="dxa"/>
            <w:tcBorders>
              <w:top w:val="nil"/>
              <w:bottom w:val="nil"/>
            </w:tcBorders>
            <w:vAlign w:val="center"/>
          </w:tcPr>
          <w:p w14:paraId="1B648C8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w:t>
            </w:r>
          </w:p>
        </w:tc>
        <w:tc>
          <w:tcPr>
            <w:tcW w:w="283" w:type="dxa"/>
            <w:tcBorders>
              <w:top w:val="nil"/>
              <w:bottom w:val="nil"/>
            </w:tcBorders>
            <w:vAlign w:val="center"/>
          </w:tcPr>
          <w:p w14:paraId="7B70B6EA"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2E2629F7"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526" w:type="dxa"/>
            <w:tcBorders>
              <w:top w:val="nil"/>
              <w:bottom w:val="nil"/>
            </w:tcBorders>
            <w:vAlign w:val="center"/>
          </w:tcPr>
          <w:p w14:paraId="0924C56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34</w:t>
            </w:r>
          </w:p>
        </w:tc>
      </w:tr>
      <w:tr w:rsidR="00081370" w:rsidRPr="00B84B0C" w14:paraId="001D27DD"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0AB8D35B" w14:textId="77777777" w:rsidR="00081370" w:rsidRPr="00B84B0C" w:rsidRDefault="00081370" w:rsidP="00081370">
            <w:pPr>
              <w:pStyle w:val="08-Tabelageral"/>
              <w:jc w:val="left"/>
              <w:rPr>
                <w:rFonts w:cs="Arial"/>
              </w:rPr>
            </w:pPr>
            <w:r w:rsidRPr="00B84B0C">
              <w:rPr>
                <w:rFonts w:cs="Arial"/>
              </w:rPr>
              <w:t xml:space="preserve">Total </w:t>
            </w:r>
            <w:proofErr w:type="spellStart"/>
            <w:r w:rsidRPr="00B84B0C">
              <w:rPr>
                <w:rFonts w:cs="Arial"/>
              </w:rPr>
              <w:t>deferred</w:t>
            </w:r>
            <w:proofErr w:type="spellEnd"/>
            <w:r w:rsidRPr="00B84B0C">
              <w:rPr>
                <w:rFonts w:cs="Arial"/>
              </w:rPr>
              <w:t xml:space="preserve"> </w:t>
            </w:r>
            <w:proofErr w:type="spellStart"/>
            <w:r w:rsidRPr="00B84B0C">
              <w:rPr>
                <w:rFonts w:cs="Arial"/>
              </w:rPr>
              <w:t>tax</w:t>
            </w:r>
            <w:proofErr w:type="spellEnd"/>
            <w:r w:rsidRPr="00B84B0C">
              <w:rPr>
                <w:rFonts w:cs="Arial"/>
              </w:rPr>
              <w:t xml:space="preserve"> </w:t>
            </w:r>
            <w:proofErr w:type="spellStart"/>
            <w:r w:rsidRPr="00B84B0C">
              <w:rPr>
                <w:rFonts w:cs="Arial"/>
              </w:rPr>
              <w:t>assets</w:t>
            </w:r>
            <w:proofErr w:type="spellEnd"/>
          </w:p>
          <w:p w14:paraId="6F910027" w14:textId="77777777" w:rsidR="00081370" w:rsidRPr="00B84B0C" w:rsidRDefault="00081370" w:rsidP="00081370">
            <w:pPr>
              <w:pStyle w:val="08-Tabelageral"/>
              <w:jc w:val="left"/>
              <w:rPr>
                <w:rFonts w:cs="Arial"/>
                <w:szCs w:val="14"/>
              </w:rPr>
            </w:pPr>
          </w:p>
        </w:tc>
        <w:tc>
          <w:tcPr>
            <w:tcW w:w="604" w:type="dxa"/>
            <w:tcBorders>
              <w:top w:val="nil"/>
              <w:bottom w:val="nil"/>
            </w:tcBorders>
            <w:vAlign w:val="center"/>
          </w:tcPr>
          <w:p w14:paraId="28BFDDEB"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vAlign w:val="center"/>
          </w:tcPr>
          <w:p w14:paraId="63B13CB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1,716</w:t>
            </w:r>
          </w:p>
        </w:tc>
        <w:tc>
          <w:tcPr>
            <w:tcW w:w="1412" w:type="dxa"/>
            <w:tcBorders>
              <w:top w:val="nil"/>
              <w:bottom w:val="nil"/>
            </w:tcBorders>
            <w:vAlign w:val="center"/>
          </w:tcPr>
          <w:p w14:paraId="21720E3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w:t>
            </w:r>
          </w:p>
        </w:tc>
        <w:tc>
          <w:tcPr>
            <w:tcW w:w="283" w:type="dxa"/>
            <w:tcBorders>
              <w:top w:val="nil"/>
              <w:bottom w:val="nil"/>
            </w:tcBorders>
            <w:vAlign w:val="center"/>
          </w:tcPr>
          <w:p w14:paraId="2F99465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nil"/>
            </w:tcBorders>
            <w:vAlign w:val="center"/>
          </w:tcPr>
          <w:p w14:paraId="262CBEC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(2,260)</w:t>
            </w:r>
          </w:p>
        </w:tc>
        <w:tc>
          <w:tcPr>
            <w:tcW w:w="1526" w:type="dxa"/>
            <w:tcBorders>
              <w:top w:val="nil"/>
              <w:bottom w:val="nil"/>
            </w:tcBorders>
            <w:vAlign w:val="center"/>
          </w:tcPr>
          <w:p w14:paraId="1D9F376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3,974</w:t>
            </w:r>
          </w:p>
        </w:tc>
      </w:tr>
      <w:tr w:rsidR="00081370" w:rsidRPr="00B84B0C" w14:paraId="2CC731F6"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798EFAA9" w14:textId="77777777" w:rsidR="00081370" w:rsidRPr="00B84B0C" w:rsidRDefault="00081370" w:rsidP="00081370">
            <w:pPr>
              <w:pStyle w:val="08-Tabelageral"/>
              <w:ind w:left="113"/>
              <w:jc w:val="left"/>
              <w:rPr>
                <w:rFonts w:cs="Arial"/>
                <w:b w:val="0"/>
              </w:rPr>
            </w:pPr>
            <w:proofErr w:type="spellStart"/>
            <w:r w:rsidRPr="00B84B0C">
              <w:rPr>
                <w:rFonts w:cs="Arial"/>
                <w:b w:val="0"/>
              </w:rPr>
              <w:t>Incone</w:t>
            </w:r>
            <w:proofErr w:type="spellEnd"/>
            <w:r w:rsidRPr="00B84B0C">
              <w:rPr>
                <w:rFonts w:cs="Arial"/>
                <w:b w:val="0"/>
              </w:rPr>
              <w:t xml:space="preserve"> </w:t>
            </w:r>
            <w:proofErr w:type="spellStart"/>
            <w:r w:rsidRPr="00B84B0C">
              <w:rPr>
                <w:rFonts w:cs="Arial"/>
                <w:b w:val="0"/>
              </w:rPr>
              <w:t>tax</w:t>
            </w:r>
            <w:proofErr w:type="spellEnd"/>
          </w:p>
        </w:tc>
        <w:tc>
          <w:tcPr>
            <w:tcW w:w="604" w:type="dxa"/>
            <w:tcBorders>
              <w:top w:val="nil"/>
              <w:bottom w:val="nil"/>
            </w:tcBorders>
            <w:vAlign w:val="center"/>
          </w:tcPr>
          <w:p w14:paraId="7D331A22"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nil"/>
            </w:tcBorders>
            <w:vAlign w:val="center"/>
          </w:tcPr>
          <w:p w14:paraId="2C7E726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1,287</w:t>
            </w:r>
          </w:p>
        </w:tc>
        <w:tc>
          <w:tcPr>
            <w:tcW w:w="1412" w:type="dxa"/>
            <w:tcBorders>
              <w:top w:val="nil"/>
              <w:bottom w:val="nil"/>
            </w:tcBorders>
            <w:vAlign w:val="center"/>
          </w:tcPr>
          <w:p w14:paraId="09F8A4FB"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w:t>
            </w:r>
          </w:p>
        </w:tc>
        <w:tc>
          <w:tcPr>
            <w:tcW w:w="283" w:type="dxa"/>
            <w:tcBorders>
              <w:top w:val="nil"/>
              <w:bottom w:val="nil"/>
            </w:tcBorders>
            <w:vAlign w:val="center"/>
          </w:tcPr>
          <w:p w14:paraId="22DDDB72"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7" w:type="dxa"/>
            <w:tcBorders>
              <w:top w:val="nil"/>
              <w:bottom w:val="nil"/>
            </w:tcBorders>
            <w:vAlign w:val="center"/>
          </w:tcPr>
          <w:p w14:paraId="343868F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(1,662)</w:t>
            </w:r>
          </w:p>
        </w:tc>
        <w:tc>
          <w:tcPr>
            <w:tcW w:w="1526" w:type="dxa"/>
            <w:tcBorders>
              <w:top w:val="nil"/>
              <w:bottom w:val="nil"/>
            </w:tcBorders>
            <w:vAlign w:val="center"/>
          </w:tcPr>
          <w:p w14:paraId="731FFA0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2,948</w:t>
            </w:r>
          </w:p>
        </w:tc>
      </w:tr>
      <w:tr w:rsidR="00081370" w:rsidRPr="00B84B0C" w14:paraId="2357B5C1"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70D4815B" w14:textId="77777777" w:rsidR="00081370" w:rsidRPr="00B84B0C" w:rsidRDefault="00081370" w:rsidP="00081370">
            <w:pPr>
              <w:pStyle w:val="08-Tabelageral"/>
              <w:ind w:left="113"/>
              <w:jc w:val="left"/>
              <w:rPr>
                <w:rFonts w:cs="Arial"/>
                <w:b w:val="0"/>
              </w:rPr>
            </w:pPr>
            <w:r w:rsidRPr="00B84B0C">
              <w:rPr>
                <w:rFonts w:cs="Arial"/>
                <w:b w:val="0"/>
              </w:rPr>
              <w:t xml:space="preserve">Social </w:t>
            </w:r>
            <w:proofErr w:type="spellStart"/>
            <w:r w:rsidRPr="00B84B0C">
              <w:rPr>
                <w:rFonts w:cs="Arial"/>
                <w:b w:val="0"/>
              </w:rPr>
              <w:t>contribution</w:t>
            </w:r>
            <w:proofErr w:type="spellEnd"/>
          </w:p>
        </w:tc>
        <w:tc>
          <w:tcPr>
            <w:tcW w:w="604" w:type="dxa"/>
            <w:tcBorders>
              <w:top w:val="nil"/>
              <w:bottom w:val="single" w:sz="2" w:space="0" w:color="8EAADB" w:themeColor="accent5" w:themeTint="99"/>
            </w:tcBorders>
            <w:vAlign w:val="center"/>
          </w:tcPr>
          <w:p w14:paraId="23737BD8"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single" w:sz="2" w:space="0" w:color="8EAADB" w:themeColor="accent5" w:themeTint="99"/>
            </w:tcBorders>
            <w:vAlign w:val="center"/>
          </w:tcPr>
          <w:p w14:paraId="2062C3A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429</w:t>
            </w:r>
          </w:p>
        </w:tc>
        <w:tc>
          <w:tcPr>
            <w:tcW w:w="1412" w:type="dxa"/>
            <w:tcBorders>
              <w:top w:val="nil"/>
              <w:bottom w:val="single" w:sz="2" w:space="0" w:color="8EAADB" w:themeColor="accent5" w:themeTint="99"/>
            </w:tcBorders>
            <w:vAlign w:val="center"/>
          </w:tcPr>
          <w:p w14:paraId="07F850E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w:t>
            </w:r>
          </w:p>
        </w:tc>
        <w:tc>
          <w:tcPr>
            <w:tcW w:w="283" w:type="dxa"/>
            <w:tcBorders>
              <w:top w:val="nil"/>
              <w:bottom w:val="single" w:sz="2" w:space="0" w:color="8EAADB" w:themeColor="accent5" w:themeTint="99"/>
            </w:tcBorders>
            <w:vAlign w:val="center"/>
          </w:tcPr>
          <w:p w14:paraId="5C4598F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single" w:sz="2" w:space="0" w:color="8EAADB" w:themeColor="accent5" w:themeTint="99"/>
            </w:tcBorders>
            <w:vAlign w:val="center"/>
          </w:tcPr>
          <w:p w14:paraId="750957A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(598)</w:t>
            </w:r>
          </w:p>
        </w:tc>
        <w:tc>
          <w:tcPr>
            <w:tcW w:w="1526" w:type="dxa"/>
            <w:tcBorders>
              <w:top w:val="nil"/>
              <w:bottom w:val="single" w:sz="2" w:space="0" w:color="8EAADB" w:themeColor="accent5" w:themeTint="99"/>
            </w:tcBorders>
            <w:vAlign w:val="center"/>
          </w:tcPr>
          <w:p w14:paraId="02737B8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1,026</w:t>
            </w:r>
          </w:p>
        </w:tc>
      </w:tr>
    </w:tbl>
    <w:p w14:paraId="76E4654F" w14:textId="77777777" w:rsidR="00081370" w:rsidRPr="00B84B0C" w:rsidRDefault="00081370">
      <w:pPr>
        <w:rPr>
          <w:rFonts w:cs="Arial"/>
          <w:b/>
          <w:color w:val="1F4E79" w:themeColor="accent1" w:themeShade="80"/>
          <w:szCs w:val="18"/>
        </w:rPr>
      </w:pPr>
    </w:p>
    <w:p w14:paraId="330F8162" w14:textId="77777777" w:rsidR="00081370" w:rsidRPr="00B84B0C" w:rsidRDefault="00081370" w:rsidP="00081370">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2986"/>
        <w:gridCol w:w="604"/>
        <w:gridCol w:w="1411"/>
        <w:gridCol w:w="1412"/>
        <w:gridCol w:w="283"/>
        <w:gridCol w:w="1417"/>
        <w:gridCol w:w="1526"/>
      </w:tblGrid>
      <w:tr w:rsidR="00081370" w:rsidRPr="00B84B0C" w14:paraId="676CC1ED"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themeFill="accent5" w:themeFillTint="33"/>
            <w:vAlign w:val="center"/>
          </w:tcPr>
          <w:p w14:paraId="74E365D7" w14:textId="77777777" w:rsidR="00081370" w:rsidRPr="00B84B0C" w:rsidRDefault="00081370" w:rsidP="00081370">
            <w:pPr>
              <w:jc w:val="center"/>
              <w:rPr>
                <w:rFonts w:cs="Arial"/>
                <w:b w:val="0"/>
                <w:szCs w:val="18"/>
              </w:rPr>
            </w:pPr>
          </w:p>
        </w:tc>
        <w:tc>
          <w:tcPr>
            <w:tcW w:w="604" w:type="dxa"/>
            <w:tcBorders>
              <w:top w:val="single" w:sz="2" w:space="0" w:color="8EAADB" w:themeColor="accent5" w:themeTint="99"/>
              <w:bottom w:val="nil"/>
            </w:tcBorders>
            <w:shd w:val="clear" w:color="auto" w:fill="D9E2F3" w:themeFill="accent5" w:themeFillTint="33"/>
          </w:tcPr>
          <w:p w14:paraId="52C6CFC2"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6049" w:type="dxa"/>
            <w:gridSpan w:val="5"/>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01D199F"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roofErr w:type="spellStart"/>
            <w:r w:rsidRPr="00B84B0C">
              <w:rPr>
                <w:rFonts w:cs="Arial"/>
                <w:sz w:val="14"/>
                <w:szCs w:val="14"/>
              </w:rPr>
              <w:t>Consolidated</w:t>
            </w:r>
            <w:proofErr w:type="spellEnd"/>
          </w:p>
        </w:tc>
      </w:tr>
      <w:tr w:rsidR="00081370" w:rsidRPr="00B84B0C" w14:paraId="2FE90319"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525880C8" w14:textId="77777777" w:rsidR="00081370" w:rsidRPr="00B84B0C" w:rsidRDefault="00081370" w:rsidP="00081370">
            <w:pPr>
              <w:pStyle w:val="08-Tabelageral"/>
              <w:rPr>
                <w:rFonts w:cs="Arial"/>
                <w:b w:val="0"/>
              </w:rPr>
            </w:pPr>
          </w:p>
        </w:tc>
        <w:tc>
          <w:tcPr>
            <w:tcW w:w="604" w:type="dxa"/>
            <w:tcBorders>
              <w:top w:val="nil"/>
              <w:bottom w:val="single" w:sz="2" w:space="0" w:color="8EAADB" w:themeColor="accent5" w:themeTint="99"/>
            </w:tcBorders>
          </w:tcPr>
          <w:p w14:paraId="285150C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529486C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412" w:type="dxa"/>
            <w:tcBorders>
              <w:top w:val="single" w:sz="2" w:space="0" w:color="8EAADB" w:themeColor="accent5" w:themeTint="99"/>
              <w:bottom w:val="single" w:sz="2" w:space="0" w:color="8EAADB" w:themeColor="accent5" w:themeTint="99"/>
            </w:tcBorders>
            <w:vAlign w:val="center"/>
          </w:tcPr>
          <w:p w14:paraId="2703921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Addition</w:t>
            </w:r>
            <w:proofErr w:type="spellEnd"/>
          </w:p>
        </w:tc>
        <w:tc>
          <w:tcPr>
            <w:tcW w:w="283" w:type="dxa"/>
            <w:tcBorders>
              <w:top w:val="nil"/>
              <w:bottom w:val="single" w:sz="2" w:space="0" w:color="8EAADB" w:themeColor="accent5" w:themeTint="99"/>
            </w:tcBorders>
            <w:vAlign w:val="center"/>
          </w:tcPr>
          <w:p w14:paraId="4F08DB6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21D667E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Derecognition</w:t>
            </w:r>
            <w:proofErr w:type="spellEnd"/>
          </w:p>
        </w:tc>
        <w:tc>
          <w:tcPr>
            <w:tcW w:w="1526" w:type="dxa"/>
            <w:tcBorders>
              <w:top w:val="single" w:sz="2" w:space="0" w:color="8EAADB" w:themeColor="accent5" w:themeTint="99"/>
              <w:bottom w:val="single" w:sz="2" w:space="0" w:color="8EAADB" w:themeColor="accent5" w:themeTint="99"/>
            </w:tcBorders>
            <w:vAlign w:val="center"/>
          </w:tcPr>
          <w:p w14:paraId="395C95B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081370" w:rsidRPr="00B84B0C" w14:paraId="5A5124AE"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19289998" w14:textId="77777777" w:rsidR="00081370" w:rsidRPr="00B84B0C" w:rsidRDefault="00081370" w:rsidP="00081370">
            <w:pPr>
              <w:pStyle w:val="08-Tabelageral"/>
              <w:jc w:val="left"/>
              <w:rPr>
                <w:rFonts w:cs="Arial"/>
                <w:bCs w:val="0"/>
                <w:szCs w:val="14"/>
              </w:rPr>
            </w:pPr>
            <w:proofErr w:type="spellStart"/>
            <w:r w:rsidRPr="00B84B0C">
              <w:rPr>
                <w:rFonts w:cs="Arial"/>
                <w:bCs w:val="0"/>
                <w:szCs w:val="14"/>
              </w:rPr>
              <w:t>Temporary</w:t>
            </w:r>
            <w:proofErr w:type="spellEnd"/>
            <w:r w:rsidRPr="00B84B0C">
              <w:rPr>
                <w:rFonts w:cs="Arial"/>
                <w:bCs w:val="0"/>
                <w:szCs w:val="14"/>
              </w:rPr>
              <w:t xml:space="preserve"> </w:t>
            </w:r>
            <w:proofErr w:type="spellStart"/>
            <w:r w:rsidRPr="00B84B0C">
              <w:rPr>
                <w:rFonts w:cs="Arial"/>
                <w:bCs w:val="0"/>
                <w:szCs w:val="14"/>
              </w:rPr>
              <w:t>differences</w:t>
            </w:r>
            <w:proofErr w:type="spellEnd"/>
          </w:p>
        </w:tc>
        <w:tc>
          <w:tcPr>
            <w:tcW w:w="604" w:type="dxa"/>
            <w:tcBorders>
              <w:top w:val="nil"/>
              <w:bottom w:val="nil"/>
            </w:tcBorders>
            <w:vAlign w:val="center"/>
          </w:tcPr>
          <w:p w14:paraId="459928F2" w14:textId="77777777" w:rsidR="00081370" w:rsidRPr="00B84B0C" w:rsidRDefault="00081370" w:rsidP="00081370">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11" w:type="dxa"/>
            <w:tcBorders>
              <w:top w:val="nil"/>
              <w:bottom w:val="nil"/>
            </w:tcBorders>
            <w:vAlign w:val="center"/>
          </w:tcPr>
          <w:p w14:paraId="1FC4A5C1"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12" w:type="dxa"/>
            <w:tcBorders>
              <w:top w:val="nil"/>
              <w:bottom w:val="nil"/>
            </w:tcBorders>
            <w:vAlign w:val="center"/>
          </w:tcPr>
          <w:p w14:paraId="5617AEC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283" w:type="dxa"/>
            <w:tcBorders>
              <w:top w:val="nil"/>
              <w:bottom w:val="nil"/>
            </w:tcBorders>
            <w:vAlign w:val="center"/>
          </w:tcPr>
          <w:p w14:paraId="65992E68" w14:textId="77777777" w:rsidR="00081370" w:rsidRPr="00B84B0C" w:rsidRDefault="00081370" w:rsidP="00081370">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417" w:type="dxa"/>
            <w:tcBorders>
              <w:top w:val="nil"/>
              <w:bottom w:val="nil"/>
            </w:tcBorders>
            <w:vAlign w:val="center"/>
          </w:tcPr>
          <w:p w14:paraId="4096405F" w14:textId="77777777" w:rsidR="00081370" w:rsidRPr="00B84B0C" w:rsidRDefault="00081370" w:rsidP="00081370">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526" w:type="dxa"/>
            <w:tcBorders>
              <w:top w:val="nil"/>
              <w:bottom w:val="nil"/>
            </w:tcBorders>
            <w:vAlign w:val="center"/>
          </w:tcPr>
          <w:p w14:paraId="5F30484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r>
      <w:tr w:rsidR="00081370" w:rsidRPr="00B84B0C" w14:paraId="10957C90"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75F90817" w14:textId="77777777" w:rsidR="00081370" w:rsidRPr="00B84B0C" w:rsidRDefault="00081370" w:rsidP="00081370">
            <w:pPr>
              <w:pStyle w:val="08-Tabelageral"/>
              <w:ind w:left="113"/>
              <w:jc w:val="left"/>
              <w:rPr>
                <w:rFonts w:cs="Arial"/>
                <w:b w:val="0"/>
                <w:szCs w:val="14"/>
              </w:rPr>
            </w:pP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losses</w:t>
            </w:r>
            <w:proofErr w:type="spellEnd"/>
            <w:r w:rsidRPr="00B84B0C">
              <w:rPr>
                <w:rFonts w:cs="Arial"/>
                <w:b w:val="0"/>
                <w:szCs w:val="14"/>
              </w:rPr>
              <w:t>/negative bases</w:t>
            </w:r>
          </w:p>
        </w:tc>
        <w:tc>
          <w:tcPr>
            <w:tcW w:w="604" w:type="dxa"/>
            <w:tcBorders>
              <w:top w:val="nil"/>
              <w:bottom w:val="nil"/>
            </w:tcBorders>
            <w:vAlign w:val="center"/>
          </w:tcPr>
          <w:p w14:paraId="6DB8553C"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53AADACD"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1,680</w:t>
            </w:r>
          </w:p>
        </w:tc>
        <w:tc>
          <w:tcPr>
            <w:tcW w:w="1412" w:type="dxa"/>
            <w:tcBorders>
              <w:top w:val="nil"/>
              <w:bottom w:val="nil"/>
            </w:tcBorders>
            <w:vAlign w:val="center"/>
          </w:tcPr>
          <w:p w14:paraId="5C98DBF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6F3C59DD"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79507522"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(2,260)</w:t>
            </w:r>
          </w:p>
        </w:tc>
        <w:tc>
          <w:tcPr>
            <w:tcW w:w="1526" w:type="dxa"/>
            <w:tcBorders>
              <w:top w:val="nil"/>
              <w:bottom w:val="nil"/>
            </w:tcBorders>
            <w:vAlign w:val="center"/>
          </w:tcPr>
          <w:p w14:paraId="1EAA9150"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3,940</w:t>
            </w:r>
          </w:p>
        </w:tc>
      </w:tr>
      <w:tr w:rsidR="00081370" w:rsidRPr="00B84B0C" w14:paraId="115E5741"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51D85343" w14:textId="77777777" w:rsidR="00081370" w:rsidRPr="00B84B0C" w:rsidRDefault="00081370" w:rsidP="00081370">
            <w:pPr>
              <w:pStyle w:val="08-Tabelageral"/>
              <w:ind w:left="113"/>
              <w:jc w:val="left"/>
              <w:rPr>
                <w:rFonts w:cs="Arial"/>
                <w:b w:val="0"/>
                <w:szCs w:val="14"/>
              </w:rPr>
            </w:pPr>
            <w:proofErr w:type="spellStart"/>
            <w:r w:rsidRPr="00B84B0C">
              <w:rPr>
                <w:rFonts w:cs="Arial"/>
                <w:b w:val="0"/>
                <w:szCs w:val="14"/>
              </w:rPr>
              <w:t>Liabilities</w:t>
            </w:r>
            <w:proofErr w:type="spellEnd"/>
            <w:r w:rsidRPr="00B84B0C">
              <w:rPr>
                <w:rFonts w:cs="Arial"/>
                <w:b w:val="0"/>
                <w:szCs w:val="14"/>
              </w:rPr>
              <w:t xml:space="preserve"> </w:t>
            </w:r>
            <w:proofErr w:type="spellStart"/>
            <w:r w:rsidRPr="00B84B0C">
              <w:rPr>
                <w:rFonts w:cs="Arial"/>
                <w:b w:val="0"/>
                <w:szCs w:val="14"/>
              </w:rPr>
              <w:t>provision</w:t>
            </w:r>
            <w:proofErr w:type="spellEnd"/>
          </w:p>
        </w:tc>
        <w:tc>
          <w:tcPr>
            <w:tcW w:w="604" w:type="dxa"/>
            <w:tcBorders>
              <w:top w:val="nil"/>
              <w:bottom w:val="nil"/>
            </w:tcBorders>
            <w:vAlign w:val="center"/>
          </w:tcPr>
          <w:p w14:paraId="72FF1EF5"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4053933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11,460</w:t>
            </w:r>
          </w:p>
        </w:tc>
        <w:tc>
          <w:tcPr>
            <w:tcW w:w="1412" w:type="dxa"/>
            <w:tcBorders>
              <w:top w:val="nil"/>
              <w:bottom w:val="nil"/>
            </w:tcBorders>
            <w:vAlign w:val="center"/>
          </w:tcPr>
          <w:p w14:paraId="61447D46"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1,134</w:t>
            </w:r>
          </w:p>
        </w:tc>
        <w:tc>
          <w:tcPr>
            <w:tcW w:w="283" w:type="dxa"/>
            <w:tcBorders>
              <w:top w:val="nil"/>
              <w:bottom w:val="nil"/>
            </w:tcBorders>
            <w:vAlign w:val="center"/>
          </w:tcPr>
          <w:p w14:paraId="1B86D8C6"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1F36DE7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(735)</w:t>
            </w:r>
          </w:p>
        </w:tc>
        <w:tc>
          <w:tcPr>
            <w:tcW w:w="1526" w:type="dxa"/>
            <w:tcBorders>
              <w:top w:val="nil"/>
              <w:bottom w:val="nil"/>
            </w:tcBorders>
            <w:vAlign w:val="center"/>
          </w:tcPr>
          <w:p w14:paraId="1700B64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11,061</w:t>
            </w:r>
          </w:p>
        </w:tc>
      </w:tr>
      <w:tr w:rsidR="00081370" w:rsidRPr="00B84B0C" w14:paraId="2D87758D"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6B4623B0" w14:textId="77777777" w:rsidR="00081370" w:rsidRPr="00B84B0C" w:rsidRDefault="00081370" w:rsidP="00081370">
            <w:pPr>
              <w:pStyle w:val="08-Tabelageral"/>
              <w:ind w:left="113"/>
              <w:jc w:val="left"/>
              <w:rPr>
                <w:rFonts w:cs="Arial"/>
                <w:b w:val="0"/>
                <w:szCs w:val="14"/>
              </w:rPr>
            </w:pPr>
            <w:proofErr w:type="spellStart"/>
            <w:r w:rsidRPr="00B84B0C">
              <w:rPr>
                <w:rFonts w:cs="Arial"/>
                <w:b w:val="0"/>
                <w:szCs w:val="14"/>
              </w:rPr>
              <w:t>Amortization</w:t>
            </w:r>
            <w:proofErr w:type="spellEnd"/>
            <w:r w:rsidRPr="00B84B0C">
              <w:rPr>
                <w:rFonts w:cs="Arial"/>
                <w:b w:val="0"/>
                <w:szCs w:val="14"/>
              </w:rPr>
              <w:t xml:space="preserve"> </w:t>
            </w:r>
            <w:proofErr w:type="spellStart"/>
            <w:r w:rsidRPr="00B84B0C">
              <w:rPr>
                <w:rFonts w:cs="Arial"/>
                <w:b w:val="0"/>
                <w:szCs w:val="14"/>
              </w:rPr>
              <w:t>of</w:t>
            </w:r>
            <w:proofErr w:type="spellEnd"/>
            <w:r w:rsidRPr="00B84B0C">
              <w:rPr>
                <w:rFonts w:cs="Arial"/>
                <w:b w:val="0"/>
                <w:szCs w:val="14"/>
              </w:rPr>
              <w:t xml:space="preserve"> </w:t>
            </w:r>
            <w:proofErr w:type="spellStart"/>
            <w:r w:rsidRPr="00B84B0C">
              <w:rPr>
                <w:rFonts w:cs="Arial"/>
                <w:b w:val="0"/>
                <w:szCs w:val="14"/>
              </w:rPr>
              <w:t>goodwill</w:t>
            </w:r>
            <w:proofErr w:type="spellEnd"/>
          </w:p>
        </w:tc>
        <w:tc>
          <w:tcPr>
            <w:tcW w:w="604" w:type="dxa"/>
            <w:tcBorders>
              <w:top w:val="nil"/>
              <w:bottom w:val="nil"/>
            </w:tcBorders>
            <w:vAlign w:val="center"/>
          </w:tcPr>
          <w:p w14:paraId="7CD41749"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6F8E519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3,053</w:t>
            </w:r>
          </w:p>
        </w:tc>
        <w:tc>
          <w:tcPr>
            <w:tcW w:w="1412" w:type="dxa"/>
            <w:tcBorders>
              <w:top w:val="nil"/>
              <w:bottom w:val="nil"/>
            </w:tcBorders>
            <w:vAlign w:val="center"/>
          </w:tcPr>
          <w:p w14:paraId="41DBFFD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2FF3B98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3421F7C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526" w:type="dxa"/>
            <w:tcBorders>
              <w:top w:val="nil"/>
              <w:bottom w:val="nil"/>
            </w:tcBorders>
            <w:vAlign w:val="center"/>
          </w:tcPr>
          <w:p w14:paraId="162BE89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3,053</w:t>
            </w:r>
          </w:p>
        </w:tc>
      </w:tr>
      <w:tr w:rsidR="00081370" w:rsidRPr="00B84B0C" w14:paraId="2C2615CA"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40B563A3" w14:textId="77777777" w:rsidR="00081370" w:rsidRPr="00B84B0C" w:rsidRDefault="00081370" w:rsidP="00081370">
            <w:pPr>
              <w:pStyle w:val="08-Tabelageral"/>
              <w:jc w:val="left"/>
              <w:rPr>
                <w:rFonts w:cs="Arial"/>
                <w:szCs w:val="14"/>
              </w:rPr>
            </w:pPr>
            <w:r w:rsidRPr="00B84B0C">
              <w:rPr>
                <w:rFonts w:cs="Arial"/>
              </w:rPr>
              <w:t xml:space="preserve">Total </w:t>
            </w:r>
            <w:proofErr w:type="spellStart"/>
            <w:r w:rsidRPr="00B84B0C">
              <w:rPr>
                <w:rFonts w:cs="Arial"/>
              </w:rPr>
              <w:t>deferred</w:t>
            </w:r>
            <w:proofErr w:type="spellEnd"/>
            <w:r w:rsidRPr="00B84B0C">
              <w:rPr>
                <w:rFonts w:cs="Arial"/>
              </w:rPr>
              <w:t xml:space="preserve"> </w:t>
            </w:r>
            <w:proofErr w:type="spellStart"/>
            <w:r w:rsidRPr="00B84B0C">
              <w:rPr>
                <w:rFonts w:cs="Arial"/>
              </w:rPr>
              <w:t>tax</w:t>
            </w:r>
            <w:proofErr w:type="spellEnd"/>
            <w:r w:rsidRPr="00B84B0C">
              <w:rPr>
                <w:rFonts w:cs="Arial"/>
              </w:rPr>
              <w:t xml:space="preserve"> </w:t>
            </w:r>
            <w:proofErr w:type="spellStart"/>
            <w:r w:rsidRPr="00B84B0C">
              <w:rPr>
                <w:rFonts w:cs="Arial"/>
              </w:rPr>
              <w:t>assets</w:t>
            </w:r>
            <w:proofErr w:type="spellEnd"/>
          </w:p>
        </w:tc>
        <w:tc>
          <w:tcPr>
            <w:tcW w:w="604" w:type="dxa"/>
            <w:tcBorders>
              <w:top w:val="nil"/>
              <w:bottom w:val="nil"/>
            </w:tcBorders>
            <w:vAlign w:val="center"/>
          </w:tcPr>
          <w:p w14:paraId="09BC2DA6"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nil"/>
            </w:tcBorders>
            <w:vAlign w:val="center"/>
          </w:tcPr>
          <w:p w14:paraId="132FED1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16,193</w:t>
            </w:r>
          </w:p>
        </w:tc>
        <w:tc>
          <w:tcPr>
            <w:tcW w:w="1412" w:type="dxa"/>
            <w:tcBorders>
              <w:top w:val="nil"/>
              <w:bottom w:val="nil"/>
            </w:tcBorders>
            <w:vAlign w:val="center"/>
          </w:tcPr>
          <w:p w14:paraId="30A705D0"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1,134</w:t>
            </w:r>
          </w:p>
        </w:tc>
        <w:tc>
          <w:tcPr>
            <w:tcW w:w="283" w:type="dxa"/>
            <w:tcBorders>
              <w:top w:val="nil"/>
              <w:bottom w:val="nil"/>
            </w:tcBorders>
            <w:vAlign w:val="center"/>
          </w:tcPr>
          <w:p w14:paraId="1296C57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7" w:type="dxa"/>
            <w:tcBorders>
              <w:top w:val="nil"/>
              <w:bottom w:val="nil"/>
            </w:tcBorders>
            <w:vAlign w:val="center"/>
          </w:tcPr>
          <w:p w14:paraId="3D225C51"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(2,995)</w:t>
            </w:r>
          </w:p>
        </w:tc>
        <w:tc>
          <w:tcPr>
            <w:tcW w:w="1526" w:type="dxa"/>
            <w:tcBorders>
              <w:top w:val="nil"/>
              <w:bottom w:val="nil"/>
            </w:tcBorders>
            <w:vAlign w:val="center"/>
          </w:tcPr>
          <w:p w14:paraId="6A3C7374"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18,054</w:t>
            </w:r>
          </w:p>
        </w:tc>
      </w:tr>
      <w:tr w:rsidR="00081370" w:rsidRPr="00B84B0C" w14:paraId="15CEBB8A"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4C1EA865" w14:textId="77777777" w:rsidR="00081370" w:rsidRPr="00B84B0C" w:rsidRDefault="00081370" w:rsidP="00081370">
            <w:pPr>
              <w:pStyle w:val="08-Tabelageral"/>
              <w:ind w:left="113"/>
              <w:jc w:val="left"/>
              <w:rPr>
                <w:rFonts w:cs="Arial"/>
                <w:b w:val="0"/>
              </w:rPr>
            </w:pPr>
            <w:r w:rsidRPr="00B84B0C">
              <w:rPr>
                <w:rFonts w:cs="Arial"/>
                <w:b w:val="0"/>
              </w:rPr>
              <w:t xml:space="preserve">Income </w:t>
            </w:r>
            <w:proofErr w:type="spellStart"/>
            <w:r w:rsidRPr="00B84B0C">
              <w:rPr>
                <w:rFonts w:cs="Arial"/>
                <w:b w:val="0"/>
              </w:rPr>
              <w:t>tax</w:t>
            </w:r>
            <w:proofErr w:type="spellEnd"/>
          </w:p>
        </w:tc>
        <w:tc>
          <w:tcPr>
            <w:tcW w:w="604" w:type="dxa"/>
            <w:tcBorders>
              <w:top w:val="nil"/>
              <w:bottom w:val="nil"/>
            </w:tcBorders>
            <w:vAlign w:val="center"/>
          </w:tcPr>
          <w:p w14:paraId="4F2F0581"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vAlign w:val="center"/>
          </w:tcPr>
          <w:p w14:paraId="59F3056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12,737</w:t>
            </w:r>
          </w:p>
        </w:tc>
        <w:tc>
          <w:tcPr>
            <w:tcW w:w="1412" w:type="dxa"/>
            <w:tcBorders>
              <w:top w:val="nil"/>
              <w:bottom w:val="nil"/>
            </w:tcBorders>
            <w:vAlign w:val="center"/>
          </w:tcPr>
          <w:p w14:paraId="5B22E43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833</w:t>
            </w:r>
          </w:p>
        </w:tc>
        <w:tc>
          <w:tcPr>
            <w:tcW w:w="283" w:type="dxa"/>
            <w:tcBorders>
              <w:top w:val="nil"/>
              <w:bottom w:val="nil"/>
            </w:tcBorders>
            <w:vAlign w:val="center"/>
          </w:tcPr>
          <w:p w14:paraId="649AA4E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nil"/>
            </w:tcBorders>
            <w:vAlign w:val="center"/>
          </w:tcPr>
          <w:p w14:paraId="1BB4A98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(2,203)</w:t>
            </w:r>
          </w:p>
        </w:tc>
        <w:tc>
          <w:tcPr>
            <w:tcW w:w="1526" w:type="dxa"/>
            <w:tcBorders>
              <w:top w:val="nil"/>
              <w:bottom w:val="nil"/>
            </w:tcBorders>
            <w:vAlign w:val="center"/>
          </w:tcPr>
          <w:p w14:paraId="7CD86CB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14,107</w:t>
            </w:r>
          </w:p>
        </w:tc>
      </w:tr>
      <w:tr w:rsidR="00081370" w:rsidRPr="00B84B0C" w14:paraId="1368CE48"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36FD4CB7" w14:textId="77777777" w:rsidR="00081370" w:rsidRPr="00B84B0C" w:rsidRDefault="00081370" w:rsidP="00081370">
            <w:pPr>
              <w:pStyle w:val="08-Tabelageral"/>
              <w:ind w:left="113"/>
              <w:jc w:val="left"/>
              <w:rPr>
                <w:rFonts w:cs="Arial"/>
                <w:b w:val="0"/>
              </w:rPr>
            </w:pPr>
            <w:r w:rsidRPr="00B84B0C">
              <w:rPr>
                <w:rFonts w:cs="Arial"/>
                <w:b w:val="0"/>
              </w:rPr>
              <w:t xml:space="preserve">Social </w:t>
            </w:r>
            <w:proofErr w:type="spellStart"/>
            <w:r w:rsidRPr="00B84B0C">
              <w:rPr>
                <w:rFonts w:cs="Arial"/>
                <w:b w:val="0"/>
              </w:rPr>
              <w:t>contribution</w:t>
            </w:r>
            <w:proofErr w:type="spellEnd"/>
          </w:p>
        </w:tc>
        <w:tc>
          <w:tcPr>
            <w:tcW w:w="604" w:type="dxa"/>
            <w:tcBorders>
              <w:top w:val="nil"/>
              <w:bottom w:val="single" w:sz="2" w:space="0" w:color="8EAADB" w:themeColor="accent5" w:themeTint="99"/>
            </w:tcBorders>
            <w:vAlign w:val="center"/>
          </w:tcPr>
          <w:p w14:paraId="2E74C912"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single" w:sz="2" w:space="0" w:color="8EAADB" w:themeColor="accent5" w:themeTint="99"/>
            </w:tcBorders>
            <w:vAlign w:val="center"/>
          </w:tcPr>
          <w:p w14:paraId="5152810B"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3,456</w:t>
            </w:r>
          </w:p>
        </w:tc>
        <w:tc>
          <w:tcPr>
            <w:tcW w:w="1412" w:type="dxa"/>
            <w:tcBorders>
              <w:top w:val="nil"/>
              <w:bottom w:val="single" w:sz="2" w:space="0" w:color="8EAADB" w:themeColor="accent5" w:themeTint="99"/>
            </w:tcBorders>
            <w:vAlign w:val="center"/>
          </w:tcPr>
          <w:p w14:paraId="652D641A"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301</w:t>
            </w:r>
          </w:p>
        </w:tc>
        <w:tc>
          <w:tcPr>
            <w:tcW w:w="283" w:type="dxa"/>
            <w:tcBorders>
              <w:top w:val="nil"/>
              <w:bottom w:val="single" w:sz="2" w:space="0" w:color="8EAADB" w:themeColor="accent5" w:themeTint="99"/>
            </w:tcBorders>
            <w:vAlign w:val="center"/>
          </w:tcPr>
          <w:p w14:paraId="196622D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single" w:sz="2" w:space="0" w:color="8EAADB" w:themeColor="accent5" w:themeTint="99"/>
            </w:tcBorders>
            <w:vAlign w:val="center"/>
          </w:tcPr>
          <w:p w14:paraId="7E548E4A"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(792)</w:t>
            </w:r>
          </w:p>
        </w:tc>
        <w:tc>
          <w:tcPr>
            <w:tcW w:w="1526" w:type="dxa"/>
            <w:tcBorders>
              <w:top w:val="nil"/>
              <w:bottom w:val="single" w:sz="2" w:space="0" w:color="8EAADB" w:themeColor="accent5" w:themeTint="99"/>
            </w:tcBorders>
            <w:vAlign w:val="center"/>
          </w:tcPr>
          <w:p w14:paraId="0CE39F74"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3,947</w:t>
            </w:r>
          </w:p>
        </w:tc>
      </w:tr>
    </w:tbl>
    <w:p w14:paraId="36BE48EB" w14:textId="77777777" w:rsidR="00081370" w:rsidRPr="00B84B0C" w:rsidRDefault="00081370">
      <w:pPr>
        <w:rPr>
          <w:rFonts w:cs="Arial"/>
          <w:b/>
          <w:color w:val="1F4E79" w:themeColor="accent1" w:themeShade="80"/>
          <w:szCs w:val="18"/>
        </w:rPr>
      </w:pPr>
    </w:p>
    <w:p w14:paraId="3D003204" w14:textId="77777777" w:rsidR="00081370" w:rsidRPr="00B84B0C" w:rsidRDefault="00081370" w:rsidP="00081370">
      <w:pPr>
        <w:rPr>
          <w:rFonts w:cs="Arial"/>
          <w:b/>
          <w:color w:val="1F4E79" w:themeColor="accent1" w:themeShade="80"/>
          <w:szCs w:val="18"/>
        </w:rPr>
      </w:pPr>
      <w:r w:rsidRPr="00B84B0C">
        <w:rPr>
          <w:rFonts w:cs="Arial"/>
          <w:b/>
          <w:color w:val="1F4E79" w:themeColor="accent1" w:themeShade="80"/>
          <w:szCs w:val="18"/>
        </w:rPr>
        <w:t xml:space="preserve">f) </w:t>
      </w:r>
      <w:proofErr w:type="spellStart"/>
      <w:r w:rsidRPr="00B84B0C">
        <w:rPr>
          <w:rFonts w:cs="Arial"/>
          <w:b/>
          <w:color w:val="1F4E79" w:themeColor="accent1" w:themeShade="80"/>
          <w:szCs w:val="18"/>
        </w:rPr>
        <w:t>Expected</w:t>
      </w:r>
      <w:proofErr w:type="spellEnd"/>
      <w:r w:rsidRPr="00B84B0C">
        <w:rPr>
          <w:rFonts w:cs="Arial"/>
          <w:b/>
          <w:color w:val="1F4E79" w:themeColor="accent1" w:themeShade="80"/>
          <w:szCs w:val="18"/>
        </w:rPr>
        <w:t xml:space="preserve"> </w:t>
      </w:r>
      <w:proofErr w:type="spellStart"/>
      <w:r w:rsidRPr="00B84B0C">
        <w:rPr>
          <w:rFonts w:cs="Arial"/>
          <w:b/>
          <w:color w:val="1F4E79" w:themeColor="accent1" w:themeShade="80"/>
          <w:szCs w:val="18"/>
        </w:rPr>
        <w:t>Realization</w:t>
      </w:r>
      <w:proofErr w:type="spellEnd"/>
    </w:p>
    <w:p w14:paraId="4B8BAAB4" w14:textId="77777777" w:rsidR="00081370" w:rsidRPr="00B84B0C" w:rsidRDefault="00081370" w:rsidP="00081370">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2986"/>
        <w:gridCol w:w="604"/>
        <w:gridCol w:w="1411"/>
        <w:gridCol w:w="1412"/>
        <w:gridCol w:w="283"/>
        <w:gridCol w:w="1417"/>
        <w:gridCol w:w="1526"/>
      </w:tblGrid>
      <w:tr w:rsidR="00081370" w:rsidRPr="00B84B0C" w14:paraId="07BBB04C"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themeFill="accent5" w:themeFillTint="33"/>
            <w:vAlign w:val="center"/>
          </w:tcPr>
          <w:p w14:paraId="4820A0C5" w14:textId="77777777" w:rsidR="00081370" w:rsidRPr="00B84B0C" w:rsidRDefault="00081370" w:rsidP="00081370">
            <w:pPr>
              <w:jc w:val="center"/>
              <w:rPr>
                <w:rFonts w:cs="Arial"/>
                <w:b w:val="0"/>
                <w:szCs w:val="18"/>
              </w:rPr>
            </w:pPr>
          </w:p>
        </w:tc>
        <w:tc>
          <w:tcPr>
            <w:tcW w:w="604" w:type="dxa"/>
            <w:tcBorders>
              <w:top w:val="single" w:sz="2" w:space="0" w:color="8EAADB" w:themeColor="accent5" w:themeTint="99"/>
              <w:bottom w:val="nil"/>
            </w:tcBorders>
            <w:shd w:val="clear" w:color="auto" w:fill="D9E2F3" w:themeFill="accent5" w:themeFillTint="33"/>
          </w:tcPr>
          <w:p w14:paraId="26C47631"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2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9F6FA5C"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72EF7CFA"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4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689A6FB0"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081370" w:rsidRPr="00B84B0C" w14:paraId="4084B0B0"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466702AA" w14:textId="77777777" w:rsidR="00081370" w:rsidRPr="00B84B0C" w:rsidRDefault="00081370" w:rsidP="00081370">
            <w:pPr>
              <w:pStyle w:val="08-Tabelageral"/>
              <w:rPr>
                <w:rFonts w:cs="Arial"/>
                <w:b w:val="0"/>
              </w:rPr>
            </w:pPr>
          </w:p>
        </w:tc>
        <w:tc>
          <w:tcPr>
            <w:tcW w:w="604" w:type="dxa"/>
            <w:tcBorders>
              <w:top w:val="nil"/>
              <w:bottom w:val="single" w:sz="2" w:space="0" w:color="8EAADB" w:themeColor="accent5" w:themeTint="99"/>
            </w:tcBorders>
          </w:tcPr>
          <w:p w14:paraId="78DE104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7A23F39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Non </w:t>
            </w:r>
            <w:proofErr w:type="spellStart"/>
            <w:r w:rsidRPr="00B84B0C">
              <w:rPr>
                <w:rFonts w:cs="Arial"/>
                <w:b/>
              </w:rPr>
              <w:t>Value</w:t>
            </w:r>
            <w:proofErr w:type="spellEnd"/>
          </w:p>
        </w:tc>
        <w:tc>
          <w:tcPr>
            <w:tcW w:w="1412" w:type="dxa"/>
            <w:tcBorders>
              <w:top w:val="single" w:sz="2" w:space="0" w:color="8EAADB" w:themeColor="accent5" w:themeTint="99"/>
              <w:bottom w:val="single" w:sz="2" w:space="0" w:color="8EAADB" w:themeColor="accent5" w:themeTint="99"/>
            </w:tcBorders>
            <w:vAlign w:val="center"/>
          </w:tcPr>
          <w:p w14:paraId="5045133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Present</w:t>
            </w:r>
            <w:proofErr w:type="spellEnd"/>
            <w:r w:rsidRPr="00B84B0C">
              <w:rPr>
                <w:rFonts w:cs="Arial"/>
                <w:b/>
              </w:rPr>
              <w:t xml:space="preserve"> </w:t>
            </w:r>
            <w:proofErr w:type="spellStart"/>
            <w:r w:rsidRPr="00B84B0C">
              <w:rPr>
                <w:rFonts w:cs="Arial"/>
                <w:b/>
              </w:rPr>
              <w:t>Value</w:t>
            </w:r>
            <w:proofErr w:type="spellEnd"/>
          </w:p>
        </w:tc>
        <w:tc>
          <w:tcPr>
            <w:tcW w:w="283" w:type="dxa"/>
            <w:tcBorders>
              <w:top w:val="nil"/>
              <w:bottom w:val="single" w:sz="2" w:space="0" w:color="8EAADB" w:themeColor="accent5" w:themeTint="99"/>
            </w:tcBorders>
            <w:vAlign w:val="center"/>
          </w:tcPr>
          <w:p w14:paraId="04FF0EB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47E3F48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Non </w:t>
            </w:r>
            <w:proofErr w:type="spellStart"/>
            <w:r w:rsidRPr="00B84B0C">
              <w:rPr>
                <w:rFonts w:cs="Arial"/>
                <w:b/>
              </w:rPr>
              <w:t>Value</w:t>
            </w:r>
            <w:proofErr w:type="spellEnd"/>
          </w:p>
        </w:tc>
        <w:tc>
          <w:tcPr>
            <w:tcW w:w="1526" w:type="dxa"/>
            <w:tcBorders>
              <w:top w:val="single" w:sz="2" w:space="0" w:color="8EAADB" w:themeColor="accent5" w:themeTint="99"/>
              <w:bottom w:val="single" w:sz="2" w:space="0" w:color="8EAADB" w:themeColor="accent5" w:themeTint="99"/>
            </w:tcBorders>
            <w:vAlign w:val="center"/>
          </w:tcPr>
          <w:p w14:paraId="0F295A9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Present</w:t>
            </w:r>
            <w:proofErr w:type="spellEnd"/>
            <w:r w:rsidRPr="00B84B0C">
              <w:rPr>
                <w:rFonts w:cs="Arial"/>
                <w:b/>
              </w:rPr>
              <w:t xml:space="preserve"> </w:t>
            </w:r>
            <w:proofErr w:type="spellStart"/>
            <w:r w:rsidRPr="00B84B0C">
              <w:rPr>
                <w:rFonts w:cs="Arial"/>
                <w:b/>
              </w:rPr>
              <w:t>Value</w:t>
            </w:r>
            <w:proofErr w:type="spellEnd"/>
          </w:p>
        </w:tc>
      </w:tr>
      <w:tr w:rsidR="00081370" w:rsidRPr="00B84B0C" w14:paraId="5CE1BD10"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3D7B305F"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In 2020</w:t>
            </w:r>
          </w:p>
        </w:tc>
        <w:tc>
          <w:tcPr>
            <w:tcW w:w="604" w:type="dxa"/>
            <w:tcBorders>
              <w:top w:val="nil"/>
              <w:bottom w:val="nil"/>
            </w:tcBorders>
            <w:vAlign w:val="center"/>
          </w:tcPr>
          <w:p w14:paraId="39FB7D96"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000DAB81"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387</w:t>
            </w:r>
          </w:p>
        </w:tc>
        <w:tc>
          <w:tcPr>
            <w:tcW w:w="1412" w:type="dxa"/>
            <w:tcBorders>
              <w:top w:val="nil"/>
              <w:bottom w:val="nil"/>
            </w:tcBorders>
            <w:vAlign w:val="center"/>
          </w:tcPr>
          <w:p w14:paraId="2779165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375</w:t>
            </w:r>
          </w:p>
        </w:tc>
        <w:tc>
          <w:tcPr>
            <w:tcW w:w="283" w:type="dxa"/>
            <w:tcBorders>
              <w:top w:val="nil"/>
              <w:bottom w:val="nil"/>
            </w:tcBorders>
            <w:vAlign w:val="center"/>
          </w:tcPr>
          <w:p w14:paraId="6B5A83A2"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0A78D3A4"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1,094</w:t>
            </w:r>
          </w:p>
        </w:tc>
        <w:tc>
          <w:tcPr>
            <w:tcW w:w="1526" w:type="dxa"/>
            <w:tcBorders>
              <w:top w:val="nil"/>
              <w:bottom w:val="nil"/>
            </w:tcBorders>
            <w:vAlign w:val="center"/>
          </w:tcPr>
          <w:p w14:paraId="585C02B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1,056</w:t>
            </w:r>
          </w:p>
        </w:tc>
      </w:tr>
      <w:tr w:rsidR="00081370" w:rsidRPr="00B84B0C" w14:paraId="7B04F521"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5B1EF5B0"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In 2021</w:t>
            </w:r>
          </w:p>
        </w:tc>
        <w:tc>
          <w:tcPr>
            <w:tcW w:w="604" w:type="dxa"/>
            <w:tcBorders>
              <w:top w:val="nil"/>
              <w:bottom w:val="nil"/>
            </w:tcBorders>
            <w:vAlign w:val="center"/>
          </w:tcPr>
          <w:p w14:paraId="4DC449D6"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7E517BF8"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349</w:t>
            </w:r>
          </w:p>
        </w:tc>
        <w:tc>
          <w:tcPr>
            <w:tcW w:w="1412" w:type="dxa"/>
            <w:tcBorders>
              <w:top w:val="nil"/>
              <w:bottom w:val="nil"/>
            </w:tcBorders>
            <w:vAlign w:val="center"/>
          </w:tcPr>
          <w:p w14:paraId="170DC22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321</w:t>
            </w:r>
          </w:p>
        </w:tc>
        <w:tc>
          <w:tcPr>
            <w:tcW w:w="283" w:type="dxa"/>
            <w:tcBorders>
              <w:top w:val="nil"/>
              <w:bottom w:val="nil"/>
            </w:tcBorders>
            <w:vAlign w:val="center"/>
          </w:tcPr>
          <w:p w14:paraId="05DDD266"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29DD3513"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3,849</w:t>
            </w:r>
          </w:p>
        </w:tc>
        <w:tc>
          <w:tcPr>
            <w:tcW w:w="1526" w:type="dxa"/>
            <w:tcBorders>
              <w:top w:val="nil"/>
              <w:bottom w:val="nil"/>
            </w:tcBorders>
            <w:vAlign w:val="center"/>
          </w:tcPr>
          <w:p w14:paraId="2649DF3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3,532</w:t>
            </w:r>
          </w:p>
        </w:tc>
      </w:tr>
      <w:tr w:rsidR="00081370" w:rsidRPr="00B84B0C" w14:paraId="78710E57"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083CDD04"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In 2022</w:t>
            </w:r>
          </w:p>
        </w:tc>
        <w:tc>
          <w:tcPr>
            <w:tcW w:w="604" w:type="dxa"/>
            <w:tcBorders>
              <w:top w:val="nil"/>
              <w:bottom w:val="nil"/>
            </w:tcBorders>
            <w:vAlign w:val="center"/>
          </w:tcPr>
          <w:p w14:paraId="21F796D5"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32621B95"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645</w:t>
            </w:r>
          </w:p>
        </w:tc>
        <w:tc>
          <w:tcPr>
            <w:tcW w:w="1412" w:type="dxa"/>
            <w:tcBorders>
              <w:top w:val="nil"/>
              <w:bottom w:val="nil"/>
            </w:tcBorders>
            <w:vAlign w:val="center"/>
          </w:tcPr>
          <w:p w14:paraId="78C8F16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553</w:t>
            </w:r>
          </w:p>
        </w:tc>
        <w:tc>
          <w:tcPr>
            <w:tcW w:w="283" w:type="dxa"/>
            <w:tcBorders>
              <w:top w:val="nil"/>
              <w:bottom w:val="nil"/>
            </w:tcBorders>
            <w:vAlign w:val="center"/>
          </w:tcPr>
          <w:p w14:paraId="4FE2DBAE"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4D12906E"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3,086</w:t>
            </w:r>
          </w:p>
        </w:tc>
        <w:tc>
          <w:tcPr>
            <w:tcW w:w="1526" w:type="dxa"/>
            <w:tcBorders>
              <w:top w:val="nil"/>
              <w:bottom w:val="nil"/>
            </w:tcBorders>
            <w:vAlign w:val="center"/>
          </w:tcPr>
          <w:p w14:paraId="5C3BAD37"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2,652</w:t>
            </w:r>
          </w:p>
        </w:tc>
      </w:tr>
      <w:tr w:rsidR="00081370" w:rsidRPr="00B84B0C" w14:paraId="1E3F14D7"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24400702"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In 2023</w:t>
            </w:r>
          </w:p>
        </w:tc>
        <w:tc>
          <w:tcPr>
            <w:tcW w:w="604" w:type="dxa"/>
            <w:tcBorders>
              <w:top w:val="nil"/>
              <w:bottom w:val="nil"/>
            </w:tcBorders>
            <w:vAlign w:val="center"/>
          </w:tcPr>
          <w:p w14:paraId="4759A4AE"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550F6F97"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608</w:t>
            </w:r>
          </w:p>
        </w:tc>
        <w:tc>
          <w:tcPr>
            <w:tcW w:w="1412" w:type="dxa"/>
            <w:tcBorders>
              <w:top w:val="nil"/>
              <w:bottom w:val="nil"/>
            </w:tcBorders>
            <w:vAlign w:val="center"/>
          </w:tcPr>
          <w:p w14:paraId="4C38DF8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486</w:t>
            </w:r>
          </w:p>
        </w:tc>
        <w:tc>
          <w:tcPr>
            <w:tcW w:w="283" w:type="dxa"/>
            <w:tcBorders>
              <w:top w:val="nil"/>
              <w:bottom w:val="nil"/>
            </w:tcBorders>
            <w:vAlign w:val="center"/>
          </w:tcPr>
          <w:p w14:paraId="3CE4188F"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158EE99D"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2,898</w:t>
            </w:r>
          </w:p>
        </w:tc>
        <w:tc>
          <w:tcPr>
            <w:tcW w:w="1526" w:type="dxa"/>
            <w:tcBorders>
              <w:top w:val="nil"/>
              <w:bottom w:val="nil"/>
            </w:tcBorders>
            <w:vAlign w:val="center"/>
          </w:tcPr>
          <w:p w14:paraId="26A4E05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2,309</w:t>
            </w:r>
          </w:p>
        </w:tc>
      </w:tr>
      <w:tr w:rsidR="00081370" w:rsidRPr="00B84B0C" w14:paraId="2F80C413"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750F4E86"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In 2024</w:t>
            </w:r>
          </w:p>
        </w:tc>
        <w:tc>
          <w:tcPr>
            <w:tcW w:w="604" w:type="dxa"/>
            <w:tcBorders>
              <w:top w:val="nil"/>
              <w:bottom w:val="nil"/>
            </w:tcBorders>
            <w:vAlign w:val="center"/>
          </w:tcPr>
          <w:p w14:paraId="67446363"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45A5BEC8"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635</w:t>
            </w:r>
          </w:p>
        </w:tc>
        <w:tc>
          <w:tcPr>
            <w:tcW w:w="1412" w:type="dxa"/>
            <w:tcBorders>
              <w:top w:val="nil"/>
              <w:bottom w:val="nil"/>
            </w:tcBorders>
            <w:vAlign w:val="center"/>
          </w:tcPr>
          <w:p w14:paraId="0294D521"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471</w:t>
            </w:r>
          </w:p>
        </w:tc>
        <w:tc>
          <w:tcPr>
            <w:tcW w:w="283" w:type="dxa"/>
            <w:tcBorders>
              <w:top w:val="nil"/>
              <w:bottom w:val="nil"/>
            </w:tcBorders>
            <w:vAlign w:val="center"/>
          </w:tcPr>
          <w:p w14:paraId="22C0F7A1"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5FE8AE82"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2,195</w:t>
            </w:r>
          </w:p>
        </w:tc>
        <w:tc>
          <w:tcPr>
            <w:tcW w:w="1526" w:type="dxa"/>
            <w:tcBorders>
              <w:top w:val="nil"/>
              <w:bottom w:val="nil"/>
            </w:tcBorders>
            <w:vAlign w:val="center"/>
          </w:tcPr>
          <w:p w14:paraId="7C7BABF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1,629</w:t>
            </w:r>
          </w:p>
        </w:tc>
      </w:tr>
      <w:tr w:rsidR="00081370" w:rsidRPr="00B84B0C" w14:paraId="2979A5AE"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79EEE04B" w14:textId="77777777" w:rsidR="00081370" w:rsidRPr="00B84B0C" w:rsidRDefault="00081370" w:rsidP="00081370">
            <w:pPr>
              <w:pStyle w:val="08-Tabelageral"/>
              <w:ind w:left="36"/>
              <w:jc w:val="left"/>
              <w:rPr>
                <w:rFonts w:cs="Arial"/>
                <w:b w:val="0"/>
                <w:szCs w:val="14"/>
              </w:rPr>
            </w:pPr>
            <w:proofErr w:type="spellStart"/>
            <w:r w:rsidRPr="00B84B0C">
              <w:rPr>
                <w:rFonts w:cs="Arial"/>
                <w:b w:val="0"/>
                <w:szCs w:val="14"/>
              </w:rPr>
              <w:t>After</w:t>
            </w:r>
            <w:proofErr w:type="spellEnd"/>
            <w:r w:rsidRPr="00B84B0C">
              <w:rPr>
                <w:rFonts w:cs="Arial"/>
                <w:b w:val="0"/>
                <w:szCs w:val="14"/>
              </w:rPr>
              <w:t xml:space="preserve"> 2024</w:t>
            </w:r>
          </w:p>
        </w:tc>
        <w:tc>
          <w:tcPr>
            <w:tcW w:w="604" w:type="dxa"/>
            <w:tcBorders>
              <w:top w:val="nil"/>
              <w:bottom w:val="nil"/>
            </w:tcBorders>
            <w:vAlign w:val="center"/>
          </w:tcPr>
          <w:p w14:paraId="5C1FA3D1"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44DC6B7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1,350</w:t>
            </w:r>
          </w:p>
        </w:tc>
        <w:tc>
          <w:tcPr>
            <w:tcW w:w="1412" w:type="dxa"/>
            <w:tcBorders>
              <w:top w:val="nil"/>
              <w:bottom w:val="nil"/>
            </w:tcBorders>
            <w:vAlign w:val="center"/>
          </w:tcPr>
          <w:p w14:paraId="57133BD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889</w:t>
            </w:r>
          </w:p>
        </w:tc>
        <w:tc>
          <w:tcPr>
            <w:tcW w:w="283" w:type="dxa"/>
            <w:tcBorders>
              <w:top w:val="nil"/>
              <w:bottom w:val="nil"/>
            </w:tcBorders>
            <w:vAlign w:val="center"/>
          </w:tcPr>
          <w:p w14:paraId="17ECC81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71C4A0F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4,932</w:t>
            </w:r>
          </w:p>
        </w:tc>
        <w:tc>
          <w:tcPr>
            <w:tcW w:w="1526" w:type="dxa"/>
            <w:tcBorders>
              <w:top w:val="nil"/>
              <w:bottom w:val="nil"/>
            </w:tcBorders>
            <w:vAlign w:val="center"/>
          </w:tcPr>
          <w:p w14:paraId="1F5F638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3,230</w:t>
            </w:r>
          </w:p>
        </w:tc>
      </w:tr>
      <w:tr w:rsidR="00081370" w:rsidRPr="00B84B0C" w14:paraId="14DCD992"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3AD5DF2D" w14:textId="77777777" w:rsidR="00081370" w:rsidRPr="00B84B0C" w:rsidRDefault="00081370" w:rsidP="00081370">
            <w:pPr>
              <w:pStyle w:val="08-Tabelageral"/>
              <w:jc w:val="left"/>
              <w:rPr>
                <w:rFonts w:cs="Arial"/>
              </w:rPr>
            </w:pPr>
            <w:r w:rsidRPr="00B84B0C">
              <w:rPr>
                <w:rFonts w:cs="Arial"/>
              </w:rPr>
              <w:t>Total</w:t>
            </w:r>
          </w:p>
          <w:p w14:paraId="39DF8875" w14:textId="77777777" w:rsidR="00081370" w:rsidRPr="00B84B0C" w:rsidRDefault="00081370" w:rsidP="00081370">
            <w:pPr>
              <w:pStyle w:val="08-Tabelageral"/>
              <w:jc w:val="left"/>
              <w:rPr>
                <w:rFonts w:cs="Arial"/>
                <w:szCs w:val="14"/>
              </w:rPr>
            </w:pPr>
          </w:p>
        </w:tc>
        <w:tc>
          <w:tcPr>
            <w:tcW w:w="604" w:type="dxa"/>
            <w:tcBorders>
              <w:top w:val="nil"/>
              <w:bottom w:val="single" w:sz="2" w:space="0" w:color="8EAADB" w:themeColor="accent5" w:themeTint="99"/>
            </w:tcBorders>
            <w:vAlign w:val="center"/>
          </w:tcPr>
          <w:p w14:paraId="4F82B271"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single" w:sz="2" w:space="0" w:color="8EAADB" w:themeColor="accent5" w:themeTint="99"/>
            </w:tcBorders>
            <w:vAlign w:val="center"/>
          </w:tcPr>
          <w:p w14:paraId="64046CE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3,974</w:t>
            </w:r>
          </w:p>
        </w:tc>
        <w:tc>
          <w:tcPr>
            <w:tcW w:w="1412" w:type="dxa"/>
            <w:tcBorders>
              <w:top w:val="nil"/>
              <w:bottom w:val="single" w:sz="2" w:space="0" w:color="8EAADB" w:themeColor="accent5" w:themeTint="99"/>
            </w:tcBorders>
            <w:vAlign w:val="center"/>
          </w:tcPr>
          <w:p w14:paraId="18D270D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3,095</w:t>
            </w:r>
          </w:p>
        </w:tc>
        <w:tc>
          <w:tcPr>
            <w:tcW w:w="283" w:type="dxa"/>
            <w:tcBorders>
              <w:top w:val="nil"/>
              <w:bottom w:val="single" w:sz="2" w:space="0" w:color="8EAADB" w:themeColor="accent5" w:themeTint="99"/>
            </w:tcBorders>
            <w:vAlign w:val="center"/>
          </w:tcPr>
          <w:p w14:paraId="5C3FFEA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7" w:type="dxa"/>
            <w:tcBorders>
              <w:top w:val="nil"/>
              <w:bottom w:val="single" w:sz="2" w:space="0" w:color="8EAADB" w:themeColor="accent5" w:themeTint="99"/>
            </w:tcBorders>
            <w:vAlign w:val="center"/>
          </w:tcPr>
          <w:p w14:paraId="1E1889D6"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18,054</w:t>
            </w:r>
          </w:p>
        </w:tc>
        <w:tc>
          <w:tcPr>
            <w:tcW w:w="1526" w:type="dxa"/>
            <w:tcBorders>
              <w:top w:val="nil"/>
              <w:bottom w:val="single" w:sz="2" w:space="0" w:color="8EAADB" w:themeColor="accent5" w:themeTint="99"/>
            </w:tcBorders>
            <w:vAlign w:val="center"/>
          </w:tcPr>
          <w:p w14:paraId="2E6C8952"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14,408</w:t>
            </w:r>
          </w:p>
        </w:tc>
      </w:tr>
    </w:tbl>
    <w:p w14:paraId="77937427" w14:textId="77777777" w:rsidR="00081370" w:rsidRPr="00B84B0C" w:rsidRDefault="00081370">
      <w:pPr>
        <w:rPr>
          <w:rFonts w:cs="Arial"/>
          <w:b/>
          <w:color w:val="1F4E79" w:themeColor="accent1" w:themeShade="80"/>
          <w:szCs w:val="18"/>
        </w:rPr>
      </w:pPr>
    </w:p>
    <w:p w14:paraId="6EDBEC42" w14:textId="77777777" w:rsidR="00081370" w:rsidRPr="00B84B0C" w:rsidRDefault="00081370" w:rsidP="00081370">
      <w:pPr>
        <w:pStyle w:val="05-Textonormal"/>
        <w:rPr>
          <w:rFonts w:cs="Arial"/>
          <w:lang w:val="en-US"/>
        </w:rPr>
      </w:pPr>
      <w:r w:rsidRPr="00B84B0C">
        <w:rPr>
          <w:rFonts w:cs="Arial"/>
          <w:lang w:val="en-US"/>
        </w:rPr>
        <w:t xml:space="preserve">The expected realization of deferred tax assets (tax credits), is supported by a technical study prepared on Dec 31, 2019, and is calculated based on the discounted present value of the average </w:t>
      </w:r>
      <w:proofErr w:type="spellStart"/>
      <w:r w:rsidRPr="00B84B0C">
        <w:rPr>
          <w:rFonts w:cs="Arial"/>
          <w:lang w:val="en-US"/>
        </w:rPr>
        <w:t>Selic</w:t>
      </w:r>
      <w:proofErr w:type="spellEnd"/>
      <w:r w:rsidRPr="00B84B0C">
        <w:rPr>
          <w:rFonts w:cs="Arial"/>
          <w:lang w:val="en-US"/>
        </w:rPr>
        <w:t xml:space="preserve"> rate (TMS) projected for each reporting period, </w:t>
      </w:r>
    </w:p>
    <w:p w14:paraId="060395FE" w14:textId="77777777" w:rsidR="00081370" w:rsidRPr="00B84B0C" w:rsidRDefault="00081370" w:rsidP="00081370">
      <w:pPr>
        <w:pStyle w:val="05-Textonormal"/>
        <w:rPr>
          <w:rFonts w:cs="Arial"/>
          <w:lang w:val="en-US"/>
        </w:rPr>
      </w:pPr>
      <w:r w:rsidRPr="00B84B0C">
        <w:rPr>
          <w:rFonts w:cs="Arial"/>
          <w:lang w:val="en-US"/>
        </w:rPr>
        <w:t xml:space="preserve">During the first quarter </w:t>
      </w:r>
      <w:proofErr w:type="gramStart"/>
      <w:r w:rsidRPr="00B84B0C">
        <w:rPr>
          <w:rFonts w:cs="Arial"/>
          <w:lang w:val="en-US"/>
        </w:rPr>
        <w:t>of  2020</w:t>
      </w:r>
      <w:proofErr w:type="gramEnd"/>
      <w:r w:rsidRPr="00B84B0C">
        <w:rPr>
          <w:rFonts w:cs="Arial"/>
          <w:lang w:val="en-US"/>
        </w:rPr>
        <w:t>, tax credits were realized in the amount of R$ 2,260 thousand in the parent company and R$ 2,995 thousand in the consolidated,</w:t>
      </w:r>
    </w:p>
    <w:p w14:paraId="529DE80C" w14:textId="77777777" w:rsidR="00081370" w:rsidRPr="00B84B0C" w:rsidRDefault="00081370" w:rsidP="00081370">
      <w:pPr>
        <w:rPr>
          <w:rFonts w:cs="Arial"/>
          <w:b/>
          <w:color w:val="1F4E79" w:themeColor="accent1" w:themeShade="80"/>
          <w:szCs w:val="18"/>
          <w:lang w:val="en-US"/>
        </w:rPr>
      </w:pPr>
      <w:r w:rsidRPr="00B84B0C">
        <w:rPr>
          <w:rFonts w:cs="Arial"/>
          <w:b/>
          <w:color w:val="1F4E79" w:themeColor="accent1" w:themeShade="80"/>
          <w:szCs w:val="18"/>
          <w:lang w:val="en-US"/>
        </w:rPr>
        <w:t>g) Current tax liabilities</w:t>
      </w:r>
    </w:p>
    <w:p w14:paraId="0EDBE5BC" w14:textId="77777777" w:rsidR="00081370" w:rsidRPr="00B84B0C" w:rsidRDefault="00081370" w:rsidP="00081370">
      <w:pPr>
        <w:spacing w:after="0"/>
        <w:jc w:val="right"/>
        <w:rPr>
          <w:rFonts w:cs="Arial"/>
          <w:b/>
          <w:sz w:val="14"/>
          <w:lang w:val="en-US" w:eastAsia="pt-BR"/>
        </w:rPr>
      </w:pPr>
      <w:r w:rsidRPr="00B84B0C">
        <w:rPr>
          <w:rFonts w:cs="Arial"/>
          <w:b/>
          <w:sz w:val="14"/>
          <w:lang w:val="en-US" w:eastAsia="pt-BR"/>
        </w:rPr>
        <w:t>R$ thousand</w:t>
      </w:r>
    </w:p>
    <w:tbl>
      <w:tblPr>
        <w:tblStyle w:val="TabeladeLista6Colorida-nfase53"/>
        <w:tblW w:w="9639" w:type="dxa"/>
        <w:tblInd w:w="108" w:type="dxa"/>
        <w:tblLook w:val="04A0" w:firstRow="1" w:lastRow="0" w:firstColumn="1" w:lastColumn="0" w:noHBand="0" w:noVBand="1"/>
      </w:tblPr>
      <w:tblGrid>
        <w:gridCol w:w="3294"/>
        <w:gridCol w:w="296"/>
        <w:gridCol w:w="1411"/>
        <w:gridCol w:w="1412"/>
        <w:gridCol w:w="283"/>
        <w:gridCol w:w="1417"/>
        <w:gridCol w:w="1526"/>
      </w:tblGrid>
      <w:tr w:rsidR="00081370" w:rsidRPr="00B84B0C" w14:paraId="612CE9D8"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294" w:type="dxa"/>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5091AD1" w14:textId="77777777" w:rsidR="00081370" w:rsidRPr="00B84B0C" w:rsidRDefault="00081370" w:rsidP="00081370">
            <w:pPr>
              <w:jc w:val="center"/>
              <w:rPr>
                <w:rFonts w:cs="Arial"/>
                <w:b w:val="0"/>
                <w:szCs w:val="18"/>
                <w:lang w:val="en-US"/>
              </w:rPr>
            </w:pPr>
          </w:p>
        </w:tc>
        <w:tc>
          <w:tcPr>
            <w:tcW w:w="296" w:type="dxa"/>
            <w:tcBorders>
              <w:top w:val="single" w:sz="2" w:space="0" w:color="8EAADB" w:themeColor="accent5" w:themeTint="99"/>
              <w:bottom w:val="single" w:sz="2" w:space="0" w:color="8EAADB" w:themeColor="accent5" w:themeTint="99"/>
            </w:tcBorders>
            <w:shd w:val="clear" w:color="auto" w:fill="D9E2F3" w:themeFill="accent5" w:themeFillTint="33"/>
          </w:tcPr>
          <w:p w14:paraId="69567C45"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lang w:val="en-US"/>
              </w:rPr>
            </w:pPr>
          </w:p>
        </w:tc>
        <w:tc>
          <w:tcPr>
            <w:tcW w:w="282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5EA53AF"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B84B0C">
              <w:rPr>
                <w:rFonts w:cs="Arial"/>
                <w:sz w:val="14"/>
                <w:szCs w:val="18"/>
              </w:rPr>
              <w:t>Controlador</w:t>
            </w:r>
          </w:p>
        </w:tc>
        <w:tc>
          <w:tcPr>
            <w:tcW w:w="283" w:type="dxa"/>
            <w:tcBorders>
              <w:top w:val="single" w:sz="2" w:space="0" w:color="8EAADB" w:themeColor="accent5" w:themeTint="99"/>
              <w:bottom w:val="single" w:sz="2" w:space="0" w:color="8EAADB" w:themeColor="accent5" w:themeTint="99"/>
            </w:tcBorders>
            <w:shd w:val="clear" w:color="auto" w:fill="D9E2F3" w:themeFill="accent5" w:themeFillTint="33"/>
          </w:tcPr>
          <w:p w14:paraId="79993AA3"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4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066B65CC"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Cs w:val="18"/>
                <w:vertAlign w:val="superscript"/>
              </w:rPr>
            </w:pPr>
            <w:proofErr w:type="gramStart"/>
            <w:r w:rsidRPr="00B84B0C">
              <w:rPr>
                <w:rFonts w:cs="Arial"/>
                <w:sz w:val="14"/>
                <w:szCs w:val="18"/>
              </w:rPr>
              <w:t>Consolidado</w:t>
            </w:r>
            <w:r w:rsidRPr="00B84B0C">
              <w:rPr>
                <w:rFonts w:cs="Arial"/>
                <w:sz w:val="14"/>
                <w:szCs w:val="18"/>
                <w:vertAlign w:val="superscript"/>
              </w:rPr>
              <w:t>(</w:t>
            </w:r>
            <w:proofErr w:type="gramEnd"/>
            <w:r w:rsidRPr="00B84B0C">
              <w:rPr>
                <w:rFonts w:cs="Arial"/>
                <w:sz w:val="14"/>
                <w:szCs w:val="18"/>
                <w:vertAlign w:val="superscript"/>
              </w:rPr>
              <w:t>1)</w:t>
            </w:r>
          </w:p>
        </w:tc>
      </w:tr>
      <w:tr w:rsidR="00081370" w:rsidRPr="00B84B0C" w14:paraId="31101E4D"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single" w:sz="2" w:space="0" w:color="8EAADB" w:themeColor="accent5" w:themeTint="99"/>
              <w:bottom w:val="single" w:sz="2" w:space="0" w:color="8EAADB" w:themeColor="accent5" w:themeTint="99"/>
            </w:tcBorders>
          </w:tcPr>
          <w:p w14:paraId="13140027" w14:textId="77777777" w:rsidR="00081370" w:rsidRPr="00B84B0C" w:rsidRDefault="00081370" w:rsidP="00081370">
            <w:pPr>
              <w:pStyle w:val="08-Tabelageral"/>
              <w:rPr>
                <w:rFonts w:cs="Arial"/>
                <w:b w:val="0"/>
              </w:rPr>
            </w:pPr>
          </w:p>
        </w:tc>
        <w:tc>
          <w:tcPr>
            <w:tcW w:w="296" w:type="dxa"/>
            <w:tcBorders>
              <w:top w:val="single" w:sz="2" w:space="0" w:color="8EAADB" w:themeColor="accent5" w:themeTint="99"/>
              <w:bottom w:val="single" w:sz="2" w:space="0" w:color="8EAADB" w:themeColor="accent5" w:themeTint="99"/>
            </w:tcBorders>
          </w:tcPr>
          <w:p w14:paraId="0156953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71A7FA0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412" w:type="dxa"/>
            <w:tcBorders>
              <w:top w:val="single" w:sz="2" w:space="0" w:color="8EAADB" w:themeColor="accent5" w:themeTint="99"/>
              <w:bottom w:val="single" w:sz="2" w:space="0" w:color="8EAADB" w:themeColor="accent5" w:themeTint="99"/>
            </w:tcBorders>
            <w:vAlign w:val="center"/>
          </w:tcPr>
          <w:p w14:paraId="5430F46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c>
          <w:tcPr>
            <w:tcW w:w="283" w:type="dxa"/>
            <w:tcBorders>
              <w:top w:val="single" w:sz="2" w:space="0" w:color="8EAADB" w:themeColor="accent5" w:themeTint="99"/>
              <w:bottom w:val="single" w:sz="2" w:space="0" w:color="8EAADB" w:themeColor="accent5" w:themeTint="99"/>
            </w:tcBorders>
            <w:vAlign w:val="center"/>
          </w:tcPr>
          <w:p w14:paraId="751E036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1B74EE9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526" w:type="dxa"/>
            <w:tcBorders>
              <w:top w:val="single" w:sz="2" w:space="0" w:color="8EAADB" w:themeColor="accent5" w:themeTint="99"/>
              <w:bottom w:val="single" w:sz="2" w:space="0" w:color="8EAADB" w:themeColor="accent5" w:themeTint="99"/>
            </w:tcBorders>
            <w:vAlign w:val="center"/>
          </w:tcPr>
          <w:p w14:paraId="6FF1F9F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081370" w:rsidRPr="00B84B0C" w14:paraId="71E6F076"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tcPr>
          <w:p w14:paraId="52673D39" w14:textId="77777777" w:rsidR="00081370" w:rsidRPr="00B84B0C" w:rsidRDefault="00081370" w:rsidP="00081370">
            <w:pPr>
              <w:pStyle w:val="08-Tabelageral"/>
              <w:ind w:left="113" w:hanging="77"/>
              <w:jc w:val="left"/>
              <w:rPr>
                <w:rFonts w:cs="Arial"/>
                <w:b w:val="0"/>
                <w:szCs w:val="14"/>
              </w:rPr>
            </w:pPr>
            <w:proofErr w:type="spellStart"/>
            <w:r w:rsidRPr="00B84B0C">
              <w:rPr>
                <w:rFonts w:cs="Arial"/>
                <w:b w:val="0"/>
                <w:szCs w:val="14"/>
              </w:rPr>
              <w:t>Icome</w:t>
            </w:r>
            <w:proofErr w:type="spellEnd"/>
            <w:r w:rsidRPr="00B84B0C">
              <w:rPr>
                <w:rFonts w:cs="Arial"/>
                <w:b w:val="0"/>
                <w:szCs w:val="14"/>
              </w:rPr>
              <w:t xml:space="preserve"> </w:t>
            </w:r>
            <w:proofErr w:type="spellStart"/>
            <w:r w:rsidRPr="00B84B0C">
              <w:rPr>
                <w:rFonts w:cs="Arial"/>
                <w:b w:val="0"/>
                <w:szCs w:val="14"/>
              </w:rPr>
              <w:t>tax</w:t>
            </w:r>
            <w:proofErr w:type="spellEnd"/>
          </w:p>
        </w:tc>
        <w:tc>
          <w:tcPr>
            <w:tcW w:w="296" w:type="dxa"/>
            <w:tcBorders>
              <w:top w:val="nil"/>
              <w:bottom w:val="nil"/>
            </w:tcBorders>
            <w:vAlign w:val="center"/>
          </w:tcPr>
          <w:p w14:paraId="5DA497F6"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0E66938F"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3,873</w:t>
            </w:r>
          </w:p>
        </w:tc>
        <w:tc>
          <w:tcPr>
            <w:tcW w:w="1412" w:type="dxa"/>
            <w:tcBorders>
              <w:top w:val="nil"/>
              <w:bottom w:val="nil"/>
            </w:tcBorders>
            <w:vAlign w:val="center"/>
          </w:tcPr>
          <w:p w14:paraId="10378A9A"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2,435</w:t>
            </w:r>
          </w:p>
        </w:tc>
        <w:tc>
          <w:tcPr>
            <w:tcW w:w="283" w:type="dxa"/>
            <w:tcBorders>
              <w:top w:val="nil"/>
              <w:bottom w:val="nil"/>
            </w:tcBorders>
            <w:vAlign w:val="center"/>
          </w:tcPr>
          <w:p w14:paraId="3DCCEB85"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79742248"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186,895</w:t>
            </w:r>
          </w:p>
        </w:tc>
        <w:tc>
          <w:tcPr>
            <w:tcW w:w="1526" w:type="dxa"/>
            <w:tcBorders>
              <w:top w:val="nil"/>
              <w:bottom w:val="nil"/>
            </w:tcBorders>
            <w:vAlign w:val="center"/>
          </w:tcPr>
          <w:p w14:paraId="7754239B"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471,434</w:t>
            </w:r>
          </w:p>
        </w:tc>
      </w:tr>
      <w:tr w:rsidR="00081370" w:rsidRPr="00B84B0C" w14:paraId="33F65BEC"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tcPr>
          <w:p w14:paraId="43A3C226" w14:textId="77777777" w:rsidR="00081370" w:rsidRPr="00B84B0C" w:rsidRDefault="00081370" w:rsidP="00081370">
            <w:pPr>
              <w:pStyle w:val="08-Tabelageral"/>
              <w:tabs>
                <w:tab w:val="right" w:pos="2878"/>
              </w:tabs>
              <w:ind w:left="113" w:hanging="77"/>
              <w:jc w:val="left"/>
              <w:rPr>
                <w:rFonts w:cs="Arial"/>
                <w:b w:val="0"/>
                <w:szCs w:val="14"/>
              </w:rPr>
            </w:pPr>
            <w:r w:rsidRPr="00B84B0C">
              <w:rPr>
                <w:rFonts w:cs="Arial"/>
                <w:b w:val="0"/>
                <w:szCs w:val="14"/>
              </w:rPr>
              <w:t xml:space="preserve">Social </w:t>
            </w:r>
            <w:proofErr w:type="spellStart"/>
            <w:r w:rsidRPr="00B84B0C">
              <w:rPr>
                <w:rFonts w:cs="Arial"/>
                <w:b w:val="0"/>
                <w:szCs w:val="14"/>
              </w:rPr>
              <w:t>contribution</w:t>
            </w:r>
            <w:proofErr w:type="spellEnd"/>
            <w:r w:rsidRPr="00B84B0C">
              <w:rPr>
                <w:rFonts w:cs="Arial"/>
                <w:b w:val="0"/>
                <w:szCs w:val="14"/>
              </w:rPr>
              <w:tab/>
            </w:r>
          </w:p>
        </w:tc>
        <w:tc>
          <w:tcPr>
            <w:tcW w:w="296" w:type="dxa"/>
            <w:tcBorders>
              <w:top w:val="nil"/>
              <w:bottom w:val="nil"/>
            </w:tcBorders>
            <w:vAlign w:val="center"/>
          </w:tcPr>
          <w:p w14:paraId="7C5BF934"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6F743214"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1,395</w:t>
            </w:r>
          </w:p>
        </w:tc>
        <w:tc>
          <w:tcPr>
            <w:tcW w:w="1412" w:type="dxa"/>
            <w:tcBorders>
              <w:top w:val="nil"/>
              <w:bottom w:val="nil"/>
            </w:tcBorders>
            <w:vAlign w:val="center"/>
          </w:tcPr>
          <w:p w14:paraId="57B22293"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861</w:t>
            </w:r>
          </w:p>
        </w:tc>
        <w:tc>
          <w:tcPr>
            <w:tcW w:w="283" w:type="dxa"/>
            <w:tcBorders>
              <w:top w:val="nil"/>
              <w:bottom w:val="nil"/>
            </w:tcBorders>
            <w:vAlign w:val="center"/>
          </w:tcPr>
          <w:p w14:paraId="67E53E3D"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60918605"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67,429</w:t>
            </w:r>
          </w:p>
        </w:tc>
        <w:tc>
          <w:tcPr>
            <w:tcW w:w="1526" w:type="dxa"/>
            <w:tcBorders>
              <w:top w:val="nil"/>
              <w:bottom w:val="nil"/>
            </w:tcBorders>
            <w:vAlign w:val="center"/>
          </w:tcPr>
          <w:p w14:paraId="49CF622E"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166,017</w:t>
            </w:r>
          </w:p>
        </w:tc>
      </w:tr>
      <w:tr w:rsidR="00081370" w:rsidRPr="00B84B0C" w14:paraId="1B08D201"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tcPr>
          <w:p w14:paraId="0D314514"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COFINS</w:t>
            </w:r>
          </w:p>
        </w:tc>
        <w:tc>
          <w:tcPr>
            <w:tcW w:w="296" w:type="dxa"/>
            <w:tcBorders>
              <w:top w:val="nil"/>
              <w:bottom w:val="nil"/>
            </w:tcBorders>
            <w:vAlign w:val="center"/>
          </w:tcPr>
          <w:p w14:paraId="3633C9A9"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7BCC377A"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637</w:t>
            </w:r>
          </w:p>
        </w:tc>
        <w:tc>
          <w:tcPr>
            <w:tcW w:w="1412" w:type="dxa"/>
            <w:tcBorders>
              <w:top w:val="nil"/>
              <w:bottom w:val="nil"/>
            </w:tcBorders>
            <w:vAlign w:val="center"/>
          </w:tcPr>
          <w:p w14:paraId="6479306A"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631</w:t>
            </w:r>
          </w:p>
        </w:tc>
        <w:tc>
          <w:tcPr>
            <w:tcW w:w="283" w:type="dxa"/>
            <w:tcBorders>
              <w:top w:val="nil"/>
              <w:bottom w:val="nil"/>
            </w:tcBorders>
            <w:vAlign w:val="center"/>
          </w:tcPr>
          <w:p w14:paraId="18433E55"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66BB04F7"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22,929</w:t>
            </w:r>
          </w:p>
        </w:tc>
        <w:tc>
          <w:tcPr>
            <w:tcW w:w="1526" w:type="dxa"/>
            <w:tcBorders>
              <w:top w:val="nil"/>
              <w:bottom w:val="nil"/>
            </w:tcBorders>
            <w:vAlign w:val="center"/>
          </w:tcPr>
          <w:p w14:paraId="2FBA5983"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27,047</w:t>
            </w:r>
          </w:p>
        </w:tc>
      </w:tr>
      <w:tr w:rsidR="00081370" w:rsidRPr="00B84B0C" w14:paraId="264F835D"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tcPr>
          <w:p w14:paraId="3C6D3AEB"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ISS</w:t>
            </w:r>
          </w:p>
        </w:tc>
        <w:tc>
          <w:tcPr>
            <w:tcW w:w="296" w:type="dxa"/>
            <w:tcBorders>
              <w:top w:val="nil"/>
              <w:bottom w:val="nil"/>
            </w:tcBorders>
            <w:vAlign w:val="center"/>
          </w:tcPr>
          <w:p w14:paraId="457A18F2" w14:textId="77777777" w:rsidR="00081370" w:rsidRPr="00B84B0C" w:rsidRDefault="00081370" w:rsidP="0008137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781BD201"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vAlign w:val="center"/>
          </w:tcPr>
          <w:p w14:paraId="5E546540"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vAlign w:val="center"/>
          </w:tcPr>
          <w:p w14:paraId="66BD2FE0"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02E2863C"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8,111</w:t>
            </w:r>
          </w:p>
        </w:tc>
        <w:tc>
          <w:tcPr>
            <w:tcW w:w="1526" w:type="dxa"/>
            <w:tcBorders>
              <w:top w:val="nil"/>
              <w:bottom w:val="nil"/>
            </w:tcBorders>
            <w:vAlign w:val="center"/>
          </w:tcPr>
          <w:p w14:paraId="474467D0"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15,894</w:t>
            </w:r>
          </w:p>
        </w:tc>
      </w:tr>
      <w:tr w:rsidR="00081370" w:rsidRPr="00B84B0C" w14:paraId="3141D772"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tcPr>
          <w:p w14:paraId="536F475F"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PASEP</w:t>
            </w:r>
          </w:p>
        </w:tc>
        <w:tc>
          <w:tcPr>
            <w:tcW w:w="296" w:type="dxa"/>
            <w:tcBorders>
              <w:top w:val="nil"/>
              <w:bottom w:val="nil"/>
            </w:tcBorders>
            <w:vAlign w:val="center"/>
          </w:tcPr>
          <w:p w14:paraId="6F11F761" w14:textId="77777777" w:rsidR="00081370" w:rsidRPr="00B84B0C" w:rsidRDefault="00081370" w:rsidP="00081370">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1F4C2559"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120</w:t>
            </w:r>
          </w:p>
        </w:tc>
        <w:tc>
          <w:tcPr>
            <w:tcW w:w="1412" w:type="dxa"/>
            <w:tcBorders>
              <w:top w:val="nil"/>
              <w:bottom w:val="nil"/>
            </w:tcBorders>
            <w:vAlign w:val="center"/>
          </w:tcPr>
          <w:p w14:paraId="47418A65"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102</w:t>
            </w:r>
          </w:p>
        </w:tc>
        <w:tc>
          <w:tcPr>
            <w:tcW w:w="283" w:type="dxa"/>
            <w:tcBorders>
              <w:top w:val="nil"/>
              <w:bottom w:val="nil"/>
            </w:tcBorders>
            <w:vAlign w:val="center"/>
          </w:tcPr>
          <w:p w14:paraId="38670DF9"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648FD5A8"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4,942</w:t>
            </w:r>
          </w:p>
        </w:tc>
        <w:tc>
          <w:tcPr>
            <w:tcW w:w="1526" w:type="dxa"/>
            <w:tcBorders>
              <w:top w:val="nil"/>
              <w:bottom w:val="nil"/>
            </w:tcBorders>
            <w:vAlign w:val="center"/>
          </w:tcPr>
          <w:p w14:paraId="7D0483D1"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5,804</w:t>
            </w:r>
          </w:p>
        </w:tc>
      </w:tr>
      <w:tr w:rsidR="00081370" w:rsidRPr="00B84B0C" w14:paraId="661CCE8E"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tcPr>
          <w:p w14:paraId="45F30742"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Other</w:t>
            </w:r>
          </w:p>
        </w:tc>
        <w:tc>
          <w:tcPr>
            <w:tcW w:w="296" w:type="dxa"/>
            <w:tcBorders>
              <w:top w:val="nil"/>
              <w:bottom w:val="nil"/>
            </w:tcBorders>
            <w:vAlign w:val="center"/>
          </w:tcPr>
          <w:p w14:paraId="176A3676"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60B80B4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551</w:t>
            </w:r>
          </w:p>
        </w:tc>
        <w:tc>
          <w:tcPr>
            <w:tcW w:w="1412" w:type="dxa"/>
            <w:tcBorders>
              <w:top w:val="nil"/>
              <w:bottom w:val="nil"/>
            </w:tcBorders>
            <w:vAlign w:val="center"/>
          </w:tcPr>
          <w:p w14:paraId="0F95AEC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119</w:t>
            </w:r>
          </w:p>
        </w:tc>
        <w:tc>
          <w:tcPr>
            <w:tcW w:w="283" w:type="dxa"/>
            <w:tcBorders>
              <w:top w:val="nil"/>
              <w:bottom w:val="nil"/>
            </w:tcBorders>
            <w:vAlign w:val="center"/>
          </w:tcPr>
          <w:p w14:paraId="7C5E2E0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4417BAE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565</w:t>
            </w:r>
          </w:p>
        </w:tc>
        <w:tc>
          <w:tcPr>
            <w:tcW w:w="1526" w:type="dxa"/>
            <w:tcBorders>
              <w:top w:val="nil"/>
              <w:bottom w:val="nil"/>
            </w:tcBorders>
            <w:vAlign w:val="center"/>
          </w:tcPr>
          <w:p w14:paraId="5D6AD29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120</w:t>
            </w:r>
          </w:p>
        </w:tc>
      </w:tr>
      <w:tr w:rsidR="00081370" w:rsidRPr="00B84B0C" w14:paraId="148AE295"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nil"/>
            </w:tcBorders>
          </w:tcPr>
          <w:p w14:paraId="7A2CFB2B" w14:textId="77777777" w:rsidR="00081370" w:rsidRPr="00B84B0C" w:rsidRDefault="00081370" w:rsidP="00081370">
            <w:pPr>
              <w:pStyle w:val="08-Tabelageral"/>
              <w:jc w:val="left"/>
              <w:rPr>
                <w:rFonts w:cs="Arial"/>
                <w:b w:val="0"/>
                <w:szCs w:val="14"/>
              </w:rPr>
            </w:pPr>
            <w:r w:rsidRPr="00B84B0C">
              <w:rPr>
                <w:rFonts w:cs="Arial"/>
                <w:b w:val="0"/>
                <w:szCs w:val="14"/>
              </w:rPr>
              <w:t xml:space="preserve">(-) </w:t>
            </w:r>
            <w:proofErr w:type="spellStart"/>
            <w:r w:rsidRPr="00B84B0C">
              <w:rPr>
                <w:rFonts w:cs="Arial"/>
                <w:b w:val="0"/>
                <w:szCs w:val="14"/>
              </w:rPr>
              <w:t>Current</w:t>
            </w:r>
            <w:proofErr w:type="spellEnd"/>
            <w:r w:rsidRPr="00B84B0C">
              <w:rPr>
                <w:rFonts w:cs="Arial"/>
                <w:b w:val="0"/>
                <w:szCs w:val="14"/>
              </w:rPr>
              <w:t xml:space="preserve"> taxes </w:t>
            </w:r>
            <w:proofErr w:type="spellStart"/>
            <w:r w:rsidRPr="00B84B0C">
              <w:rPr>
                <w:rFonts w:cs="Arial"/>
                <w:b w:val="0"/>
                <w:szCs w:val="14"/>
              </w:rPr>
              <w:t>deducted</w:t>
            </w:r>
            <w:proofErr w:type="spellEnd"/>
            <w:r w:rsidRPr="00B84B0C">
              <w:rPr>
                <w:rFonts w:cs="Arial"/>
                <w:b w:val="0"/>
                <w:szCs w:val="14"/>
              </w:rPr>
              <w:t>/offset</w:t>
            </w:r>
          </w:p>
        </w:tc>
        <w:tc>
          <w:tcPr>
            <w:tcW w:w="296" w:type="dxa"/>
            <w:tcBorders>
              <w:top w:val="nil"/>
              <w:bottom w:val="nil"/>
            </w:tcBorders>
            <w:vAlign w:val="center"/>
          </w:tcPr>
          <w:p w14:paraId="2AAC9BCE"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3AE1F8F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vAlign w:val="center"/>
          </w:tcPr>
          <w:p w14:paraId="0A19E2D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(3,168)</w:t>
            </w:r>
          </w:p>
        </w:tc>
        <w:tc>
          <w:tcPr>
            <w:tcW w:w="283" w:type="dxa"/>
            <w:tcBorders>
              <w:top w:val="nil"/>
              <w:bottom w:val="nil"/>
            </w:tcBorders>
            <w:vAlign w:val="center"/>
          </w:tcPr>
          <w:p w14:paraId="1E213A2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7BC0223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w:t>
            </w:r>
          </w:p>
        </w:tc>
        <w:tc>
          <w:tcPr>
            <w:tcW w:w="1526" w:type="dxa"/>
            <w:tcBorders>
              <w:top w:val="nil"/>
              <w:bottom w:val="nil"/>
            </w:tcBorders>
            <w:vAlign w:val="center"/>
          </w:tcPr>
          <w:p w14:paraId="14EE499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(30,179)</w:t>
            </w:r>
          </w:p>
        </w:tc>
      </w:tr>
      <w:tr w:rsidR="00081370" w:rsidRPr="00B84B0C" w14:paraId="2D466E22"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294" w:type="dxa"/>
            <w:tcBorders>
              <w:top w:val="nil"/>
              <w:bottom w:val="single" w:sz="2" w:space="0" w:color="8EAADB" w:themeColor="accent5" w:themeTint="99"/>
            </w:tcBorders>
          </w:tcPr>
          <w:p w14:paraId="2F2319BD" w14:textId="77777777" w:rsidR="00081370" w:rsidRPr="00B84B0C" w:rsidRDefault="00081370" w:rsidP="00081370">
            <w:pPr>
              <w:pStyle w:val="08-Tabelageral"/>
              <w:jc w:val="left"/>
              <w:rPr>
                <w:rFonts w:cs="Arial"/>
                <w:vertAlign w:val="superscript"/>
              </w:rPr>
            </w:pPr>
            <w:r w:rsidRPr="00B84B0C">
              <w:rPr>
                <w:rFonts w:cs="Arial"/>
              </w:rPr>
              <w:t xml:space="preserve">Total </w:t>
            </w:r>
            <w:r w:rsidRPr="00B84B0C">
              <w:rPr>
                <w:rFonts w:cs="Arial"/>
                <w:vertAlign w:val="superscript"/>
              </w:rPr>
              <w:t>(2)</w:t>
            </w:r>
          </w:p>
          <w:p w14:paraId="709F368F" w14:textId="77777777" w:rsidR="00081370" w:rsidRPr="00B84B0C" w:rsidRDefault="00081370" w:rsidP="00081370">
            <w:pPr>
              <w:pStyle w:val="08-Tabelageral"/>
              <w:jc w:val="left"/>
              <w:rPr>
                <w:rFonts w:cs="Arial"/>
                <w:szCs w:val="14"/>
              </w:rPr>
            </w:pPr>
          </w:p>
        </w:tc>
        <w:tc>
          <w:tcPr>
            <w:tcW w:w="296" w:type="dxa"/>
            <w:tcBorders>
              <w:top w:val="nil"/>
              <w:bottom w:val="single" w:sz="2" w:space="0" w:color="8EAADB" w:themeColor="accent5" w:themeTint="99"/>
            </w:tcBorders>
            <w:vAlign w:val="center"/>
          </w:tcPr>
          <w:p w14:paraId="26FCF00E"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single" w:sz="2" w:space="0" w:color="8EAADB" w:themeColor="accent5" w:themeTint="99"/>
            </w:tcBorders>
            <w:vAlign w:val="center"/>
          </w:tcPr>
          <w:p w14:paraId="5092165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6,576</w:t>
            </w:r>
          </w:p>
        </w:tc>
        <w:tc>
          <w:tcPr>
            <w:tcW w:w="1412" w:type="dxa"/>
            <w:tcBorders>
              <w:top w:val="nil"/>
              <w:bottom w:val="single" w:sz="2" w:space="0" w:color="8EAADB" w:themeColor="accent5" w:themeTint="99"/>
            </w:tcBorders>
            <w:vAlign w:val="center"/>
          </w:tcPr>
          <w:p w14:paraId="0F6FC58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980</w:t>
            </w:r>
          </w:p>
        </w:tc>
        <w:tc>
          <w:tcPr>
            <w:tcW w:w="283" w:type="dxa"/>
            <w:tcBorders>
              <w:top w:val="nil"/>
              <w:bottom w:val="single" w:sz="2" w:space="0" w:color="8EAADB" w:themeColor="accent5" w:themeTint="99"/>
            </w:tcBorders>
            <w:vAlign w:val="center"/>
          </w:tcPr>
          <w:p w14:paraId="4DF8745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single" w:sz="2" w:space="0" w:color="8EAADB" w:themeColor="accent5" w:themeTint="99"/>
            </w:tcBorders>
            <w:vAlign w:val="center"/>
          </w:tcPr>
          <w:p w14:paraId="4F93702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290,871</w:t>
            </w:r>
          </w:p>
        </w:tc>
        <w:tc>
          <w:tcPr>
            <w:tcW w:w="1526" w:type="dxa"/>
            <w:tcBorders>
              <w:top w:val="nil"/>
              <w:bottom w:val="single" w:sz="2" w:space="0" w:color="8EAADB" w:themeColor="accent5" w:themeTint="99"/>
            </w:tcBorders>
            <w:vAlign w:val="center"/>
          </w:tcPr>
          <w:p w14:paraId="6642D73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656,137</w:t>
            </w:r>
          </w:p>
        </w:tc>
      </w:tr>
    </w:tbl>
    <w:p w14:paraId="01FBE772" w14:textId="77777777" w:rsidR="00081370" w:rsidRPr="00B84B0C" w:rsidRDefault="00081370" w:rsidP="00081370">
      <w:pPr>
        <w:pStyle w:val="Pr-formataoHTML"/>
        <w:jc w:val="both"/>
        <w:rPr>
          <w:rFonts w:ascii="Arial" w:hAnsi="Arial" w:cs="Arial"/>
          <w:sz w:val="14"/>
          <w:szCs w:val="14"/>
          <w:lang w:val="en-US"/>
        </w:rPr>
      </w:pPr>
      <w:r w:rsidRPr="00B84B0C">
        <w:rPr>
          <w:rFonts w:ascii="Arial" w:hAnsi="Arial" w:cs="Arial"/>
          <w:sz w:val="14"/>
          <w:szCs w:val="14"/>
          <w:lang w:val="en-US"/>
        </w:rPr>
        <w:t>(1) In January 2020, Income Tax and Social Contribution related to the annual adjustment of the 2019 fiscal year, in the amount of R$ 637,451 thousand.</w:t>
      </w:r>
    </w:p>
    <w:p w14:paraId="37EAB2C4" w14:textId="77777777" w:rsidR="00081370" w:rsidRPr="00B84B0C" w:rsidRDefault="00081370" w:rsidP="00081370">
      <w:pPr>
        <w:pStyle w:val="Pr-formataoHTML"/>
        <w:jc w:val="both"/>
        <w:rPr>
          <w:rFonts w:ascii="Arial" w:hAnsi="Arial" w:cs="Arial"/>
          <w:sz w:val="14"/>
          <w:szCs w:val="14"/>
          <w:lang w:val="en-US"/>
        </w:rPr>
      </w:pPr>
      <w:r w:rsidRPr="00B84B0C">
        <w:rPr>
          <w:rFonts w:ascii="Arial" w:hAnsi="Arial" w:cs="Arial"/>
          <w:sz w:val="14"/>
          <w:szCs w:val="14"/>
          <w:lang w:val="en-US"/>
        </w:rPr>
        <w:t xml:space="preserve">(2) </w:t>
      </w:r>
      <w:r w:rsidRPr="00B84B0C">
        <w:rPr>
          <w:rFonts w:ascii="Arial" w:eastAsia="Times New Roman" w:hAnsi="Arial" w:cs="Arial"/>
          <w:sz w:val="14"/>
          <w:szCs w:val="14"/>
          <w:lang w:val="en" w:eastAsia="pt-BR"/>
        </w:rPr>
        <w:t xml:space="preserve">Balances of 2019 and 2018 of the </w:t>
      </w:r>
      <w:proofErr w:type="gramStart"/>
      <w:r w:rsidRPr="00B84B0C">
        <w:rPr>
          <w:rFonts w:ascii="Arial" w:eastAsia="Times New Roman" w:hAnsi="Arial" w:cs="Arial"/>
          <w:sz w:val="14"/>
          <w:szCs w:val="14"/>
          <w:lang w:val="en" w:eastAsia="pt-BR"/>
        </w:rPr>
        <w:t>controller</w:t>
      </w:r>
      <w:proofErr w:type="gramEnd"/>
      <w:r w:rsidRPr="00B84B0C">
        <w:rPr>
          <w:rFonts w:ascii="Arial" w:eastAsia="Times New Roman" w:hAnsi="Arial" w:cs="Arial"/>
          <w:sz w:val="14"/>
          <w:szCs w:val="14"/>
          <w:lang w:val="en" w:eastAsia="pt-BR"/>
        </w:rPr>
        <w:t xml:space="preserve"> refer mainly to the Social Contribution, due to the impossibility of offsetting the tax, according to law 13,670/18,</w:t>
      </w:r>
    </w:p>
    <w:p w14:paraId="41D8E571" w14:textId="77777777" w:rsidR="00081370" w:rsidRPr="00B84B0C" w:rsidRDefault="00081370" w:rsidP="00081370">
      <w:pPr>
        <w:jc w:val="both"/>
        <w:rPr>
          <w:rFonts w:cs="Arial"/>
          <w:sz w:val="14"/>
          <w:szCs w:val="14"/>
          <w:lang w:val="en-US"/>
        </w:rPr>
      </w:pPr>
    </w:p>
    <w:p w14:paraId="38E70189" w14:textId="77777777" w:rsidR="00081370" w:rsidRPr="00B84B0C" w:rsidRDefault="00081370" w:rsidP="00081370">
      <w:pPr>
        <w:jc w:val="both"/>
        <w:rPr>
          <w:rFonts w:cs="Arial"/>
          <w:sz w:val="14"/>
          <w:szCs w:val="14"/>
          <w:lang w:val="en-US"/>
        </w:rPr>
      </w:pPr>
    </w:p>
    <w:p w14:paraId="1132A450" w14:textId="77777777" w:rsidR="00081370" w:rsidRPr="00B84B0C" w:rsidRDefault="00081370" w:rsidP="00081370">
      <w:pPr>
        <w:jc w:val="both"/>
        <w:rPr>
          <w:rFonts w:cs="Arial"/>
          <w:sz w:val="14"/>
          <w:szCs w:val="14"/>
          <w:lang w:val="en-US"/>
        </w:rPr>
      </w:pPr>
    </w:p>
    <w:p w14:paraId="5D3E31BC" w14:textId="77777777" w:rsidR="00081370" w:rsidRPr="00B84B0C" w:rsidRDefault="00081370" w:rsidP="00081370">
      <w:pPr>
        <w:rPr>
          <w:rFonts w:cs="Arial"/>
          <w:b/>
          <w:color w:val="1F4E79" w:themeColor="accent1" w:themeShade="80"/>
          <w:szCs w:val="18"/>
          <w:lang w:val="en-US"/>
        </w:rPr>
      </w:pPr>
      <w:r w:rsidRPr="00B84B0C">
        <w:rPr>
          <w:rFonts w:cs="Arial"/>
          <w:b/>
          <w:color w:val="1F4E79" w:themeColor="accent1" w:themeShade="80"/>
          <w:szCs w:val="18"/>
          <w:lang w:val="en-US"/>
        </w:rPr>
        <w:lastRenderedPageBreak/>
        <w:t>h) Deferred Tax Liabilities</w:t>
      </w:r>
    </w:p>
    <w:p w14:paraId="3606DD7A" w14:textId="77777777" w:rsidR="00081370" w:rsidRPr="00B84B0C" w:rsidRDefault="00081370" w:rsidP="00081370">
      <w:pPr>
        <w:spacing w:after="0"/>
        <w:jc w:val="right"/>
        <w:rPr>
          <w:rFonts w:cs="Arial"/>
          <w:b/>
          <w:sz w:val="14"/>
          <w:lang w:val="en-US" w:eastAsia="pt-BR"/>
        </w:rPr>
      </w:pPr>
      <w:r w:rsidRPr="00B84B0C">
        <w:rPr>
          <w:rFonts w:cs="Arial"/>
          <w:b/>
          <w:sz w:val="14"/>
          <w:lang w:val="en-US" w:eastAsia="pt-BR"/>
        </w:rPr>
        <w:t>R$ thousand</w:t>
      </w:r>
    </w:p>
    <w:tbl>
      <w:tblPr>
        <w:tblStyle w:val="TabeladeLista6Colorida-nfase53"/>
        <w:tblW w:w="9639" w:type="dxa"/>
        <w:tblInd w:w="108" w:type="dxa"/>
        <w:tblLook w:val="04A0" w:firstRow="1" w:lastRow="0" w:firstColumn="1" w:lastColumn="0" w:noHBand="0" w:noVBand="1"/>
      </w:tblPr>
      <w:tblGrid>
        <w:gridCol w:w="4922"/>
        <w:gridCol w:w="2304"/>
        <w:gridCol w:w="2413"/>
      </w:tblGrid>
      <w:tr w:rsidR="00081370" w:rsidRPr="00B84B0C" w14:paraId="2A3EEF44"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922" w:type="dxa"/>
            <w:tcBorders>
              <w:top w:val="single" w:sz="2" w:space="0" w:color="8EAADB" w:themeColor="accent5" w:themeTint="99"/>
              <w:bottom w:val="nil"/>
            </w:tcBorders>
            <w:shd w:val="clear" w:color="auto" w:fill="D9E2F3" w:themeFill="accent5" w:themeFillTint="33"/>
            <w:vAlign w:val="center"/>
          </w:tcPr>
          <w:p w14:paraId="406B658A" w14:textId="77777777" w:rsidR="00081370" w:rsidRPr="00B84B0C" w:rsidRDefault="00081370" w:rsidP="00081370">
            <w:pPr>
              <w:jc w:val="center"/>
              <w:rPr>
                <w:rFonts w:cs="Arial"/>
                <w:b w:val="0"/>
                <w:szCs w:val="18"/>
                <w:lang w:val="en-US"/>
              </w:rPr>
            </w:pPr>
          </w:p>
        </w:tc>
        <w:tc>
          <w:tcPr>
            <w:tcW w:w="4717"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73233F43"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081370" w:rsidRPr="00B84B0C" w14:paraId="0D332413"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922" w:type="dxa"/>
            <w:tcBorders>
              <w:top w:val="nil"/>
              <w:bottom w:val="single" w:sz="2" w:space="0" w:color="8EAADB" w:themeColor="accent5" w:themeTint="99"/>
            </w:tcBorders>
          </w:tcPr>
          <w:p w14:paraId="4B6DDC58" w14:textId="77777777" w:rsidR="00081370" w:rsidRPr="00B84B0C" w:rsidRDefault="00081370" w:rsidP="00081370">
            <w:pPr>
              <w:pStyle w:val="08-Tabelageral"/>
              <w:rPr>
                <w:rFonts w:cs="Arial"/>
                <w:b w:val="0"/>
              </w:rPr>
            </w:pPr>
          </w:p>
        </w:tc>
        <w:tc>
          <w:tcPr>
            <w:tcW w:w="2304" w:type="dxa"/>
            <w:tcBorders>
              <w:top w:val="single" w:sz="2" w:space="0" w:color="8EAADB" w:themeColor="accent5" w:themeTint="99"/>
              <w:bottom w:val="single" w:sz="2" w:space="0" w:color="8EAADB" w:themeColor="accent5" w:themeTint="99"/>
            </w:tcBorders>
            <w:vAlign w:val="center"/>
          </w:tcPr>
          <w:p w14:paraId="50AAF13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2413" w:type="dxa"/>
            <w:tcBorders>
              <w:top w:val="single" w:sz="2" w:space="0" w:color="8EAADB" w:themeColor="accent5" w:themeTint="99"/>
              <w:bottom w:val="single" w:sz="2" w:space="0" w:color="8EAADB" w:themeColor="accent5" w:themeTint="99"/>
            </w:tcBorders>
            <w:vAlign w:val="center"/>
          </w:tcPr>
          <w:p w14:paraId="48F57FC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081370" w:rsidRPr="00B84B0C" w14:paraId="48DC2FC8"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4922" w:type="dxa"/>
            <w:tcBorders>
              <w:top w:val="single" w:sz="2" w:space="0" w:color="8EAADB" w:themeColor="accent5" w:themeTint="99"/>
              <w:bottom w:val="nil"/>
            </w:tcBorders>
            <w:shd w:val="clear" w:color="auto" w:fill="FFFFFF" w:themeFill="background1"/>
          </w:tcPr>
          <w:p w14:paraId="7DFBA445" w14:textId="77777777" w:rsidR="00081370" w:rsidRPr="00B84B0C" w:rsidRDefault="00081370" w:rsidP="00081370">
            <w:pPr>
              <w:pStyle w:val="08-Tabelageral"/>
              <w:ind w:left="36"/>
              <w:jc w:val="left"/>
              <w:rPr>
                <w:rFonts w:cs="Arial"/>
                <w:b w:val="0"/>
                <w:szCs w:val="14"/>
                <w:vertAlign w:val="superscript"/>
                <w:lang w:val="en-US"/>
              </w:rPr>
            </w:pPr>
            <w:r w:rsidRPr="00B84B0C">
              <w:rPr>
                <w:rFonts w:cs="Arial"/>
                <w:b w:val="0"/>
                <w:szCs w:val="14"/>
                <w:lang w:val="en-US"/>
              </w:rPr>
              <w:t>Arising from partnership with MAPFRE</w:t>
            </w:r>
          </w:p>
        </w:tc>
        <w:tc>
          <w:tcPr>
            <w:tcW w:w="2304" w:type="dxa"/>
            <w:tcBorders>
              <w:top w:val="single" w:sz="2" w:space="0" w:color="8EAADB" w:themeColor="accent5" w:themeTint="99"/>
              <w:bottom w:val="nil"/>
            </w:tcBorders>
            <w:shd w:val="clear" w:color="auto" w:fill="FFFFFF" w:themeFill="background1"/>
            <w:vAlign w:val="center"/>
          </w:tcPr>
          <w:p w14:paraId="39D9F430"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223,387</w:t>
            </w:r>
          </w:p>
        </w:tc>
        <w:tc>
          <w:tcPr>
            <w:tcW w:w="2413" w:type="dxa"/>
            <w:tcBorders>
              <w:top w:val="single" w:sz="2" w:space="0" w:color="8EAADB" w:themeColor="accent5" w:themeTint="99"/>
              <w:bottom w:val="nil"/>
            </w:tcBorders>
            <w:shd w:val="clear" w:color="auto" w:fill="FFFFFF" w:themeFill="background1"/>
            <w:vAlign w:val="center"/>
          </w:tcPr>
          <w:p w14:paraId="7979987F"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223,387</w:t>
            </w:r>
          </w:p>
        </w:tc>
      </w:tr>
      <w:tr w:rsidR="00081370" w:rsidRPr="00B84B0C" w14:paraId="66268A95"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922" w:type="dxa"/>
            <w:tcBorders>
              <w:top w:val="nil"/>
              <w:bottom w:val="nil"/>
            </w:tcBorders>
          </w:tcPr>
          <w:p w14:paraId="4221D802" w14:textId="77777777" w:rsidR="00081370" w:rsidRPr="00B84B0C" w:rsidRDefault="00081370" w:rsidP="00081370">
            <w:pPr>
              <w:pStyle w:val="08-Tabelageral"/>
              <w:ind w:left="36"/>
              <w:jc w:val="left"/>
              <w:rPr>
                <w:rFonts w:cs="Arial"/>
                <w:b w:val="0"/>
                <w:szCs w:val="14"/>
                <w:lang w:val="en-US"/>
              </w:rPr>
            </w:pPr>
            <w:r w:rsidRPr="00B84B0C">
              <w:rPr>
                <w:rFonts w:cs="Arial"/>
                <w:b w:val="0"/>
                <w:szCs w:val="14"/>
                <w:lang w:val="en-US"/>
              </w:rPr>
              <w:t xml:space="preserve">Arising from amortization of </w:t>
            </w:r>
            <w:proofErr w:type="spellStart"/>
            <w:r w:rsidRPr="00B84B0C">
              <w:rPr>
                <w:rFonts w:cs="Arial"/>
                <w:b w:val="0"/>
                <w:szCs w:val="14"/>
                <w:lang w:val="en-US"/>
              </w:rPr>
              <w:t>Brasilcap’s</w:t>
            </w:r>
            <w:proofErr w:type="spellEnd"/>
            <w:r w:rsidRPr="00B84B0C">
              <w:rPr>
                <w:rFonts w:cs="Arial"/>
                <w:b w:val="0"/>
                <w:szCs w:val="14"/>
                <w:lang w:val="en-US"/>
              </w:rPr>
              <w:t xml:space="preserve"> goodwill</w:t>
            </w:r>
          </w:p>
        </w:tc>
        <w:tc>
          <w:tcPr>
            <w:tcW w:w="2304" w:type="dxa"/>
            <w:tcBorders>
              <w:top w:val="nil"/>
              <w:bottom w:val="nil"/>
            </w:tcBorders>
            <w:vAlign w:val="center"/>
          </w:tcPr>
          <w:p w14:paraId="2768A217"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4,647</w:t>
            </w:r>
          </w:p>
        </w:tc>
        <w:tc>
          <w:tcPr>
            <w:tcW w:w="2413" w:type="dxa"/>
            <w:tcBorders>
              <w:top w:val="nil"/>
              <w:bottom w:val="nil"/>
            </w:tcBorders>
            <w:vAlign w:val="center"/>
          </w:tcPr>
          <w:p w14:paraId="741F0C44"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4,647</w:t>
            </w:r>
          </w:p>
        </w:tc>
      </w:tr>
      <w:tr w:rsidR="00081370" w:rsidRPr="00B84B0C" w14:paraId="0C0A5B69"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4922" w:type="dxa"/>
            <w:tcBorders>
              <w:top w:val="nil"/>
              <w:bottom w:val="nil"/>
            </w:tcBorders>
          </w:tcPr>
          <w:p w14:paraId="6F9F55F6" w14:textId="77777777" w:rsidR="00081370" w:rsidRPr="00B84B0C" w:rsidRDefault="00081370" w:rsidP="00081370">
            <w:pPr>
              <w:pStyle w:val="08-Tabelageral"/>
              <w:ind w:left="113" w:hanging="77"/>
              <w:jc w:val="left"/>
              <w:rPr>
                <w:rFonts w:cs="Arial"/>
                <w:b w:val="0"/>
                <w:szCs w:val="14"/>
              </w:rPr>
            </w:pPr>
            <w:r w:rsidRPr="00B84B0C">
              <w:rPr>
                <w:rFonts w:cs="Arial"/>
                <w:b w:val="0"/>
                <w:szCs w:val="14"/>
              </w:rPr>
              <w:t xml:space="preserve">Other </w:t>
            </w:r>
            <w:proofErr w:type="spellStart"/>
            <w:r w:rsidRPr="00B84B0C">
              <w:rPr>
                <w:rFonts w:cs="Arial"/>
                <w:b w:val="0"/>
                <w:szCs w:val="14"/>
              </w:rPr>
              <w:t>temporay</w:t>
            </w:r>
            <w:proofErr w:type="spellEnd"/>
            <w:r w:rsidRPr="00B84B0C">
              <w:rPr>
                <w:rFonts w:cs="Arial"/>
                <w:b w:val="0"/>
                <w:szCs w:val="14"/>
              </w:rPr>
              <w:t xml:space="preserve"> </w:t>
            </w:r>
            <w:proofErr w:type="spellStart"/>
            <w:r w:rsidRPr="00B84B0C">
              <w:rPr>
                <w:rFonts w:cs="Arial"/>
                <w:b w:val="0"/>
                <w:szCs w:val="14"/>
              </w:rPr>
              <w:t>differences</w:t>
            </w:r>
            <w:proofErr w:type="spellEnd"/>
          </w:p>
        </w:tc>
        <w:tc>
          <w:tcPr>
            <w:tcW w:w="2304" w:type="dxa"/>
            <w:tcBorders>
              <w:top w:val="nil"/>
              <w:bottom w:val="nil"/>
            </w:tcBorders>
            <w:vAlign w:val="center"/>
          </w:tcPr>
          <w:p w14:paraId="4EB1A46B"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531</w:t>
            </w:r>
          </w:p>
        </w:tc>
        <w:tc>
          <w:tcPr>
            <w:tcW w:w="2413" w:type="dxa"/>
            <w:tcBorders>
              <w:top w:val="nil"/>
              <w:bottom w:val="nil"/>
            </w:tcBorders>
            <w:vAlign w:val="center"/>
          </w:tcPr>
          <w:p w14:paraId="0FFD8600"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530</w:t>
            </w:r>
          </w:p>
        </w:tc>
      </w:tr>
      <w:tr w:rsidR="00081370" w:rsidRPr="00B84B0C" w14:paraId="751E9F86"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922" w:type="dxa"/>
            <w:tcBorders>
              <w:top w:val="nil"/>
              <w:bottom w:val="single" w:sz="2" w:space="0" w:color="8EAADB" w:themeColor="accent5" w:themeTint="99"/>
            </w:tcBorders>
          </w:tcPr>
          <w:p w14:paraId="04618179" w14:textId="77777777" w:rsidR="00081370" w:rsidRPr="00B84B0C" w:rsidRDefault="00081370" w:rsidP="00081370">
            <w:pPr>
              <w:pStyle w:val="08-Tabelageral"/>
              <w:jc w:val="left"/>
              <w:rPr>
                <w:rFonts w:cs="Arial"/>
              </w:rPr>
            </w:pPr>
            <w:r w:rsidRPr="00B84B0C">
              <w:rPr>
                <w:rFonts w:cs="Arial"/>
              </w:rPr>
              <w:t xml:space="preserve">Total </w:t>
            </w:r>
          </w:p>
          <w:p w14:paraId="2BB0A685" w14:textId="77777777" w:rsidR="00081370" w:rsidRPr="00B84B0C" w:rsidRDefault="00081370" w:rsidP="00081370">
            <w:pPr>
              <w:pStyle w:val="08-Tabelageral"/>
              <w:jc w:val="left"/>
              <w:rPr>
                <w:rFonts w:cs="Arial"/>
                <w:szCs w:val="14"/>
              </w:rPr>
            </w:pPr>
          </w:p>
        </w:tc>
        <w:tc>
          <w:tcPr>
            <w:tcW w:w="2304" w:type="dxa"/>
            <w:tcBorders>
              <w:top w:val="nil"/>
              <w:bottom w:val="single" w:sz="2" w:space="0" w:color="8EAADB" w:themeColor="accent5" w:themeTint="99"/>
            </w:tcBorders>
            <w:vAlign w:val="center"/>
          </w:tcPr>
          <w:p w14:paraId="32F1128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228,565</w:t>
            </w:r>
          </w:p>
        </w:tc>
        <w:tc>
          <w:tcPr>
            <w:tcW w:w="2413" w:type="dxa"/>
            <w:tcBorders>
              <w:top w:val="nil"/>
              <w:bottom w:val="single" w:sz="2" w:space="0" w:color="8EAADB" w:themeColor="accent5" w:themeTint="99"/>
            </w:tcBorders>
            <w:vAlign w:val="center"/>
          </w:tcPr>
          <w:p w14:paraId="6561D46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228,564</w:t>
            </w:r>
          </w:p>
        </w:tc>
      </w:tr>
    </w:tbl>
    <w:p w14:paraId="32DAE0A6" w14:textId="77777777" w:rsidR="00081370" w:rsidRPr="00B84B0C" w:rsidRDefault="00081370" w:rsidP="00081370">
      <w:pPr>
        <w:pStyle w:val="07-Legenda"/>
        <w:rPr>
          <w:rFonts w:cs="Arial"/>
          <w:b/>
        </w:rPr>
      </w:pPr>
    </w:p>
    <w:p w14:paraId="11E91BA5" w14:textId="77777777" w:rsidR="00081370" w:rsidRPr="00B84B0C" w:rsidRDefault="00081370" w:rsidP="00081370">
      <w:pPr>
        <w:pStyle w:val="07-Legenda"/>
        <w:rPr>
          <w:rFonts w:cs="Arial"/>
          <w:lang w:val="en-US"/>
        </w:rPr>
      </w:pPr>
      <w:r w:rsidRPr="00B84B0C">
        <w:rPr>
          <w:rFonts w:cs="Arial"/>
          <w:spacing w:val="0"/>
          <w:sz w:val="18"/>
          <w:szCs w:val="20"/>
          <w:lang w:val="en-US"/>
        </w:rPr>
        <w:t>There is no balance of deferred tax liabilities in the Controller.</w:t>
      </w:r>
    </w:p>
    <w:p w14:paraId="4640F1E1" w14:textId="78140371" w:rsidR="008C2DEA" w:rsidRPr="00B84B0C" w:rsidRDefault="008C2DEA" w:rsidP="005061D2">
      <w:pPr>
        <w:pStyle w:val="07-Legenda"/>
        <w:shd w:val="clear" w:color="auto" w:fill="FFFFFF" w:themeFill="background1"/>
        <w:tabs>
          <w:tab w:val="clear" w:pos="284"/>
          <w:tab w:val="left" w:pos="0"/>
          <w:tab w:val="left" w:pos="3686"/>
        </w:tabs>
        <w:ind w:left="0" w:firstLine="0"/>
        <w:rPr>
          <w:rFonts w:cs="Arial"/>
        </w:rPr>
      </w:pPr>
    </w:p>
    <w:p w14:paraId="6512B285" w14:textId="35076755" w:rsidR="00081370" w:rsidRPr="00B84B0C" w:rsidRDefault="00081370" w:rsidP="00081370">
      <w:pPr>
        <w:pStyle w:val="02-TtulodeNota"/>
        <w:rPr>
          <w:rFonts w:cs="Arial"/>
        </w:rPr>
      </w:pPr>
      <w:bookmarkStart w:id="26" w:name="_Toc39131497"/>
      <w:r w:rsidRPr="00B84B0C">
        <w:rPr>
          <w:rFonts w:cs="Arial"/>
          <w:color w:val="1F4E79" w:themeColor="accent1" w:themeShade="80"/>
        </w:rPr>
        <w:t>13 – COMMISSIONS RECEIVABLE</w:t>
      </w:r>
      <w:bookmarkEnd w:id="26"/>
      <w:r w:rsidRPr="00B84B0C">
        <w:rPr>
          <w:rFonts w:cs="Arial"/>
        </w:rPr>
        <w:tab/>
      </w:r>
    </w:p>
    <w:p w14:paraId="19577993" w14:textId="77777777" w:rsidR="00081370" w:rsidRPr="00B84B0C" w:rsidRDefault="00081370" w:rsidP="00081370">
      <w:pPr>
        <w:pStyle w:val="01-TtulodeNota"/>
        <w:spacing w:before="0" w:after="0"/>
        <w:jc w:val="right"/>
        <w:rPr>
          <w:rFonts w:cs="Arial"/>
          <w:sz w:val="6"/>
          <w:szCs w:val="12"/>
        </w:rPr>
      </w:pPr>
      <w:r w:rsidRPr="00B84B0C">
        <w:rPr>
          <w:rFonts w:cs="Arial"/>
          <w:sz w:val="14"/>
          <w:lang w:val="en-US"/>
        </w:rPr>
        <w:t>R$ thousand</w:t>
      </w:r>
      <w:r w:rsidRPr="00B84B0C">
        <w:rPr>
          <w:rFonts w:cs="Arial"/>
          <w:sz w:val="6"/>
          <w:szCs w:val="12"/>
        </w:rPr>
        <w:t xml:space="preserve"> </w:t>
      </w:r>
    </w:p>
    <w:tbl>
      <w:tblPr>
        <w:tblStyle w:val="TabeladeLista6Colorida-nfase510"/>
        <w:tblW w:w="9658" w:type="dxa"/>
        <w:tblInd w:w="108" w:type="dxa"/>
        <w:shd w:val="clear" w:color="auto" w:fill="D9E2F3"/>
        <w:tblLook w:val="04A0" w:firstRow="1" w:lastRow="0" w:firstColumn="1" w:lastColumn="0" w:noHBand="0" w:noVBand="1"/>
      </w:tblPr>
      <w:tblGrid>
        <w:gridCol w:w="1204"/>
        <w:gridCol w:w="3180"/>
        <w:gridCol w:w="856"/>
        <w:gridCol w:w="401"/>
        <w:gridCol w:w="2008"/>
        <w:gridCol w:w="2009"/>
      </w:tblGrid>
      <w:tr w:rsidR="00081370" w:rsidRPr="00B84B0C" w14:paraId="49E1E3C6" w14:textId="77777777" w:rsidTr="00081370">
        <w:trPr>
          <w:cnfStyle w:val="100000000000" w:firstRow="1" w:lastRow="0" w:firstColumn="0" w:lastColumn="0" w:oddVBand="0" w:evenVBand="0" w:oddHBand="0" w:evenHBand="0" w:firstRowFirstColumn="0" w:firstRowLastColumn="0" w:lastRowFirstColumn="0" w:lastRowLastColumn="0"/>
          <w:trHeight w:hRule="exact" w:val="327"/>
        </w:trPr>
        <w:tc>
          <w:tcPr>
            <w:cnfStyle w:val="001000000000" w:firstRow="0" w:lastRow="0" w:firstColumn="1" w:lastColumn="0" w:oddVBand="0" w:evenVBand="0" w:oddHBand="0" w:evenHBand="0" w:firstRowFirstColumn="0" w:firstRowLastColumn="0" w:lastRowFirstColumn="0" w:lastRowLastColumn="0"/>
            <w:tcW w:w="1204" w:type="dxa"/>
            <w:tcBorders>
              <w:top w:val="single" w:sz="2" w:space="0" w:color="8EAADB"/>
              <w:bottom w:val="nil"/>
            </w:tcBorders>
            <w:shd w:val="clear" w:color="auto" w:fill="D9E2F3"/>
          </w:tcPr>
          <w:p w14:paraId="4BDFCD66" w14:textId="77777777" w:rsidR="00081370" w:rsidRPr="00B84B0C" w:rsidRDefault="00081370" w:rsidP="00081370">
            <w:pPr>
              <w:keepNext/>
              <w:keepLines/>
              <w:spacing w:before="40" w:after="40"/>
              <w:jc w:val="center"/>
              <w:rPr>
                <w:rFonts w:cs="Arial"/>
                <w:b w:val="0"/>
                <w:bCs w:val="0"/>
                <w:spacing w:val="-2"/>
                <w:sz w:val="14"/>
                <w:szCs w:val="18"/>
              </w:rPr>
            </w:pPr>
          </w:p>
        </w:tc>
        <w:tc>
          <w:tcPr>
            <w:tcW w:w="4036" w:type="dxa"/>
            <w:gridSpan w:val="2"/>
            <w:tcBorders>
              <w:top w:val="single" w:sz="2" w:space="0" w:color="8EAADB"/>
              <w:bottom w:val="nil"/>
            </w:tcBorders>
            <w:shd w:val="clear" w:color="auto" w:fill="D9E2F3"/>
          </w:tcPr>
          <w:p w14:paraId="63D7A974" w14:textId="77777777" w:rsidR="00081370" w:rsidRPr="00B84B0C" w:rsidRDefault="00081370"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8"/>
              </w:rPr>
            </w:pPr>
          </w:p>
        </w:tc>
        <w:tc>
          <w:tcPr>
            <w:tcW w:w="401" w:type="dxa"/>
            <w:tcBorders>
              <w:top w:val="single" w:sz="2" w:space="0" w:color="8EAADB"/>
              <w:bottom w:val="nil"/>
            </w:tcBorders>
            <w:shd w:val="clear" w:color="auto" w:fill="D9E2F3"/>
          </w:tcPr>
          <w:p w14:paraId="638CBA74" w14:textId="77777777" w:rsidR="00081370" w:rsidRPr="00B84B0C" w:rsidRDefault="00081370"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pacing w:val="-2"/>
                <w:sz w:val="14"/>
                <w:szCs w:val="18"/>
              </w:rPr>
            </w:pPr>
          </w:p>
        </w:tc>
        <w:tc>
          <w:tcPr>
            <w:tcW w:w="4017" w:type="dxa"/>
            <w:gridSpan w:val="2"/>
            <w:tcBorders>
              <w:top w:val="single" w:sz="2" w:space="0" w:color="8EAADB"/>
              <w:bottom w:val="nil"/>
            </w:tcBorders>
            <w:shd w:val="clear" w:color="auto" w:fill="D9E2F3"/>
          </w:tcPr>
          <w:p w14:paraId="28D9E2E3" w14:textId="77777777" w:rsidR="00081370" w:rsidRPr="00B84B0C" w:rsidRDefault="00081370" w:rsidP="00081370">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lang w:val="en-US"/>
              </w:rPr>
              <w:t>Consolidated</w:t>
            </w:r>
          </w:p>
        </w:tc>
      </w:tr>
      <w:tr w:rsidR="00081370" w:rsidRPr="00B84B0C" w14:paraId="5A86B7A2" w14:textId="77777777" w:rsidTr="00081370">
        <w:trPr>
          <w:cnfStyle w:val="000000100000" w:firstRow="0" w:lastRow="0" w:firstColumn="0" w:lastColumn="0" w:oddVBand="0" w:evenVBand="0" w:oddHBand="1" w:evenHBand="0" w:firstRowFirstColumn="0" w:firstRowLastColumn="0" w:lastRowFirstColumn="0" w:lastRowLastColumn="0"/>
          <w:trHeight w:hRule="exact" w:val="275"/>
        </w:trPr>
        <w:tc>
          <w:tcPr>
            <w:cnfStyle w:val="001000000000" w:firstRow="0" w:lastRow="0" w:firstColumn="1" w:lastColumn="0" w:oddVBand="0" w:evenVBand="0" w:oddHBand="0" w:evenHBand="0" w:firstRowFirstColumn="0" w:firstRowLastColumn="0" w:lastRowFirstColumn="0" w:lastRowLastColumn="0"/>
            <w:tcW w:w="4384" w:type="dxa"/>
            <w:gridSpan w:val="2"/>
            <w:tcBorders>
              <w:top w:val="nil"/>
              <w:bottom w:val="single" w:sz="2" w:space="0" w:color="8EAADB"/>
            </w:tcBorders>
            <w:shd w:val="clear" w:color="auto" w:fill="D9E2F3"/>
          </w:tcPr>
          <w:p w14:paraId="79EBFD71" w14:textId="77777777" w:rsidR="00081370" w:rsidRPr="00B84B0C" w:rsidRDefault="00081370" w:rsidP="00081370">
            <w:pPr>
              <w:keepNext/>
              <w:keepLines/>
              <w:spacing w:before="40" w:after="40"/>
              <w:rPr>
                <w:rFonts w:cs="Arial"/>
                <w:spacing w:val="-2"/>
                <w:sz w:val="14"/>
                <w:szCs w:val="18"/>
              </w:rPr>
            </w:pPr>
          </w:p>
        </w:tc>
        <w:tc>
          <w:tcPr>
            <w:tcW w:w="856" w:type="dxa"/>
            <w:tcBorders>
              <w:top w:val="nil"/>
              <w:bottom w:val="single" w:sz="2" w:space="0" w:color="8EAADB"/>
            </w:tcBorders>
            <w:shd w:val="clear" w:color="auto" w:fill="D9E2F3"/>
          </w:tcPr>
          <w:p w14:paraId="6D66C212" w14:textId="77777777" w:rsidR="00081370" w:rsidRPr="00B84B0C" w:rsidRDefault="00081370" w:rsidP="00081370">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p>
        </w:tc>
        <w:tc>
          <w:tcPr>
            <w:tcW w:w="401" w:type="dxa"/>
            <w:tcBorders>
              <w:top w:val="nil"/>
              <w:bottom w:val="single" w:sz="2" w:space="0" w:color="8EAADB"/>
            </w:tcBorders>
            <w:shd w:val="clear" w:color="auto" w:fill="D9E2F3"/>
            <w:vAlign w:val="center"/>
          </w:tcPr>
          <w:p w14:paraId="1A302DA5" w14:textId="77777777" w:rsidR="00081370" w:rsidRPr="00B84B0C" w:rsidRDefault="00081370"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p>
        </w:tc>
        <w:tc>
          <w:tcPr>
            <w:tcW w:w="2008" w:type="dxa"/>
            <w:tcBorders>
              <w:top w:val="single" w:sz="2" w:space="0" w:color="8EAADB"/>
              <w:bottom w:val="single" w:sz="2" w:space="0" w:color="8EAADB"/>
            </w:tcBorders>
            <w:shd w:val="clear" w:color="auto" w:fill="D9E2F3"/>
            <w:vAlign w:val="center"/>
          </w:tcPr>
          <w:p w14:paraId="4553C53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2009" w:type="dxa"/>
            <w:tcBorders>
              <w:top w:val="single" w:sz="2" w:space="0" w:color="8EAADB"/>
              <w:bottom w:val="single" w:sz="2" w:space="0" w:color="8EAADB"/>
            </w:tcBorders>
            <w:shd w:val="clear" w:color="auto" w:fill="D9E2F3"/>
            <w:vAlign w:val="center"/>
          </w:tcPr>
          <w:p w14:paraId="39C1CA9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081370" w:rsidRPr="00B84B0C" w14:paraId="24D5C928" w14:textId="77777777" w:rsidTr="00081370">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4" w:type="dxa"/>
            <w:gridSpan w:val="2"/>
            <w:tcBorders>
              <w:top w:val="single" w:sz="2" w:space="0" w:color="8EAADB"/>
              <w:bottom w:val="nil"/>
            </w:tcBorders>
            <w:shd w:val="clear" w:color="auto" w:fill="FFFFFF" w:themeFill="background1"/>
          </w:tcPr>
          <w:p w14:paraId="7D3FB071" w14:textId="77777777" w:rsidR="00081370" w:rsidRPr="00B84B0C" w:rsidRDefault="00081370" w:rsidP="00081370">
            <w:pPr>
              <w:pStyle w:val="08-Tabelageral"/>
              <w:jc w:val="left"/>
              <w:rPr>
                <w:rFonts w:cs="Arial"/>
                <w:lang w:val="en-US"/>
              </w:rPr>
            </w:pPr>
            <w:r w:rsidRPr="00B84B0C">
              <w:rPr>
                <w:rFonts w:cs="Arial"/>
                <w:lang w:val="en-US"/>
              </w:rPr>
              <w:t>Current Assets</w:t>
            </w:r>
          </w:p>
        </w:tc>
        <w:tc>
          <w:tcPr>
            <w:tcW w:w="856" w:type="dxa"/>
            <w:tcBorders>
              <w:top w:val="single" w:sz="2" w:space="0" w:color="8EAADB"/>
              <w:bottom w:val="nil"/>
            </w:tcBorders>
            <w:shd w:val="clear" w:color="auto" w:fill="FFFFFF" w:themeFill="background1"/>
            <w:vAlign w:val="center"/>
          </w:tcPr>
          <w:p w14:paraId="0F60E327"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01" w:type="dxa"/>
            <w:tcBorders>
              <w:top w:val="single" w:sz="2" w:space="0" w:color="8EAADB"/>
              <w:bottom w:val="nil"/>
            </w:tcBorders>
            <w:shd w:val="clear" w:color="auto" w:fill="FFFFFF" w:themeFill="background1"/>
            <w:vAlign w:val="center"/>
          </w:tcPr>
          <w:p w14:paraId="12F70BA3"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008" w:type="dxa"/>
            <w:tcBorders>
              <w:top w:val="single" w:sz="2" w:space="0" w:color="8EAADB"/>
              <w:bottom w:val="nil"/>
            </w:tcBorders>
            <w:shd w:val="clear" w:color="auto" w:fill="FFFFFF" w:themeFill="background1"/>
          </w:tcPr>
          <w:p w14:paraId="2A863619"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662,137</w:t>
            </w:r>
          </w:p>
        </w:tc>
        <w:tc>
          <w:tcPr>
            <w:tcW w:w="2009" w:type="dxa"/>
            <w:tcBorders>
              <w:top w:val="single" w:sz="2" w:space="0" w:color="8EAADB"/>
              <w:bottom w:val="nil"/>
            </w:tcBorders>
            <w:shd w:val="clear" w:color="auto" w:fill="FFFFFF" w:themeFill="background1"/>
          </w:tcPr>
          <w:p w14:paraId="79D6144D"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996,720</w:t>
            </w:r>
          </w:p>
        </w:tc>
      </w:tr>
      <w:tr w:rsidR="00081370" w:rsidRPr="00B84B0C" w14:paraId="2D71DA2F" w14:textId="77777777" w:rsidTr="00081370">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4" w:type="dxa"/>
            <w:gridSpan w:val="2"/>
            <w:tcBorders>
              <w:top w:val="nil"/>
              <w:bottom w:val="nil"/>
            </w:tcBorders>
            <w:shd w:val="clear" w:color="auto" w:fill="D9E2F3"/>
          </w:tcPr>
          <w:p w14:paraId="3892CEAF" w14:textId="77777777" w:rsidR="00081370" w:rsidRPr="00B84B0C" w:rsidRDefault="00081370" w:rsidP="00081370">
            <w:pPr>
              <w:pStyle w:val="08-Tabelageral"/>
              <w:jc w:val="left"/>
              <w:rPr>
                <w:rFonts w:cs="Arial"/>
                <w:b w:val="0"/>
                <w:lang w:val="en-US"/>
              </w:rPr>
            </w:pPr>
            <w:r w:rsidRPr="00B84B0C">
              <w:rPr>
                <w:rFonts w:cs="Arial"/>
                <w:b w:val="0"/>
                <w:lang w:val="en-US"/>
              </w:rPr>
              <w:t xml:space="preserve">BB </w:t>
            </w:r>
            <w:proofErr w:type="spellStart"/>
            <w:proofErr w:type="gramStart"/>
            <w:r w:rsidRPr="00B84B0C">
              <w:rPr>
                <w:rFonts w:cs="Arial"/>
                <w:b w:val="0"/>
                <w:lang w:val="en-US"/>
              </w:rPr>
              <w:t>Mapfre</w:t>
            </w:r>
            <w:proofErr w:type="spellEnd"/>
            <w:r w:rsidRPr="00B84B0C">
              <w:rPr>
                <w:rFonts w:cs="Arial"/>
                <w:b w:val="0"/>
                <w:vertAlign w:val="superscript"/>
                <w:lang w:val="en-US"/>
              </w:rPr>
              <w:t>(</w:t>
            </w:r>
            <w:proofErr w:type="gramEnd"/>
            <w:r w:rsidRPr="00B84B0C">
              <w:rPr>
                <w:rFonts w:cs="Arial"/>
                <w:b w:val="0"/>
                <w:vertAlign w:val="superscript"/>
                <w:lang w:val="en-US"/>
              </w:rPr>
              <w:t>1)</w:t>
            </w:r>
          </w:p>
        </w:tc>
        <w:tc>
          <w:tcPr>
            <w:tcW w:w="856" w:type="dxa"/>
            <w:tcBorders>
              <w:top w:val="nil"/>
              <w:bottom w:val="nil"/>
            </w:tcBorders>
            <w:shd w:val="clear" w:color="auto" w:fill="D9E2F3"/>
            <w:vAlign w:val="center"/>
          </w:tcPr>
          <w:p w14:paraId="730FF08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01" w:type="dxa"/>
            <w:tcBorders>
              <w:top w:val="nil"/>
              <w:bottom w:val="nil"/>
            </w:tcBorders>
            <w:shd w:val="clear" w:color="auto" w:fill="D9E2F3"/>
            <w:vAlign w:val="center"/>
          </w:tcPr>
          <w:p w14:paraId="458B6CE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008" w:type="dxa"/>
            <w:tcBorders>
              <w:top w:val="nil"/>
              <w:bottom w:val="nil"/>
            </w:tcBorders>
            <w:shd w:val="clear" w:color="auto" w:fill="D9E2F3"/>
          </w:tcPr>
          <w:p w14:paraId="10DD5EC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600,757</w:t>
            </w:r>
          </w:p>
        </w:tc>
        <w:tc>
          <w:tcPr>
            <w:tcW w:w="2009" w:type="dxa"/>
            <w:tcBorders>
              <w:top w:val="nil"/>
              <w:bottom w:val="nil"/>
            </w:tcBorders>
            <w:shd w:val="clear" w:color="auto" w:fill="D9E2F3"/>
          </w:tcPr>
          <w:p w14:paraId="178A3DC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921,184</w:t>
            </w:r>
          </w:p>
        </w:tc>
      </w:tr>
      <w:tr w:rsidR="00081370" w:rsidRPr="00B84B0C" w14:paraId="2A1492B2" w14:textId="77777777" w:rsidTr="00081370">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4" w:type="dxa"/>
            <w:gridSpan w:val="2"/>
            <w:tcBorders>
              <w:top w:val="nil"/>
              <w:bottom w:val="nil"/>
            </w:tcBorders>
            <w:shd w:val="clear" w:color="auto" w:fill="FFFFFF" w:themeFill="background1"/>
          </w:tcPr>
          <w:p w14:paraId="03CC0875" w14:textId="77777777" w:rsidR="00081370" w:rsidRPr="00B84B0C" w:rsidRDefault="00081370" w:rsidP="00081370">
            <w:pPr>
              <w:pStyle w:val="08-Tabelageral"/>
              <w:jc w:val="left"/>
              <w:rPr>
                <w:rFonts w:cs="Arial"/>
                <w:b w:val="0"/>
                <w:lang w:val="en-US"/>
              </w:rPr>
            </w:pPr>
            <w:proofErr w:type="spellStart"/>
            <w:r w:rsidRPr="00B84B0C">
              <w:rPr>
                <w:rFonts w:cs="Arial"/>
                <w:b w:val="0"/>
                <w:lang w:val="en-US"/>
              </w:rPr>
              <w:t>Mapfre</w:t>
            </w:r>
            <w:proofErr w:type="spellEnd"/>
          </w:p>
        </w:tc>
        <w:tc>
          <w:tcPr>
            <w:tcW w:w="856" w:type="dxa"/>
            <w:tcBorders>
              <w:top w:val="nil"/>
              <w:bottom w:val="nil"/>
            </w:tcBorders>
            <w:shd w:val="clear" w:color="auto" w:fill="FFFFFF" w:themeFill="background1"/>
            <w:vAlign w:val="center"/>
          </w:tcPr>
          <w:p w14:paraId="456D19A4"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01" w:type="dxa"/>
            <w:tcBorders>
              <w:top w:val="nil"/>
              <w:bottom w:val="nil"/>
            </w:tcBorders>
            <w:shd w:val="clear" w:color="auto" w:fill="FFFFFF" w:themeFill="background1"/>
            <w:vAlign w:val="center"/>
          </w:tcPr>
          <w:p w14:paraId="057D77B5"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008" w:type="dxa"/>
            <w:tcBorders>
              <w:top w:val="nil"/>
              <w:bottom w:val="nil"/>
            </w:tcBorders>
            <w:shd w:val="clear" w:color="auto" w:fill="FFFFFF" w:themeFill="background1"/>
          </w:tcPr>
          <w:p w14:paraId="3966070A"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58,265</w:t>
            </w:r>
          </w:p>
        </w:tc>
        <w:tc>
          <w:tcPr>
            <w:tcW w:w="2009" w:type="dxa"/>
            <w:tcBorders>
              <w:top w:val="nil"/>
              <w:bottom w:val="nil"/>
            </w:tcBorders>
            <w:shd w:val="clear" w:color="auto" w:fill="FFFFFF" w:themeFill="background1"/>
          </w:tcPr>
          <w:p w14:paraId="1A28CB86"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63,873</w:t>
            </w:r>
          </w:p>
        </w:tc>
      </w:tr>
      <w:tr w:rsidR="00081370" w:rsidRPr="00B84B0C" w14:paraId="097DECFB" w14:textId="77777777" w:rsidTr="00081370">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4" w:type="dxa"/>
            <w:gridSpan w:val="2"/>
            <w:tcBorders>
              <w:top w:val="nil"/>
              <w:bottom w:val="nil"/>
            </w:tcBorders>
            <w:shd w:val="clear" w:color="auto" w:fill="D9E2F3"/>
          </w:tcPr>
          <w:p w14:paraId="724C8749" w14:textId="77777777" w:rsidR="00081370" w:rsidRPr="00B84B0C" w:rsidRDefault="00081370" w:rsidP="00081370">
            <w:pPr>
              <w:pStyle w:val="08-Tabelageral"/>
              <w:jc w:val="left"/>
              <w:rPr>
                <w:rFonts w:cs="Arial"/>
                <w:b w:val="0"/>
                <w:lang w:val="en-US"/>
              </w:rPr>
            </w:pPr>
            <w:proofErr w:type="spellStart"/>
            <w:r w:rsidRPr="00B84B0C">
              <w:rPr>
                <w:rFonts w:cs="Arial"/>
                <w:b w:val="0"/>
                <w:lang w:val="en-US"/>
              </w:rPr>
              <w:t>Brasilprev</w:t>
            </w:r>
            <w:proofErr w:type="spellEnd"/>
          </w:p>
        </w:tc>
        <w:tc>
          <w:tcPr>
            <w:tcW w:w="856" w:type="dxa"/>
            <w:tcBorders>
              <w:top w:val="nil"/>
              <w:bottom w:val="nil"/>
            </w:tcBorders>
            <w:shd w:val="clear" w:color="auto" w:fill="D9E2F3"/>
            <w:vAlign w:val="center"/>
          </w:tcPr>
          <w:p w14:paraId="7CEEE67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01" w:type="dxa"/>
            <w:tcBorders>
              <w:top w:val="nil"/>
              <w:bottom w:val="nil"/>
            </w:tcBorders>
            <w:shd w:val="clear" w:color="auto" w:fill="D9E2F3"/>
            <w:vAlign w:val="center"/>
          </w:tcPr>
          <w:p w14:paraId="740B5EA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008" w:type="dxa"/>
            <w:tcBorders>
              <w:top w:val="nil"/>
              <w:bottom w:val="nil"/>
            </w:tcBorders>
            <w:shd w:val="clear" w:color="auto" w:fill="D9E2F3"/>
          </w:tcPr>
          <w:p w14:paraId="733C2D1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2,224</w:t>
            </w:r>
          </w:p>
        </w:tc>
        <w:tc>
          <w:tcPr>
            <w:tcW w:w="2009" w:type="dxa"/>
            <w:tcBorders>
              <w:top w:val="nil"/>
              <w:bottom w:val="nil"/>
            </w:tcBorders>
            <w:shd w:val="clear" w:color="auto" w:fill="D9E2F3"/>
          </w:tcPr>
          <w:p w14:paraId="669BFE7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5,114</w:t>
            </w:r>
          </w:p>
        </w:tc>
      </w:tr>
      <w:tr w:rsidR="00081370" w:rsidRPr="00B84B0C" w14:paraId="2DD78653" w14:textId="77777777" w:rsidTr="00081370">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4" w:type="dxa"/>
            <w:gridSpan w:val="2"/>
            <w:tcBorders>
              <w:top w:val="nil"/>
              <w:bottom w:val="nil"/>
            </w:tcBorders>
            <w:shd w:val="clear" w:color="auto" w:fill="FFFFFF" w:themeFill="background1"/>
          </w:tcPr>
          <w:p w14:paraId="3EF9132E" w14:textId="77777777" w:rsidR="00081370" w:rsidRPr="00B84B0C" w:rsidRDefault="00081370" w:rsidP="00081370">
            <w:pPr>
              <w:pStyle w:val="08-Tabelageral"/>
              <w:jc w:val="left"/>
              <w:rPr>
                <w:rFonts w:cs="Arial"/>
                <w:b w:val="0"/>
                <w:lang w:val="en-US"/>
              </w:rPr>
            </w:pPr>
            <w:proofErr w:type="spellStart"/>
            <w:r w:rsidRPr="00B84B0C">
              <w:rPr>
                <w:rFonts w:cs="Arial"/>
                <w:b w:val="0"/>
                <w:lang w:val="en-US"/>
              </w:rPr>
              <w:t>Brasilcap</w:t>
            </w:r>
            <w:proofErr w:type="spellEnd"/>
          </w:p>
        </w:tc>
        <w:tc>
          <w:tcPr>
            <w:tcW w:w="856" w:type="dxa"/>
            <w:tcBorders>
              <w:top w:val="nil"/>
              <w:bottom w:val="nil"/>
            </w:tcBorders>
            <w:shd w:val="clear" w:color="auto" w:fill="FFFFFF" w:themeFill="background1"/>
            <w:vAlign w:val="center"/>
          </w:tcPr>
          <w:p w14:paraId="746195D0"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01" w:type="dxa"/>
            <w:tcBorders>
              <w:top w:val="nil"/>
              <w:bottom w:val="nil"/>
            </w:tcBorders>
            <w:shd w:val="clear" w:color="auto" w:fill="FFFFFF" w:themeFill="background1"/>
            <w:vAlign w:val="center"/>
          </w:tcPr>
          <w:p w14:paraId="5EBD3F0D"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008" w:type="dxa"/>
            <w:tcBorders>
              <w:top w:val="nil"/>
              <w:bottom w:val="nil"/>
            </w:tcBorders>
            <w:shd w:val="clear" w:color="auto" w:fill="FFFFFF" w:themeFill="background1"/>
          </w:tcPr>
          <w:p w14:paraId="1D28C48B"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891</w:t>
            </w:r>
          </w:p>
        </w:tc>
        <w:tc>
          <w:tcPr>
            <w:tcW w:w="2009" w:type="dxa"/>
            <w:tcBorders>
              <w:top w:val="nil"/>
              <w:bottom w:val="nil"/>
            </w:tcBorders>
            <w:shd w:val="clear" w:color="auto" w:fill="FFFFFF" w:themeFill="background1"/>
          </w:tcPr>
          <w:p w14:paraId="4008D4C6"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6,549</w:t>
            </w:r>
          </w:p>
        </w:tc>
      </w:tr>
      <w:tr w:rsidR="00081370" w:rsidRPr="00B84B0C" w14:paraId="376E0561" w14:textId="77777777" w:rsidTr="00081370">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4" w:type="dxa"/>
            <w:gridSpan w:val="2"/>
            <w:tcBorders>
              <w:top w:val="nil"/>
              <w:bottom w:val="nil"/>
            </w:tcBorders>
            <w:shd w:val="clear" w:color="auto" w:fill="D9E2F3"/>
          </w:tcPr>
          <w:p w14:paraId="4048E230" w14:textId="77777777" w:rsidR="00081370" w:rsidRPr="00B84B0C" w:rsidRDefault="00081370" w:rsidP="00081370">
            <w:pPr>
              <w:pStyle w:val="08-Tabelageral"/>
              <w:jc w:val="left"/>
              <w:rPr>
                <w:rFonts w:cs="Arial"/>
                <w:lang w:val="en-US"/>
              </w:rPr>
            </w:pPr>
            <w:r w:rsidRPr="00B84B0C">
              <w:rPr>
                <w:rFonts w:cs="Arial"/>
                <w:lang w:val="en-US"/>
              </w:rPr>
              <w:t>Non-Current Assets</w:t>
            </w:r>
          </w:p>
        </w:tc>
        <w:tc>
          <w:tcPr>
            <w:tcW w:w="856" w:type="dxa"/>
            <w:tcBorders>
              <w:top w:val="nil"/>
              <w:bottom w:val="nil"/>
            </w:tcBorders>
            <w:shd w:val="clear" w:color="auto" w:fill="D9E2F3"/>
            <w:vAlign w:val="center"/>
          </w:tcPr>
          <w:p w14:paraId="471A229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01" w:type="dxa"/>
            <w:tcBorders>
              <w:top w:val="nil"/>
              <w:bottom w:val="nil"/>
            </w:tcBorders>
            <w:shd w:val="clear" w:color="auto" w:fill="D9E2F3"/>
            <w:vAlign w:val="center"/>
          </w:tcPr>
          <w:p w14:paraId="50AD6B1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008" w:type="dxa"/>
            <w:tcBorders>
              <w:top w:val="nil"/>
              <w:bottom w:val="nil"/>
            </w:tcBorders>
            <w:shd w:val="clear" w:color="auto" w:fill="D9E2F3"/>
          </w:tcPr>
          <w:p w14:paraId="27F3588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509,265</w:t>
            </w:r>
          </w:p>
        </w:tc>
        <w:tc>
          <w:tcPr>
            <w:tcW w:w="2009" w:type="dxa"/>
            <w:tcBorders>
              <w:top w:val="nil"/>
              <w:bottom w:val="nil"/>
            </w:tcBorders>
            <w:shd w:val="clear" w:color="auto" w:fill="D9E2F3"/>
          </w:tcPr>
          <w:p w14:paraId="3D9926B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343,595</w:t>
            </w:r>
          </w:p>
        </w:tc>
      </w:tr>
      <w:tr w:rsidR="00081370" w:rsidRPr="00B84B0C" w14:paraId="37AE75BD" w14:textId="77777777" w:rsidTr="00081370">
        <w:trPr>
          <w:cnfStyle w:val="000000010000" w:firstRow="0" w:lastRow="0" w:firstColumn="0" w:lastColumn="0" w:oddVBand="0" w:evenVBand="0" w:oddHBand="0" w:evenHBand="1"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4" w:type="dxa"/>
            <w:gridSpan w:val="2"/>
            <w:tcBorders>
              <w:top w:val="nil"/>
              <w:bottom w:val="nil"/>
            </w:tcBorders>
            <w:shd w:val="clear" w:color="auto" w:fill="FFFFFF" w:themeFill="background1"/>
          </w:tcPr>
          <w:p w14:paraId="12D1331B" w14:textId="77777777" w:rsidR="00081370" w:rsidRPr="00B84B0C" w:rsidRDefault="00081370" w:rsidP="00081370">
            <w:pPr>
              <w:pStyle w:val="08-Tabelageral"/>
              <w:jc w:val="left"/>
              <w:rPr>
                <w:rFonts w:cs="Arial"/>
                <w:b w:val="0"/>
                <w:vertAlign w:val="superscript"/>
                <w:lang w:val="en-US"/>
              </w:rPr>
            </w:pPr>
            <w:r w:rsidRPr="00B84B0C">
              <w:rPr>
                <w:rFonts w:cs="Arial"/>
                <w:b w:val="0"/>
                <w:lang w:val="en-US"/>
              </w:rPr>
              <w:t xml:space="preserve">BB </w:t>
            </w:r>
            <w:proofErr w:type="spellStart"/>
            <w:proofErr w:type="gramStart"/>
            <w:r w:rsidRPr="00B84B0C">
              <w:rPr>
                <w:rFonts w:cs="Arial"/>
                <w:b w:val="0"/>
                <w:lang w:val="en-US"/>
              </w:rPr>
              <w:t>Mapfre</w:t>
            </w:r>
            <w:proofErr w:type="spellEnd"/>
            <w:r w:rsidRPr="00B84B0C">
              <w:rPr>
                <w:rFonts w:cs="Arial"/>
                <w:b w:val="0"/>
                <w:vertAlign w:val="superscript"/>
                <w:lang w:val="en-US"/>
              </w:rPr>
              <w:t>(</w:t>
            </w:r>
            <w:proofErr w:type="gramEnd"/>
            <w:r w:rsidRPr="00B84B0C">
              <w:rPr>
                <w:rFonts w:cs="Arial"/>
                <w:b w:val="0"/>
                <w:vertAlign w:val="superscript"/>
                <w:lang w:val="en-US"/>
              </w:rPr>
              <w:t>1)</w:t>
            </w:r>
          </w:p>
        </w:tc>
        <w:tc>
          <w:tcPr>
            <w:tcW w:w="856" w:type="dxa"/>
            <w:tcBorders>
              <w:top w:val="nil"/>
              <w:bottom w:val="nil"/>
            </w:tcBorders>
            <w:shd w:val="clear" w:color="auto" w:fill="FFFFFF" w:themeFill="background1"/>
            <w:vAlign w:val="center"/>
          </w:tcPr>
          <w:p w14:paraId="7EA2569D"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01" w:type="dxa"/>
            <w:tcBorders>
              <w:top w:val="nil"/>
              <w:bottom w:val="nil"/>
            </w:tcBorders>
            <w:shd w:val="clear" w:color="auto" w:fill="FFFFFF" w:themeFill="background1"/>
            <w:vAlign w:val="center"/>
          </w:tcPr>
          <w:p w14:paraId="34E1D400"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008" w:type="dxa"/>
            <w:tcBorders>
              <w:top w:val="nil"/>
              <w:bottom w:val="nil"/>
            </w:tcBorders>
            <w:shd w:val="clear" w:color="auto" w:fill="FFFFFF" w:themeFill="background1"/>
          </w:tcPr>
          <w:p w14:paraId="568ECD5B"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509,265</w:t>
            </w:r>
          </w:p>
        </w:tc>
        <w:tc>
          <w:tcPr>
            <w:tcW w:w="2009" w:type="dxa"/>
            <w:tcBorders>
              <w:top w:val="nil"/>
              <w:bottom w:val="nil"/>
            </w:tcBorders>
            <w:shd w:val="clear" w:color="auto" w:fill="FFFFFF" w:themeFill="background1"/>
          </w:tcPr>
          <w:p w14:paraId="3F68EF3B"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343,595</w:t>
            </w:r>
          </w:p>
        </w:tc>
      </w:tr>
      <w:tr w:rsidR="00081370" w:rsidRPr="00B84B0C" w14:paraId="21FB351F" w14:textId="77777777" w:rsidTr="00081370">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384" w:type="dxa"/>
            <w:gridSpan w:val="2"/>
            <w:tcBorders>
              <w:top w:val="nil"/>
              <w:bottom w:val="single" w:sz="2" w:space="0" w:color="8EAADB"/>
            </w:tcBorders>
            <w:shd w:val="clear" w:color="auto" w:fill="D9E2F3"/>
          </w:tcPr>
          <w:p w14:paraId="3AE79C31" w14:textId="77777777" w:rsidR="00081370" w:rsidRPr="00B84B0C" w:rsidRDefault="00081370" w:rsidP="00081370">
            <w:pPr>
              <w:pStyle w:val="08-Tabelageral"/>
              <w:jc w:val="left"/>
              <w:rPr>
                <w:rFonts w:cs="Arial"/>
                <w:b w:val="0"/>
                <w:lang w:val="en-US"/>
              </w:rPr>
            </w:pPr>
            <w:r w:rsidRPr="00B84B0C">
              <w:rPr>
                <w:rFonts w:cs="Arial"/>
                <w:lang w:val="en-US"/>
              </w:rPr>
              <w:t>Total</w:t>
            </w:r>
          </w:p>
        </w:tc>
        <w:tc>
          <w:tcPr>
            <w:tcW w:w="856" w:type="dxa"/>
            <w:tcBorders>
              <w:top w:val="nil"/>
              <w:bottom w:val="single" w:sz="2" w:space="0" w:color="8EAADB"/>
            </w:tcBorders>
            <w:shd w:val="clear" w:color="auto" w:fill="D9E2F3"/>
            <w:vAlign w:val="center"/>
          </w:tcPr>
          <w:p w14:paraId="625FD70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401" w:type="dxa"/>
            <w:tcBorders>
              <w:top w:val="nil"/>
              <w:bottom w:val="single" w:sz="2" w:space="0" w:color="8EAADB"/>
            </w:tcBorders>
            <w:shd w:val="clear" w:color="auto" w:fill="D9E2F3"/>
            <w:vAlign w:val="center"/>
          </w:tcPr>
          <w:p w14:paraId="11C9B9A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2008" w:type="dxa"/>
            <w:tcBorders>
              <w:top w:val="nil"/>
              <w:bottom w:val="single" w:sz="2" w:space="0" w:color="8EAADB"/>
            </w:tcBorders>
            <w:shd w:val="clear" w:color="auto" w:fill="D9E2F3"/>
          </w:tcPr>
          <w:p w14:paraId="02E3404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1,171,402</w:t>
            </w:r>
          </w:p>
        </w:tc>
        <w:tc>
          <w:tcPr>
            <w:tcW w:w="2009" w:type="dxa"/>
            <w:tcBorders>
              <w:top w:val="nil"/>
              <w:bottom w:val="single" w:sz="2" w:space="0" w:color="8EAADB"/>
            </w:tcBorders>
            <w:shd w:val="clear" w:color="auto" w:fill="D9E2F3"/>
          </w:tcPr>
          <w:p w14:paraId="63251DF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1,340,315</w:t>
            </w:r>
          </w:p>
        </w:tc>
      </w:tr>
    </w:tbl>
    <w:p w14:paraId="3D31AD12" w14:textId="77777777" w:rsidR="00081370" w:rsidRPr="00B84B0C" w:rsidRDefault="00081370" w:rsidP="00081370">
      <w:pPr>
        <w:pStyle w:val="07-Legenda"/>
        <w:tabs>
          <w:tab w:val="clear" w:pos="284"/>
        </w:tabs>
        <w:ind w:left="0" w:firstLine="0"/>
        <w:rPr>
          <w:rFonts w:cs="Arial"/>
        </w:rPr>
      </w:pPr>
      <w:r w:rsidRPr="00B84B0C">
        <w:rPr>
          <w:rFonts w:cs="Arial"/>
        </w:rPr>
        <w:t xml:space="preserve">(1) </w:t>
      </w:r>
      <w:proofErr w:type="spellStart"/>
      <w:r w:rsidRPr="00B84B0C">
        <w:rPr>
          <w:rFonts w:cs="Arial"/>
        </w:rPr>
        <w:t>On</w:t>
      </w:r>
      <w:proofErr w:type="spellEnd"/>
      <w:r w:rsidRPr="00B84B0C">
        <w:rPr>
          <w:rFonts w:cs="Arial"/>
        </w:rPr>
        <w:t xml:space="preserve"> </w:t>
      </w:r>
      <w:proofErr w:type="spellStart"/>
      <w:r w:rsidRPr="00B84B0C">
        <w:rPr>
          <w:rFonts w:cs="Arial"/>
        </w:rPr>
        <w:t>March</w:t>
      </w:r>
      <w:proofErr w:type="spellEnd"/>
      <w:r w:rsidRPr="00B84B0C">
        <w:rPr>
          <w:rFonts w:cs="Arial"/>
        </w:rPr>
        <w:t xml:space="preserve"> 31, 2020, R$ 125 </w:t>
      </w:r>
      <w:proofErr w:type="spellStart"/>
      <w:r w:rsidRPr="00B84B0C">
        <w:rPr>
          <w:rFonts w:cs="Arial"/>
        </w:rPr>
        <w:t>million</w:t>
      </w:r>
      <w:proofErr w:type="spellEnd"/>
      <w:r w:rsidRPr="00B84B0C">
        <w:rPr>
          <w:rFonts w:cs="Arial"/>
        </w:rPr>
        <w:t xml:space="preserve"> (R$ 446 </w:t>
      </w:r>
      <w:proofErr w:type="spellStart"/>
      <w:r w:rsidRPr="00B84B0C">
        <w:rPr>
          <w:rFonts w:cs="Arial"/>
        </w:rPr>
        <w:t>million</w:t>
      </w:r>
      <w:proofErr w:type="spellEnd"/>
      <w:r w:rsidRPr="00B84B0C">
        <w:rPr>
          <w:rFonts w:cs="Arial"/>
        </w:rPr>
        <w:t xml:space="preserve"> </w:t>
      </w:r>
      <w:proofErr w:type="spellStart"/>
      <w:r w:rsidRPr="00B84B0C">
        <w:rPr>
          <w:rFonts w:cs="Arial"/>
        </w:rPr>
        <w:t>on</w:t>
      </w:r>
      <w:proofErr w:type="spellEnd"/>
      <w:r w:rsidRPr="00B84B0C">
        <w:rPr>
          <w:rFonts w:cs="Arial"/>
        </w:rPr>
        <w:t xml:space="preserve"> </w:t>
      </w:r>
      <w:proofErr w:type="spellStart"/>
      <w:r w:rsidRPr="00B84B0C">
        <w:rPr>
          <w:rFonts w:cs="Arial"/>
        </w:rPr>
        <w:t>December</w:t>
      </w:r>
      <w:proofErr w:type="spellEnd"/>
      <w:r w:rsidRPr="00B84B0C">
        <w:rPr>
          <w:rFonts w:cs="Arial"/>
        </w:rPr>
        <w:t xml:space="preserve"> 31, 2019), </w:t>
      </w:r>
      <w:proofErr w:type="spellStart"/>
      <w:r w:rsidRPr="00B84B0C">
        <w:rPr>
          <w:rFonts w:cs="Arial"/>
        </w:rPr>
        <w:t>refers</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additional</w:t>
      </w:r>
      <w:proofErr w:type="spellEnd"/>
      <w:r w:rsidRPr="00B84B0C">
        <w:rPr>
          <w:rFonts w:cs="Arial"/>
        </w:rPr>
        <w:t xml:space="preserve"> </w:t>
      </w:r>
      <w:proofErr w:type="spellStart"/>
      <w:r w:rsidRPr="00B84B0C">
        <w:rPr>
          <w:rFonts w:cs="Arial"/>
        </w:rPr>
        <w:t>commission</w:t>
      </w:r>
      <w:proofErr w:type="spellEnd"/>
      <w:r w:rsidRPr="00B84B0C">
        <w:rPr>
          <w:rFonts w:cs="Arial"/>
        </w:rPr>
        <w:t xml:space="preserve"> as per </w:t>
      </w:r>
      <w:proofErr w:type="spellStart"/>
      <w:r w:rsidRPr="00B84B0C">
        <w:rPr>
          <w:rFonts w:cs="Arial"/>
        </w:rPr>
        <w:t>restructuring</w:t>
      </w:r>
      <w:proofErr w:type="spellEnd"/>
      <w:r w:rsidRPr="00B84B0C">
        <w:rPr>
          <w:rFonts w:cs="Arial"/>
        </w:rPr>
        <w:t xml:space="preserve"> </w:t>
      </w:r>
      <w:proofErr w:type="spellStart"/>
      <w:r w:rsidRPr="00B84B0C">
        <w:rPr>
          <w:rFonts w:cs="Arial"/>
        </w:rPr>
        <w:t>agreement</w:t>
      </w:r>
      <w:proofErr w:type="spellEnd"/>
      <w:r w:rsidRPr="00B84B0C">
        <w:rPr>
          <w:rFonts w:cs="Arial"/>
        </w:rPr>
        <w:t xml:space="preserve"> </w:t>
      </w:r>
      <w:proofErr w:type="spellStart"/>
      <w:r w:rsidRPr="00B84B0C">
        <w:rPr>
          <w:rFonts w:cs="Arial"/>
        </w:rPr>
        <w:t>described</w:t>
      </w:r>
      <w:proofErr w:type="spellEnd"/>
      <w:r w:rsidRPr="00B84B0C">
        <w:rPr>
          <w:rFonts w:cs="Arial"/>
        </w:rPr>
        <w:t xml:space="preserve"> </w:t>
      </w:r>
      <w:proofErr w:type="gramStart"/>
      <w:r w:rsidRPr="00B84B0C">
        <w:rPr>
          <w:rFonts w:cs="Arial"/>
        </w:rPr>
        <w:t>in Note</w:t>
      </w:r>
      <w:proofErr w:type="gramEnd"/>
      <w:r w:rsidRPr="00B84B0C">
        <w:rPr>
          <w:rFonts w:cs="Arial"/>
        </w:rPr>
        <w:t xml:space="preserve"> 2.</w:t>
      </w:r>
    </w:p>
    <w:p w14:paraId="35C957F8" w14:textId="77777777" w:rsidR="00081370" w:rsidRPr="00B84B0C" w:rsidRDefault="00081370" w:rsidP="00081370">
      <w:pPr>
        <w:pStyle w:val="07-Legenda"/>
        <w:tabs>
          <w:tab w:val="clear" w:pos="284"/>
        </w:tabs>
        <w:ind w:left="0" w:firstLine="0"/>
        <w:rPr>
          <w:rFonts w:cs="Arial"/>
        </w:rPr>
      </w:pPr>
    </w:p>
    <w:p w14:paraId="08408310" w14:textId="77777777" w:rsidR="00081370" w:rsidRPr="00B84B0C" w:rsidRDefault="00081370" w:rsidP="00081370">
      <w:pPr>
        <w:pStyle w:val="07-Legenda"/>
        <w:rPr>
          <w:rFonts w:cs="Arial"/>
          <w:sz w:val="18"/>
          <w:lang w:val="en-US"/>
        </w:rPr>
      </w:pPr>
      <w:r w:rsidRPr="00B84B0C">
        <w:rPr>
          <w:rFonts w:cs="Arial"/>
          <w:sz w:val="18"/>
          <w:lang w:val="en-US"/>
        </w:rPr>
        <w:t xml:space="preserve">There </w:t>
      </w:r>
      <w:proofErr w:type="gramStart"/>
      <w:r w:rsidRPr="00B84B0C">
        <w:rPr>
          <w:rFonts w:cs="Arial"/>
          <w:sz w:val="18"/>
          <w:lang w:val="en-US"/>
        </w:rPr>
        <w:t>are</w:t>
      </w:r>
      <w:proofErr w:type="gramEnd"/>
      <w:r w:rsidRPr="00B84B0C">
        <w:rPr>
          <w:rFonts w:cs="Arial"/>
          <w:sz w:val="18"/>
          <w:lang w:val="en-US"/>
        </w:rPr>
        <w:t xml:space="preserve"> no amount of </w:t>
      </w:r>
      <w:proofErr w:type="spellStart"/>
      <w:r w:rsidRPr="00B84B0C">
        <w:rPr>
          <w:rFonts w:cs="Arial"/>
          <w:sz w:val="18"/>
          <w:lang w:val="en-US"/>
        </w:rPr>
        <w:t>comissions</w:t>
      </w:r>
      <w:proofErr w:type="spellEnd"/>
      <w:r w:rsidRPr="00B84B0C">
        <w:rPr>
          <w:rFonts w:cs="Arial"/>
          <w:sz w:val="18"/>
          <w:lang w:val="en-US"/>
        </w:rPr>
        <w:t xml:space="preserve"> receivable in parent.</w:t>
      </w:r>
    </w:p>
    <w:p w14:paraId="2DF0B89B" w14:textId="77777777" w:rsidR="00081370" w:rsidRPr="00B84B0C" w:rsidRDefault="00081370" w:rsidP="00081370">
      <w:pPr>
        <w:pStyle w:val="07-Legenda"/>
        <w:rPr>
          <w:rFonts w:cs="Arial"/>
          <w:sz w:val="18"/>
          <w:lang w:val="en-US"/>
        </w:rPr>
      </w:pPr>
    </w:p>
    <w:p w14:paraId="06E6EA34" w14:textId="77777777" w:rsidR="00081370" w:rsidRPr="00B84B0C" w:rsidRDefault="00081370" w:rsidP="00081370">
      <w:pPr>
        <w:pStyle w:val="07-Legenda"/>
        <w:rPr>
          <w:rFonts w:cs="Arial"/>
          <w:sz w:val="18"/>
          <w:lang w:val="en-US"/>
        </w:rPr>
      </w:pPr>
      <w:proofErr w:type="spellStart"/>
      <w:r w:rsidRPr="00B84B0C">
        <w:rPr>
          <w:rFonts w:cs="Arial"/>
          <w:sz w:val="18"/>
          <w:lang w:val="en-US"/>
        </w:rPr>
        <w:t>Comissions</w:t>
      </w:r>
      <w:proofErr w:type="spellEnd"/>
      <w:r w:rsidRPr="00B84B0C">
        <w:rPr>
          <w:rFonts w:cs="Arial"/>
          <w:sz w:val="18"/>
          <w:lang w:val="en-US"/>
        </w:rPr>
        <w:t xml:space="preserve"> Receivables are classified as financial assets valued at amortized cost, as described in Note 4.</w:t>
      </w:r>
    </w:p>
    <w:p w14:paraId="1600E49B" w14:textId="004D6AD0" w:rsidR="005D1684" w:rsidRPr="00B84B0C" w:rsidRDefault="005D1684" w:rsidP="005D1684">
      <w:pPr>
        <w:pStyle w:val="07-Legenda"/>
        <w:shd w:val="clear" w:color="auto" w:fill="FFFFFF" w:themeFill="background1"/>
        <w:tabs>
          <w:tab w:val="clear" w:pos="284"/>
          <w:tab w:val="left" w:pos="0"/>
          <w:tab w:val="left" w:pos="3686"/>
        </w:tabs>
        <w:rPr>
          <w:rFonts w:cs="Arial"/>
        </w:rPr>
      </w:pPr>
    </w:p>
    <w:p w14:paraId="79481E6B" w14:textId="78877982" w:rsidR="000D0507" w:rsidRPr="000D0507" w:rsidRDefault="000D0507" w:rsidP="000D0507">
      <w:pPr>
        <w:pStyle w:val="02-TtulodeNota"/>
        <w:rPr>
          <w:color w:val="1F4E79" w:themeColor="accent1" w:themeShade="80"/>
        </w:rPr>
      </w:pPr>
      <w:bookmarkStart w:id="27" w:name="_Toc39131498"/>
      <w:r w:rsidRPr="000D0507">
        <w:rPr>
          <w:color w:val="1F4E79" w:themeColor="accent1" w:themeShade="80"/>
        </w:rPr>
        <w:t>14 – OTHER ASSETS</w:t>
      </w:r>
      <w:bookmarkStart w:id="28" w:name="_Toc28866213"/>
      <w:bookmarkEnd w:id="27"/>
    </w:p>
    <w:bookmarkEnd w:id="28"/>
    <w:p w14:paraId="5EC3E7E1" w14:textId="77777777" w:rsidR="000D0507" w:rsidRDefault="000D0507" w:rsidP="00EE495F">
      <w:pPr>
        <w:pStyle w:val="06-Rmil"/>
        <w:rPr>
          <w:rFonts w:cs="Arial"/>
        </w:rPr>
      </w:pPr>
      <w:r w:rsidRPr="002C48EB">
        <w:rPr>
          <w:rFonts w:cs="Arial"/>
        </w:rPr>
        <w:t xml:space="preserve">R$ </w:t>
      </w:r>
      <w:proofErr w:type="spellStart"/>
      <w:r w:rsidRPr="002C48EB">
        <w:rPr>
          <w:rFonts w:cs="Arial"/>
        </w:rPr>
        <w:t>thousand</w:t>
      </w:r>
      <w:proofErr w:type="spellEnd"/>
    </w:p>
    <w:tbl>
      <w:tblPr>
        <w:tblStyle w:val="TabeladeLista6Colorida-nfase510"/>
        <w:tblW w:w="9639" w:type="dxa"/>
        <w:tblInd w:w="108" w:type="dxa"/>
        <w:shd w:val="clear" w:color="auto" w:fill="D9E2F3"/>
        <w:tblLook w:val="04A0" w:firstRow="1" w:lastRow="0" w:firstColumn="1" w:lastColumn="0" w:noHBand="0" w:noVBand="1"/>
      </w:tblPr>
      <w:tblGrid>
        <w:gridCol w:w="2986"/>
        <w:gridCol w:w="604"/>
        <w:gridCol w:w="1411"/>
        <w:gridCol w:w="1412"/>
        <w:gridCol w:w="283"/>
        <w:gridCol w:w="1417"/>
        <w:gridCol w:w="1526"/>
      </w:tblGrid>
      <w:tr w:rsidR="000D0507" w14:paraId="18B2052F" w14:textId="77777777" w:rsidTr="000D0507">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vAlign w:val="center"/>
          </w:tcPr>
          <w:p w14:paraId="1CA38A11" w14:textId="77777777" w:rsidR="000D0507" w:rsidRPr="001D6BE8" w:rsidRDefault="000D0507" w:rsidP="001D6BE8">
            <w:pPr>
              <w:jc w:val="center"/>
              <w:rPr>
                <w:rFonts w:cs="Arial"/>
                <w:b w:val="0"/>
                <w:szCs w:val="18"/>
              </w:rPr>
            </w:pPr>
          </w:p>
        </w:tc>
        <w:tc>
          <w:tcPr>
            <w:tcW w:w="604" w:type="dxa"/>
            <w:tcBorders>
              <w:top w:val="single" w:sz="2" w:space="0" w:color="8EAADB" w:themeColor="accent5" w:themeTint="99"/>
              <w:bottom w:val="nil"/>
            </w:tcBorders>
            <w:shd w:val="clear" w:color="auto" w:fill="D9E2F3"/>
          </w:tcPr>
          <w:p w14:paraId="48F47429" w14:textId="77777777" w:rsidR="000D0507" w:rsidRPr="001D6BE8" w:rsidRDefault="000D0507" w:rsidP="001D6BE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23" w:type="dxa"/>
            <w:gridSpan w:val="2"/>
            <w:tcBorders>
              <w:top w:val="single" w:sz="2" w:space="0" w:color="8EAADB" w:themeColor="accent5" w:themeTint="99"/>
              <w:bottom w:val="single" w:sz="2" w:space="0" w:color="8EAADB" w:themeColor="accent5" w:themeTint="99"/>
            </w:tcBorders>
            <w:shd w:val="clear" w:color="auto" w:fill="D9E2F3"/>
            <w:vAlign w:val="center"/>
          </w:tcPr>
          <w:p w14:paraId="65191565" w14:textId="77777777" w:rsidR="000D0507" w:rsidRPr="0038031F" w:rsidRDefault="000D0507" w:rsidP="0038031F">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EE495F">
              <w:rPr>
                <w:rFonts w:cs="Arial"/>
                <w:sz w:val="14"/>
                <w:szCs w:val="18"/>
              </w:rPr>
              <w:t>Parent</w:t>
            </w:r>
            <w:proofErr w:type="spellEnd"/>
          </w:p>
        </w:tc>
        <w:tc>
          <w:tcPr>
            <w:tcW w:w="283" w:type="dxa"/>
            <w:tcBorders>
              <w:top w:val="single" w:sz="2" w:space="0" w:color="8EAADB" w:themeColor="accent5" w:themeTint="99"/>
              <w:bottom w:val="nil"/>
            </w:tcBorders>
            <w:shd w:val="clear" w:color="auto" w:fill="D9E2F3"/>
          </w:tcPr>
          <w:p w14:paraId="0E56AEFE" w14:textId="77777777" w:rsidR="000D0507" w:rsidRPr="001D6BE8" w:rsidRDefault="000D0507" w:rsidP="001D6BE8">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43" w:type="dxa"/>
            <w:gridSpan w:val="2"/>
            <w:tcBorders>
              <w:top w:val="single" w:sz="2" w:space="0" w:color="8EAADB" w:themeColor="accent5" w:themeTint="99"/>
              <w:bottom w:val="single" w:sz="2" w:space="0" w:color="8EAADB" w:themeColor="accent5" w:themeTint="99"/>
            </w:tcBorders>
            <w:shd w:val="clear" w:color="auto" w:fill="D9E2F3"/>
            <w:vAlign w:val="center"/>
          </w:tcPr>
          <w:p w14:paraId="2E83FDF2" w14:textId="77777777" w:rsidR="000D0507" w:rsidRPr="0038031F" w:rsidRDefault="000D0507" w:rsidP="0038031F">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EE495F">
              <w:rPr>
                <w:rFonts w:cs="Arial"/>
                <w:sz w:val="14"/>
                <w:szCs w:val="18"/>
              </w:rPr>
              <w:t>Consolidated</w:t>
            </w:r>
            <w:proofErr w:type="spellEnd"/>
          </w:p>
        </w:tc>
      </w:tr>
      <w:tr w:rsidR="000D0507" w:rsidRPr="001D6BE8" w14:paraId="6790683E" w14:textId="77777777" w:rsidTr="000D050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shd w:val="clear" w:color="auto" w:fill="D9E2F3"/>
          </w:tcPr>
          <w:p w14:paraId="007D8E81" w14:textId="77777777" w:rsidR="000D0507" w:rsidRPr="001D6BE8" w:rsidRDefault="000D0507" w:rsidP="00290C4E">
            <w:pPr>
              <w:pStyle w:val="08-Tabelageral"/>
              <w:rPr>
                <w:rFonts w:cs="Arial"/>
                <w:b w:val="0"/>
              </w:rPr>
            </w:pPr>
          </w:p>
        </w:tc>
        <w:tc>
          <w:tcPr>
            <w:tcW w:w="604" w:type="dxa"/>
            <w:tcBorders>
              <w:top w:val="nil"/>
              <w:bottom w:val="single" w:sz="2" w:space="0" w:color="8EAADB" w:themeColor="accent5" w:themeTint="99"/>
            </w:tcBorders>
            <w:shd w:val="clear" w:color="auto" w:fill="D9E2F3"/>
          </w:tcPr>
          <w:p w14:paraId="6BD0A7B4" w14:textId="77777777" w:rsidR="000D0507" w:rsidRPr="001D6BE8" w:rsidRDefault="000D0507" w:rsidP="00290C4E">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shd w:val="clear" w:color="auto" w:fill="D9E2F3"/>
            <w:vAlign w:val="center"/>
          </w:tcPr>
          <w:p w14:paraId="3EBE911D" w14:textId="77777777" w:rsidR="000D0507" w:rsidRPr="001D6BE8" w:rsidRDefault="000D0507" w:rsidP="004F4BAF">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Mar</w:t>
            </w:r>
            <w:r w:rsidRPr="00EE495F">
              <w:rPr>
                <w:rFonts w:cs="Arial"/>
                <w:b/>
              </w:rPr>
              <w:t xml:space="preserve"> 3</w:t>
            </w:r>
            <w:r>
              <w:rPr>
                <w:rFonts w:cs="Arial"/>
                <w:b/>
              </w:rPr>
              <w:t>1</w:t>
            </w:r>
            <w:r w:rsidRPr="00EE495F">
              <w:rPr>
                <w:rFonts w:cs="Arial"/>
                <w:b/>
              </w:rPr>
              <w:t>, 2</w:t>
            </w:r>
            <w:r>
              <w:rPr>
                <w:rFonts w:cs="Arial"/>
                <w:b/>
              </w:rPr>
              <w:t>020</w:t>
            </w:r>
          </w:p>
        </w:tc>
        <w:tc>
          <w:tcPr>
            <w:tcW w:w="1412" w:type="dxa"/>
            <w:tcBorders>
              <w:top w:val="single" w:sz="2" w:space="0" w:color="8EAADB" w:themeColor="accent5" w:themeTint="99"/>
              <w:bottom w:val="single" w:sz="2" w:space="0" w:color="8EAADB" w:themeColor="accent5" w:themeTint="99"/>
            </w:tcBorders>
            <w:shd w:val="clear" w:color="auto" w:fill="D9E2F3"/>
            <w:vAlign w:val="center"/>
          </w:tcPr>
          <w:p w14:paraId="2FD1DA21" w14:textId="77777777" w:rsidR="000D0507" w:rsidRPr="001D6BE8" w:rsidRDefault="000D0507" w:rsidP="00217676">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EE495F">
              <w:rPr>
                <w:rFonts w:cs="Arial"/>
                <w:b/>
              </w:rPr>
              <w:t>Dec</w:t>
            </w:r>
            <w:proofErr w:type="spellEnd"/>
            <w:r w:rsidRPr="00EE495F">
              <w:rPr>
                <w:rFonts w:cs="Arial"/>
                <w:b/>
              </w:rPr>
              <w:t xml:space="preserve"> 31, 201</w:t>
            </w:r>
            <w:r>
              <w:rPr>
                <w:rFonts w:cs="Arial"/>
                <w:b/>
              </w:rPr>
              <w:t>9</w:t>
            </w:r>
          </w:p>
        </w:tc>
        <w:tc>
          <w:tcPr>
            <w:tcW w:w="283" w:type="dxa"/>
            <w:tcBorders>
              <w:top w:val="nil"/>
              <w:bottom w:val="single" w:sz="2" w:space="0" w:color="8EAADB" w:themeColor="accent5" w:themeTint="99"/>
            </w:tcBorders>
            <w:shd w:val="clear" w:color="auto" w:fill="D9E2F3"/>
            <w:vAlign w:val="center"/>
          </w:tcPr>
          <w:p w14:paraId="20AA009A" w14:textId="77777777" w:rsidR="000D0507" w:rsidRPr="001D6BE8" w:rsidRDefault="000D0507" w:rsidP="00290C4E">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shd w:val="clear" w:color="auto" w:fill="D9E2F3"/>
            <w:vAlign w:val="center"/>
          </w:tcPr>
          <w:p w14:paraId="34E5DAE7" w14:textId="77777777" w:rsidR="000D0507" w:rsidRPr="001D6BE8" w:rsidRDefault="000D0507" w:rsidP="004F4BAF">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Mar</w:t>
            </w:r>
            <w:r w:rsidRPr="00EE495F">
              <w:rPr>
                <w:rFonts w:cs="Arial"/>
                <w:b/>
              </w:rPr>
              <w:t xml:space="preserve"> 3</w:t>
            </w:r>
            <w:r>
              <w:rPr>
                <w:rFonts w:cs="Arial"/>
                <w:b/>
              </w:rPr>
              <w:t>1</w:t>
            </w:r>
            <w:r w:rsidRPr="00EE495F">
              <w:rPr>
                <w:rFonts w:cs="Arial"/>
                <w:b/>
              </w:rPr>
              <w:t>, 20</w:t>
            </w:r>
            <w:r>
              <w:rPr>
                <w:rFonts w:cs="Arial"/>
                <w:b/>
              </w:rPr>
              <w:t>20</w:t>
            </w:r>
          </w:p>
        </w:tc>
        <w:tc>
          <w:tcPr>
            <w:tcW w:w="1526" w:type="dxa"/>
            <w:tcBorders>
              <w:top w:val="single" w:sz="2" w:space="0" w:color="8EAADB" w:themeColor="accent5" w:themeTint="99"/>
              <w:bottom w:val="single" w:sz="2" w:space="0" w:color="8EAADB" w:themeColor="accent5" w:themeTint="99"/>
            </w:tcBorders>
            <w:shd w:val="clear" w:color="auto" w:fill="D9E2F3"/>
            <w:vAlign w:val="center"/>
          </w:tcPr>
          <w:p w14:paraId="710BAA47" w14:textId="77777777" w:rsidR="000D0507" w:rsidRPr="001D6BE8" w:rsidRDefault="000D0507" w:rsidP="000B1578">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EE495F">
              <w:rPr>
                <w:rFonts w:cs="Arial"/>
                <w:b/>
              </w:rPr>
              <w:t>Dec</w:t>
            </w:r>
            <w:proofErr w:type="spellEnd"/>
            <w:r w:rsidRPr="00EE495F">
              <w:rPr>
                <w:rFonts w:cs="Arial"/>
                <w:b/>
              </w:rPr>
              <w:t xml:space="preserve"> 31, 201</w:t>
            </w:r>
            <w:r>
              <w:rPr>
                <w:rFonts w:cs="Arial"/>
                <w:b/>
              </w:rPr>
              <w:t>9</w:t>
            </w:r>
          </w:p>
        </w:tc>
      </w:tr>
      <w:tr w:rsidR="000D0507" w:rsidRPr="00677F0F" w14:paraId="20F4A917" w14:textId="77777777" w:rsidTr="000D050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auto"/>
          </w:tcPr>
          <w:p w14:paraId="29FBF581" w14:textId="77777777" w:rsidR="000D0507" w:rsidRPr="00677F0F" w:rsidRDefault="000D0507" w:rsidP="00972860">
            <w:pPr>
              <w:pStyle w:val="08-Tabelageral"/>
              <w:jc w:val="left"/>
              <w:rPr>
                <w:rFonts w:cs="Arial"/>
                <w:bCs w:val="0"/>
                <w:szCs w:val="14"/>
              </w:rPr>
            </w:pPr>
            <w:proofErr w:type="spellStart"/>
            <w:r w:rsidRPr="00EE495F">
              <w:rPr>
                <w:rFonts w:cs="Arial"/>
                <w:szCs w:val="14"/>
              </w:rPr>
              <w:t>Current</w:t>
            </w:r>
            <w:proofErr w:type="spellEnd"/>
            <w:r w:rsidRPr="00EE495F">
              <w:rPr>
                <w:rFonts w:cs="Arial"/>
                <w:szCs w:val="14"/>
              </w:rPr>
              <w:t xml:space="preserve"> </w:t>
            </w:r>
            <w:proofErr w:type="spellStart"/>
            <w:r w:rsidRPr="00EE495F">
              <w:rPr>
                <w:rFonts w:cs="Arial"/>
                <w:szCs w:val="14"/>
              </w:rPr>
              <w:t>Assets</w:t>
            </w:r>
            <w:proofErr w:type="spellEnd"/>
          </w:p>
        </w:tc>
        <w:tc>
          <w:tcPr>
            <w:tcW w:w="604" w:type="dxa"/>
            <w:tcBorders>
              <w:top w:val="single" w:sz="2" w:space="0" w:color="8EAADB" w:themeColor="accent5" w:themeTint="99"/>
              <w:bottom w:val="nil"/>
            </w:tcBorders>
            <w:shd w:val="clear" w:color="auto" w:fill="auto"/>
            <w:vAlign w:val="center"/>
          </w:tcPr>
          <w:p w14:paraId="42062DAE" w14:textId="77777777" w:rsidR="000D0507" w:rsidRPr="00677F0F" w:rsidRDefault="000D0507" w:rsidP="0097286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single" w:sz="2" w:space="0" w:color="8EAADB" w:themeColor="accent5" w:themeTint="99"/>
              <w:bottom w:val="nil"/>
            </w:tcBorders>
            <w:shd w:val="clear" w:color="auto" w:fill="auto"/>
            <w:vAlign w:val="center"/>
          </w:tcPr>
          <w:p w14:paraId="0213418F"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11,585</w:t>
            </w:r>
          </w:p>
        </w:tc>
        <w:tc>
          <w:tcPr>
            <w:tcW w:w="1412" w:type="dxa"/>
            <w:tcBorders>
              <w:top w:val="single" w:sz="2" w:space="0" w:color="8EAADB" w:themeColor="accent5" w:themeTint="99"/>
              <w:bottom w:val="nil"/>
            </w:tcBorders>
            <w:shd w:val="clear" w:color="auto" w:fill="auto"/>
            <w:vAlign w:val="center"/>
          </w:tcPr>
          <w:p w14:paraId="37C6BA28"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8,865</w:t>
            </w:r>
          </w:p>
        </w:tc>
        <w:tc>
          <w:tcPr>
            <w:tcW w:w="283" w:type="dxa"/>
            <w:tcBorders>
              <w:top w:val="single" w:sz="2" w:space="0" w:color="8EAADB" w:themeColor="accent5" w:themeTint="99"/>
              <w:bottom w:val="nil"/>
            </w:tcBorders>
            <w:shd w:val="clear" w:color="auto" w:fill="auto"/>
            <w:vAlign w:val="center"/>
          </w:tcPr>
          <w:p w14:paraId="5DE054A4"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single" w:sz="2" w:space="0" w:color="8EAADB" w:themeColor="accent5" w:themeTint="99"/>
              <w:bottom w:val="nil"/>
            </w:tcBorders>
            <w:shd w:val="clear" w:color="auto" w:fill="auto"/>
            <w:vAlign w:val="center"/>
          </w:tcPr>
          <w:p w14:paraId="021C0CB2"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7,581</w:t>
            </w:r>
          </w:p>
        </w:tc>
        <w:tc>
          <w:tcPr>
            <w:tcW w:w="1526" w:type="dxa"/>
            <w:tcBorders>
              <w:top w:val="single" w:sz="2" w:space="0" w:color="8EAADB" w:themeColor="accent5" w:themeTint="99"/>
              <w:bottom w:val="nil"/>
            </w:tcBorders>
            <w:shd w:val="clear" w:color="auto" w:fill="auto"/>
            <w:vAlign w:val="center"/>
          </w:tcPr>
          <w:p w14:paraId="091FB879"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2,057</w:t>
            </w:r>
          </w:p>
        </w:tc>
      </w:tr>
      <w:tr w:rsidR="000D0507" w:rsidRPr="0066151E" w14:paraId="2C5965FE" w14:textId="77777777" w:rsidTr="000D050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shd w:val="clear" w:color="auto" w:fill="D9E2F3"/>
          </w:tcPr>
          <w:p w14:paraId="6507AB7D" w14:textId="77777777" w:rsidR="000D0507" w:rsidRPr="007F23A9" w:rsidRDefault="000D0507" w:rsidP="00972860">
            <w:pPr>
              <w:pStyle w:val="08-Tabelageral"/>
              <w:ind w:left="113"/>
              <w:jc w:val="left"/>
              <w:rPr>
                <w:rFonts w:cs="Arial"/>
                <w:b w:val="0"/>
                <w:szCs w:val="14"/>
              </w:rPr>
            </w:pPr>
            <w:proofErr w:type="spellStart"/>
            <w:r w:rsidRPr="007F23A9">
              <w:rPr>
                <w:rFonts w:cs="Arial"/>
                <w:b w:val="0"/>
                <w:szCs w:val="14"/>
              </w:rPr>
              <w:t>Receivables</w:t>
            </w:r>
            <w:proofErr w:type="spellEnd"/>
            <w:r w:rsidRPr="007F23A9">
              <w:rPr>
                <w:rFonts w:cs="Arial"/>
                <w:b w:val="0"/>
                <w:szCs w:val="14"/>
              </w:rPr>
              <w:t xml:space="preserve"> </w:t>
            </w:r>
            <w:proofErr w:type="spellStart"/>
            <w:r w:rsidRPr="007F23A9">
              <w:rPr>
                <w:rFonts w:cs="Arial"/>
                <w:b w:val="0"/>
                <w:szCs w:val="14"/>
              </w:rPr>
              <w:t>from</w:t>
            </w:r>
            <w:proofErr w:type="spellEnd"/>
            <w:r w:rsidRPr="007F23A9">
              <w:rPr>
                <w:rFonts w:cs="Arial"/>
                <w:b w:val="0"/>
                <w:szCs w:val="14"/>
              </w:rPr>
              <w:t xml:space="preserve"> </w:t>
            </w:r>
            <w:proofErr w:type="spellStart"/>
            <w:r w:rsidRPr="007F23A9">
              <w:rPr>
                <w:rFonts w:cs="Arial"/>
                <w:b w:val="0"/>
                <w:szCs w:val="14"/>
              </w:rPr>
              <w:t>related</w:t>
            </w:r>
            <w:proofErr w:type="spellEnd"/>
            <w:r w:rsidRPr="007F23A9">
              <w:rPr>
                <w:rFonts w:cs="Arial"/>
                <w:b w:val="0"/>
                <w:szCs w:val="14"/>
              </w:rPr>
              <w:t xml:space="preserve"> </w:t>
            </w:r>
            <w:proofErr w:type="spellStart"/>
            <w:r w:rsidRPr="007F23A9">
              <w:rPr>
                <w:rFonts w:cs="Arial"/>
                <w:b w:val="0"/>
                <w:szCs w:val="14"/>
              </w:rPr>
              <w:t>companies</w:t>
            </w:r>
            <w:proofErr w:type="spellEnd"/>
          </w:p>
        </w:tc>
        <w:tc>
          <w:tcPr>
            <w:tcW w:w="604" w:type="dxa"/>
            <w:tcBorders>
              <w:top w:val="nil"/>
              <w:bottom w:val="nil"/>
            </w:tcBorders>
            <w:shd w:val="clear" w:color="auto" w:fill="D9E2F3"/>
            <w:vAlign w:val="center"/>
          </w:tcPr>
          <w:p w14:paraId="724ACAB0" w14:textId="77777777" w:rsidR="000D0507" w:rsidRPr="0066151E" w:rsidRDefault="000D0507" w:rsidP="0097286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D9E2F3"/>
            <w:vAlign w:val="center"/>
          </w:tcPr>
          <w:p w14:paraId="3A4EB63A" w14:textId="77777777" w:rsidR="000D0507" w:rsidRPr="0066151E"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66151E">
              <w:rPr>
                <w:rFonts w:cs="Arial"/>
                <w:szCs w:val="14"/>
              </w:rPr>
              <w:t>5,765</w:t>
            </w:r>
          </w:p>
        </w:tc>
        <w:tc>
          <w:tcPr>
            <w:tcW w:w="1412" w:type="dxa"/>
            <w:tcBorders>
              <w:top w:val="nil"/>
              <w:bottom w:val="nil"/>
            </w:tcBorders>
            <w:shd w:val="clear" w:color="auto" w:fill="D9E2F3"/>
            <w:vAlign w:val="center"/>
          </w:tcPr>
          <w:p w14:paraId="78B1A54F" w14:textId="77777777" w:rsidR="000D0507" w:rsidRPr="0066151E"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66151E">
              <w:rPr>
                <w:rFonts w:cs="Arial"/>
                <w:szCs w:val="14"/>
              </w:rPr>
              <w:t>7,194</w:t>
            </w:r>
          </w:p>
        </w:tc>
        <w:tc>
          <w:tcPr>
            <w:tcW w:w="283" w:type="dxa"/>
            <w:tcBorders>
              <w:top w:val="nil"/>
              <w:bottom w:val="nil"/>
            </w:tcBorders>
            <w:shd w:val="clear" w:color="auto" w:fill="D9E2F3"/>
            <w:vAlign w:val="center"/>
          </w:tcPr>
          <w:p w14:paraId="521FCA86" w14:textId="77777777" w:rsidR="000D0507" w:rsidRPr="0066151E"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28A95637" w14:textId="77777777" w:rsidR="000D0507" w:rsidRPr="0066151E"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66151E">
              <w:rPr>
                <w:rFonts w:cs="Arial"/>
                <w:szCs w:val="14"/>
              </w:rPr>
              <w:t>--</w:t>
            </w:r>
          </w:p>
        </w:tc>
        <w:tc>
          <w:tcPr>
            <w:tcW w:w="1526" w:type="dxa"/>
            <w:tcBorders>
              <w:top w:val="nil"/>
              <w:bottom w:val="nil"/>
            </w:tcBorders>
            <w:shd w:val="clear" w:color="auto" w:fill="D9E2F3"/>
            <w:vAlign w:val="center"/>
          </w:tcPr>
          <w:p w14:paraId="035D462A" w14:textId="77777777" w:rsidR="000D0507" w:rsidRPr="0066151E"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66151E">
              <w:rPr>
                <w:rFonts w:cs="Arial"/>
                <w:szCs w:val="14"/>
              </w:rPr>
              <w:t>--</w:t>
            </w:r>
          </w:p>
        </w:tc>
      </w:tr>
      <w:tr w:rsidR="000D0507" w:rsidRPr="001D6BE8" w14:paraId="0F203FC4" w14:textId="77777777" w:rsidTr="000D050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shd w:val="clear" w:color="auto" w:fill="auto"/>
          </w:tcPr>
          <w:p w14:paraId="7CAA859B" w14:textId="77777777" w:rsidR="000D0507" w:rsidRPr="007F23A9" w:rsidRDefault="000D0507" w:rsidP="00972860">
            <w:pPr>
              <w:pStyle w:val="08-Tabelageral"/>
              <w:ind w:left="113"/>
              <w:jc w:val="left"/>
              <w:rPr>
                <w:rFonts w:cs="Arial"/>
                <w:b w:val="0"/>
                <w:szCs w:val="14"/>
              </w:rPr>
            </w:pPr>
            <w:proofErr w:type="spellStart"/>
            <w:r w:rsidRPr="007F23A9">
              <w:rPr>
                <w:rFonts w:cs="Arial"/>
                <w:b w:val="0"/>
                <w:szCs w:val="14"/>
              </w:rPr>
              <w:t>Receivables</w:t>
            </w:r>
            <w:proofErr w:type="spellEnd"/>
            <w:r w:rsidRPr="007F23A9">
              <w:rPr>
                <w:rFonts w:cs="Arial"/>
                <w:b w:val="0"/>
                <w:szCs w:val="14"/>
              </w:rPr>
              <w:t xml:space="preserve"> </w:t>
            </w:r>
            <w:proofErr w:type="spellStart"/>
            <w:r w:rsidRPr="007F23A9">
              <w:rPr>
                <w:rFonts w:cs="Arial"/>
                <w:b w:val="0"/>
                <w:szCs w:val="14"/>
              </w:rPr>
              <w:t>from</w:t>
            </w:r>
            <w:proofErr w:type="spellEnd"/>
            <w:r w:rsidRPr="007F23A9">
              <w:rPr>
                <w:rFonts w:cs="Arial"/>
                <w:b w:val="0"/>
                <w:szCs w:val="14"/>
              </w:rPr>
              <w:t xml:space="preserve"> ADR</w:t>
            </w:r>
          </w:p>
        </w:tc>
        <w:tc>
          <w:tcPr>
            <w:tcW w:w="604" w:type="dxa"/>
            <w:tcBorders>
              <w:top w:val="nil"/>
              <w:bottom w:val="nil"/>
            </w:tcBorders>
            <w:shd w:val="clear" w:color="auto" w:fill="auto"/>
            <w:vAlign w:val="center"/>
          </w:tcPr>
          <w:p w14:paraId="34D47E53" w14:textId="77777777" w:rsidR="000D0507" w:rsidRPr="0066151E" w:rsidRDefault="000D0507" w:rsidP="00972860">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shd w:val="clear" w:color="auto" w:fill="auto"/>
            <w:vAlign w:val="center"/>
          </w:tcPr>
          <w:p w14:paraId="56FF0919" w14:textId="77777777" w:rsidR="000D0507" w:rsidRPr="0066151E" w:rsidRDefault="000D0507" w:rsidP="0097286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66151E">
              <w:rPr>
                <w:rFonts w:cs="Arial"/>
                <w:szCs w:val="14"/>
              </w:rPr>
              <w:t>5,811</w:t>
            </w:r>
          </w:p>
        </w:tc>
        <w:tc>
          <w:tcPr>
            <w:tcW w:w="1412" w:type="dxa"/>
            <w:tcBorders>
              <w:top w:val="nil"/>
              <w:bottom w:val="nil"/>
            </w:tcBorders>
            <w:shd w:val="clear" w:color="auto" w:fill="auto"/>
            <w:vAlign w:val="center"/>
          </w:tcPr>
          <w:p w14:paraId="110CE0D9" w14:textId="77777777" w:rsidR="000D0507" w:rsidRPr="0066151E" w:rsidRDefault="000D0507" w:rsidP="0097286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66151E">
              <w:rPr>
                <w:rFonts w:cs="Arial"/>
                <w:szCs w:val="14"/>
              </w:rPr>
              <w:t>1,665</w:t>
            </w:r>
          </w:p>
        </w:tc>
        <w:tc>
          <w:tcPr>
            <w:tcW w:w="283" w:type="dxa"/>
            <w:tcBorders>
              <w:top w:val="nil"/>
              <w:bottom w:val="nil"/>
            </w:tcBorders>
            <w:shd w:val="clear" w:color="auto" w:fill="auto"/>
            <w:vAlign w:val="center"/>
          </w:tcPr>
          <w:p w14:paraId="361A935D" w14:textId="77777777" w:rsidR="000D0507" w:rsidRPr="0066151E" w:rsidRDefault="000D0507" w:rsidP="0097286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349428E8" w14:textId="77777777" w:rsidR="000D0507" w:rsidRDefault="000D0507" w:rsidP="007D29EB">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5,811</w:t>
            </w:r>
          </w:p>
        </w:tc>
        <w:tc>
          <w:tcPr>
            <w:tcW w:w="1526" w:type="dxa"/>
            <w:tcBorders>
              <w:top w:val="nil"/>
              <w:bottom w:val="nil"/>
            </w:tcBorders>
            <w:shd w:val="clear" w:color="auto" w:fill="auto"/>
            <w:vAlign w:val="center"/>
          </w:tcPr>
          <w:p w14:paraId="32F2291E" w14:textId="77777777" w:rsidR="000D0507" w:rsidRDefault="000D0507" w:rsidP="007D29EB">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1,665</w:t>
            </w:r>
          </w:p>
        </w:tc>
      </w:tr>
      <w:tr w:rsidR="000D0507" w:rsidRPr="001D6BE8" w14:paraId="7F30B6B8" w14:textId="77777777" w:rsidTr="000D050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shd w:val="clear" w:color="auto" w:fill="D9E2F3"/>
          </w:tcPr>
          <w:p w14:paraId="633AE9D7" w14:textId="77777777" w:rsidR="000D0507" w:rsidRPr="007F23A9" w:rsidRDefault="000D0507" w:rsidP="00972860">
            <w:pPr>
              <w:pStyle w:val="08-Tabelageral"/>
              <w:ind w:left="113"/>
              <w:jc w:val="left"/>
              <w:rPr>
                <w:rFonts w:cs="Arial"/>
                <w:b w:val="0"/>
                <w:szCs w:val="14"/>
              </w:rPr>
            </w:pPr>
            <w:r w:rsidRPr="007F23A9">
              <w:rPr>
                <w:rFonts w:cs="Arial"/>
                <w:b w:val="0"/>
                <w:szCs w:val="14"/>
              </w:rPr>
              <w:t>Other</w:t>
            </w:r>
          </w:p>
        </w:tc>
        <w:tc>
          <w:tcPr>
            <w:tcW w:w="604" w:type="dxa"/>
            <w:tcBorders>
              <w:top w:val="nil"/>
              <w:bottom w:val="nil"/>
            </w:tcBorders>
            <w:shd w:val="clear" w:color="auto" w:fill="D9E2F3"/>
            <w:vAlign w:val="center"/>
          </w:tcPr>
          <w:p w14:paraId="6629BA50" w14:textId="77777777" w:rsidR="000D0507" w:rsidRPr="00C806B0" w:rsidRDefault="000D0507" w:rsidP="0097286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D9E2F3"/>
            <w:vAlign w:val="center"/>
          </w:tcPr>
          <w:p w14:paraId="69DD8DC4" w14:textId="77777777" w:rsidR="000D0507"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9</w:t>
            </w:r>
          </w:p>
        </w:tc>
        <w:tc>
          <w:tcPr>
            <w:tcW w:w="1412" w:type="dxa"/>
            <w:tcBorders>
              <w:top w:val="nil"/>
              <w:bottom w:val="nil"/>
            </w:tcBorders>
            <w:shd w:val="clear" w:color="auto" w:fill="D9E2F3"/>
            <w:vAlign w:val="center"/>
          </w:tcPr>
          <w:p w14:paraId="739477F5" w14:textId="77777777" w:rsidR="000D0507"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6</w:t>
            </w:r>
          </w:p>
        </w:tc>
        <w:tc>
          <w:tcPr>
            <w:tcW w:w="283" w:type="dxa"/>
            <w:tcBorders>
              <w:top w:val="nil"/>
              <w:bottom w:val="nil"/>
            </w:tcBorders>
            <w:shd w:val="clear" w:color="auto" w:fill="D9E2F3"/>
            <w:vAlign w:val="center"/>
          </w:tcPr>
          <w:p w14:paraId="21CAF774" w14:textId="77777777" w:rsidR="000D0507" w:rsidRPr="00C806B0"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0283E3F4" w14:textId="77777777" w:rsidR="000D0507" w:rsidRDefault="000D0507" w:rsidP="007D29EB">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1,770</w:t>
            </w:r>
          </w:p>
        </w:tc>
        <w:tc>
          <w:tcPr>
            <w:tcW w:w="1526" w:type="dxa"/>
            <w:tcBorders>
              <w:top w:val="nil"/>
              <w:bottom w:val="nil"/>
            </w:tcBorders>
            <w:shd w:val="clear" w:color="auto" w:fill="D9E2F3"/>
            <w:vAlign w:val="center"/>
          </w:tcPr>
          <w:p w14:paraId="18CCADB5" w14:textId="77777777" w:rsidR="000D0507" w:rsidRDefault="000D0507" w:rsidP="007D29EB">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392</w:t>
            </w:r>
          </w:p>
        </w:tc>
      </w:tr>
      <w:tr w:rsidR="000D0507" w:rsidRPr="00677F0F" w14:paraId="542D88A5" w14:textId="77777777" w:rsidTr="000D050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shd w:val="clear" w:color="auto" w:fill="auto"/>
          </w:tcPr>
          <w:p w14:paraId="0ADEAA02" w14:textId="77777777" w:rsidR="000D0507" w:rsidRPr="00677F0F" w:rsidRDefault="000D0507" w:rsidP="00972860">
            <w:pPr>
              <w:pStyle w:val="08-Tabelageral"/>
              <w:jc w:val="left"/>
              <w:rPr>
                <w:rFonts w:cs="Arial"/>
                <w:szCs w:val="14"/>
              </w:rPr>
            </w:pPr>
            <w:r w:rsidRPr="00EE495F">
              <w:rPr>
                <w:rFonts w:cs="Arial"/>
                <w:szCs w:val="14"/>
              </w:rPr>
              <w:t>Non-</w:t>
            </w:r>
            <w:proofErr w:type="spellStart"/>
            <w:r w:rsidRPr="00EE495F">
              <w:rPr>
                <w:rFonts w:cs="Arial"/>
                <w:szCs w:val="14"/>
              </w:rPr>
              <w:t>Current</w:t>
            </w:r>
            <w:proofErr w:type="spellEnd"/>
            <w:r w:rsidRPr="00EE495F">
              <w:rPr>
                <w:rFonts w:cs="Arial"/>
                <w:szCs w:val="14"/>
              </w:rPr>
              <w:t xml:space="preserve"> </w:t>
            </w:r>
            <w:proofErr w:type="spellStart"/>
            <w:r w:rsidRPr="00EE495F">
              <w:rPr>
                <w:rFonts w:cs="Arial"/>
                <w:szCs w:val="14"/>
              </w:rPr>
              <w:t>Assets</w:t>
            </w:r>
            <w:proofErr w:type="spellEnd"/>
          </w:p>
        </w:tc>
        <w:tc>
          <w:tcPr>
            <w:tcW w:w="604" w:type="dxa"/>
            <w:tcBorders>
              <w:top w:val="nil"/>
              <w:bottom w:val="nil"/>
            </w:tcBorders>
            <w:shd w:val="clear" w:color="auto" w:fill="auto"/>
            <w:vAlign w:val="center"/>
          </w:tcPr>
          <w:p w14:paraId="1B2CB744" w14:textId="77777777" w:rsidR="000D0507" w:rsidRPr="00677F0F" w:rsidRDefault="000D0507" w:rsidP="00972860">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nil"/>
            </w:tcBorders>
            <w:shd w:val="clear" w:color="auto" w:fill="auto"/>
            <w:vAlign w:val="center"/>
          </w:tcPr>
          <w:p w14:paraId="1D7F6972"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43</w:t>
            </w:r>
          </w:p>
        </w:tc>
        <w:tc>
          <w:tcPr>
            <w:tcW w:w="1412" w:type="dxa"/>
            <w:tcBorders>
              <w:top w:val="nil"/>
              <w:bottom w:val="nil"/>
            </w:tcBorders>
            <w:shd w:val="clear" w:color="auto" w:fill="auto"/>
            <w:vAlign w:val="center"/>
          </w:tcPr>
          <w:p w14:paraId="3BFD07AA"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44</w:t>
            </w:r>
          </w:p>
        </w:tc>
        <w:tc>
          <w:tcPr>
            <w:tcW w:w="283" w:type="dxa"/>
            <w:tcBorders>
              <w:top w:val="nil"/>
              <w:bottom w:val="nil"/>
            </w:tcBorders>
            <w:shd w:val="clear" w:color="auto" w:fill="auto"/>
            <w:vAlign w:val="center"/>
          </w:tcPr>
          <w:p w14:paraId="751BE902"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bottom w:val="nil"/>
            </w:tcBorders>
            <w:shd w:val="clear" w:color="auto" w:fill="auto"/>
            <w:vAlign w:val="center"/>
          </w:tcPr>
          <w:p w14:paraId="4AC6F347"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205,049</w:t>
            </w:r>
          </w:p>
        </w:tc>
        <w:tc>
          <w:tcPr>
            <w:tcW w:w="1526" w:type="dxa"/>
            <w:tcBorders>
              <w:top w:val="nil"/>
              <w:bottom w:val="nil"/>
            </w:tcBorders>
            <w:shd w:val="clear" w:color="auto" w:fill="auto"/>
            <w:vAlign w:val="center"/>
          </w:tcPr>
          <w:p w14:paraId="4D6FC6E1" w14:textId="77777777" w:rsidR="000D0507" w:rsidRPr="00677F0F" w:rsidRDefault="000D0507" w:rsidP="0097286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203,916</w:t>
            </w:r>
          </w:p>
        </w:tc>
      </w:tr>
      <w:tr w:rsidR="000D0507" w:rsidRPr="001D6BE8" w14:paraId="1D7603DB" w14:textId="77777777" w:rsidTr="000D050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shd w:val="clear" w:color="auto" w:fill="D9E2F3"/>
          </w:tcPr>
          <w:p w14:paraId="71DFF2C9" w14:textId="77777777" w:rsidR="000D0507" w:rsidRPr="007F23A9" w:rsidRDefault="000D0507" w:rsidP="00972860">
            <w:pPr>
              <w:pStyle w:val="08-Tabelageral"/>
              <w:ind w:left="113"/>
              <w:jc w:val="left"/>
              <w:rPr>
                <w:rFonts w:cs="Arial"/>
                <w:b w:val="0"/>
                <w:szCs w:val="14"/>
              </w:rPr>
            </w:pPr>
            <w:r w:rsidRPr="007F23A9">
              <w:rPr>
                <w:rFonts w:cs="Arial"/>
                <w:b w:val="0"/>
                <w:szCs w:val="14"/>
              </w:rPr>
              <w:t xml:space="preserve">Judicial </w:t>
            </w:r>
            <w:proofErr w:type="spellStart"/>
            <w:r w:rsidRPr="007F23A9">
              <w:rPr>
                <w:rFonts w:cs="Arial"/>
                <w:b w:val="0"/>
                <w:szCs w:val="14"/>
              </w:rPr>
              <w:t>deposits</w:t>
            </w:r>
            <w:proofErr w:type="spellEnd"/>
          </w:p>
        </w:tc>
        <w:tc>
          <w:tcPr>
            <w:tcW w:w="604" w:type="dxa"/>
            <w:tcBorders>
              <w:top w:val="nil"/>
              <w:bottom w:val="nil"/>
            </w:tcBorders>
            <w:shd w:val="clear" w:color="auto" w:fill="D9E2F3"/>
            <w:vAlign w:val="center"/>
          </w:tcPr>
          <w:p w14:paraId="377208D9" w14:textId="77777777" w:rsidR="000D0507" w:rsidRPr="00C806B0" w:rsidRDefault="000D0507" w:rsidP="00972860">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D9E2F3"/>
            <w:vAlign w:val="center"/>
          </w:tcPr>
          <w:p w14:paraId="2CCA422D" w14:textId="77777777" w:rsidR="000D0507" w:rsidRPr="00C806B0"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412" w:type="dxa"/>
            <w:tcBorders>
              <w:top w:val="nil"/>
              <w:bottom w:val="nil"/>
            </w:tcBorders>
            <w:shd w:val="clear" w:color="auto" w:fill="D9E2F3"/>
            <w:vAlign w:val="center"/>
          </w:tcPr>
          <w:p w14:paraId="66598DEA" w14:textId="77777777" w:rsidR="000D0507" w:rsidRPr="00C806B0"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283" w:type="dxa"/>
            <w:tcBorders>
              <w:top w:val="nil"/>
              <w:bottom w:val="nil"/>
            </w:tcBorders>
            <w:shd w:val="clear" w:color="auto" w:fill="D9E2F3"/>
            <w:vAlign w:val="center"/>
          </w:tcPr>
          <w:p w14:paraId="14A6347C" w14:textId="77777777" w:rsidR="000D0507" w:rsidRPr="00C806B0"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473830CB" w14:textId="77777777" w:rsidR="000D0507" w:rsidRPr="00C806B0" w:rsidRDefault="000D0507" w:rsidP="00685C5C">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205,006</w:t>
            </w:r>
          </w:p>
        </w:tc>
        <w:tc>
          <w:tcPr>
            <w:tcW w:w="1526" w:type="dxa"/>
            <w:tcBorders>
              <w:top w:val="nil"/>
              <w:bottom w:val="nil"/>
            </w:tcBorders>
            <w:shd w:val="clear" w:color="auto" w:fill="D9E2F3"/>
            <w:vAlign w:val="center"/>
          </w:tcPr>
          <w:p w14:paraId="51B4BAFB" w14:textId="77777777" w:rsidR="000D0507" w:rsidRPr="00C806B0" w:rsidRDefault="000D0507" w:rsidP="0097286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203,872</w:t>
            </w:r>
          </w:p>
        </w:tc>
      </w:tr>
      <w:tr w:rsidR="000D0507" w:rsidRPr="001D6BE8" w14:paraId="5F8DF14B" w14:textId="77777777" w:rsidTr="000D0507">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shd w:val="clear" w:color="auto" w:fill="auto"/>
          </w:tcPr>
          <w:p w14:paraId="537EA5C6" w14:textId="77777777" w:rsidR="000D0507" w:rsidRPr="007F23A9" w:rsidRDefault="000D0507" w:rsidP="00972860">
            <w:pPr>
              <w:pStyle w:val="08-Tabelageral"/>
              <w:ind w:left="113"/>
              <w:jc w:val="left"/>
              <w:rPr>
                <w:rFonts w:cs="Arial"/>
                <w:b w:val="0"/>
                <w:szCs w:val="14"/>
                <w:vertAlign w:val="superscript"/>
              </w:rPr>
            </w:pPr>
            <w:proofErr w:type="spellStart"/>
            <w:r w:rsidRPr="007F23A9">
              <w:rPr>
                <w:rFonts w:cs="Arial"/>
                <w:b w:val="0"/>
                <w:szCs w:val="14"/>
              </w:rPr>
              <w:t>Fixed</w:t>
            </w:r>
            <w:proofErr w:type="spellEnd"/>
            <w:r w:rsidRPr="007F23A9">
              <w:rPr>
                <w:rFonts w:cs="Arial"/>
                <w:b w:val="0"/>
                <w:szCs w:val="14"/>
              </w:rPr>
              <w:t xml:space="preserve"> </w:t>
            </w:r>
            <w:proofErr w:type="spellStart"/>
            <w:r w:rsidRPr="007F23A9">
              <w:rPr>
                <w:rFonts w:cs="Arial"/>
                <w:b w:val="0"/>
                <w:szCs w:val="14"/>
              </w:rPr>
              <w:t>asset</w:t>
            </w:r>
            <w:proofErr w:type="spellEnd"/>
            <w:r w:rsidRPr="007F23A9">
              <w:rPr>
                <w:rFonts w:cs="Arial"/>
                <w:b w:val="0"/>
                <w:szCs w:val="14"/>
              </w:rPr>
              <w:t xml:space="preserve"> </w:t>
            </w:r>
            <w:r w:rsidRPr="007F23A9">
              <w:rPr>
                <w:rFonts w:cs="Arial"/>
                <w:b w:val="0"/>
                <w:szCs w:val="14"/>
                <w:vertAlign w:val="superscript"/>
              </w:rPr>
              <w:t>(1)</w:t>
            </w:r>
          </w:p>
        </w:tc>
        <w:tc>
          <w:tcPr>
            <w:tcW w:w="604" w:type="dxa"/>
            <w:tcBorders>
              <w:top w:val="nil"/>
              <w:bottom w:val="nil"/>
            </w:tcBorders>
            <w:shd w:val="clear" w:color="auto" w:fill="auto"/>
            <w:vAlign w:val="center"/>
          </w:tcPr>
          <w:p w14:paraId="3CAA8621" w14:textId="77777777" w:rsidR="000D0507" w:rsidRPr="00C806B0" w:rsidRDefault="000D0507" w:rsidP="00972860">
            <w:pPr>
              <w:pStyle w:val="08-Tabelageral"/>
              <w:ind w:left="113"/>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shd w:val="clear" w:color="auto" w:fill="auto"/>
            <w:vAlign w:val="center"/>
          </w:tcPr>
          <w:p w14:paraId="74E87AB9" w14:textId="77777777" w:rsidR="000D0507" w:rsidRPr="00C806B0" w:rsidRDefault="000D0507" w:rsidP="0097286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43</w:t>
            </w:r>
          </w:p>
        </w:tc>
        <w:tc>
          <w:tcPr>
            <w:tcW w:w="1412" w:type="dxa"/>
            <w:tcBorders>
              <w:top w:val="nil"/>
              <w:bottom w:val="nil"/>
            </w:tcBorders>
            <w:shd w:val="clear" w:color="auto" w:fill="auto"/>
            <w:vAlign w:val="center"/>
          </w:tcPr>
          <w:p w14:paraId="15B90A23" w14:textId="77777777" w:rsidR="000D0507" w:rsidRPr="00C806B0" w:rsidRDefault="000D0507" w:rsidP="0097286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w:t>
            </w:r>
          </w:p>
        </w:tc>
        <w:tc>
          <w:tcPr>
            <w:tcW w:w="283" w:type="dxa"/>
            <w:tcBorders>
              <w:top w:val="nil"/>
              <w:bottom w:val="nil"/>
            </w:tcBorders>
            <w:shd w:val="clear" w:color="auto" w:fill="auto"/>
            <w:vAlign w:val="center"/>
          </w:tcPr>
          <w:p w14:paraId="76C6AF29" w14:textId="77777777" w:rsidR="000D0507" w:rsidRPr="00C806B0" w:rsidRDefault="000D0507" w:rsidP="0097286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3F3ABEEA" w14:textId="77777777" w:rsidR="000D0507" w:rsidRPr="00C806B0" w:rsidRDefault="000D0507" w:rsidP="0097286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43</w:t>
            </w:r>
          </w:p>
        </w:tc>
        <w:tc>
          <w:tcPr>
            <w:tcW w:w="1526" w:type="dxa"/>
            <w:tcBorders>
              <w:top w:val="nil"/>
              <w:bottom w:val="nil"/>
            </w:tcBorders>
            <w:shd w:val="clear" w:color="auto" w:fill="auto"/>
            <w:vAlign w:val="center"/>
          </w:tcPr>
          <w:p w14:paraId="4BBAFD22" w14:textId="77777777" w:rsidR="000D0507" w:rsidRPr="00C806B0" w:rsidRDefault="000D0507" w:rsidP="00972860">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44</w:t>
            </w:r>
          </w:p>
        </w:tc>
      </w:tr>
      <w:tr w:rsidR="000D0507" w:rsidRPr="00EB16D4" w14:paraId="1EF7640E" w14:textId="77777777" w:rsidTr="000D0507">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shd w:val="clear" w:color="auto" w:fill="D9E2F3"/>
          </w:tcPr>
          <w:p w14:paraId="636EB252" w14:textId="77777777" w:rsidR="000D0507" w:rsidRPr="00EB16D4" w:rsidRDefault="000D0507" w:rsidP="00972860">
            <w:pPr>
              <w:pStyle w:val="08-Tabelageral"/>
              <w:jc w:val="left"/>
              <w:rPr>
                <w:rFonts w:cs="Arial"/>
              </w:rPr>
            </w:pPr>
            <w:r w:rsidRPr="00EB16D4">
              <w:rPr>
                <w:rFonts w:cs="Arial"/>
              </w:rPr>
              <w:t xml:space="preserve">Total </w:t>
            </w:r>
          </w:p>
          <w:p w14:paraId="28BBD918" w14:textId="77777777" w:rsidR="000D0507" w:rsidRPr="00EB16D4" w:rsidRDefault="000D0507" w:rsidP="00972860">
            <w:pPr>
              <w:pStyle w:val="08-Tabelageral"/>
              <w:jc w:val="left"/>
              <w:rPr>
                <w:rFonts w:cs="Arial"/>
                <w:szCs w:val="14"/>
              </w:rPr>
            </w:pPr>
          </w:p>
        </w:tc>
        <w:tc>
          <w:tcPr>
            <w:tcW w:w="604" w:type="dxa"/>
            <w:tcBorders>
              <w:top w:val="nil"/>
              <w:bottom w:val="single" w:sz="2" w:space="0" w:color="8EAADB" w:themeColor="accent5" w:themeTint="99"/>
            </w:tcBorders>
            <w:shd w:val="clear" w:color="auto" w:fill="D9E2F3"/>
            <w:vAlign w:val="center"/>
          </w:tcPr>
          <w:p w14:paraId="4984375F" w14:textId="77777777" w:rsidR="000D0507" w:rsidRPr="00EB16D4" w:rsidRDefault="000D0507" w:rsidP="00972860">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single" w:sz="2" w:space="0" w:color="8EAADB" w:themeColor="accent5" w:themeTint="99"/>
            </w:tcBorders>
            <w:shd w:val="clear" w:color="auto" w:fill="D9E2F3"/>
            <w:vAlign w:val="center"/>
          </w:tcPr>
          <w:p w14:paraId="704D268E" w14:textId="77777777" w:rsidR="000D0507" w:rsidRPr="00EB16D4" w:rsidRDefault="000D0507" w:rsidP="0097286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11,628</w:t>
            </w:r>
          </w:p>
        </w:tc>
        <w:tc>
          <w:tcPr>
            <w:tcW w:w="1412" w:type="dxa"/>
            <w:tcBorders>
              <w:top w:val="nil"/>
              <w:bottom w:val="single" w:sz="2" w:space="0" w:color="8EAADB" w:themeColor="accent5" w:themeTint="99"/>
            </w:tcBorders>
            <w:shd w:val="clear" w:color="auto" w:fill="D9E2F3"/>
            <w:vAlign w:val="center"/>
          </w:tcPr>
          <w:p w14:paraId="5ACCF6C4" w14:textId="77777777" w:rsidR="000D0507" w:rsidRPr="00EB16D4" w:rsidRDefault="000D0507" w:rsidP="0097286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8,909</w:t>
            </w:r>
          </w:p>
        </w:tc>
        <w:tc>
          <w:tcPr>
            <w:tcW w:w="283" w:type="dxa"/>
            <w:tcBorders>
              <w:top w:val="nil"/>
              <w:bottom w:val="single" w:sz="2" w:space="0" w:color="8EAADB" w:themeColor="accent5" w:themeTint="99"/>
            </w:tcBorders>
            <w:shd w:val="clear" w:color="auto" w:fill="D9E2F3"/>
            <w:vAlign w:val="center"/>
          </w:tcPr>
          <w:p w14:paraId="0423ADAD" w14:textId="77777777" w:rsidR="000D0507" w:rsidRPr="00EB16D4" w:rsidRDefault="000D0507" w:rsidP="0097286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single" w:sz="2" w:space="0" w:color="8EAADB" w:themeColor="accent5" w:themeTint="99"/>
            </w:tcBorders>
            <w:shd w:val="clear" w:color="auto" w:fill="D9E2F3"/>
            <w:vAlign w:val="center"/>
          </w:tcPr>
          <w:p w14:paraId="67CA6B9C" w14:textId="77777777" w:rsidR="000D0507" w:rsidRPr="00EB16D4" w:rsidRDefault="000D0507" w:rsidP="0097286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212,630</w:t>
            </w:r>
          </w:p>
        </w:tc>
        <w:tc>
          <w:tcPr>
            <w:tcW w:w="1526" w:type="dxa"/>
            <w:tcBorders>
              <w:top w:val="nil"/>
              <w:bottom w:val="single" w:sz="2" w:space="0" w:color="8EAADB" w:themeColor="accent5" w:themeTint="99"/>
            </w:tcBorders>
            <w:shd w:val="clear" w:color="auto" w:fill="D9E2F3"/>
            <w:vAlign w:val="center"/>
          </w:tcPr>
          <w:p w14:paraId="5B8F2E7D" w14:textId="77777777" w:rsidR="000D0507" w:rsidRPr="00EB16D4" w:rsidRDefault="000D0507" w:rsidP="0097286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205,973</w:t>
            </w:r>
          </w:p>
        </w:tc>
      </w:tr>
    </w:tbl>
    <w:p w14:paraId="13C61D1E" w14:textId="77777777" w:rsidR="000D0507" w:rsidRPr="000D0507" w:rsidRDefault="000D0507" w:rsidP="000D0507">
      <w:pPr>
        <w:pStyle w:val="07-Legenda"/>
        <w:numPr>
          <w:ilvl w:val="0"/>
          <w:numId w:val="9"/>
        </w:numPr>
        <w:ind w:left="-142" w:firstLine="142"/>
        <w:rPr>
          <w:szCs w:val="14"/>
        </w:rPr>
      </w:pPr>
      <w:r w:rsidRPr="000D0507">
        <w:rPr>
          <w:rStyle w:val="tlid-translation"/>
          <w:szCs w:val="14"/>
          <w:lang w:val="en"/>
        </w:rPr>
        <w:t>Acquisition of computers in the amount of R$ 54 thousand (depreciation of R$ 11 thousand).</w:t>
      </w:r>
    </w:p>
    <w:p w14:paraId="3257CBEF" w14:textId="77777777" w:rsidR="000D0507" w:rsidRDefault="000D0507">
      <w:pPr>
        <w:rPr>
          <w:rFonts w:cs="Arial"/>
          <w:b/>
          <w:color w:val="1F4E79" w:themeColor="accent1" w:themeShade="80"/>
          <w:szCs w:val="18"/>
        </w:rPr>
      </w:pPr>
    </w:p>
    <w:p w14:paraId="51D550B9" w14:textId="17F04B5A" w:rsidR="00081370" w:rsidRPr="00B84B0C" w:rsidRDefault="00081370" w:rsidP="00081370">
      <w:pPr>
        <w:spacing w:before="120" w:after="120"/>
        <w:jc w:val="both"/>
        <w:rPr>
          <w:rFonts w:cs="Arial"/>
          <w:b/>
          <w:color w:val="1F4E79"/>
          <w:spacing w:val="-2"/>
        </w:rPr>
      </w:pPr>
    </w:p>
    <w:p w14:paraId="7F86B793" w14:textId="77777777" w:rsidR="00081370" w:rsidRPr="00B84B0C" w:rsidRDefault="00081370" w:rsidP="000D0507">
      <w:pPr>
        <w:pStyle w:val="02-TtulodeNota"/>
        <w:keepNext/>
        <w:keepLines/>
        <w:pageBreakBefore/>
        <w:rPr>
          <w:rFonts w:cs="Arial"/>
          <w:color w:val="1F4E79" w:themeColor="accent1" w:themeShade="80"/>
          <w:lang w:val="en-US"/>
        </w:rPr>
      </w:pPr>
      <w:bookmarkStart w:id="29" w:name="_Toc39131499"/>
      <w:r w:rsidRPr="00B84B0C">
        <w:rPr>
          <w:rFonts w:cs="Arial"/>
          <w:color w:val="1F4E79" w:themeColor="accent1" w:themeShade="80"/>
          <w:lang w:val="en-US"/>
        </w:rPr>
        <w:lastRenderedPageBreak/>
        <w:t>15 – CORPORATE AND STATUTORY OBLIGATIONS</w:t>
      </w:r>
      <w:bookmarkEnd w:id="29"/>
    </w:p>
    <w:p w14:paraId="6E3D7198" w14:textId="77777777" w:rsidR="00081370" w:rsidRPr="00B84B0C" w:rsidRDefault="00081370" w:rsidP="00081370">
      <w:pPr>
        <w:pStyle w:val="01-TtulodeNota"/>
        <w:spacing w:before="0" w:after="0"/>
        <w:jc w:val="right"/>
        <w:rPr>
          <w:rFonts w:cs="Arial"/>
          <w:sz w:val="14"/>
          <w:szCs w:val="14"/>
          <w:lang w:val="en-US"/>
        </w:rPr>
      </w:pPr>
      <w:r w:rsidRPr="00B84B0C">
        <w:rPr>
          <w:rFonts w:cs="Arial"/>
          <w:sz w:val="14"/>
          <w:szCs w:val="14"/>
          <w:lang w:val="en-US"/>
        </w:rPr>
        <w:t>R$ thousand</w:t>
      </w:r>
    </w:p>
    <w:tbl>
      <w:tblPr>
        <w:tblStyle w:val="TabeladeLista6Colorida-nfase510"/>
        <w:tblW w:w="9639" w:type="dxa"/>
        <w:tblInd w:w="108" w:type="dxa"/>
        <w:tblLook w:val="04A0" w:firstRow="1" w:lastRow="0" w:firstColumn="1" w:lastColumn="0" w:noHBand="0" w:noVBand="1"/>
      </w:tblPr>
      <w:tblGrid>
        <w:gridCol w:w="850"/>
        <w:gridCol w:w="2244"/>
        <w:gridCol w:w="604"/>
        <w:gridCol w:w="1411"/>
        <w:gridCol w:w="1412"/>
        <w:gridCol w:w="283"/>
        <w:gridCol w:w="1417"/>
        <w:gridCol w:w="1418"/>
      </w:tblGrid>
      <w:tr w:rsidR="00081370" w:rsidRPr="00B84B0C" w14:paraId="08410179"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8EAADB"/>
              <w:bottom w:val="nil"/>
            </w:tcBorders>
            <w:shd w:val="clear" w:color="auto" w:fill="D9E2F3"/>
          </w:tcPr>
          <w:p w14:paraId="463BC356" w14:textId="77777777" w:rsidR="00081370" w:rsidRPr="00B84B0C" w:rsidRDefault="00081370" w:rsidP="00081370">
            <w:pPr>
              <w:keepNext/>
              <w:keepLines/>
              <w:spacing w:before="40" w:after="40"/>
              <w:jc w:val="center"/>
              <w:rPr>
                <w:rFonts w:cs="Arial"/>
                <w:b w:val="0"/>
                <w:bCs w:val="0"/>
                <w:spacing w:val="-2"/>
                <w:sz w:val="14"/>
                <w:szCs w:val="14"/>
                <w:lang w:val="en-US"/>
              </w:rPr>
            </w:pPr>
          </w:p>
        </w:tc>
        <w:tc>
          <w:tcPr>
            <w:tcW w:w="2848" w:type="dxa"/>
            <w:gridSpan w:val="2"/>
            <w:tcBorders>
              <w:top w:val="single" w:sz="2" w:space="0" w:color="8EAADB"/>
              <w:bottom w:val="nil"/>
            </w:tcBorders>
            <w:shd w:val="clear" w:color="auto" w:fill="D9E2F3"/>
          </w:tcPr>
          <w:p w14:paraId="7DC1A277" w14:textId="77777777" w:rsidR="00081370" w:rsidRPr="00B84B0C" w:rsidRDefault="00081370"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lang w:val="en-US"/>
              </w:rPr>
            </w:pPr>
          </w:p>
        </w:tc>
        <w:tc>
          <w:tcPr>
            <w:tcW w:w="2823" w:type="dxa"/>
            <w:gridSpan w:val="2"/>
            <w:tcBorders>
              <w:top w:val="single" w:sz="2" w:space="0" w:color="8EAADB"/>
              <w:bottom w:val="single" w:sz="2" w:space="0" w:color="8EAADB"/>
            </w:tcBorders>
            <w:shd w:val="clear" w:color="auto" w:fill="D9E2F3"/>
          </w:tcPr>
          <w:p w14:paraId="0882A279" w14:textId="77777777" w:rsidR="00081370" w:rsidRPr="00B84B0C" w:rsidRDefault="00081370"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vertAlign w:val="superscript"/>
              </w:rPr>
            </w:pPr>
            <w:proofErr w:type="spellStart"/>
            <w:r w:rsidRPr="00B84B0C">
              <w:rPr>
                <w:rFonts w:cs="Arial"/>
                <w:spacing w:val="-2"/>
                <w:sz w:val="14"/>
                <w:szCs w:val="14"/>
              </w:rPr>
              <w:t>Parent</w:t>
            </w:r>
            <w:proofErr w:type="spellEnd"/>
          </w:p>
        </w:tc>
        <w:tc>
          <w:tcPr>
            <w:tcW w:w="283" w:type="dxa"/>
            <w:tcBorders>
              <w:top w:val="single" w:sz="2" w:space="0" w:color="8EAADB"/>
              <w:bottom w:val="nil"/>
            </w:tcBorders>
            <w:shd w:val="clear" w:color="auto" w:fill="D9E2F3"/>
          </w:tcPr>
          <w:p w14:paraId="169FBD86" w14:textId="77777777" w:rsidR="00081370" w:rsidRPr="00B84B0C" w:rsidRDefault="00081370"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pacing w:val="-2"/>
                <w:sz w:val="14"/>
                <w:szCs w:val="14"/>
              </w:rPr>
            </w:pPr>
          </w:p>
        </w:tc>
        <w:tc>
          <w:tcPr>
            <w:tcW w:w="2835" w:type="dxa"/>
            <w:gridSpan w:val="2"/>
            <w:tcBorders>
              <w:top w:val="single" w:sz="2" w:space="0" w:color="8EAADB"/>
              <w:bottom w:val="nil"/>
            </w:tcBorders>
            <w:shd w:val="clear" w:color="auto" w:fill="D9E2F3"/>
          </w:tcPr>
          <w:p w14:paraId="09366EB0" w14:textId="77777777" w:rsidR="00081370" w:rsidRPr="00B84B0C" w:rsidRDefault="00081370" w:rsidP="00081370">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vertAlign w:val="superscript"/>
              </w:rPr>
            </w:pPr>
            <w:proofErr w:type="spellStart"/>
            <w:r w:rsidRPr="00B84B0C">
              <w:rPr>
                <w:rFonts w:cs="Arial"/>
                <w:spacing w:val="-2"/>
                <w:sz w:val="14"/>
                <w:szCs w:val="14"/>
              </w:rPr>
              <w:t>Consolidated</w:t>
            </w:r>
            <w:proofErr w:type="spellEnd"/>
          </w:p>
        </w:tc>
      </w:tr>
      <w:tr w:rsidR="00081370" w:rsidRPr="00B84B0C" w14:paraId="0445F986"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tcPr>
          <w:p w14:paraId="40E246E3" w14:textId="77777777" w:rsidR="00081370" w:rsidRPr="00B84B0C" w:rsidRDefault="00081370" w:rsidP="00081370">
            <w:pPr>
              <w:keepNext/>
              <w:keepLines/>
              <w:spacing w:before="40" w:after="40"/>
              <w:rPr>
                <w:rFonts w:cs="Arial"/>
                <w:spacing w:val="-2"/>
                <w:sz w:val="14"/>
                <w:szCs w:val="14"/>
              </w:rPr>
            </w:pPr>
          </w:p>
        </w:tc>
        <w:tc>
          <w:tcPr>
            <w:tcW w:w="604" w:type="dxa"/>
            <w:tcBorders>
              <w:top w:val="nil"/>
              <w:bottom w:val="single" w:sz="2" w:space="0" w:color="8EAADB"/>
            </w:tcBorders>
          </w:tcPr>
          <w:p w14:paraId="43C65AB1" w14:textId="77777777" w:rsidR="00081370" w:rsidRPr="00B84B0C" w:rsidRDefault="00081370" w:rsidP="00081370">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top w:val="single" w:sz="2" w:space="0" w:color="8EAADB"/>
              <w:bottom w:val="single" w:sz="2" w:space="0" w:color="8EAADB"/>
            </w:tcBorders>
            <w:vAlign w:val="center"/>
          </w:tcPr>
          <w:p w14:paraId="2B92052E" w14:textId="77777777" w:rsidR="00081370" w:rsidRPr="00B84B0C" w:rsidRDefault="00081370"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B84B0C">
              <w:rPr>
                <w:rFonts w:cs="Arial"/>
                <w:b/>
                <w:spacing w:val="-2"/>
                <w:sz w:val="14"/>
                <w:szCs w:val="14"/>
              </w:rPr>
              <w:t>Mar 31, 2020</w:t>
            </w:r>
          </w:p>
        </w:tc>
        <w:tc>
          <w:tcPr>
            <w:tcW w:w="1412" w:type="dxa"/>
            <w:tcBorders>
              <w:top w:val="single" w:sz="2" w:space="0" w:color="8EAADB"/>
              <w:bottom w:val="single" w:sz="2" w:space="0" w:color="8EAADB"/>
            </w:tcBorders>
            <w:vAlign w:val="center"/>
          </w:tcPr>
          <w:p w14:paraId="1BDD7720" w14:textId="77777777" w:rsidR="00081370" w:rsidRPr="00B84B0C" w:rsidRDefault="00081370"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vertAlign w:val="superscript"/>
              </w:rPr>
            </w:pPr>
            <w:proofErr w:type="spellStart"/>
            <w:r w:rsidRPr="00B84B0C">
              <w:rPr>
                <w:rFonts w:cs="Arial"/>
                <w:b/>
                <w:spacing w:val="-2"/>
                <w:sz w:val="14"/>
                <w:szCs w:val="14"/>
              </w:rPr>
              <w:t>Dec</w:t>
            </w:r>
            <w:proofErr w:type="spellEnd"/>
            <w:r w:rsidRPr="00B84B0C">
              <w:rPr>
                <w:rFonts w:cs="Arial"/>
                <w:b/>
                <w:spacing w:val="-2"/>
                <w:sz w:val="14"/>
                <w:szCs w:val="14"/>
              </w:rPr>
              <w:t xml:space="preserve"> 31, 2019</w:t>
            </w:r>
          </w:p>
        </w:tc>
        <w:tc>
          <w:tcPr>
            <w:tcW w:w="283" w:type="dxa"/>
            <w:tcBorders>
              <w:top w:val="nil"/>
              <w:bottom w:val="single" w:sz="2" w:space="0" w:color="8EAADB"/>
            </w:tcBorders>
            <w:vAlign w:val="center"/>
          </w:tcPr>
          <w:p w14:paraId="1A2FD00F" w14:textId="77777777" w:rsidR="00081370" w:rsidRPr="00B84B0C" w:rsidRDefault="00081370"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7" w:type="dxa"/>
            <w:tcBorders>
              <w:top w:val="single" w:sz="2" w:space="0" w:color="8EAADB"/>
              <w:bottom w:val="single" w:sz="2" w:space="0" w:color="8EAADB"/>
            </w:tcBorders>
            <w:vAlign w:val="center"/>
          </w:tcPr>
          <w:p w14:paraId="374D833A" w14:textId="77777777" w:rsidR="00081370" w:rsidRPr="00B84B0C" w:rsidRDefault="00081370"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r w:rsidRPr="00B84B0C">
              <w:rPr>
                <w:rFonts w:cs="Arial"/>
                <w:b/>
                <w:spacing w:val="-2"/>
                <w:sz w:val="14"/>
                <w:szCs w:val="14"/>
              </w:rPr>
              <w:t>Mar 31, 2020</w:t>
            </w:r>
          </w:p>
        </w:tc>
        <w:tc>
          <w:tcPr>
            <w:tcW w:w="1418" w:type="dxa"/>
            <w:tcBorders>
              <w:top w:val="single" w:sz="2" w:space="0" w:color="8EAADB"/>
              <w:bottom w:val="single" w:sz="2" w:space="0" w:color="8EAADB"/>
            </w:tcBorders>
            <w:vAlign w:val="center"/>
          </w:tcPr>
          <w:p w14:paraId="33B00F41" w14:textId="77777777" w:rsidR="00081370" w:rsidRPr="00B84B0C" w:rsidRDefault="00081370" w:rsidP="000813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roofErr w:type="spellStart"/>
            <w:r w:rsidRPr="00B84B0C">
              <w:rPr>
                <w:rFonts w:cs="Arial"/>
                <w:b/>
                <w:spacing w:val="-2"/>
                <w:sz w:val="14"/>
                <w:szCs w:val="14"/>
              </w:rPr>
              <w:t>Dec</w:t>
            </w:r>
            <w:proofErr w:type="spellEnd"/>
            <w:r w:rsidRPr="00B84B0C">
              <w:rPr>
                <w:rFonts w:cs="Arial"/>
                <w:b/>
                <w:spacing w:val="-2"/>
                <w:sz w:val="14"/>
                <w:szCs w:val="14"/>
              </w:rPr>
              <w:t xml:space="preserve"> 31, 2019</w:t>
            </w:r>
          </w:p>
        </w:tc>
      </w:tr>
      <w:tr w:rsidR="00081370" w:rsidRPr="00B84B0C" w14:paraId="633A5911" w14:textId="77777777" w:rsidTr="0008137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8EAADB"/>
              <w:bottom w:val="nil"/>
            </w:tcBorders>
          </w:tcPr>
          <w:p w14:paraId="0B82330B" w14:textId="77777777" w:rsidR="00081370" w:rsidRPr="00B84B0C" w:rsidRDefault="00081370" w:rsidP="00081370">
            <w:pPr>
              <w:pStyle w:val="08-Tabelageral"/>
              <w:jc w:val="left"/>
              <w:rPr>
                <w:rFonts w:cs="Arial"/>
                <w:b w:val="0"/>
                <w:szCs w:val="14"/>
                <w:vertAlign w:val="superscript"/>
              </w:rPr>
            </w:pPr>
            <w:proofErr w:type="spellStart"/>
            <w:r w:rsidRPr="00B84B0C">
              <w:rPr>
                <w:rFonts w:cs="Arial"/>
                <w:b w:val="0"/>
                <w:szCs w:val="14"/>
              </w:rPr>
              <w:t>Dividends</w:t>
            </w:r>
            <w:proofErr w:type="spellEnd"/>
            <w:r w:rsidRPr="00B84B0C">
              <w:rPr>
                <w:rFonts w:cs="Arial"/>
                <w:b w:val="0"/>
                <w:szCs w:val="14"/>
              </w:rPr>
              <w:t xml:space="preserve"> </w:t>
            </w:r>
            <w:proofErr w:type="spellStart"/>
            <w:r w:rsidRPr="00B84B0C">
              <w:rPr>
                <w:rFonts w:cs="Arial"/>
                <w:b w:val="0"/>
                <w:szCs w:val="14"/>
              </w:rPr>
              <w:t>payable</w:t>
            </w:r>
            <w:proofErr w:type="spellEnd"/>
            <w:r w:rsidRPr="00B84B0C">
              <w:rPr>
                <w:rFonts w:cs="Arial"/>
                <w:b w:val="0"/>
                <w:szCs w:val="14"/>
              </w:rPr>
              <w:t xml:space="preserve"> </w:t>
            </w:r>
            <w:r w:rsidRPr="00B84B0C">
              <w:rPr>
                <w:rFonts w:cs="Arial"/>
                <w:b w:val="0"/>
                <w:szCs w:val="14"/>
                <w:vertAlign w:val="superscript"/>
              </w:rPr>
              <w:t>(1)(2)</w:t>
            </w:r>
          </w:p>
        </w:tc>
        <w:tc>
          <w:tcPr>
            <w:tcW w:w="604" w:type="dxa"/>
            <w:tcBorders>
              <w:top w:val="single" w:sz="2" w:space="0" w:color="8EAADB"/>
              <w:bottom w:val="nil"/>
            </w:tcBorders>
            <w:vAlign w:val="center"/>
          </w:tcPr>
          <w:p w14:paraId="1CECEAAA"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single" w:sz="2" w:space="0" w:color="8EAADB"/>
              <w:bottom w:val="nil"/>
            </w:tcBorders>
          </w:tcPr>
          <w:p w14:paraId="47F3420A"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475</w:t>
            </w:r>
          </w:p>
        </w:tc>
        <w:tc>
          <w:tcPr>
            <w:tcW w:w="1412" w:type="dxa"/>
            <w:tcBorders>
              <w:top w:val="single" w:sz="2" w:space="0" w:color="8EAADB"/>
              <w:bottom w:val="nil"/>
            </w:tcBorders>
          </w:tcPr>
          <w:p w14:paraId="5A396202"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3,790,643</w:t>
            </w:r>
          </w:p>
        </w:tc>
        <w:tc>
          <w:tcPr>
            <w:tcW w:w="283" w:type="dxa"/>
            <w:tcBorders>
              <w:top w:val="single" w:sz="2" w:space="0" w:color="8EAADB"/>
              <w:bottom w:val="nil"/>
            </w:tcBorders>
            <w:vAlign w:val="center"/>
          </w:tcPr>
          <w:p w14:paraId="6671C18A"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single" w:sz="2" w:space="0" w:color="8EAADB"/>
              <w:bottom w:val="nil"/>
            </w:tcBorders>
          </w:tcPr>
          <w:p w14:paraId="351AAAAB"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475</w:t>
            </w:r>
          </w:p>
        </w:tc>
        <w:tc>
          <w:tcPr>
            <w:tcW w:w="1418" w:type="dxa"/>
            <w:tcBorders>
              <w:top w:val="single" w:sz="2" w:space="0" w:color="8EAADB"/>
              <w:bottom w:val="nil"/>
            </w:tcBorders>
          </w:tcPr>
          <w:p w14:paraId="5B122C4C"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3,790,643</w:t>
            </w:r>
          </w:p>
        </w:tc>
      </w:tr>
      <w:tr w:rsidR="00081370" w:rsidRPr="00B84B0C" w14:paraId="088C0CA4" w14:textId="77777777" w:rsidTr="0008137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5077CBDF" w14:textId="77777777" w:rsidR="00081370" w:rsidRPr="00B84B0C" w:rsidRDefault="00081370" w:rsidP="00081370">
            <w:pPr>
              <w:pStyle w:val="08-Tabelageral"/>
              <w:jc w:val="left"/>
              <w:rPr>
                <w:rFonts w:cs="Arial"/>
                <w:b w:val="0"/>
                <w:szCs w:val="14"/>
                <w:vertAlign w:val="superscript"/>
              </w:rPr>
            </w:pPr>
            <w:r w:rsidRPr="00B84B0C">
              <w:rPr>
                <w:rFonts w:cs="Arial"/>
                <w:b w:val="0"/>
                <w:szCs w:val="14"/>
              </w:rPr>
              <w:t xml:space="preserve">Capital </w:t>
            </w:r>
            <w:proofErr w:type="spellStart"/>
            <w:r w:rsidRPr="00B84B0C">
              <w:rPr>
                <w:rFonts w:cs="Arial"/>
                <w:b w:val="0"/>
                <w:szCs w:val="14"/>
              </w:rPr>
              <w:t>reduction</w:t>
            </w:r>
            <w:proofErr w:type="spellEnd"/>
            <w:r w:rsidRPr="00B84B0C">
              <w:rPr>
                <w:rFonts w:cs="Arial"/>
                <w:b w:val="0"/>
                <w:szCs w:val="14"/>
              </w:rPr>
              <w:t xml:space="preserve"> </w:t>
            </w:r>
            <w:proofErr w:type="spellStart"/>
            <w:r w:rsidRPr="00B84B0C">
              <w:rPr>
                <w:rFonts w:cs="Arial"/>
                <w:b w:val="0"/>
                <w:szCs w:val="14"/>
              </w:rPr>
              <w:t>payable</w:t>
            </w:r>
            <w:proofErr w:type="spellEnd"/>
            <w:r w:rsidRPr="00B84B0C">
              <w:rPr>
                <w:rFonts w:cs="Arial"/>
                <w:b w:val="0"/>
                <w:szCs w:val="14"/>
              </w:rPr>
              <w:t xml:space="preserve"> </w:t>
            </w:r>
            <w:r w:rsidRPr="00B84B0C">
              <w:rPr>
                <w:rFonts w:cs="Arial"/>
                <w:b w:val="0"/>
                <w:szCs w:val="14"/>
                <w:vertAlign w:val="superscript"/>
              </w:rPr>
              <w:t>(3)</w:t>
            </w:r>
          </w:p>
        </w:tc>
        <w:tc>
          <w:tcPr>
            <w:tcW w:w="604" w:type="dxa"/>
            <w:tcBorders>
              <w:top w:val="nil"/>
              <w:bottom w:val="nil"/>
            </w:tcBorders>
            <w:vAlign w:val="center"/>
          </w:tcPr>
          <w:p w14:paraId="1ED51D0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tcPr>
          <w:p w14:paraId="70C7686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2,700,000</w:t>
            </w:r>
          </w:p>
        </w:tc>
        <w:tc>
          <w:tcPr>
            <w:tcW w:w="1412" w:type="dxa"/>
            <w:tcBorders>
              <w:top w:val="nil"/>
              <w:bottom w:val="nil"/>
            </w:tcBorders>
          </w:tcPr>
          <w:p w14:paraId="2CFD804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2,700,000</w:t>
            </w:r>
          </w:p>
        </w:tc>
        <w:tc>
          <w:tcPr>
            <w:tcW w:w="283" w:type="dxa"/>
            <w:tcBorders>
              <w:top w:val="nil"/>
              <w:bottom w:val="nil"/>
            </w:tcBorders>
            <w:vAlign w:val="center"/>
          </w:tcPr>
          <w:p w14:paraId="142FE31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tcPr>
          <w:p w14:paraId="0C26B58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2,700,000</w:t>
            </w:r>
          </w:p>
        </w:tc>
        <w:tc>
          <w:tcPr>
            <w:tcW w:w="1418" w:type="dxa"/>
            <w:tcBorders>
              <w:top w:val="nil"/>
              <w:bottom w:val="nil"/>
            </w:tcBorders>
          </w:tcPr>
          <w:p w14:paraId="440ED84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2,700,000</w:t>
            </w:r>
          </w:p>
        </w:tc>
      </w:tr>
      <w:tr w:rsidR="00081370" w:rsidRPr="00B84B0C" w14:paraId="200A833E" w14:textId="77777777" w:rsidTr="0008137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6" w:space="0" w:color="9CC2E5" w:themeColor="accent1" w:themeTint="99"/>
            </w:tcBorders>
          </w:tcPr>
          <w:p w14:paraId="7FCD91D1" w14:textId="77777777" w:rsidR="00081370" w:rsidRPr="00B84B0C" w:rsidRDefault="00081370" w:rsidP="00081370">
            <w:pPr>
              <w:pStyle w:val="08-Tabelageral"/>
              <w:jc w:val="left"/>
              <w:rPr>
                <w:rFonts w:cs="Arial"/>
                <w:szCs w:val="14"/>
              </w:rPr>
            </w:pPr>
            <w:r w:rsidRPr="00B84B0C">
              <w:rPr>
                <w:rFonts w:cs="Arial"/>
                <w:szCs w:val="14"/>
              </w:rPr>
              <w:t>Total</w:t>
            </w:r>
          </w:p>
        </w:tc>
        <w:tc>
          <w:tcPr>
            <w:tcW w:w="604" w:type="dxa"/>
            <w:tcBorders>
              <w:top w:val="nil"/>
              <w:bottom w:val="single" w:sz="6" w:space="0" w:color="9CC2E5" w:themeColor="accent1" w:themeTint="99"/>
            </w:tcBorders>
            <w:vAlign w:val="center"/>
          </w:tcPr>
          <w:p w14:paraId="0C5FFF82"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single" w:sz="6" w:space="0" w:color="9CC2E5" w:themeColor="accent1" w:themeTint="99"/>
            </w:tcBorders>
          </w:tcPr>
          <w:p w14:paraId="59D9C603"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2,700,475</w:t>
            </w:r>
          </w:p>
        </w:tc>
        <w:tc>
          <w:tcPr>
            <w:tcW w:w="1412" w:type="dxa"/>
            <w:tcBorders>
              <w:top w:val="nil"/>
              <w:bottom w:val="single" w:sz="6" w:space="0" w:color="9CC2E5" w:themeColor="accent1" w:themeTint="99"/>
            </w:tcBorders>
          </w:tcPr>
          <w:p w14:paraId="128E4C3E"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6,490,643</w:t>
            </w:r>
          </w:p>
        </w:tc>
        <w:tc>
          <w:tcPr>
            <w:tcW w:w="283" w:type="dxa"/>
            <w:tcBorders>
              <w:top w:val="nil"/>
              <w:bottom w:val="single" w:sz="6" w:space="0" w:color="9CC2E5" w:themeColor="accent1" w:themeTint="99"/>
            </w:tcBorders>
            <w:vAlign w:val="center"/>
          </w:tcPr>
          <w:p w14:paraId="780F9041"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bottom w:val="single" w:sz="6" w:space="0" w:color="9CC2E5" w:themeColor="accent1" w:themeTint="99"/>
            </w:tcBorders>
          </w:tcPr>
          <w:p w14:paraId="081E147D"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2,700,475</w:t>
            </w:r>
          </w:p>
        </w:tc>
        <w:tc>
          <w:tcPr>
            <w:tcW w:w="1418" w:type="dxa"/>
            <w:tcBorders>
              <w:top w:val="nil"/>
              <w:bottom w:val="single" w:sz="6" w:space="0" w:color="9CC2E5" w:themeColor="accent1" w:themeTint="99"/>
            </w:tcBorders>
          </w:tcPr>
          <w:p w14:paraId="0504B117"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6,490,643</w:t>
            </w:r>
          </w:p>
        </w:tc>
      </w:tr>
    </w:tbl>
    <w:p w14:paraId="4E59AABA" w14:textId="77777777" w:rsidR="00081370" w:rsidRPr="00B84B0C" w:rsidRDefault="00081370" w:rsidP="00081370">
      <w:pPr>
        <w:pStyle w:val="07-Legenda"/>
        <w:keepNext/>
        <w:numPr>
          <w:ilvl w:val="0"/>
          <w:numId w:val="8"/>
        </w:numPr>
        <w:ind w:left="284" w:hanging="284"/>
        <w:rPr>
          <w:rFonts w:cs="Arial"/>
          <w:lang w:val="en-US"/>
        </w:rPr>
      </w:pPr>
      <w:r w:rsidRPr="00B84B0C">
        <w:rPr>
          <w:rFonts w:cs="Arial"/>
          <w:lang w:val="en-US"/>
        </w:rPr>
        <w:t xml:space="preserve">On Mar 31, 2020, the amount of R$ 475 thousand refers to unpaid dividends of previous years. </w:t>
      </w:r>
    </w:p>
    <w:p w14:paraId="60F78D2A" w14:textId="77777777" w:rsidR="00081370" w:rsidRPr="00B84B0C" w:rsidRDefault="00081370" w:rsidP="00081370">
      <w:pPr>
        <w:pStyle w:val="07-Legenda"/>
        <w:keepNext/>
        <w:numPr>
          <w:ilvl w:val="0"/>
          <w:numId w:val="8"/>
        </w:numPr>
        <w:ind w:left="284" w:hanging="284"/>
        <w:rPr>
          <w:rFonts w:cs="Arial"/>
          <w:lang w:val="en-US"/>
        </w:rPr>
      </w:pPr>
      <w:r w:rsidRPr="00B84B0C">
        <w:rPr>
          <w:rFonts w:cs="Arial"/>
          <w:lang w:val="en-US"/>
        </w:rPr>
        <w:t>On Dec 31, 2019, the amount of R$ 340 thousand refers to unpaid dividends of previous years.</w:t>
      </w:r>
    </w:p>
    <w:p w14:paraId="13EF7E2B" w14:textId="77777777" w:rsidR="00081370" w:rsidRPr="00B84B0C" w:rsidRDefault="00081370" w:rsidP="00081370">
      <w:pPr>
        <w:pStyle w:val="07-Legenda"/>
        <w:keepNext/>
        <w:numPr>
          <w:ilvl w:val="0"/>
          <w:numId w:val="8"/>
        </w:numPr>
        <w:ind w:left="284" w:hanging="284"/>
        <w:rPr>
          <w:rFonts w:cs="Arial"/>
          <w:lang w:val="en-US"/>
        </w:rPr>
      </w:pPr>
      <w:r w:rsidRPr="00B84B0C">
        <w:rPr>
          <w:rFonts w:cs="Arial"/>
          <w:lang w:val="en-US"/>
        </w:rPr>
        <w:t>Capital reduction approved by the Board of Directors in accordance with Note 19 “a”.</w:t>
      </w:r>
    </w:p>
    <w:p w14:paraId="72244209" w14:textId="77777777" w:rsidR="00081370" w:rsidRPr="00B84B0C" w:rsidRDefault="00081370" w:rsidP="00081370">
      <w:pPr>
        <w:pStyle w:val="01-TtulodeNota"/>
        <w:jc w:val="left"/>
        <w:rPr>
          <w:rFonts w:cs="Arial"/>
          <w:color w:val="1F4E79" w:themeColor="accent1" w:themeShade="80"/>
          <w:lang w:val="en-US"/>
        </w:rPr>
      </w:pPr>
    </w:p>
    <w:p w14:paraId="4360385D" w14:textId="23EF7B85" w:rsidR="00081370" w:rsidRPr="00B84B0C" w:rsidRDefault="00081370" w:rsidP="00081370">
      <w:pPr>
        <w:pStyle w:val="02-TtulodeNota"/>
        <w:rPr>
          <w:rFonts w:cs="Arial"/>
          <w:color w:val="1F4E79" w:themeColor="accent1" w:themeShade="80"/>
        </w:rPr>
      </w:pPr>
      <w:bookmarkStart w:id="30" w:name="_Toc39131500"/>
      <w:r w:rsidRPr="00B84B0C">
        <w:rPr>
          <w:rFonts w:cs="Arial"/>
          <w:color w:val="1F4E79" w:themeColor="accent1" w:themeShade="80"/>
        </w:rPr>
        <w:t>16 – PROVISIONS AND CONTINGENT LIABILITIES</w:t>
      </w:r>
      <w:bookmarkEnd w:id="30"/>
    </w:p>
    <w:p w14:paraId="5D5F1A21" w14:textId="77777777" w:rsidR="00081370" w:rsidRPr="00B84B0C" w:rsidRDefault="00081370" w:rsidP="00081370">
      <w:pPr>
        <w:pStyle w:val="04-TtuloNegrito"/>
        <w:rPr>
          <w:rFonts w:cs="Arial"/>
          <w:color w:val="1F4E79" w:themeColor="accent1" w:themeShade="80"/>
          <w:sz w:val="18"/>
          <w:szCs w:val="18"/>
        </w:rPr>
      </w:pPr>
      <w:proofErr w:type="spellStart"/>
      <w:r w:rsidRPr="00B84B0C">
        <w:rPr>
          <w:rFonts w:cs="Arial"/>
          <w:color w:val="1F4E79" w:themeColor="accent1" w:themeShade="80"/>
          <w:sz w:val="18"/>
          <w:szCs w:val="18"/>
        </w:rPr>
        <w:t>Contingent</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assets</w:t>
      </w:r>
      <w:proofErr w:type="spellEnd"/>
    </w:p>
    <w:p w14:paraId="247A55BB" w14:textId="77777777" w:rsidR="00081370" w:rsidRPr="00B84B0C" w:rsidRDefault="00081370" w:rsidP="00081370">
      <w:pPr>
        <w:pStyle w:val="04-TtuloNegrito"/>
        <w:keepNext/>
        <w:keepLines/>
        <w:rPr>
          <w:rFonts w:cs="Arial"/>
          <w:b w:val="0"/>
          <w:sz w:val="18"/>
          <w:szCs w:val="18"/>
        </w:rPr>
      </w:pPr>
      <w:r w:rsidRPr="00B84B0C">
        <w:rPr>
          <w:rFonts w:cs="Arial"/>
          <w:b w:val="0"/>
          <w:sz w:val="18"/>
          <w:szCs w:val="18"/>
        </w:rPr>
        <w:t xml:space="preserve">In </w:t>
      </w:r>
      <w:proofErr w:type="spellStart"/>
      <w:r w:rsidRPr="00B84B0C">
        <w:rPr>
          <w:rFonts w:cs="Arial"/>
          <w:b w:val="0"/>
          <w:sz w:val="18"/>
          <w:szCs w:val="18"/>
        </w:rPr>
        <w:t>accordance</w:t>
      </w:r>
      <w:proofErr w:type="spellEnd"/>
      <w:r w:rsidRPr="00B84B0C">
        <w:rPr>
          <w:rFonts w:cs="Arial"/>
          <w:b w:val="0"/>
          <w:sz w:val="18"/>
          <w:szCs w:val="18"/>
        </w:rPr>
        <w:t xml:space="preserve"> </w:t>
      </w:r>
      <w:proofErr w:type="spellStart"/>
      <w:r w:rsidRPr="00B84B0C">
        <w:rPr>
          <w:rFonts w:cs="Arial"/>
          <w:b w:val="0"/>
          <w:sz w:val="18"/>
          <w:szCs w:val="18"/>
        </w:rPr>
        <w:t>with</w:t>
      </w:r>
      <w:proofErr w:type="spellEnd"/>
      <w:r w:rsidRPr="00B84B0C">
        <w:rPr>
          <w:rFonts w:cs="Arial"/>
          <w:b w:val="0"/>
          <w:sz w:val="18"/>
          <w:szCs w:val="18"/>
        </w:rPr>
        <w:t xml:space="preserve"> CPC 25 - </w:t>
      </w:r>
      <w:proofErr w:type="spellStart"/>
      <w:r w:rsidRPr="00B84B0C">
        <w:rPr>
          <w:rFonts w:cs="Arial"/>
          <w:b w:val="0"/>
          <w:sz w:val="18"/>
          <w:szCs w:val="18"/>
        </w:rPr>
        <w:t>Provisions</w:t>
      </w:r>
      <w:proofErr w:type="spellEnd"/>
      <w:r w:rsidRPr="00B84B0C">
        <w:rPr>
          <w:rFonts w:cs="Arial"/>
          <w:b w:val="0"/>
          <w:sz w:val="18"/>
          <w:szCs w:val="18"/>
        </w:rPr>
        <w:t xml:space="preserve">, </w:t>
      </w:r>
      <w:proofErr w:type="spellStart"/>
      <w:r w:rsidRPr="00B84B0C">
        <w:rPr>
          <w:rFonts w:cs="Arial"/>
          <w:b w:val="0"/>
          <w:sz w:val="18"/>
          <w:szCs w:val="18"/>
        </w:rPr>
        <w:t>Contingent</w:t>
      </w:r>
      <w:proofErr w:type="spellEnd"/>
      <w:r w:rsidRPr="00B84B0C">
        <w:rPr>
          <w:rFonts w:cs="Arial"/>
          <w:b w:val="0"/>
          <w:sz w:val="18"/>
          <w:szCs w:val="18"/>
        </w:rPr>
        <w:t xml:space="preserve"> </w:t>
      </w:r>
      <w:proofErr w:type="spellStart"/>
      <w:r w:rsidRPr="00B84B0C">
        <w:rPr>
          <w:rFonts w:cs="Arial"/>
          <w:b w:val="0"/>
          <w:sz w:val="18"/>
          <w:szCs w:val="18"/>
        </w:rPr>
        <w:t>Liabilities</w:t>
      </w:r>
      <w:proofErr w:type="spellEnd"/>
      <w:r w:rsidRPr="00B84B0C">
        <w:rPr>
          <w:rFonts w:cs="Arial"/>
          <w:b w:val="0"/>
          <w:sz w:val="18"/>
          <w:szCs w:val="18"/>
        </w:rPr>
        <w:t xml:space="preserve">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Contingent</w:t>
      </w:r>
      <w:proofErr w:type="spellEnd"/>
      <w:r w:rsidRPr="00B84B0C">
        <w:rPr>
          <w:rFonts w:cs="Arial"/>
          <w:b w:val="0"/>
          <w:sz w:val="18"/>
          <w:szCs w:val="18"/>
        </w:rPr>
        <w:t xml:space="preserve"> </w:t>
      </w:r>
      <w:proofErr w:type="spellStart"/>
      <w:r w:rsidRPr="00B84B0C">
        <w:rPr>
          <w:rFonts w:cs="Arial"/>
          <w:b w:val="0"/>
          <w:sz w:val="18"/>
          <w:szCs w:val="18"/>
        </w:rPr>
        <w:t>Assets</w:t>
      </w:r>
      <w:proofErr w:type="spellEnd"/>
      <w:r w:rsidRPr="00B84B0C">
        <w:rPr>
          <w:rFonts w:cs="Arial"/>
          <w:b w:val="0"/>
          <w:sz w:val="18"/>
          <w:szCs w:val="18"/>
        </w:rPr>
        <w:t xml:space="preserve">, no </w:t>
      </w:r>
      <w:proofErr w:type="spellStart"/>
      <w:r w:rsidRPr="00B84B0C">
        <w:rPr>
          <w:rFonts w:cs="Arial"/>
          <w:b w:val="0"/>
          <w:sz w:val="18"/>
          <w:szCs w:val="18"/>
        </w:rPr>
        <w:t>contingent</w:t>
      </w:r>
      <w:proofErr w:type="spellEnd"/>
      <w:r w:rsidRPr="00B84B0C">
        <w:rPr>
          <w:rFonts w:cs="Arial"/>
          <w:b w:val="0"/>
          <w:sz w:val="18"/>
          <w:szCs w:val="18"/>
        </w:rPr>
        <w:t xml:space="preserve"> </w:t>
      </w:r>
      <w:proofErr w:type="spellStart"/>
      <w:r w:rsidRPr="00B84B0C">
        <w:rPr>
          <w:rFonts w:cs="Arial"/>
          <w:b w:val="0"/>
          <w:sz w:val="18"/>
          <w:szCs w:val="18"/>
        </w:rPr>
        <w:t>assets</w:t>
      </w:r>
      <w:proofErr w:type="spellEnd"/>
      <w:r w:rsidRPr="00B84B0C">
        <w:rPr>
          <w:rFonts w:cs="Arial"/>
          <w:b w:val="0"/>
          <w:sz w:val="18"/>
          <w:szCs w:val="18"/>
        </w:rPr>
        <w:t xml:space="preserve"> </w:t>
      </w:r>
      <w:proofErr w:type="spellStart"/>
      <w:r w:rsidRPr="00B84B0C">
        <w:rPr>
          <w:rFonts w:cs="Arial"/>
          <w:b w:val="0"/>
          <w:sz w:val="18"/>
          <w:szCs w:val="18"/>
        </w:rPr>
        <w:t>were</w:t>
      </w:r>
      <w:proofErr w:type="spellEnd"/>
      <w:r w:rsidRPr="00B84B0C">
        <w:rPr>
          <w:rFonts w:cs="Arial"/>
          <w:b w:val="0"/>
          <w:sz w:val="18"/>
          <w:szCs w:val="18"/>
        </w:rPr>
        <w:t xml:space="preserve"> </w:t>
      </w:r>
      <w:proofErr w:type="spellStart"/>
      <w:r w:rsidRPr="00B84B0C">
        <w:rPr>
          <w:rFonts w:cs="Arial"/>
          <w:b w:val="0"/>
          <w:sz w:val="18"/>
          <w:szCs w:val="18"/>
        </w:rPr>
        <w:t>recognized</w:t>
      </w:r>
      <w:proofErr w:type="spellEnd"/>
      <w:r w:rsidRPr="00B84B0C">
        <w:rPr>
          <w:rFonts w:cs="Arial"/>
          <w:b w:val="0"/>
          <w:sz w:val="18"/>
          <w:szCs w:val="18"/>
        </w:rPr>
        <w:t xml:space="preserve"> in </w:t>
      </w:r>
      <w:proofErr w:type="spellStart"/>
      <w:r w:rsidRPr="00B84B0C">
        <w:rPr>
          <w:rFonts w:cs="Arial"/>
          <w:b w:val="0"/>
          <w:sz w:val="18"/>
          <w:szCs w:val="18"/>
        </w:rPr>
        <w:t>the</w:t>
      </w:r>
      <w:proofErr w:type="spellEnd"/>
      <w:r w:rsidRPr="00B84B0C">
        <w:rPr>
          <w:rFonts w:cs="Arial"/>
          <w:b w:val="0"/>
          <w:sz w:val="18"/>
          <w:szCs w:val="18"/>
        </w:rPr>
        <w:t xml:space="preserve"> individual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consolidated</w:t>
      </w:r>
      <w:proofErr w:type="spellEnd"/>
      <w:r w:rsidRPr="00B84B0C">
        <w:rPr>
          <w:rFonts w:cs="Arial"/>
          <w:b w:val="0"/>
          <w:sz w:val="18"/>
          <w:szCs w:val="18"/>
        </w:rPr>
        <w:t xml:space="preserve"> financial </w:t>
      </w:r>
      <w:proofErr w:type="spellStart"/>
      <w:proofErr w:type="gramStart"/>
      <w:r w:rsidRPr="00B84B0C">
        <w:rPr>
          <w:rFonts w:cs="Arial"/>
          <w:b w:val="0"/>
          <w:sz w:val="18"/>
          <w:szCs w:val="18"/>
        </w:rPr>
        <w:t>statements</w:t>
      </w:r>
      <w:proofErr w:type="spellEnd"/>
      <w:r w:rsidRPr="00B84B0C">
        <w:rPr>
          <w:rFonts w:cs="Arial"/>
          <w:b w:val="0"/>
          <w:sz w:val="18"/>
          <w:szCs w:val="18"/>
        </w:rPr>
        <w:t>..</w:t>
      </w:r>
      <w:proofErr w:type="gramEnd"/>
    </w:p>
    <w:p w14:paraId="0437B670" w14:textId="77777777" w:rsidR="00081370" w:rsidRPr="00B84B0C" w:rsidRDefault="00081370" w:rsidP="00081370">
      <w:pPr>
        <w:pStyle w:val="04-TtuloNegrito"/>
        <w:rPr>
          <w:rFonts w:cs="Arial"/>
          <w:color w:val="1F4E79" w:themeColor="accent1" w:themeShade="80"/>
          <w:sz w:val="18"/>
          <w:szCs w:val="18"/>
        </w:rPr>
      </w:pPr>
      <w:proofErr w:type="spellStart"/>
      <w:r w:rsidRPr="00B84B0C">
        <w:rPr>
          <w:rFonts w:cs="Arial"/>
          <w:color w:val="1F4E79" w:themeColor="accent1" w:themeShade="80"/>
          <w:sz w:val="18"/>
          <w:szCs w:val="18"/>
        </w:rPr>
        <w:t>Tax</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Lawsuits</w:t>
      </w:r>
      <w:proofErr w:type="spellEnd"/>
      <w:r w:rsidRPr="00B84B0C">
        <w:rPr>
          <w:rFonts w:cs="Arial"/>
          <w:color w:val="1F4E79" w:themeColor="accent1" w:themeShade="80"/>
          <w:sz w:val="18"/>
          <w:szCs w:val="18"/>
        </w:rPr>
        <w:t xml:space="preserve"> </w:t>
      </w:r>
    </w:p>
    <w:p w14:paraId="685E8F72" w14:textId="77777777" w:rsidR="00081370" w:rsidRPr="00B84B0C" w:rsidRDefault="00081370" w:rsidP="00081370">
      <w:pPr>
        <w:pStyle w:val="04-TtuloNegrito"/>
        <w:keepNext/>
        <w:keepLines/>
        <w:rPr>
          <w:rFonts w:cs="Arial"/>
          <w:b w:val="0"/>
          <w:sz w:val="18"/>
          <w:szCs w:val="18"/>
        </w:rPr>
      </w:pPr>
      <w:r w:rsidRPr="00B84B0C">
        <w:rPr>
          <w:rFonts w:cs="Arial"/>
          <w:b w:val="0"/>
          <w:sz w:val="18"/>
          <w:szCs w:val="18"/>
        </w:rPr>
        <w:t xml:space="preserve">The </w:t>
      </w:r>
      <w:proofErr w:type="spellStart"/>
      <w:r w:rsidRPr="00B84B0C">
        <w:rPr>
          <w:rFonts w:cs="Arial"/>
          <w:b w:val="0"/>
          <w:sz w:val="18"/>
          <w:szCs w:val="18"/>
        </w:rPr>
        <w:t>Company's</w:t>
      </w:r>
      <w:proofErr w:type="spellEnd"/>
      <w:r w:rsidRPr="00B84B0C">
        <w:rPr>
          <w:rFonts w:cs="Arial"/>
          <w:b w:val="0"/>
          <w:sz w:val="18"/>
          <w:szCs w:val="18"/>
        </w:rPr>
        <w:t xml:space="preserve"> </w:t>
      </w:r>
      <w:proofErr w:type="spellStart"/>
      <w:r w:rsidRPr="00B84B0C">
        <w:rPr>
          <w:rFonts w:cs="Arial"/>
          <w:b w:val="0"/>
          <w:sz w:val="18"/>
          <w:szCs w:val="18"/>
        </w:rPr>
        <w:t>tax</w:t>
      </w:r>
      <w:proofErr w:type="spellEnd"/>
      <w:r w:rsidRPr="00B84B0C">
        <w:rPr>
          <w:rFonts w:cs="Arial"/>
          <w:b w:val="0"/>
          <w:sz w:val="18"/>
          <w:szCs w:val="18"/>
        </w:rPr>
        <w:t xml:space="preserve"> </w:t>
      </w:r>
      <w:proofErr w:type="spellStart"/>
      <w:r w:rsidRPr="00B84B0C">
        <w:rPr>
          <w:rFonts w:cs="Arial"/>
          <w:b w:val="0"/>
          <w:sz w:val="18"/>
          <w:szCs w:val="18"/>
        </w:rPr>
        <w:t>actions</w:t>
      </w:r>
      <w:proofErr w:type="spellEnd"/>
      <w:r w:rsidRPr="00B84B0C">
        <w:rPr>
          <w:rFonts w:cs="Arial"/>
          <w:b w:val="0"/>
          <w:sz w:val="18"/>
          <w:szCs w:val="18"/>
        </w:rPr>
        <w:t xml:space="preserve"> </w:t>
      </w:r>
      <w:proofErr w:type="spellStart"/>
      <w:r w:rsidRPr="00B84B0C">
        <w:rPr>
          <w:rFonts w:cs="Arial"/>
          <w:b w:val="0"/>
          <w:sz w:val="18"/>
          <w:szCs w:val="18"/>
        </w:rPr>
        <w:t>related</w:t>
      </w:r>
      <w:proofErr w:type="spellEnd"/>
      <w:r w:rsidRPr="00B84B0C">
        <w:rPr>
          <w:rFonts w:cs="Arial"/>
          <w:b w:val="0"/>
          <w:sz w:val="18"/>
          <w:szCs w:val="18"/>
        </w:rPr>
        <w:t xml:space="preserve"> </w:t>
      </w:r>
      <w:proofErr w:type="spellStart"/>
      <w:r w:rsidRPr="00B84B0C">
        <w:rPr>
          <w:rFonts w:cs="Arial"/>
          <w:b w:val="0"/>
          <w:sz w:val="18"/>
          <w:szCs w:val="18"/>
        </w:rPr>
        <w:t>to</w:t>
      </w:r>
      <w:proofErr w:type="spellEnd"/>
      <w:r w:rsidRPr="00B84B0C">
        <w:rPr>
          <w:rFonts w:cs="Arial"/>
          <w:b w:val="0"/>
          <w:sz w:val="18"/>
          <w:szCs w:val="18"/>
        </w:rPr>
        <w:t xml:space="preserve"> BB Corretora </w:t>
      </w:r>
      <w:proofErr w:type="spellStart"/>
      <w:r w:rsidRPr="00B84B0C">
        <w:rPr>
          <w:rFonts w:cs="Arial"/>
          <w:b w:val="0"/>
          <w:sz w:val="18"/>
          <w:szCs w:val="18"/>
        </w:rPr>
        <w:t>arise</w:t>
      </w:r>
      <w:proofErr w:type="spellEnd"/>
      <w:r w:rsidRPr="00B84B0C">
        <w:rPr>
          <w:rFonts w:cs="Arial"/>
          <w:b w:val="0"/>
          <w:sz w:val="18"/>
          <w:szCs w:val="18"/>
        </w:rPr>
        <w:t xml:space="preserve"> </w:t>
      </w:r>
      <w:proofErr w:type="spellStart"/>
      <w:r w:rsidRPr="00B84B0C">
        <w:rPr>
          <w:rFonts w:cs="Arial"/>
          <w:b w:val="0"/>
          <w:sz w:val="18"/>
          <w:szCs w:val="18"/>
        </w:rPr>
        <w:t>mainly</w:t>
      </w:r>
      <w:proofErr w:type="spellEnd"/>
      <w:r w:rsidRPr="00B84B0C">
        <w:rPr>
          <w:rFonts w:cs="Arial"/>
          <w:b w:val="0"/>
          <w:sz w:val="18"/>
          <w:szCs w:val="18"/>
        </w:rPr>
        <w:t xml:space="preserve"> </w:t>
      </w:r>
      <w:proofErr w:type="spellStart"/>
      <w:r w:rsidRPr="00B84B0C">
        <w:rPr>
          <w:rFonts w:cs="Arial"/>
          <w:b w:val="0"/>
          <w:sz w:val="18"/>
          <w:szCs w:val="18"/>
        </w:rPr>
        <w:t>from</w:t>
      </w:r>
      <w:proofErr w:type="spellEnd"/>
      <w:r w:rsidRPr="00B84B0C">
        <w:rPr>
          <w:rFonts w:cs="Arial"/>
          <w:b w:val="0"/>
          <w:sz w:val="18"/>
          <w:szCs w:val="18"/>
        </w:rPr>
        <w:t xml:space="preserve"> assessments </w:t>
      </w:r>
      <w:proofErr w:type="spellStart"/>
      <w:r w:rsidRPr="00B84B0C">
        <w:rPr>
          <w:rFonts w:cs="Arial"/>
          <w:b w:val="0"/>
          <w:sz w:val="18"/>
          <w:szCs w:val="18"/>
        </w:rPr>
        <w:t>by</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municipal / </w:t>
      </w:r>
      <w:proofErr w:type="spellStart"/>
      <w:r w:rsidRPr="00B84B0C">
        <w:rPr>
          <w:rFonts w:cs="Arial"/>
          <w:b w:val="0"/>
          <w:sz w:val="18"/>
          <w:szCs w:val="18"/>
        </w:rPr>
        <w:t>district</w:t>
      </w:r>
      <w:proofErr w:type="spellEnd"/>
      <w:r w:rsidRPr="00B84B0C">
        <w:rPr>
          <w:rFonts w:cs="Arial"/>
          <w:b w:val="0"/>
          <w:sz w:val="18"/>
          <w:szCs w:val="18"/>
        </w:rPr>
        <w:t xml:space="preserve"> </w:t>
      </w:r>
      <w:proofErr w:type="spellStart"/>
      <w:r w:rsidRPr="00B84B0C">
        <w:rPr>
          <w:rFonts w:cs="Arial"/>
          <w:b w:val="0"/>
          <w:sz w:val="18"/>
          <w:szCs w:val="18"/>
        </w:rPr>
        <w:t>tax</w:t>
      </w:r>
      <w:proofErr w:type="spellEnd"/>
      <w:r w:rsidRPr="00B84B0C">
        <w:rPr>
          <w:rFonts w:cs="Arial"/>
          <w:b w:val="0"/>
          <w:sz w:val="18"/>
          <w:szCs w:val="18"/>
        </w:rPr>
        <w:t xml:space="preserve"> </w:t>
      </w:r>
      <w:proofErr w:type="spellStart"/>
      <w:r w:rsidRPr="00B84B0C">
        <w:rPr>
          <w:rFonts w:cs="Arial"/>
          <w:b w:val="0"/>
          <w:sz w:val="18"/>
          <w:szCs w:val="18"/>
        </w:rPr>
        <w:t>authorities</w:t>
      </w:r>
      <w:proofErr w:type="spellEnd"/>
      <w:r w:rsidRPr="00B84B0C">
        <w:rPr>
          <w:rFonts w:cs="Arial"/>
          <w:b w:val="0"/>
          <w:sz w:val="18"/>
          <w:szCs w:val="18"/>
        </w:rPr>
        <w:t xml:space="preserve"> (</w:t>
      </w:r>
      <w:proofErr w:type="spellStart"/>
      <w:r w:rsidRPr="00B84B0C">
        <w:rPr>
          <w:rFonts w:cs="Arial"/>
          <w:b w:val="0"/>
          <w:sz w:val="18"/>
          <w:szCs w:val="18"/>
        </w:rPr>
        <w:t>discussing</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w:t>
      </w:r>
      <w:proofErr w:type="spellStart"/>
      <w:r w:rsidRPr="00B84B0C">
        <w:rPr>
          <w:rFonts w:cs="Arial"/>
          <w:b w:val="0"/>
          <w:sz w:val="18"/>
          <w:szCs w:val="18"/>
        </w:rPr>
        <w:t>payment</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w:t>
      </w:r>
      <w:proofErr w:type="spellStart"/>
      <w:r w:rsidRPr="00B84B0C">
        <w:rPr>
          <w:rFonts w:cs="Arial"/>
          <w:b w:val="0"/>
          <w:sz w:val="18"/>
          <w:szCs w:val="18"/>
        </w:rPr>
        <w:t>Tax</w:t>
      </w:r>
      <w:proofErr w:type="spellEnd"/>
      <w:r w:rsidRPr="00B84B0C">
        <w:rPr>
          <w:rFonts w:cs="Arial"/>
          <w:b w:val="0"/>
          <w:sz w:val="18"/>
          <w:szCs w:val="18"/>
        </w:rPr>
        <w:t xml:space="preserve"> </w:t>
      </w:r>
      <w:proofErr w:type="spellStart"/>
      <w:r w:rsidRPr="00B84B0C">
        <w:rPr>
          <w:rFonts w:cs="Arial"/>
          <w:b w:val="0"/>
          <w:sz w:val="18"/>
          <w:szCs w:val="18"/>
        </w:rPr>
        <w:t>on</w:t>
      </w:r>
      <w:proofErr w:type="spellEnd"/>
      <w:r w:rsidRPr="00B84B0C">
        <w:rPr>
          <w:rFonts w:cs="Arial"/>
          <w:b w:val="0"/>
          <w:sz w:val="18"/>
          <w:szCs w:val="18"/>
        </w:rPr>
        <w:t xml:space="preserve"> Services </w:t>
      </w:r>
      <w:proofErr w:type="spellStart"/>
      <w:r w:rsidRPr="00B84B0C">
        <w:rPr>
          <w:rFonts w:cs="Arial"/>
          <w:b w:val="0"/>
          <w:sz w:val="18"/>
          <w:szCs w:val="18"/>
        </w:rPr>
        <w:t>of</w:t>
      </w:r>
      <w:proofErr w:type="spellEnd"/>
      <w:r w:rsidRPr="00B84B0C">
        <w:rPr>
          <w:rFonts w:cs="Arial"/>
          <w:b w:val="0"/>
          <w:sz w:val="18"/>
          <w:szCs w:val="18"/>
        </w:rPr>
        <w:t xml:space="preserve"> </w:t>
      </w:r>
      <w:proofErr w:type="spellStart"/>
      <w:r w:rsidRPr="00B84B0C">
        <w:rPr>
          <w:rFonts w:cs="Arial"/>
          <w:b w:val="0"/>
          <w:sz w:val="18"/>
          <w:szCs w:val="18"/>
        </w:rPr>
        <w:t>Any</w:t>
      </w:r>
      <w:proofErr w:type="spellEnd"/>
      <w:r w:rsidRPr="00B84B0C">
        <w:rPr>
          <w:rFonts w:cs="Arial"/>
          <w:b w:val="0"/>
          <w:sz w:val="18"/>
          <w:szCs w:val="18"/>
        </w:rPr>
        <w:t xml:space="preserve"> </w:t>
      </w:r>
      <w:proofErr w:type="spellStart"/>
      <w:r w:rsidRPr="00B84B0C">
        <w:rPr>
          <w:rFonts w:cs="Arial"/>
          <w:b w:val="0"/>
          <w:sz w:val="18"/>
          <w:szCs w:val="18"/>
        </w:rPr>
        <w:t>Nature</w:t>
      </w:r>
      <w:proofErr w:type="spellEnd"/>
      <w:r w:rsidRPr="00B84B0C">
        <w:rPr>
          <w:rFonts w:cs="Arial"/>
          <w:b w:val="0"/>
          <w:sz w:val="18"/>
          <w:szCs w:val="18"/>
        </w:rPr>
        <w:t xml:space="preserve"> [ISSQN]);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federal </w:t>
      </w:r>
      <w:proofErr w:type="spellStart"/>
      <w:r w:rsidRPr="00B84B0C">
        <w:rPr>
          <w:rFonts w:cs="Arial"/>
          <w:b w:val="0"/>
          <w:sz w:val="18"/>
          <w:szCs w:val="18"/>
        </w:rPr>
        <w:t>demands</w:t>
      </w:r>
      <w:proofErr w:type="spellEnd"/>
      <w:r w:rsidRPr="00B84B0C">
        <w:rPr>
          <w:rFonts w:cs="Arial"/>
          <w:b w:val="0"/>
          <w:sz w:val="18"/>
          <w:szCs w:val="18"/>
        </w:rPr>
        <w:t xml:space="preserve"> </w:t>
      </w:r>
      <w:proofErr w:type="spellStart"/>
      <w:r w:rsidRPr="00B84B0C">
        <w:rPr>
          <w:rFonts w:cs="Arial"/>
          <w:b w:val="0"/>
          <w:sz w:val="18"/>
          <w:szCs w:val="18"/>
        </w:rPr>
        <w:t>proposed</w:t>
      </w:r>
      <w:proofErr w:type="spellEnd"/>
      <w:r w:rsidRPr="00B84B0C">
        <w:rPr>
          <w:rFonts w:cs="Arial"/>
          <w:b w:val="0"/>
          <w:sz w:val="18"/>
          <w:szCs w:val="18"/>
        </w:rPr>
        <w:t xml:space="preserve"> in </w:t>
      </w:r>
      <w:proofErr w:type="spellStart"/>
      <w:r w:rsidRPr="00B84B0C">
        <w:rPr>
          <w:rFonts w:cs="Arial"/>
          <w:b w:val="0"/>
          <w:sz w:val="18"/>
          <w:szCs w:val="18"/>
        </w:rPr>
        <w:t>the</w:t>
      </w:r>
      <w:proofErr w:type="spellEnd"/>
      <w:r w:rsidRPr="00B84B0C">
        <w:rPr>
          <w:rFonts w:cs="Arial"/>
          <w:b w:val="0"/>
          <w:sz w:val="18"/>
          <w:szCs w:val="18"/>
        </w:rPr>
        <w:t xml:space="preserve"> </w:t>
      </w:r>
      <w:proofErr w:type="spellStart"/>
      <w:r w:rsidRPr="00B84B0C">
        <w:rPr>
          <w:rFonts w:cs="Arial"/>
          <w:b w:val="0"/>
          <w:sz w:val="18"/>
          <w:szCs w:val="18"/>
        </w:rPr>
        <w:t>administrative</w:t>
      </w:r>
      <w:proofErr w:type="spellEnd"/>
      <w:r w:rsidRPr="00B84B0C">
        <w:rPr>
          <w:rFonts w:cs="Arial"/>
          <w:b w:val="0"/>
          <w:sz w:val="18"/>
          <w:szCs w:val="18"/>
        </w:rPr>
        <w:t xml:space="preserve"> </w:t>
      </w:r>
      <w:proofErr w:type="spellStart"/>
      <w:r w:rsidRPr="00B84B0C">
        <w:rPr>
          <w:rFonts w:cs="Arial"/>
          <w:b w:val="0"/>
          <w:sz w:val="18"/>
          <w:szCs w:val="18"/>
        </w:rPr>
        <w:t>or</w:t>
      </w:r>
      <w:proofErr w:type="spellEnd"/>
      <w:r w:rsidRPr="00B84B0C">
        <w:rPr>
          <w:rFonts w:cs="Arial"/>
          <w:b w:val="0"/>
          <w:sz w:val="18"/>
          <w:szCs w:val="18"/>
        </w:rPr>
        <w:t xml:space="preserve"> judicial </w:t>
      </w:r>
      <w:proofErr w:type="spellStart"/>
      <w:r w:rsidRPr="00B84B0C">
        <w:rPr>
          <w:rFonts w:cs="Arial"/>
          <w:b w:val="0"/>
          <w:sz w:val="18"/>
          <w:szCs w:val="18"/>
        </w:rPr>
        <w:t>spheres</w:t>
      </w:r>
      <w:proofErr w:type="spellEnd"/>
      <w:r w:rsidRPr="00B84B0C">
        <w:rPr>
          <w:rFonts w:cs="Arial"/>
          <w:b w:val="0"/>
          <w:sz w:val="18"/>
          <w:szCs w:val="18"/>
        </w:rPr>
        <w:t xml:space="preserve"> </w:t>
      </w:r>
      <w:proofErr w:type="spellStart"/>
      <w:r w:rsidRPr="00B84B0C">
        <w:rPr>
          <w:rFonts w:cs="Arial"/>
          <w:b w:val="0"/>
          <w:sz w:val="18"/>
          <w:szCs w:val="18"/>
        </w:rPr>
        <w:t>discussing</w:t>
      </w:r>
      <w:proofErr w:type="spellEnd"/>
      <w:r w:rsidRPr="00B84B0C">
        <w:rPr>
          <w:rFonts w:cs="Arial"/>
          <w:b w:val="0"/>
          <w:sz w:val="18"/>
          <w:szCs w:val="18"/>
        </w:rPr>
        <w:t xml:space="preserve"> federal taxes (</w:t>
      </w:r>
      <w:proofErr w:type="spellStart"/>
      <w:r w:rsidRPr="00B84B0C">
        <w:rPr>
          <w:rFonts w:cs="Arial"/>
          <w:b w:val="0"/>
          <w:sz w:val="18"/>
          <w:szCs w:val="18"/>
        </w:rPr>
        <w:t>notably</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non-</w:t>
      </w:r>
      <w:proofErr w:type="spellStart"/>
      <w:r w:rsidRPr="00B84B0C">
        <w:rPr>
          <w:rFonts w:cs="Arial"/>
          <w:b w:val="0"/>
          <w:sz w:val="18"/>
          <w:szCs w:val="18"/>
        </w:rPr>
        <w:t>ratification</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w:t>
      </w:r>
      <w:proofErr w:type="spellStart"/>
      <w:r w:rsidRPr="00B84B0C">
        <w:rPr>
          <w:rFonts w:cs="Arial"/>
          <w:b w:val="0"/>
          <w:sz w:val="18"/>
          <w:szCs w:val="18"/>
        </w:rPr>
        <w:t>compensation</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w:t>
      </w:r>
      <w:proofErr w:type="spellStart"/>
      <w:r w:rsidRPr="00B84B0C">
        <w:rPr>
          <w:rFonts w:cs="Arial"/>
          <w:b w:val="0"/>
          <w:sz w:val="18"/>
          <w:szCs w:val="18"/>
        </w:rPr>
        <w:t>own</w:t>
      </w:r>
      <w:proofErr w:type="spellEnd"/>
      <w:r w:rsidRPr="00B84B0C">
        <w:rPr>
          <w:rFonts w:cs="Arial"/>
          <w:b w:val="0"/>
          <w:sz w:val="18"/>
          <w:szCs w:val="18"/>
        </w:rPr>
        <w:t xml:space="preserve"> taxes </w:t>
      </w:r>
      <w:proofErr w:type="spellStart"/>
      <w:r w:rsidRPr="00B84B0C">
        <w:rPr>
          <w:rFonts w:cs="Arial"/>
          <w:b w:val="0"/>
          <w:sz w:val="18"/>
          <w:szCs w:val="18"/>
        </w:rPr>
        <w:t>with</w:t>
      </w:r>
      <w:proofErr w:type="spellEnd"/>
      <w:r w:rsidRPr="00B84B0C">
        <w:rPr>
          <w:rFonts w:cs="Arial"/>
          <w:b w:val="0"/>
          <w:sz w:val="18"/>
          <w:szCs w:val="18"/>
        </w:rPr>
        <w:t xml:space="preserve"> </w:t>
      </w:r>
      <w:proofErr w:type="spellStart"/>
      <w:r w:rsidRPr="00B84B0C">
        <w:rPr>
          <w:rFonts w:cs="Arial"/>
          <w:b w:val="0"/>
          <w:sz w:val="18"/>
          <w:szCs w:val="18"/>
        </w:rPr>
        <w:t>other</w:t>
      </w:r>
      <w:proofErr w:type="spellEnd"/>
      <w:r w:rsidRPr="00B84B0C">
        <w:rPr>
          <w:rFonts w:cs="Arial"/>
          <w:b w:val="0"/>
          <w:sz w:val="18"/>
          <w:szCs w:val="18"/>
        </w:rPr>
        <w:t xml:space="preserve"> taxes).</w:t>
      </w:r>
    </w:p>
    <w:p w14:paraId="0EB2016D" w14:textId="77777777" w:rsidR="00081370" w:rsidRPr="00B84B0C" w:rsidRDefault="00081370" w:rsidP="00081370">
      <w:pPr>
        <w:pStyle w:val="04-TtuloNegrito"/>
        <w:keepNext/>
        <w:keepLines/>
        <w:rPr>
          <w:rFonts w:cs="Arial"/>
          <w:b w:val="0"/>
          <w:sz w:val="18"/>
          <w:szCs w:val="18"/>
        </w:rPr>
      </w:pPr>
      <w:r w:rsidRPr="00B84B0C">
        <w:rPr>
          <w:rFonts w:cs="Arial"/>
          <w:b w:val="0"/>
          <w:sz w:val="18"/>
          <w:szCs w:val="18"/>
        </w:rPr>
        <w:t xml:space="preserve">In </w:t>
      </w:r>
      <w:proofErr w:type="spellStart"/>
      <w:r w:rsidRPr="00B84B0C">
        <w:rPr>
          <w:rFonts w:cs="Arial"/>
          <w:b w:val="0"/>
          <w:sz w:val="18"/>
          <w:szCs w:val="18"/>
        </w:rPr>
        <w:t>court</w:t>
      </w:r>
      <w:proofErr w:type="spellEnd"/>
      <w:r w:rsidRPr="00B84B0C">
        <w:rPr>
          <w:rFonts w:cs="Arial"/>
          <w:b w:val="0"/>
          <w:sz w:val="18"/>
          <w:szCs w:val="18"/>
        </w:rPr>
        <w:t xml:space="preserve">, </w:t>
      </w:r>
      <w:proofErr w:type="spellStart"/>
      <w:r w:rsidRPr="00B84B0C">
        <w:rPr>
          <w:rFonts w:cs="Arial"/>
          <w:b w:val="0"/>
          <w:sz w:val="18"/>
          <w:szCs w:val="18"/>
        </w:rPr>
        <w:t>after</w:t>
      </w:r>
      <w:proofErr w:type="spellEnd"/>
      <w:r w:rsidRPr="00B84B0C">
        <w:rPr>
          <w:rFonts w:cs="Arial"/>
          <w:b w:val="0"/>
          <w:sz w:val="18"/>
          <w:szCs w:val="18"/>
        </w:rPr>
        <w:t xml:space="preserve"> </w:t>
      </w:r>
      <w:proofErr w:type="spellStart"/>
      <w:r w:rsidRPr="00B84B0C">
        <w:rPr>
          <w:rFonts w:cs="Arial"/>
          <w:b w:val="0"/>
          <w:sz w:val="18"/>
          <w:szCs w:val="18"/>
        </w:rPr>
        <w:t>an</w:t>
      </w:r>
      <w:proofErr w:type="spellEnd"/>
      <w:r w:rsidRPr="00B84B0C">
        <w:rPr>
          <w:rFonts w:cs="Arial"/>
          <w:b w:val="0"/>
          <w:sz w:val="18"/>
          <w:szCs w:val="18"/>
        </w:rPr>
        <w:t xml:space="preserve"> </w:t>
      </w:r>
      <w:proofErr w:type="spellStart"/>
      <w:r w:rsidRPr="00B84B0C">
        <w:rPr>
          <w:rFonts w:cs="Arial"/>
          <w:b w:val="0"/>
          <w:sz w:val="18"/>
          <w:szCs w:val="18"/>
        </w:rPr>
        <w:t>administrative</w:t>
      </w:r>
      <w:proofErr w:type="spellEnd"/>
      <w:r w:rsidRPr="00B84B0C">
        <w:rPr>
          <w:rFonts w:cs="Arial"/>
          <w:b w:val="0"/>
          <w:sz w:val="18"/>
          <w:szCs w:val="18"/>
        </w:rPr>
        <w:t xml:space="preserve"> </w:t>
      </w:r>
      <w:proofErr w:type="spellStart"/>
      <w:r w:rsidRPr="00B84B0C">
        <w:rPr>
          <w:rFonts w:cs="Arial"/>
          <w:b w:val="0"/>
          <w:sz w:val="18"/>
          <w:szCs w:val="18"/>
        </w:rPr>
        <w:t>decision</w:t>
      </w:r>
      <w:proofErr w:type="spellEnd"/>
      <w:r w:rsidRPr="00B84B0C">
        <w:rPr>
          <w:rFonts w:cs="Arial"/>
          <w:b w:val="0"/>
          <w:sz w:val="18"/>
          <w:szCs w:val="18"/>
        </w:rPr>
        <w:t xml:space="preserve">, BB Corretora disputes </w:t>
      </w:r>
      <w:proofErr w:type="spellStart"/>
      <w:r w:rsidRPr="00B84B0C">
        <w:rPr>
          <w:rFonts w:cs="Arial"/>
          <w:b w:val="0"/>
          <w:sz w:val="18"/>
          <w:szCs w:val="18"/>
        </w:rPr>
        <w:t>the</w:t>
      </w:r>
      <w:proofErr w:type="spellEnd"/>
      <w:r w:rsidRPr="00B84B0C">
        <w:rPr>
          <w:rFonts w:cs="Arial"/>
          <w:b w:val="0"/>
          <w:sz w:val="18"/>
          <w:szCs w:val="18"/>
        </w:rPr>
        <w:t xml:space="preserve"> non-</w:t>
      </w:r>
      <w:proofErr w:type="spellStart"/>
      <w:r w:rsidRPr="00B84B0C">
        <w:rPr>
          <w:rFonts w:cs="Arial"/>
          <w:b w:val="0"/>
          <w:sz w:val="18"/>
          <w:szCs w:val="18"/>
        </w:rPr>
        <w:t>approval</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w:t>
      </w:r>
      <w:proofErr w:type="spellStart"/>
      <w:r w:rsidRPr="00B84B0C">
        <w:rPr>
          <w:rFonts w:cs="Arial"/>
          <w:b w:val="0"/>
          <w:sz w:val="18"/>
          <w:szCs w:val="18"/>
        </w:rPr>
        <w:t>requests</w:t>
      </w:r>
      <w:proofErr w:type="spellEnd"/>
      <w:r w:rsidRPr="00B84B0C">
        <w:rPr>
          <w:rFonts w:cs="Arial"/>
          <w:b w:val="0"/>
          <w:sz w:val="18"/>
          <w:szCs w:val="18"/>
        </w:rPr>
        <w:t xml:space="preserve"> for </w:t>
      </w:r>
      <w:proofErr w:type="spellStart"/>
      <w:r w:rsidRPr="00B84B0C">
        <w:rPr>
          <w:rFonts w:cs="Arial"/>
          <w:b w:val="0"/>
          <w:sz w:val="18"/>
          <w:szCs w:val="18"/>
        </w:rPr>
        <w:t>compensation</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IRPJ, CSLL, PIS / Pasep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Cofins</w:t>
      </w:r>
      <w:proofErr w:type="spellEnd"/>
      <w:r w:rsidRPr="00B84B0C">
        <w:rPr>
          <w:rFonts w:cs="Arial"/>
          <w:b w:val="0"/>
          <w:sz w:val="18"/>
          <w:szCs w:val="18"/>
        </w:rPr>
        <w:t xml:space="preserve"> </w:t>
      </w:r>
      <w:proofErr w:type="spellStart"/>
      <w:r w:rsidRPr="00B84B0C">
        <w:rPr>
          <w:rFonts w:cs="Arial"/>
          <w:b w:val="0"/>
          <w:sz w:val="18"/>
          <w:szCs w:val="18"/>
        </w:rPr>
        <w:t>made</w:t>
      </w:r>
      <w:proofErr w:type="spellEnd"/>
      <w:r w:rsidRPr="00B84B0C">
        <w:rPr>
          <w:rFonts w:cs="Arial"/>
          <w:b w:val="0"/>
          <w:sz w:val="18"/>
          <w:szCs w:val="18"/>
        </w:rPr>
        <w:t xml:space="preserve"> </w:t>
      </w:r>
      <w:proofErr w:type="spellStart"/>
      <w:r w:rsidRPr="00B84B0C">
        <w:rPr>
          <w:rFonts w:cs="Arial"/>
          <w:b w:val="0"/>
          <w:sz w:val="18"/>
          <w:szCs w:val="18"/>
        </w:rPr>
        <w:t>between</w:t>
      </w:r>
      <w:proofErr w:type="spellEnd"/>
      <w:r w:rsidRPr="00B84B0C">
        <w:rPr>
          <w:rFonts w:cs="Arial"/>
          <w:b w:val="0"/>
          <w:sz w:val="18"/>
          <w:szCs w:val="18"/>
        </w:rPr>
        <w:t xml:space="preserve"> 1999 </w:t>
      </w:r>
      <w:proofErr w:type="spellStart"/>
      <w:r w:rsidRPr="00B84B0C">
        <w:rPr>
          <w:rFonts w:cs="Arial"/>
          <w:b w:val="0"/>
          <w:sz w:val="18"/>
          <w:szCs w:val="18"/>
        </w:rPr>
        <w:t>and</w:t>
      </w:r>
      <w:proofErr w:type="spellEnd"/>
      <w:r w:rsidRPr="00B84B0C">
        <w:rPr>
          <w:rFonts w:cs="Arial"/>
          <w:b w:val="0"/>
          <w:sz w:val="18"/>
          <w:szCs w:val="18"/>
        </w:rPr>
        <w:t xml:space="preserve"> 2003, </w:t>
      </w:r>
      <w:proofErr w:type="spellStart"/>
      <w:r w:rsidRPr="00B84B0C">
        <w:rPr>
          <w:rFonts w:cs="Arial"/>
          <w:b w:val="0"/>
          <w:sz w:val="18"/>
          <w:szCs w:val="18"/>
        </w:rPr>
        <w:t>due</w:t>
      </w:r>
      <w:proofErr w:type="spellEnd"/>
      <w:r w:rsidRPr="00B84B0C">
        <w:rPr>
          <w:rFonts w:cs="Arial"/>
          <w:b w:val="0"/>
          <w:sz w:val="18"/>
          <w:szCs w:val="18"/>
        </w:rPr>
        <w:t xml:space="preserve"> </w:t>
      </w:r>
      <w:proofErr w:type="spellStart"/>
      <w:r w:rsidRPr="00B84B0C">
        <w:rPr>
          <w:rFonts w:cs="Arial"/>
          <w:b w:val="0"/>
          <w:sz w:val="18"/>
          <w:szCs w:val="18"/>
        </w:rPr>
        <w:t>to</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w:t>
      </w:r>
      <w:proofErr w:type="spellStart"/>
      <w:r w:rsidRPr="00B84B0C">
        <w:rPr>
          <w:rFonts w:cs="Arial"/>
          <w:b w:val="0"/>
          <w:sz w:val="18"/>
          <w:szCs w:val="18"/>
        </w:rPr>
        <w:t>failure</w:t>
      </w:r>
      <w:proofErr w:type="spellEnd"/>
      <w:r w:rsidRPr="00B84B0C">
        <w:rPr>
          <w:rFonts w:cs="Arial"/>
          <w:b w:val="0"/>
          <w:sz w:val="18"/>
          <w:szCs w:val="18"/>
        </w:rPr>
        <w:t xml:space="preserve"> </w:t>
      </w:r>
      <w:proofErr w:type="spellStart"/>
      <w:r w:rsidRPr="00B84B0C">
        <w:rPr>
          <w:rFonts w:cs="Arial"/>
          <w:b w:val="0"/>
          <w:sz w:val="18"/>
          <w:szCs w:val="18"/>
        </w:rPr>
        <w:t>to</w:t>
      </w:r>
      <w:proofErr w:type="spellEnd"/>
      <w:r w:rsidRPr="00B84B0C">
        <w:rPr>
          <w:rFonts w:cs="Arial"/>
          <w:b w:val="0"/>
          <w:sz w:val="18"/>
          <w:szCs w:val="18"/>
        </w:rPr>
        <w:t xml:space="preserve"> </w:t>
      </w:r>
      <w:proofErr w:type="spellStart"/>
      <w:r w:rsidRPr="00B84B0C">
        <w:rPr>
          <w:rFonts w:cs="Arial"/>
          <w:b w:val="0"/>
          <w:sz w:val="18"/>
          <w:szCs w:val="18"/>
        </w:rPr>
        <w:t>recognize</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negative balances </w:t>
      </w:r>
      <w:proofErr w:type="spellStart"/>
      <w:r w:rsidRPr="00B84B0C">
        <w:rPr>
          <w:rFonts w:cs="Arial"/>
          <w:b w:val="0"/>
          <w:sz w:val="18"/>
          <w:szCs w:val="18"/>
        </w:rPr>
        <w:t>of</w:t>
      </w:r>
      <w:proofErr w:type="spellEnd"/>
      <w:r w:rsidRPr="00B84B0C">
        <w:rPr>
          <w:rFonts w:cs="Arial"/>
          <w:b w:val="0"/>
          <w:sz w:val="18"/>
          <w:szCs w:val="18"/>
        </w:rPr>
        <w:t xml:space="preserve"> 1995 </w:t>
      </w:r>
      <w:proofErr w:type="spellStart"/>
      <w:r w:rsidRPr="00B84B0C">
        <w:rPr>
          <w:rFonts w:cs="Arial"/>
          <w:b w:val="0"/>
          <w:sz w:val="18"/>
          <w:szCs w:val="18"/>
        </w:rPr>
        <w:t>and</w:t>
      </w:r>
      <w:proofErr w:type="spellEnd"/>
      <w:r w:rsidRPr="00B84B0C">
        <w:rPr>
          <w:rFonts w:cs="Arial"/>
          <w:b w:val="0"/>
          <w:sz w:val="18"/>
          <w:szCs w:val="18"/>
        </w:rPr>
        <w:t xml:space="preserve"> 1997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w:t>
      </w:r>
      <w:proofErr w:type="spellStart"/>
      <w:r w:rsidRPr="00B84B0C">
        <w:rPr>
          <w:rFonts w:cs="Arial"/>
          <w:b w:val="0"/>
          <w:sz w:val="18"/>
          <w:szCs w:val="18"/>
        </w:rPr>
        <w:t>deduction</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CSLL </w:t>
      </w:r>
      <w:proofErr w:type="spellStart"/>
      <w:r w:rsidRPr="00B84B0C">
        <w:rPr>
          <w:rFonts w:cs="Arial"/>
          <w:b w:val="0"/>
          <w:sz w:val="18"/>
          <w:szCs w:val="18"/>
        </w:rPr>
        <w:t>amounts</w:t>
      </w:r>
      <w:proofErr w:type="spellEnd"/>
      <w:r w:rsidRPr="00B84B0C">
        <w:rPr>
          <w:rFonts w:cs="Arial"/>
          <w:b w:val="0"/>
          <w:sz w:val="18"/>
          <w:szCs w:val="18"/>
        </w:rPr>
        <w:t xml:space="preserve"> </w:t>
      </w:r>
      <w:proofErr w:type="spellStart"/>
      <w:r w:rsidRPr="00B84B0C">
        <w:rPr>
          <w:rFonts w:cs="Arial"/>
          <w:b w:val="0"/>
          <w:sz w:val="18"/>
          <w:szCs w:val="18"/>
        </w:rPr>
        <w:t>from</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IRPJ </w:t>
      </w:r>
      <w:proofErr w:type="spellStart"/>
      <w:r w:rsidRPr="00B84B0C">
        <w:rPr>
          <w:rFonts w:cs="Arial"/>
          <w:b w:val="0"/>
          <w:sz w:val="18"/>
          <w:szCs w:val="18"/>
        </w:rPr>
        <w:t>calculation</w:t>
      </w:r>
      <w:proofErr w:type="spellEnd"/>
      <w:r w:rsidRPr="00B84B0C">
        <w:rPr>
          <w:rFonts w:cs="Arial"/>
          <w:b w:val="0"/>
          <w:sz w:val="18"/>
          <w:szCs w:val="18"/>
        </w:rPr>
        <w:t xml:space="preserve"> base </w:t>
      </w:r>
      <w:proofErr w:type="spellStart"/>
      <w:r w:rsidRPr="00B84B0C">
        <w:rPr>
          <w:rFonts w:cs="Arial"/>
          <w:b w:val="0"/>
          <w:sz w:val="18"/>
          <w:szCs w:val="18"/>
        </w:rPr>
        <w:t>granted</w:t>
      </w:r>
      <w:proofErr w:type="spellEnd"/>
      <w:r w:rsidRPr="00B84B0C">
        <w:rPr>
          <w:rFonts w:cs="Arial"/>
          <w:b w:val="0"/>
          <w:sz w:val="18"/>
          <w:szCs w:val="18"/>
        </w:rPr>
        <w:t xml:space="preserve"> in a writ </w:t>
      </w:r>
      <w:proofErr w:type="spellStart"/>
      <w:r w:rsidRPr="00B84B0C">
        <w:rPr>
          <w:rFonts w:cs="Arial"/>
          <w:b w:val="0"/>
          <w:sz w:val="18"/>
          <w:szCs w:val="18"/>
        </w:rPr>
        <w:t>of</w:t>
      </w:r>
      <w:proofErr w:type="spellEnd"/>
      <w:r w:rsidRPr="00B84B0C">
        <w:rPr>
          <w:rFonts w:cs="Arial"/>
          <w:b w:val="0"/>
          <w:sz w:val="18"/>
          <w:szCs w:val="18"/>
        </w:rPr>
        <w:t xml:space="preserve"> </w:t>
      </w:r>
      <w:proofErr w:type="spellStart"/>
      <w:r w:rsidRPr="00B84B0C">
        <w:rPr>
          <w:rFonts w:cs="Arial"/>
          <w:b w:val="0"/>
          <w:sz w:val="18"/>
          <w:szCs w:val="18"/>
        </w:rPr>
        <w:t>mandamus</w:t>
      </w:r>
      <w:proofErr w:type="spellEnd"/>
      <w:r w:rsidRPr="00B84B0C">
        <w:rPr>
          <w:rFonts w:cs="Arial"/>
          <w:b w:val="0"/>
          <w:sz w:val="18"/>
          <w:szCs w:val="18"/>
        </w:rPr>
        <w:t xml:space="preserve">. The </w:t>
      </w:r>
      <w:proofErr w:type="spellStart"/>
      <w:r w:rsidRPr="00B84B0C">
        <w:rPr>
          <w:rFonts w:cs="Arial"/>
          <w:b w:val="0"/>
          <w:sz w:val="18"/>
          <w:szCs w:val="18"/>
        </w:rPr>
        <w:t>possibility</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w:t>
      </w:r>
      <w:proofErr w:type="spellStart"/>
      <w:r w:rsidRPr="00B84B0C">
        <w:rPr>
          <w:rFonts w:cs="Arial"/>
          <w:b w:val="0"/>
          <w:sz w:val="18"/>
          <w:szCs w:val="18"/>
        </w:rPr>
        <w:t>loss</w:t>
      </w:r>
      <w:proofErr w:type="spellEnd"/>
      <w:r w:rsidRPr="00B84B0C">
        <w:rPr>
          <w:rFonts w:cs="Arial"/>
          <w:b w:val="0"/>
          <w:sz w:val="18"/>
          <w:szCs w:val="18"/>
        </w:rPr>
        <w:t xml:space="preserve"> </w:t>
      </w:r>
      <w:proofErr w:type="spellStart"/>
      <w:r w:rsidRPr="00B84B0C">
        <w:rPr>
          <w:rFonts w:cs="Arial"/>
          <w:b w:val="0"/>
          <w:sz w:val="18"/>
          <w:szCs w:val="18"/>
        </w:rPr>
        <w:t>of</w:t>
      </w:r>
      <w:proofErr w:type="spellEnd"/>
      <w:r w:rsidRPr="00B84B0C">
        <w:rPr>
          <w:rFonts w:cs="Arial"/>
          <w:b w:val="0"/>
          <w:sz w:val="18"/>
          <w:szCs w:val="18"/>
        </w:rPr>
        <w:t xml:space="preserve"> </w:t>
      </w:r>
      <w:proofErr w:type="spellStart"/>
      <w:r w:rsidRPr="00B84B0C">
        <w:rPr>
          <w:rFonts w:cs="Arial"/>
          <w:b w:val="0"/>
          <w:sz w:val="18"/>
          <w:szCs w:val="18"/>
        </w:rPr>
        <w:t>demand</w:t>
      </w:r>
      <w:proofErr w:type="spellEnd"/>
      <w:r w:rsidRPr="00B84B0C">
        <w:rPr>
          <w:rFonts w:cs="Arial"/>
          <w:b w:val="0"/>
          <w:sz w:val="18"/>
          <w:szCs w:val="18"/>
        </w:rPr>
        <w:t xml:space="preserve"> </w:t>
      </w:r>
      <w:proofErr w:type="spellStart"/>
      <w:r w:rsidRPr="00B84B0C">
        <w:rPr>
          <w:rFonts w:cs="Arial"/>
          <w:b w:val="0"/>
          <w:sz w:val="18"/>
          <w:szCs w:val="18"/>
        </w:rPr>
        <w:t>is</w:t>
      </w:r>
      <w:proofErr w:type="spellEnd"/>
      <w:r w:rsidRPr="00B84B0C">
        <w:rPr>
          <w:rFonts w:cs="Arial"/>
          <w:b w:val="0"/>
          <w:sz w:val="18"/>
          <w:szCs w:val="18"/>
        </w:rPr>
        <w:t xml:space="preserve"> </w:t>
      </w:r>
      <w:proofErr w:type="spellStart"/>
      <w:r w:rsidRPr="00B84B0C">
        <w:rPr>
          <w:rFonts w:cs="Arial"/>
          <w:b w:val="0"/>
          <w:sz w:val="18"/>
          <w:szCs w:val="18"/>
        </w:rPr>
        <w:t>classified</w:t>
      </w:r>
      <w:proofErr w:type="spellEnd"/>
      <w:r w:rsidRPr="00B84B0C">
        <w:rPr>
          <w:rFonts w:cs="Arial"/>
          <w:b w:val="0"/>
          <w:sz w:val="18"/>
          <w:szCs w:val="18"/>
        </w:rPr>
        <w:t xml:space="preserve"> as </w:t>
      </w:r>
      <w:proofErr w:type="spellStart"/>
      <w:r w:rsidRPr="00B84B0C">
        <w:rPr>
          <w:rFonts w:cs="Arial"/>
          <w:b w:val="0"/>
          <w:sz w:val="18"/>
          <w:szCs w:val="18"/>
        </w:rPr>
        <w:t>possible</w:t>
      </w:r>
      <w:proofErr w:type="spellEnd"/>
      <w:r w:rsidRPr="00B84B0C">
        <w:rPr>
          <w:rFonts w:cs="Arial"/>
          <w:b w:val="0"/>
          <w:sz w:val="18"/>
          <w:szCs w:val="18"/>
        </w:rPr>
        <w:t xml:space="preserve">, </w:t>
      </w:r>
      <w:proofErr w:type="spellStart"/>
      <w:r w:rsidRPr="00B84B0C">
        <w:rPr>
          <w:rFonts w:cs="Arial"/>
          <w:b w:val="0"/>
          <w:sz w:val="18"/>
          <w:szCs w:val="18"/>
        </w:rPr>
        <w:t>therefore</w:t>
      </w:r>
      <w:proofErr w:type="spellEnd"/>
      <w:r w:rsidRPr="00B84B0C">
        <w:rPr>
          <w:rFonts w:cs="Arial"/>
          <w:b w:val="0"/>
          <w:sz w:val="18"/>
          <w:szCs w:val="18"/>
        </w:rPr>
        <w:t xml:space="preserve">, no </w:t>
      </w:r>
      <w:proofErr w:type="spellStart"/>
      <w:r w:rsidRPr="00B84B0C">
        <w:rPr>
          <w:rFonts w:cs="Arial"/>
          <w:b w:val="0"/>
          <w:sz w:val="18"/>
          <w:szCs w:val="18"/>
        </w:rPr>
        <w:t>provision</w:t>
      </w:r>
      <w:proofErr w:type="spellEnd"/>
      <w:r w:rsidRPr="00B84B0C">
        <w:rPr>
          <w:rFonts w:cs="Arial"/>
          <w:b w:val="0"/>
          <w:sz w:val="18"/>
          <w:szCs w:val="18"/>
        </w:rPr>
        <w:t xml:space="preserve"> </w:t>
      </w:r>
      <w:proofErr w:type="spellStart"/>
      <w:r w:rsidRPr="00B84B0C">
        <w:rPr>
          <w:rFonts w:cs="Arial"/>
          <w:b w:val="0"/>
          <w:sz w:val="18"/>
          <w:szCs w:val="18"/>
        </w:rPr>
        <w:t>is</w:t>
      </w:r>
      <w:proofErr w:type="spellEnd"/>
      <w:r w:rsidRPr="00B84B0C">
        <w:rPr>
          <w:rFonts w:cs="Arial"/>
          <w:b w:val="0"/>
          <w:sz w:val="18"/>
          <w:szCs w:val="18"/>
        </w:rPr>
        <w:t xml:space="preserve"> </w:t>
      </w:r>
      <w:proofErr w:type="spellStart"/>
      <w:r w:rsidRPr="00B84B0C">
        <w:rPr>
          <w:rFonts w:cs="Arial"/>
          <w:b w:val="0"/>
          <w:sz w:val="18"/>
          <w:szCs w:val="18"/>
        </w:rPr>
        <w:t>recorded</w:t>
      </w:r>
      <w:proofErr w:type="spellEnd"/>
      <w:r w:rsidRPr="00B84B0C">
        <w:rPr>
          <w:rFonts w:cs="Arial"/>
          <w:b w:val="0"/>
          <w:sz w:val="18"/>
          <w:szCs w:val="18"/>
        </w:rPr>
        <w:t>.</w:t>
      </w:r>
    </w:p>
    <w:p w14:paraId="5DED737C" w14:textId="77777777" w:rsidR="00081370" w:rsidRPr="00B84B0C" w:rsidRDefault="00081370" w:rsidP="00081370">
      <w:pPr>
        <w:pStyle w:val="04-TtuloNegrito"/>
        <w:keepNext/>
        <w:keepLines/>
        <w:rPr>
          <w:rFonts w:cs="Arial"/>
          <w:b w:val="0"/>
          <w:sz w:val="18"/>
          <w:szCs w:val="18"/>
        </w:rPr>
      </w:pP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with</w:t>
      </w:r>
      <w:proofErr w:type="spellEnd"/>
      <w:r w:rsidRPr="00B84B0C">
        <w:rPr>
          <w:rFonts w:cs="Arial"/>
          <w:b w:val="0"/>
          <w:sz w:val="18"/>
          <w:szCs w:val="18"/>
        </w:rPr>
        <w:t xml:space="preserve"> </w:t>
      </w:r>
      <w:proofErr w:type="spellStart"/>
      <w:r w:rsidRPr="00B84B0C">
        <w:rPr>
          <w:rFonts w:cs="Arial"/>
          <w:b w:val="0"/>
          <w:sz w:val="18"/>
          <w:szCs w:val="18"/>
        </w:rPr>
        <w:t>regard</w:t>
      </w:r>
      <w:proofErr w:type="spellEnd"/>
      <w:r w:rsidRPr="00B84B0C">
        <w:rPr>
          <w:rFonts w:cs="Arial"/>
          <w:b w:val="0"/>
          <w:sz w:val="18"/>
          <w:szCs w:val="18"/>
        </w:rPr>
        <w:t xml:space="preserve"> </w:t>
      </w:r>
      <w:proofErr w:type="spellStart"/>
      <w:r w:rsidRPr="00B84B0C">
        <w:rPr>
          <w:rFonts w:cs="Arial"/>
          <w:b w:val="0"/>
          <w:sz w:val="18"/>
          <w:szCs w:val="18"/>
        </w:rPr>
        <w:t>to</w:t>
      </w:r>
      <w:proofErr w:type="spellEnd"/>
      <w:r w:rsidRPr="00B84B0C">
        <w:rPr>
          <w:rFonts w:cs="Arial"/>
          <w:b w:val="0"/>
          <w:sz w:val="18"/>
          <w:szCs w:val="18"/>
        </w:rPr>
        <w:t xml:space="preserve"> BB Seguridade </w:t>
      </w:r>
      <w:proofErr w:type="spellStart"/>
      <w:r w:rsidRPr="00B84B0C">
        <w:rPr>
          <w:rFonts w:cs="Arial"/>
          <w:b w:val="0"/>
          <w:sz w:val="18"/>
          <w:szCs w:val="18"/>
        </w:rPr>
        <w:t>and</w:t>
      </w:r>
      <w:proofErr w:type="spellEnd"/>
      <w:r w:rsidRPr="00B84B0C">
        <w:rPr>
          <w:rFonts w:cs="Arial"/>
          <w:b w:val="0"/>
          <w:sz w:val="18"/>
          <w:szCs w:val="18"/>
        </w:rPr>
        <w:t xml:space="preserve"> BB Seguros, </w:t>
      </w:r>
      <w:proofErr w:type="spellStart"/>
      <w:r w:rsidRPr="00B84B0C">
        <w:rPr>
          <w:rFonts w:cs="Arial"/>
          <w:b w:val="0"/>
          <w:sz w:val="18"/>
          <w:szCs w:val="18"/>
        </w:rPr>
        <w:t>the</w:t>
      </w:r>
      <w:proofErr w:type="spellEnd"/>
      <w:r w:rsidRPr="00B84B0C">
        <w:rPr>
          <w:rFonts w:cs="Arial"/>
          <w:b w:val="0"/>
          <w:sz w:val="18"/>
          <w:szCs w:val="18"/>
        </w:rPr>
        <w:t xml:space="preserve"> </w:t>
      </w:r>
      <w:proofErr w:type="spellStart"/>
      <w:r w:rsidRPr="00B84B0C">
        <w:rPr>
          <w:rFonts w:cs="Arial"/>
          <w:b w:val="0"/>
          <w:sz w:val="18"/>
          <w:szCs w:val="18"/>
        </w:rPr>
        <w:t>referred</w:t>
      </w:r>
      <w:proofErr w:type="spellEnd"/>
      <w:r w:rsidRPr="00B84B0C">
        <w:rPr>
          <w:rFonts w:cs="Arial"/>
          <w:b w:val="0"/>
          <w:sz w:val="18"/>
          <w:szCs w:val="18"/>
        </w:rPr>
        <w:t xml:space="preserve"> </w:t>
      </w:r>
      <w:proofErr w:type="spellStart"/>
      <w:r w:rsidRPr="00B84B0C">
        <w:rPr>
          <w:rFonts w:cs="Arial"/>
          <w:b w:val="0"/>
          <w:sz w:val="18"/>
          <w:szCs w:val="18"/>
        </w:rPr>
        <w:t>companies</w:t>
      </w:r>
      <w:proofErr w:type="spellEnd"/>
      <w:r w:rsidRPr="00B84B0C">
        <w:rPr>
          <w:rFonts w:cs="Arial"/>
          <w:b w:val="0"/>
          <w:sz w:val="18"/>
          <w:szCs w:val="18"/>
        </w:rPr>
        <w:t xml:space="preserve"> do </w:t>
      </w:r>
      <w:proofErr w:type="spellStart"/>
      <w:r w:rsidRPr="00B84B0C">
        <w:rPr>
          <w:rFonts w:cs="Arial"/>
          <w:b w:val="0"/>
          <w:sz w:val="18"/>
          <w:szCs w:val="18"/>
        </w:rPr>
        <w:t>not</w:t>
      </w:r>
      <w:proofErr w:type="spellEnd"/>
      <w:r w:rsidRPr="00B84B0C">
        <w:rPr>
          <w:rFonts w:cs="Arial"/>
          <w:b w:val="0"/>
          <w:sz w:val="18"/>
          <w:szCs w:val="18"/>
        </w:rPr>
        <w:t xml:space="preserve"> </w:t>
      </w:r>
      <w:proofErr w:type="spellStart"/>
      <w:r w:rsidRPr="00B84B0C">
        <w:rPr>
          <w:rFonts w:cs="Arial"/>
          <w:b w:val="0"/>
          <w:sz w:val="18"/>
          <w:szCs w:val="18"/>
        </w:rPr>
        <w:t>have</w:t>
      </w:r>
      <w:proofErr w:type="spellEnd"/>
      <w:r w:rsidRPr="00B84B0C">
        <w:rPr>
          <w:rFonts w:cs="Arial"/>
          <w:b w:val="0"/>
          <w:sz w:val="18"/>
          <w:szCs w:val="18"/>
        </w:rPr>
        <w:t xml:space="preserve"> </w:t>
      </w:r>
      <w:proofErr w:type="spellStart"/>
      <w:r w:rsidRPr="00B84B0C">
        <w:rPr>
          <w:rFonts w:cs="Arial"/>
          <w:b w:val="0"/>
          <w:sz w:val="18"/>
          <w:szCs w:val="18"/>
        </w:rPr>
        <w:t>tax</w:t>
      </w:r>
      <w:proofErr w:type="spellEnd"/>
      <w:r w:rsidRPr="00B84B0C">
        <w:rPr>
          <w:rFonts w:cs="Arial"/>
          <w:b w:val="0"/>
          <w:sz w:val="18"/>
          <w:szCs w:val="18"/>
        </w:rPr>
        <w:t xml:space="preserve"> </w:t>
      </w:r>
      <w:proofErr w:type="spellStart"/>
      <w:r w:rsidRPr="00B84B0C">
        <w:rPr>
          <w:rFonts w:cs="Arial"/>
          <w:b w:val="0"/>
          <w:sz w:val="18"/>
          <w:szCs w:val="18"/>
        </w:rPr>
        <w:t>actions</w:t>
      </w:r>
      <w:proofErr w:type="spellEnd"/>
      <w:r w:rsidRPr="00B84B0C">
        <w:rPr>
          <w:rFonts w:cs="Arial"/>
          <w:b w:val="0"/>
          <w:sz w:val="18"/>
          <w:szCs w:val="18"/>
        </w:rPr>
        <w:t xml:space="preserve"> </w:t>
      </w:r>
      <w:proofErr w:type="spellStart"/>
      <w:r w:rsidRPr="00B84B0C">
        <w:rPr>
          <w:rFonts w:cs="Arial"/>
          <w:b w:val="0"/>
          <w:sz w:val="18"/>
          <w:szCs w:val="18"/>
        </w:rPr>
        <w:t>with</w:t>
      </w:r>
      <w:proofErr w:type="spellEnd"/>
      <w:r w:rsidRPr="00B84B0C">
        <w:rPr>
          <w:rFonts w:cs="Arial"/>
          <w:b w:val="0"/>
          <w:sz w:val="18"/>
          <w:szCs w:val="18"/>
        </w:rPr>
        <w:t xml:space="preserve"> </w:t>
      </w:r>
      <w:proofErr w:type="spellStart"/>
      <w:r w:rsidRPr="00B84B0C">
        <w:rPr>
          <w:rFonts w:cs="Arial"/>
          <w:b w:val="0"/>
          <w:sz w:val="18"/>
          <w:szCs w:val="18"/>
        </w:rPr>
        <w:t>significant</w:t>
      </w:r>
      <w:proofErr w:type="spellEnd"/>
      <w:r w:rsidRPr="00B84B0C">
        <w:rPr>
          <w:rFonts w:cs="Arial"/>
          <w:b w:val="0"/>
          <w:sz w:val="18"/>
          <w:szCs w:val="18"/>
        </w:rPr>
        <w:t xml:space="preserve"> </w:t>
      </w:r>
      <w:proofErr w:type="spellStart"/>
      <w:r w:rsidRPr="00B84B0C">
        <w:rPr>
          <w:rFonts w:cs="Arial"/>
          <w:b w:val="0"/>
          <w:sz w:val="18"/>
          <w:szCs w:val="18"/>
        </w:rPr>
        <w:t>amounts</w:t>
      </w:r>
      <w:proofErr w:type="spellEnd"/>
      <w:r w:rsidRPr="00B84B0C">
        <w:rPr>
          <w:rFonts w:cs="Arial"/>
          <w:b w:val="0"/>
          <w:sz w:val="18"/>
          <w:szCs w:val="18"/>
        </w:rPr>
        <w:t>.</w:t>
      </w:r>
    </w:p>
    <w:p w14:paraId="7974416C" w14:textId="77777777" w:rsidR="00081370" w:rsidRPr="00B84B0C" w:rsidRDefault="00081370" w:rsidP="00081370">
      <w:pPr>
        <w:pStyle w:val="04-TtuloNegrito"/>
        <w:rPr>
          <w:rFonts w:cs="Arial"/>
          <w:color w:val="1F4E79" w:themeColor="accent1" w:themeShade="80"/>
          <w:sz w:val="18"/>
          <w:szCs w:val="18"/>
        </w:rPr>
      </w:pPr>
      <w:r w:rsidRPr="00B84B0C">
        <w:rPr>
          <w:rFonts w:cs="Arial"/>
          <w:color w:val="1F4E79" w:themeColor="accent1" w:themeShade="80"/>
          <w:sz w:val="18"/>
          <w:szCs w:val="18"/>
        </w:rPr>
        <w:t xml:space="preserve">Civil </w:t>
      </w:r>
      <w:proofErr w:type="spellStart"/>
      <w:r w:rsidRPr="00B84B0C">
        <w:rPr>
          <w:rFonts w:cs="Arial"/>
          <w:color w:val="1F4E79" w:themeColor="accent1" w:themeShade="80"/>
          <w:sz w:val="18"/>
          <w:szCs w:val="18"/>
        </w:rPr>
        <w:t>Lawsuits</w:t>
      </w:r>
      <w:proofErr w:type="spellEnd"/>
      <w:r w:rsidRPr="00B84B0C">
        <w:rPr>
          <w:rFonts w:cs="Arial"/>
          <w:color w:val="1F4E79" w:themeColor="accent1" w:themeShade="80"/>
          <w:sz w:val="18"/>
          <w:szCs w:val="18"/>
        </w:rPr>
        <w:t xml:space="preserve"> </w:t>
      </w:r>
    </w:p>
    <w:p w14:paraId="7BFEC338" w14:textId="77777777" w:rsidR="00081370" w:rsidRPr="00B84B0C" w:rsidRDefault="00081370" w:rsidP="00081370">
      <w:pPr>
        <w:pStyle w:val="04-TtuloNegrito"/>
        <w:keepNext/>
        <w:keepLines/>
        <w:rPr>
          <w:rFonts w:cs="Arial"/>
          <w:b w:val="0"/>
          <w:sz w:val="18"/>
          <w:szCs w:val="18"/>
        </w:rPr>
      </w:pPr>
      <w:r w:rsidRPr="00B84B0C">
        <w:rPr>
          <w:rFonts w:cs="Arial"/>
          <w:b w:val="0"/>
          <w:sz w:val="18"/>
          <w:szCs w:val="18"/>
        </w:rPr>
        <w:t xml:space="preserve">In civil </w:t>
      </w:r>
      <w:proofErr w:type="spellStart"/>
      <w:r w:rsidRPr="00B84B0C">
        <w:rPr>
          <w:rFonts w:cs="Arial"/>
          <w:b w:val="0"/>
          <w:sz w:val="18"/>
          <w:szCs w:val="18"/>
        </w:rPr>
        <w:t>lawsuits</w:t>
      </w:r>
      <w:proofErr w:type="spellEnd"/>
      <w:r w:rsidRPr="00B84B0C">
        <w:rPr>
          <w:rFonts w:cs="Arial"/>
          <w:b w:val="0"/>
          <w:sz w:val="18"/>
          <w:szCs w:val="18"/>
        </w:rPr>
        <w:t xml:space="preserve"> </w:t>
      </w:r>
      <w:proofErr w:type="spellStart"/>
      <w:r w:rsidRPr="00B84B0C">
        <w:rPr>
          <w:rFonts w:cs="Arial"/>
          <w:b w:val="0"/>
          <w:sz w:val="18"/>
          <w:szCs w:val="18"/>
        </w:rPr>
        <w:t>involving</w:t>
      </w:r>
      <w:proofErr w:type="spellEnd"/>
      <w:r w:rsidRPr="00B84B0C">
        <w:rPr>
          <w:rFonts w:cs="Arial"/>
          <w:b w:val="0"/>
          <w:sz w:val="18"/>
          <w:szCs w:val="18"/>
        </w:rPr>
        <w:t xml:space="preserve"> BB Seguridade, BB Seguros </w:t>
      </w:r>
      <w:proofErr w:type="spellStart"/>
      <w:r w:rsidRPr="00B84B0C">
        <w:rPr>
          <w:rFonts w:cs="Arial"/>
          <w:b w:val="0"/>
          <w:sz w:val="18"/>
          <w:szCs w:val="18"/>
        </w:rPr>
        <w:t>and</w:t>
      </w:r>
      <w:proofErr w:type="spellEnd"/>
      <w:r w:rsidRPr="00B84B0C">
        <w:rPr>
          <w:rFonts w:cs="Arial"/>
          <w:b w:val="0"/>
          <w:sz w:val="18"/>
          <w:szCs w:val="18"/>
        </w:rPr>
        <w:t xml:space="preserve"> BB Corretora, </w:t>
      </w:r>
      <w:proofErr w:type="spellStart"/>
      <w:r w:rsidRPr="00B84B0C">
        <w:rPr>
          <w:rFonts w:cs="Arial"/>
          <w:b w:val="0"/>
          <w:sz w:val="18"/>
          <w:szCs w:val="18"/>
        </w:rPr>
        <w:t>we</w:t>
      </w:r>
      <w:proofErr w:type="spellEnd"/>
      <w:r w:rsidRPr="00B84B0C">
        <w:rPr>
          <w:rFonts w:cs="Arial"/>
          <w:b w:val="0"/>
          <w:sz w:val="18"/>
          <w:szCs w:val="18"/>
        </w:rPr>
        <w:t xml:space="preserve"> </w:t>
      </w:r>
      <w:proofErr w:type="spellStart"/>
      <w:r w:rsidRPr="00B84B0C">
        <w:rPr>
          <w:rFonts w:cs="Arial"/>
          <w:b w:val="0"/>
          <w:sz w:val="18"/>
          <w:szCs w:val="18"/>
        </w:rPr>
        <w:t>highlight</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w:t>
      </w:r>
      <w:proofErr w:type="spellStart"/>
      <w:r w:rsidRPr="00B84B0C">
        <w:rPr>
          <w:rFonts w:cs="Arial"/>
          <w:b w:val="0"/>
          <w:sz w:val="18"/>
          <w:szCs w:val="18"/>
        </w:rPr>
        <w:t>claims</w:t>
      </w:r>
      <w:proofErr w:type="spellEnd"/>
      <w:r w:rsidRPr="00B84B0C">
        <w:rPr>
          <w:rFonts w:cs="Arial"/>
          <w:b w:val="0"/>
          <w:sz w:val="18"/>
          <w:szCs w:val="18"/>
        </w:rPr>
        <w:t xml:space="preserve"> for </w:t>
      </w:r>
      <w:proofErr w:type="spellStart"/>
      <w:r w:rsidRPr="00B84B0C">
        <w:rPr>
          <w:rFonts w:cs="Arial"/>
          <w:b w:val="0"/>
          <w:sz w:val="18"/>
          <w:szCs w:val="18"/>
        </w:rPr>
        <w:t>various</w:t>
      </w:r>
      <w:proofErr w:type="spellEnd"/>
      <w:r w:rsidRPr="00B84B0C">
        <w:rPr>
          <w:rFonts w:cs="Arial"/>
          <w:b w:val="0"/>
          <w:sz w:val="18"/>
          <w:szCs w:val="18"/>
        </w:rPr>
        <w:t xml:space="preserve"> </w:t>
      </w:r>
      <w:proofErr w:type="spellStart"/>
      <w:r w:rsidRPr="00B84B0C">
        <w:rPr>
          <w:rFonts w:cs="Arial"/>
          <w:b w:val="0"/>
          <w:sz w:val="18"/>
          <w:szCs w:val="18"/>
        </w:rPr>
        <w:t>indemnities</w:t>
      </w:r>
      <w:proofErr w:type="spellEnd"/>
      <w:r w:rsidRPr="00B84B0C">
        <w:rPr>
          <w:rFonts w:cs="Arial"/>
          <w:b w:val="0"/>
          <w:sz w:val="18"/>
          <w:szCs w:val="18"/>
        </w:rPr>
        <w:t xml:space="preserve"> (material </w:t>
      </w:r>
      <w:proofErr w:type="spellStart"/>
      <w:r w:rsidRPr="00B84B0C">
        <w:rPr>
          <w:rFonts w:cs="Arial"/>
          <w:b w:val="0"/>
          <w:sz w:val="18"/>
          <w:szCs w:val="18"/>
        </w:rPr>
        <w:t>damage</w:t>
      </w:r>
      <w:proofErr w:type="spellEnd"/>
      <w:r w:rsidRPr="00B84B0C">
        <w:rPr>
          <w:rFonts w:cs="Arial"/>
          <w:b w:val="0"/>
          <w:sz w:val="18"/>
          <w:szCs w:val="18"/>
        </w:rPr>
        <w:t xml:space="preserve">, moral </w:t>
      </w:r>
      <w:proofErr w:type="spellStart"/>
      <w:proofErr w:type="gramStart"/>
      <w:r w:rsidRPr="00B84B0C">
        <w:rPr>
          <w:rFonts w:cs="Arial"/>
          <w:b w:val="0"/>
          <w:sz w:val="18"/>
          <w:szCs w:val="18"/>
        </w:rPr>
        <w:t>damage</w:t>
      </w:r>
      <w:proofErr w:type="spellEnd"/>
      <w:r w:rsidRPr="00B84B0C">
        <w:rPr>
          <w:rFonts w:cs="Arial"/>
          <w:b w:val="0"/>
          <w:sz w:val="18"/>
          <w:szCs w:val="18"/>
        </w:rPr>
        <w:t>, etc.</w:t>
      </w:r>
      <w:proofErr w:type="gramEnd"/>
      <w:r w:rsidRPr="00B84B0C">
        <w:rPr>
          <w:rFonts w:cs="Arial"/>
          <w:b w:val="0"/>
          <w:sz w:val="18"/>
          <w:szCs w:val="18"/>
        </w:rPr>
        <w:t xml:space="preserve">), </w:t>
      </w:r>
      <w:proofErr w:type="spellStart"/>
      <w:r w:rsidRPr="00B84B0C">
        <w:rPr>
          <w:rFonts w:cs="Arial"/>
          <w:b w:val="0"/>
          <w:sz w:val="18"/>
          <w:szCs w:val="18"/>
        </w:rPr>
        <w:t>notably</w:t>
      </w:r>
      <w:proofErr w:type="spellEnd"/>
      <w:r w:rsidRPr="00B84B0C">
        <w:rPr>
          <w:rFonts w:cs="Arial"/>
          <w:b w:val="0"/>
          <w:sz w:val="18"/>
          <w:szCs w:val="18"/>
        </w:rPr>
        <w:t xml:space="preserve"> </w:t>
      </w:r>
      <w:proofErr w:type="spellStart"/>
      <w:r w:rsidRPr="00B84B0C">
        <w:rPr>
          <w:rFonts w:cs="Arial"/>
          <w:b w:val="0"/>
          <w:sz w:val="18"/>
          <w:szCs w:val="18"/>
        </w:rPr>
        <w:t>resulting</w:t>
      </w:r>
      <w:proofErr w:type="spellEnd"/>
      <w:r w:rsidRPr="00B84B0C">
        <w:rPr>
          <w:rFonts w:cs="Arial"/>
          <w:b w:val="0"/>
          <w:sz w:val="18"/>
          <w:szCs w:val="18"/>
        </w:rPr>
        <w:t xml:space="preserve"> </w:t>
      </w:r>
      <w:proofErr w:type="spellStart"/>
      <w:r w:rsidRPr="00B84B0C">
        <w:rPr>
          <w:rFonts w:cs="Arial"/>
          <w:b w:val="0"/>
          <w:sz w:val="18"/>
          <w:szCs w:val="18"/>
        </w:rPr>
        <w:t>from</w:t>
      </w:r>
      <w:proofErr w:type="spellEnd"/>
      <w:r w:rsidRPr="00B84B0C">
        <w:rPr>
          <w:rFonts w:cs="Arial"/>
          <w:b w:val="0"/>
          <w:sz w:val="18"/>
          <w:szCs w:val="18"/>
        </w:rPr>
        <w:t xml:space="preserve"> </w:t>
      </w:r>
      <w:proofErr w:type="spellStart"/>
      <w:r w:rsidRPr="00B84B0C">
        <w:rPr>
          <w:rFonts w:cs="Arial"/>
          <w:b w:val="0"/>
          <w:sz w:val="18"/>
          <w:szCs w:val="18"/>
        </w:rPr>
        <w:t>consumer</w:t>
      </w:r>
      <w:proofErr w:type="spellEnd"/>
      <w:r w:rsidRPr="00B84B0C">
        <w:rPr>
          <w:rFonts w:cs="Arial"/>
          <w:b w:val="0"/>
          <w:sz w:val="18"/>
          <w:szCs w:val="18"/>
        </w:rPr>
        <w:t xml:space="preserve"> </w:t>
      </w:r>
      <w:proofErr w:type="spellStart"/>
      <w:r w:rsidRPr="00B84B0C">
        <w:rPr>
          <w:rFonts w:cs="Arial"/>
          <w:b w:val="0"/>
          <w:sz w:val="18"/>
          <w:szCs w:val="18"/>
        </w:rPr>
        <w:t>relations</w:t>
      </w:r>
      <w:proofErr w:type="spellEnd"/>
      <w:r w:rsidRPr="00B84B0C">
        <w:rPr>
          <w:rFonts w:cs="Arial"/>
          <w:b w:val="0"/>
          <w:sz w:val="18"/>
          <w:szCs w:val="18"/>
        </w:rPr>
        <w:t xml:space="preserve"> </w:t>
      </w:r>
      <w:proofErr w:type="spellStart"/>
      <w:r w:rsidRPr="00B84B0C">
        <w:rPr>
          <w:rFonts w:cs="Arial"/>
          <w:b w:val="0"/>
          <w:sz w:val="18"/>
          <w:szCs w:val="18"/>
        </w:rPr>
        <w:t>involving</w:t>
      </w:r>
      <w:proofErr w:type="spellEnd"/>
      <w:r w:rsidRPr="00B84B0C">
        <w:rPr>
          <w:rFonts w:cs="Arial"/>
          <w:b w:val="0"/>
          <w:sz w:val="18"/>
          <w:szCs w:val="18"/>
        </w:rPr>
        <w:t xml:space="preserve"> </w:t>
      </w:r>
      <w:proofErr w:type="spellStart"/>
      <w:r w:rsidRPr="00B84B0C">
        <w:rPr>
          <w:rFonts w:cs="Arial"/>
          <w:b w:val="0"/>
          <w:sz w:val="18"/>
          <w:szCs w:val="18"/>
        </w:rPr>
        <w:t>security</w:t>
      </w:r>
      <w:proofErr w:type="spellEnd"/>
      <w:r w:rsidRPr="00B84B0C">
        <w:rPr>
          <w:rFonts w:cs="Arial"/>
          <w:b w:val="0"/>
          <w:sz w:val="18"/>
          <w:szCs w:val="18"/>
        </w:rPr>
        <w:t xml:space="preserve"> </w:t>
      </w:r>
      <w:proofErr w:type="spellStart"/>
      <w:r w:rsidRPr="00B84B0C">
        <w:rPr>
          <w:rFonts w:cs="Arial"/>
          <w:b w:val="0"/>
          <w:sz w:val="18"/>
          <w:szCs w:val="18"/>
        </w:rPr>
        <w:t>products</w:t>
      </w:r>
      <w:proofErr w:type="spellEnd"/>
      <w:r w:rsidRPr="00B84B0C">
        <w:rPr>
          <w:rFonts w:cs="Arial"/>
          <w:b w:val="0"/>
          <w:sz w:val="18"/>
          <w:szCs w:val="18"/>
        </w:rPr>
        <w:t xml:space="preserve">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the</w:t>
      </w:r>
      <w:proofErr w:type="spellEnd"/>
      <w:r w:rsidRPr="00B84B0C">
        <w:rPr>
          <w:rFonts w:cs="Arial"/>
          <w:b w:val="0"/>
          <w:sz w:val="18"/>
          <w:szCs w:val="18"/>
        </w:rPr>
        <w:t xml:space="preserve"> like (</w:t>
      </w:r>
      <w:proofErr w:type="spellStart"/>
      <w:r w:rsidRPr="00B84B0C">
        <w:rPr>
          <w:rFonts w:cs="Arial"/>
          <w:b w:val="0"/>
          <w:sz w:val="18"/>
          <w:szCs w:val="18"/>
        </w:rPr>
        <w:t>personal</w:t>
      </w:r>
      <w:proofErr w:type="spellEnd"/>
      <w:r w:rsidRPr="00B84B0C">
        <w:rPr>
          <w:rFonts w:cs="Arial"/>
          <w:b w:val="0"/>
          <w:sz w:val="18"/>
          <w:szCs w:val="18"/>
        </w:rPr>
        <w:t xml:space="preserve"> </w:t>
      </w:r>
      <w:proofErr w:type="spellStart"/>
      <w:r w:rsidRPr="00B84B0C">
        <w:rPr>
          <w:rFonts w:cs="Arial"/>
          <w:b w:val="0"/>
          <w:sz w:val="18"/>
          <w:szCs w:val="18"/>
        </w:rPr>
        <w:t>insurance</w:t>
      </w:r>
      <w:proofErr w:type="spellEnd"/>
      <w:r w:rsidRPr="00B84B0C">
        <w:rPr>
          <w:rFonts w:cs="Arial"/>
          <w:b w:val="0"/>
          <w:sz w:val="18"/>
          <w:szCs w:val="18"/>
        </w:rPr>
        <w:t xml:space="preserve">) </w:t>
      </w:r>
      <w:proofErr w:type="spellStart"/>
      <w:r w:rsidRPr="00B84B0C">
        <w:rPr>
          <w:rFonts w:cs="Arial"/>
          <w:b w:val="0"/>
          <w:sz w:val="18"/>
          <w:szCs w:val="18"/>
        </w:rPr>
        <w:t>and</w:t>
      </w:r>
      <w:proofErr w:type="spellEnd"/>
      <w:r w:rsidRPr="00B84B0C">
        <w:rPr>
          <w:rFonts w:cs="Arial"/>
          <w:b w:val="0"/>
          <w:sz w:val="18"/>
          <w:szCs w:val="18"/>
        </w:rPr>
        <w:t xml:space="preserve"> </w:t>
      </w:r>
      <w:proofErr w:type="spellStart"/>
      <w:r w:rsidRPr="00B84B0C">
        <w:rPr>
          <w:rFonts w:cs="Arial"/>
          <w:b w:val="0"/>
          <w:sz w:val="18"/>
          <w:szCs w:val="18"/>
        </w:rPr>
        <w:t>equity</w:t>
      </w:r>
      <w:proofErr w:type="spellEnd"/>
      <w:r w:rsidRPr="00B84B0C">
        <w:rPr>
          <w:rFonts w:cs="Arial"/>
          <w:b w:val="0"/>
          <w:sz w:val="18"/>
          <w:szCs w:val="18"/>
        </w:rPr>
        <w:t xml:space="preserve">, open </w:t>
      </w:r>
      <w:proofErr w:type="spellStart"/>
      <w:r w:rsidRPr="00B84B0C">
        <w:rPr>
          <w:rFonts w:cs="Arial"/>
          <w:b w:val="0"/>
          <w:sz w:val="18"/>
          <w:szCs w:val="18"/>
        </w:rPr>
        <w:t>private</w:t>
      </w:r>
      <w:proofErr w:type="spellEnd"/>
      <w:r w:rsidRPr="00B84B0C">
        <w:rPr>
          <w:rFonts w:cs="Arial"/>
          <w:b w:val="0"/>
          <w:sz w:val="18"/>
          <w:szCs w:val="18"/>
        </w:rPr>
        <w:t xml:space="preserve"> </w:t>
      </w:r>
      <w:proofErr w:type="spellStart"/>
      <w:r w:rsidRPr="00B84B0C">
        <w:rPr>
          <w:rFonts w:cs="Arial"/>
          <w:b w:val="0"/>
          <w:sz w:val="18"/>
          <w:szCs w:val="18"/>
        </w:rPr>
        <w:t>pension</w:t>
      </w:r>
      <w:proofErr w:type="spellEnd"/>
      <w:r w:rsidRPr="00B84B0C">
        <w:rPr>
          <w:rFonts w:cs="Arial"/>
          <w:b w:val="0"/>
          <w:sz w:val="18"/>
          <w:szCs w:val="18"/>
        </w:rPr>
        <w:t xml:space="preserve">, </w:t>
      </w:r>
      <w:proofErr w:type="spellStart"/>
      <w:r w:rsidRPr="00B84B0C">
        <w:rPr>
          <w:rFonts w:cs="Arial"/>
          <w:b w:val="0"/>
          <w:sz w:val="18"/>
          <w:szCs w:val="18"/>
        </w:rPr>
        <w:t>capitalization</w:t>
      </w:r>
      <w:proofErr w:type="spellEnd"/>
      <w:r w:rsidRPr="00B84B0C">
        <w:rPr>
          <w:rFonts w:cs="Arial"/>
          <w:b w:val="0"/>
          <w:sz w:val="18"/>
          <w:szCs w:val="18"/>
        </w:rPr>
        <w:t xml:space="preserve"> </w:t>
      </w:r>
      <w:proofErr w:type="spellStart"/>
      <w:r w:rsidRPr="00B84B0C">
        <w:rPr>
          <w:rFonts w:cs="Arial"/>
          <w:b w:val="0"/>
          <w:sz w:val="18"/>
          <w:szCs w:val="18"/>
        </w:rPr>
        <w:t>and</w:t>
      </w:r>
      <w:proofErr w:type="spellEnd"/>
      <w:r w:rsidRPr="00B84B0C">
        <w:rPr>
          <w:rFonts w:cs="Arial"/>
          <w:b w:val="0"/>
          <w:sz w:val="18"/>
          <w:szCs w:val="18"/>
        </w:rPr>
        <w:t xml:space="preserve"> dental </w:t>
      </w:r>
      <w:proofErr w:type="spellStart"/>
      <w:r w:rsidRPr="00B84B0C">
        <w:rPr>
          <w:rFonts w:cs="Arial"/>
          <w:b w:val="0"/>
          <w:sz w:val="18"/>
          <w:szCs w:val="18"/>
        </w:rPr>
        <w:t>plans</w:t>
      </w:r>
      <w:proofErr w:type="spellEnd"/>
      <w:r w:rsidRPr="00B84B0C">
        <w:rPr>
          <w:rFonts w:cs="Arial"/>
          <w:b w:val="0"/>
          <w:sz w:val="18"/>
          <w:szCs w:val="18"/>
        </w:rPr>
        <w:t>).</w:t>
      </w:r>
    </w:p>
    <w:p w14:paraId="77942643" w14:textId="77777777" w:rsidR="00081370" w:rsidRPr="00B84B0C" w:rsidRDefault="00081370" w:rsidP="00081370">
      <w:pPr>
        <w:pStyle w:val="04-TtuloNegrito"/>
        <w:rPr>
          <w:rFonts w:cs="Arial"/>
          <w:color w:val="1F4E79" w:themeColor="accent1" w:themeShade="80"/>
          <w:sz w:val="18"/>
          <w:szCs w:val="18"/>
        </w:rPr>
      </w:pPr>
      <w:r w:rsidRPr="00B84B0C">
        <w:rPr>
          <w:rFonts w:cs="Arial"/>
          <w:color w:val="1F4E79" w:themeColor="accent1" w:themeShade="80"/>
          <w:sz w:val="18"/>
          <w:szCs w:val="18"/>
        </w:rPr>
        <w:t xml:space="preserve">Labor </w:t>
      </w:r>
      <w:proofErr w:type="spellStart"/>
      <w:r w:rsidRPr="00B84B0C">
        <w:rPr>
          <w:rFonts w:cs="Arial"/>
          <w:color w:val="1F4E79" w:themeColor="accent1" w:themeShade="80"/>
          <w:sz w:val="18"/>
          <w:szCs w:val="18"/>
        </w:rPr>
        <w:t>Lawsuits</w:t>
      </w:r>
      <w:proofErr w:type="spellEnd"/>
    </w:p>
    <w:p w14:paraId="098CE057" w14:textId="77777777" w:rsidR="00081370" w:rsidRPr="00B84B0C" w:rsidRDefault="00081370" w:rsidP="00081370">
      <w:pPr>
        <w:pStyle w:val="05-Textonormal"/>
        <w:rPr>
          <w:rFonts w:cs="Arial"/>
          <w:b/>
        </w:rPr>
      </w:pPr>
      <w:r w:rsidRPr="00B84B0C">
        <w:rPr>
          <w:rStyle w:val="tlid-translation"/>
          <w:rFonts w:cs="Arial"/>
          <w:lang w:val="en"/>
        </w:rPr>
        <w:t xml:space="preserve">Labor claims involving BB </w:t>
      </w:r>
      <w:proofErr w:type="spellStart"/>
      <w:r w:rsidRPr="00B84B0C">
        <w:rPr>
          <w:rStyle w:val="tlid-translation"/>
          <w:rFonts w:cs="Arial"/>
          <w:lang w:val="en"/>
        </w:rPr>
        <w:t>Seguros</w:t>
      </w:r>
      <w:proofErr w:type="spellEnd"/>
      <w:r w:rsidRPr="00B84B0C">
        <w:rPr>
          <w:rStyle w:val="tlid-translation"/>
          <w:rFonts w:cs="Arial"/>
          <w:lang w:val="en"/>
        </w:rPr>
        <w:t xml:space="preserve"> and BB </w:t>
      </w:r>
      <w:proofErr w:type="spellStart"/>
      <w:r w:rsidRPr="00B84B0C">
        <w:rPr>
          <w:rStyle w:val="tlid-translation"/>
          <w:rFonts w:cs="Arial"/>
          <w:lang w:val="en"/>
        </w:rPr>
        <w:t>Corretora</w:t>
      </w:r>
      <w:proofErr w:type="spellEnd"/>
      <w:r w:rsidRPr="00B84B0C">
        <w:rPr>
          <w:rStyle w:val="tlid-translation"/>
          <w:rFonts w:cs="Arial"/>
          <w:lang w:val="en"/>
        </w:rPr>
        <w:t xml:space="preserve"> mainly arise from labor claims, with a civil nature (arising from corporate group life insurance, whose original employers did not bear the severance pay); </w:t>
      </w:r>
      <w:proofErr w:type="gramStart"/>
      <w:r w:rsidRPr="00B84B0C">
        <w:rPr>
          <w:rStyle w:val="tlid-translation"/>
          <w:rFonts w:cs="Arial"/>
          <w:lang w:val="en"/>
        </w:rPr>
        <w:t>and,</w:t>
      </w:r>
      <w:proofErr w:type="gramEnd"/>
      <w:r w:rsidRPr="00B84B0C">
        <w:rPr>
          <w:rStyle w:val="tlid-translation"/>
          <w:rFonts w:cs="Arial"/>
          <w:lang w:val="en"/>
        </w:rPr>
        <w:t xml:space="preserve"> third party claims against the investees evaluated by the equity method and BB </w:t>
      </w:r>
      <w:proofErr w:type="spellStart"/>
      <w:r w:rsidRPr="00B84B0C">
        <w:rPr>
          <w:rStyle w:val="tlid-translation"/>
          <w:rFonts w:cs="Arial"/>
          <w:lang w:val="en"/>
        </w:rPr>
        <w:t>Seguros</w:t>
      </w:r>
      <w:proofErr w:type="spellEnd"/>
      <w:r w:rsidRPr="00B84B0C">
        <w:rPr>
          <w:rStyle w:val="tlid-translation"/>
          <w:rFonts w:cs="Arial"/>
          <w:lang w:val="en"/>
        </w:rPr>
        <w:t xml:space="preserve"> (as a shareholder) notably, requiring eventual subsidiary condemnation. On the other hand, BB </w:t>
      </w:r>
      <w:proofErr w:type="spellStart"/>
      <w:r w:rsidRPr="00B84B0C">
        <w:rPr>
          <w:rStyle w:val="tlid-translation"/>
          <w:rFonts w:cs="Arial"/>
          <w:lang w:val="en"/>
        </w:rPr>
        <w:t>Seguridade's</w:t>
      </w:r>
      <w:proofErr w:type="spellEnd"/>
      <w:r w:rsidRPr="00B84B0C">
        <w:rPr>
          <w:rStyle w:val="tlid-translation"/>
          <w:rFonts w:cs="Arial"/>
          <w:lang w:val="en"/>
        </w:rPr>
        <w:t xml:space="preserve"> labor claims involve former employees, discussing rights arising from the 7th and 8th bank overtime hours and the respective effects on other amounts of a salary / severance nature.</w:t>
      </w:r>
    </w:p>
    <w:p w14:paraId="7C8710CA" w14:textId="77777777" w:rsidR="00081370" w:rsidRPr="00B84B0C" w:rsidRDefault="00081370" w:rsidP="00081370">
      <w:pPr>
        <w:pStyle w:val="04-TtuloNegrito"/>
        <w:keepNext/>
        <w:keepLines/>
        <w:rPr>
          <w:rFonts w:cs="Arial"/>
          <w:color w:val="1F4E79" w:themeColor="accent1" w:themeShade="80"/>
          <w:sz w:val="18"/>
          <w:szCs w:val="18"/>
        </w:rPr>
      </w:pPr>
      <w:r w:rsidRPr="00B84B0C">
        <w:rPr>
          <w:rFonts w:cs="Arial"/>
          <w:color w:val="1F4E79" w:themeColor="accent1" w:themeShade="80"/>
          <w:sz w:val="18"/>
          <w:szCs w:val="18"/>
        </w:rPr>
        <w:t xml:space="preserve">a) </w:t>
      </w:r>
      <w:proofErr w:type="spellStart"/>
      <w:r w:rsidRPr="00B84B0C">
        <w:rPr>
          <w:rFonts w:cs="Arial"/>
          <w:color w:val="1F4E79" w:themeColor="accent1" w:themeShade="80"/>
          <w:sz w:val="18"/>
          <w:szCs w:val="18"/>
        </w:rPr>
        <w:t>Provision</w:t>
      </w:r>
      <w:proofErr w:type="spellEnd"/>
    </w:p>
    <w:p w14:paraId="649C1582" w14:textId="77777777" w:rsidR="00081370" w:rsidRPr="00B84B0C" w:rsidRDefault="00081370" w:rsidP="00081370">
      <w:pPr>
        <w:pStyle w:val="05-Textonormal"/>
        <w:rPr>
          <w:rFonts w:cs="Arial"/>
        </w:rPr>
      </w:pPr>
      <w:r w:rsidRPr="00B84B0C">
        <w:rPr>
          <w:rStyle w:val="tlid-translation"/>
          <w:rFonts w:cs="Arial"/>
          <w:lang w:val="en"/>
        </w:rPr>
        <w:t xml:space="preserve">In accordance with CPC 25 (IAS 37), BB </w:t>
      </w:r>
      <w:proofErr w:type="spellStart"/>
      <w:r w:rsidRPr="00B84B0C">
        <w:rPr>
          <w:rStyle w:val="tlid-translation"/>
          <w:rFonts w:cs="Arial"/>
          <w:lang w:val="en"/>
        </w:rPr>
        <w:t>Seguridade</w:t>
      </w:r>
      <w:proofErr w:type="spellEnd"/>
      <w:r w:rsidRPr="00B84B0C">
        <w:rPr>
          <w:rStyle w:val="tlid-translation"/>
          <w:rFonts w:cs="Arial"/>
          <w:lang w:val="en"/>
        </w:rPr>
        <w:t xml:space="preserve"> constitutes a provision for tax, civil and labor claims with a “probable” risk of loss.</w:t>
      </w:r>
    </w:p>
    <w:p w14:paraId="52F20D71" w14:textId="77777777" w:rsidR="00081370" w:rsidRPr="00B84B0C" w:rsidRDefault="00081370" w:rsidP="00E72E05">
      <w:pPr>
        <w:pStyle w:val="04-TtuloNegrito"/>
        <w:keepNext/>
        <w:keepLines/>
        <w:pageBreakBefore/>
        <w:rPr>
          <w:rFonts w:cs="Arial"/>
          <w:color w:val="1F4E79" w:themeColor="accent1" w:themeShade="80"/>
          <w:sz w:val="18"/>
          <w:szCs w:val="18"/>
        </w:rPr>
      </w:pPr>
      <w:proofErr w:type="spellStart"/>
      <w:r w:rsidRPr="00B84B0C">
        <w:rPr>
          <w:rFonts w:cs="Arial"/>
          <w:color w:val="1F4E79" w:themeColor="accent1" w:themeShade="80"/>
          <w:sz w:val="18"/>
          <w:szCs w:val="18"/>
        </w:rPr>
        <w:lastRenderedPageBreak/>
        <w:t>Provisions</w:t>
      </w:r>
      <w:proofErr w:type="spellEnd"/>
      <w:r w:rsidRPr="00B84B0C">
        <w:rPr>
          <w:rFonts w:cs="Arial"/>
          <w:color w:val="1F4E79" w:themeColor="accent1" w:themeShade="80"/>
          <w:sz w:val="18"/>
          <w:szCs w:val="18"/>
        </w:rPr>
        <w:t xml:space="preserve"> for civil, </w:t>
      </w:r>
      <w:proofErr w:type="spellStart"/>
      <w:r w:rsidRPr="00B84B0C">
        <w:rPr>
          <w:rFonts w:cs="Arial"/>
          <w:color w:val="1F4E79" w:themeColor="accent1" w:themeShade="80"/>
          <w:sz w:val="18"/>
          <w:szCs w:val="18"/>
        </w:rPr>
        <w:t>tax</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and</w:t>
      </w:r>
      <w:proofErr w:type="spellEnd"/>
      <w:r w:rsidRPr="00B84B0C">
        <w:rPr>
          <w:rFonts w:cs="Arial"/>
          <w:color w:val="1F4E79" w:themeColor="accent1" w:themeShade="80"/>
          <w:sz w:val="18"/>
          <w:szCs w:val="18"/>
        </w:rPr>
        <w:t xml:space="preserve"> labor </w:t>
      </w:r>
      <w:proofErr w:type="spellStart"/>
      <w:r w:rsidRPr="00B84B0C">
        <w:rPr>
          <w:rFonts w:cs="Arial"/>
          <w:color w:val="1F4E79" w:themeColor="accent1" w:themeShade="80"/>
          <w:sz w:val="18"/>
          <w:szCs w:val="18"/>
        </w:rPr>
        <w:t>lawsuits</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classified</w:t>
      </w:r>
      <w:proofErr w:type="spellEnd"/>
      <w:r w:rsidRPr="00B84B0C">
        <w:rPr>
          <w:rFonts w:cs="Arial"/>
          <w:color w:val="1F4E79" w:themeColor="accent1" w:themeShade="80"/>
          <w:sz w:val="18"/>
          <w:szCs w:val="18"/>
        </w:rPr>
        <w:t xml:space="preserve"> as </w:t>
      </w:r>
      <w:proofErr w:type="spellStart"/>
      <w:r w:rsidRPr="00B84B0C">
        <w:rPr>
          <w:rFonts w:cs="Arial"/>
          <w:color w:val="1F4E79" w:themeColor="accent1" w:themeShade="80"/>
          <w:sz w:val="18"/>
          <w:szCs w:val="18"/>
        </w:rPr>
        <w:t>probable</w:t>
      </w:r>
      <w:proofErr w:type="spellEnd"/>
    </w:p>
    <w:p w14:paraId="2AFA9380" w14:textId="77777777" w:rsidR="00081370" w:rsidRPr="00B84B0C" w:rsidRDefault="00081370" w:rsidP="00081370">
      <w:pPr>
        <w:pStyle w:val="01-TtulodeNota"/>
        <w:spacing w:before="0" w:after="0"/>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Style w:val="TabeladeLista6Colorida-nfase53"/>
        <w:tblW w:w="9639" w:type="dxa"/>
        <w:tblInd w:w="108" w:type="dxa"/>
        <w:tblLayout w:type="fixed"/>
        <w:tblLook w:val="04A0" w:firstRow="1" w:lastRow="0" w:firstColumn="1" w:lastColumn="0" w:noHBand="0" w:noVBand="1"/>
      </w:tblPr>
      <w:tblGrid>
        <w:gridCol w:w="4287"/>
        <w:gridCol w:w="567"/>
        <w:gridCol w:w="1134"/>
        <w:gridCol w:w="1134"/>
        <w:gridCol w:w="283"/>
        <w:gridCol w:w="1063"/>
        <w:gridCol w:w="1171"/>
      </w:tblGrid>
      <w:tr w:rsidR="00081370" w:rsidRPr="00B84B0C" w14:paraId="2540C98E" w14:textId="77777777" w:rsidTr="00081370">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287" w:type="dxa"/>
            <w:tcBorders>
              <w:top w:val="single" w:sz="2" w:space="0" w:color="8EAADB" w:themeColor="accent5" w:themeTint="99"/>
              <w:bottom w:val="nil"/>
            </w:tcBorders>
            <w:shd w:val="clear" w:color="auto" w:fill="D9E2F3" w:themeFill="accent5" w:themeFillTint="33"/>
            <w:vAlign w:val="center"/>
          </w:tcPr>
          <w:p w14:paraId="69F95B1B" w14:textId="77777777" w:rsidR="00081370" w:rsidRPr="00B84B0C" w:rsidRDefault="00081370" w:rsidP="00081370">
            <w:pPr>
              <w:jc w:val="center"/>
              <w:rPr>
                <w:rFonts w:cs="Arial"/>
                <w:b w:val="0"/>
                <w:szCs w:val="18"/>
              </w:rPr>
            </w:pPr>
          </w:p>
        </w:tc>
        <w:tc>
          <w:tcPr>
            <w:tcW w:w="567" w:type="dxa"/>
            <w:tcBorders>
              <w:top w:val="single" w:sz="2" w:space="0" w:color="8EAADB" w:themeColor="accent5" w:themeTint="99"/>
              <w:bottom w:val="nil"/>
            </w:tcBorders>
            <w:shd w:val="clear" w:color="auto" w:fill="D9E2F3" w:themeFill="accent5" w:themeFillTint="33"/>
          </w:tcPr>
          <w:p w14:paraId="1E291133"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4785" w:type="dxa"/>
            <w:gridSpan w:val="5"/>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88584B5" w14:textId="77777777" w:rsidR="00081370" w:rsidRPr="00B84B0C" w:rsidRDefault="00081370" w:rsidP="00081370">
            <w:pPr>
              <w:jc w:val="center"/>
              <w:cnfStyle w:val="100000000000" w:firstRow="1" w:lastRow="0" w:firstColumn="0" w:lastColumn="0" w:oddVBand="0" w:evenVBand="0" w:oddHBand="0" w:evenHBand="0" w:firstRowFirstColumn="0" w:firstRowLastColumn="0" w:lastRowFirstColumn="0" w:lastRowLastColumn="0"/>
              <w:rPr>
                <w:rFonts w:cs="Arial"/>
                <w:szCs w:val="18"/>
              </w:rPr>
            </w:pPr>
            <w:proofErr w:type="spellStart"/>
            <w:r w:rsidRPr="00B84B0C">
              <w:rPr>
                <w:rFonts w:cs="Arial"/>
                <w:sz w:val="14"/>
                <w:szCs w:val="18"/>
              </w:rPr>
              <w:t>Consolidated</w:t>
            </w:r>
            <w:proofErr w:type="spellEnd"/>
          </w:p>
        </w:tc>
      </w:tr>
      <w:tr w:rsidR="00081370" w:rsidRPr="00B84B0C" w14:paraId="4DEB1627" w14:textId="77777777" w:rsidTr="00081370">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single" w:sz="2" w:space="0" w:color="8EAADB" w:themeColor="accent5" w:themeTint="99"/>
            </w:tcBorders>
          </w:tcPr>
          <w:p w14:paraId="41811019" w14:textId="77777777" w:rsidR="00081370" w:rsidRPr="00B84B0C" w:rsidRDefault="00081370" w:rsidP="00081370">
            <w:pPr>
              <w:pStyle w:val="08-Tabelageral"/>
              <w:jc w:val="left"/>
              <w:rPr>
                <w:rFonts w:cs="Arial"/>
                <w:b w:val="0"/>
              </w:rPr>
            </w:pPr>
          </w:p>
        </w:tc>
        <w:tc>
          <w:tcPr>
            <w:tcW w:w="567" w:type="dxa"/>
            <w:tcBorders>
              <w:top w:val="nil"/>
              <w:bottom w:val="single" w:sz="2" w:space="0" w:color="8EAADB" w:themeColor="accent5" w:themeTint="99"/>
            </w:tcBorders>
          </w:tcPr>
          <w:p w14:paraId="0F535BD0"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2268" w:type="dxa"/>
            <w:gridSpan w:val="2"/>
            <w:tcBorders>
              <w:top w:val="single" w:sz="2" w:space="0" w:color="8EAADB" w:themeColor="accent5" w:themeTint="99"/>
              <w:bottom w:val="single" w:sz="2" w:space="0" w:color="8EAADB" w:themeColor="accent5" w:themeTint="99"/>
            </w:tcBorders>
          </w:tcPr>
          <w:p w14:paraId="0BF5EE0B"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1st </w:t>
            </w:r>
            <w:proofErr w:type="spellStart"/>
            <w:r w:rsidRPr="00B84B0C">
              <w:rPr>
                <w:rFonts w:cs="Arial"/>
                <w:b/>
              </w:rPr>
              <w:t>Quarter</w:t>
            </w:r>
            <w:proofErr w:type="spellEnd"/>
            <w:r w:rsidRPr="00B84B0C">
              <w:rPr>
                <w:rFonts w:cs="Arial"/>
                <w:b/>
              </w:rPr>
              <w:t xml:space="preserve"> 2020 </w:t>
            </w:r>
          </w:p>
          <w:p w14:paraId="74B9C74D"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p w14:paraId="161FD4BA"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31.12.2018</w:t>
            </w:r>
          </w:p>
        </w:tc>
        <w:tc>
          <w:tcPr>
            <w:tcW w:w="283" w:type="dxa"/>
            <w:tcBorders>
              <w:top w:val="nil"/>
              <w:bottom w:val="single" w:sz="2" w:space="0" w:color="8EAADB" w:themeColor="accent5" w:themeTint="99"/>
            </w:tcBorders>
          </w:tcPr>
          <w:p w14:paraId="5E30B1DE"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2234" w:type="dxa"/>
            <w:gridSpan w:val="2"/>
            <w:tcBorders>
              <w:top w:val="single" w:sz="2" w:space="0" w:color="8EAADB" w:themeColor="accent5" w:themeTint="99"/>
              <w:bottom w:val="single" w:sz="2" w:space="0" w:color="8EAADB" w:themeColor="accent5" w:themeTint="99"/>
            </w:tcBorders>
          </w:tcPr>
          <w:p w14:paraId="0D248ABC"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                      1st </w:t>
            </w:r>
            <w:proofErr w:type="spellStart"/>
            <w:r w:rsidRPr="00B84B0C">
              <w:rPr>
                <w:rFonts w:cs="Arial"/>
                <w:b/>
              </w:rPr>
              <w:t>Quarter</w:t>
            </w:r>
            <w:proofErr w:type="spellEnd"/>
            <w:r w:rsidRPr="00B84B0C">
              <w:rPr>
                <w:rFonts w:cs="Arial"/>
                <w:b/>
              </w:rPr>
              <w:t xml:space="preserve"> 2019</w:t>
            </w:r>
          </w:p>
        </w:tc>
      </w:tr>
      <w:tr w:rsidR="00081370" w:rsidRPr="00B84B0C" w14:paraId="349DA6EA" w14:textId="77777777" w:rsidTr="00081370">
        <w:trPr>
          <w:trHeight w:hRule="exact" w:val="238"/>
        </w:trPr>
        <w:tc>
          <w:tcPr>
            <w:cnfStyle w:val="001000000000" w:firstRow="0" w:lastRow="0" w:firstColumn="1" w:lastColumn="0" w:oddVBand="0" w:evenVBand="0" w:oddHBand="0" w:evenHBand="0" w:firstRowFirstColumn="0" w:firstRowLastColumn="0" w:lastRowFirstColumn="0" w:lastRowLastColumn="0"/>
            <w:tcW w:w="4287" w:type="dxa"/>
            <w:tcBorders>
              <w:top w:val="single" w:sz="2" w:space="0" w:color="8EAADB" w:themeColor="accent5" w:themeTint="99"/>
              <w:bottom w:val="nil"/>
            </w:tcBorders>
          </w:tcPr>
          <w:p w14:paraId="4EBDB76D" w14:textId="77777777" w:rsidR="00081370" w:rsidRPr="00B84B0C" w:rsidRDefault="00081370" w:rsidP="00081370">
            <w:pPr>
              <w:pStyle w:val="08-Tabelageral"/>
              <w:ind w:left="2"/>
              <w:jc w:val="left"/>
              <w:rPr>
                <w:rFonts w:cs="Arial"/>
                <w:szCs w:val="14"/>
                <w:lang w:val="en-US"/>
              </w:rPr>
            </w:pPr>
            <w:r w:rsidRPr="00B84B0C">
              <w:rPr>
                <w:rFonts w:cs="Arial"/>
                <w:szCs w:val="14"/>
                <w:lang w:val="en-US"/>
              </w:rPr>
              <w:t>TAX LAWSUITS</w:t>
            </w:r>
          </w:p>
        </w:tc>
        <w:tc>
          <w:tcPr>
            <w:tcW w:w="567" w:type="dxa"/>
            <w:tcBorders>
              <w:top w:val="single" w:sz="2" w:space="0" w:color="8EAADB" w:themeColor="accent5" w:themeTint="99"/>
              <w:bottom w:val="nil"/>
            </w:tcBorders>
            <w:vAlign w:val="center"/>
          </w:tcPr>
          <w:p w14:paraId="5F32A198"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single" w:sz="2" w:space="0" w:color="8EAADB" w:themeColor="accent5" w:themeTint="99"/>
              <w:bottom w:val="nil"/>
            </w:tcBorders>
            <w:vAlign w:val="center"/>
          </w:tcPr>
          <w:p w14:paraId="346E2B9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34" w:type="dxa"/>
            <w:tcBorders>
              <w:top w:val="single" w:sz="2" w:space="0" w:color="8EAADB" w:themeColor="accent5" w:themeTint="99"/>
              <w:bottom w:val="nil"/>
            </w:tcBorders>
            <w:vAlign w:val="center"/>
          </w:tcPr>
          <w:p w14:paraId="018C3FB8"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283" w:type="dxa"/>
            <w:tcBorders>
              <w:top w:val="single" w:sz="2" w:space="0" w:color="8EAADB" w:themeColor="accent5" w:themeTint="99"/>
              <w:bottom w:val="nil"/>
            </w:tcBorders>
            <w:vAlign w:val="center"/>
          </w:tcPr>
          <w:p w14:paraId="7C7517D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063" w:type="dxa"/>
            <w:tcBorders>
              <w:top w:val="single" w:sz="2" w:space="0" w:color="8EAADB" w:themeColor="accent5" w:themeTint="99"/>
              <w:bottom w:val="nil"/>
            </w:tcBorders>
            <w:vAlign w:val="center"/>
          </w:tcPr>
          <w:p w14:paraId="33213E9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71" w:type="dxa"/>
            <w:tcBorders>
              <w:top w:val="single" w:sz="2" w:space="0" w:color="8EAADB" w:themeColor="accent5" w:themeTint="99"/>
              <w:bottom w:val="nil"/>
            </w:tcBorders>
            <w:vAlign w:val="center"/>
          </w:tcPr>
          <w:p w14:paraId="1D6B335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081370" w:rsidRPr="00B84B0C" w14:paraId="73554CF7"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1F1920B9" w14:textId="77777777" w:rsidR="00081370" w:rsidRPr="00B84B0C" w:rsidRDefault="00081370" w:rsidP="00081370">
            <w:pPr>
              <w:pStyle w:val="08-Tabelageral"/>
              <w:ind w:left="2"/>
              <w:jc w:val="left"/>
              <w:rPr>
                <w:rFonts w:cs="Arial"/>
                <w:szCs w:val="14"/>
                <w:lang w:val="en-US"/>
              </w:rPr>
            </w:pPr>
            <w:r w:rsidRPr="00B84B0C">
              <w:rPr>
                <w:rFonts w:cs="Arial"/>
                <w:szCs w:val="14"/>
                <w:lang w:val="en-US"/>
              </w:rPr>
              <w:t>Initial balance</w:t>
            </w:r>
          </w:p>
        </w:tc>
        <w:tc>
          <w:tcPr>
            <w:tcW w:w="567" w:type="dxa"/>
            <w:tcBorders>
              <w:top w:val="nil"/>
              <w:bottom w:val="nil"/>
            </w:tcBorders>
            <w:vAlign w:val="center"/>
          </w:tcPr>
          <w:p w14:paraId="22091826"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nil"/>
              <w:bottom w:val="nil"/>
            </w:tcBorders>
            <w:vAlign w:val="center"/>
          </w:tcPr>
          <w:p w14:paraId="51F03375"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34" w:type="dxa"/>
            <w:tcBorders>
              <w:top w:val="nil"/>
              <w:bottom w:val="nil"/>
            </w:tcBorders>
            <w:vAlign w:val="center"/>
          </w:tcPr>
          <w:p w14:paraId="06F2FE8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999</w:t>
            </w:r>
          </w:p>
        </w:tc>
        <w:tc>
          <w:tcPr>
            <w:tcW w:w="283" w:type="dxa"/>
            <w:tcBorders>
              <w:top w:val="nil"/>
              <w:bottom w:val="nil"/>
            </w:tcBorders>
            <w:vAlign w:val="center"/>
          </w:tcPr>
          <w:p w14:paraId="331C220B"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63" w:type="dxa"/>
            <w:tcBorders>
              <w:top w:val="nil"/>
              <w:bottom w:val="nil"/>
            </w:tcBorders>
            <w:vAlign w:val="center"/>
          </w:tcPr>
          <w:p w14:paraId="5952CA06"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71" w:type="dxa"/>
            <w:tcBorders>
              <w:top w:val="nil"/>
              <w:bottom w:val="nil"/>
            </w:tcBorders>
            <w:vAlign w:val="center"/>
          </w:tcPr>
          <w:p w14:paraId="581D33B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939</w:t>
            </w:r>
          </w:p>
        </w:tc>
      </w:tr>
      <w:tr w:rsidR="00081370" w:rsidRPr="00B84B0C" w14:paraId="21372979"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2A7691FF" w14:textId="77777777" w:rsidR="00081370" w:rsidRPr="00B84B0C" w:rsidRDefault="00081370" w:rsidP="00081370">
            <w:pPr>
              <w:pStyle w:val="08-Tabelageral"/>
              <w:ind w:left="2"/>
              <w:jc w:val="left"/>
              <w:rPr>
                <w:rFonts w:cs="Arial"/>
                <w:b w:val="0"/>
                <w:szCs w:val="14"/>
                <w:lang w:val="en-US"/>
              </w:rPr>
            </w:pPr>
            <w:r w:rsidRPr="00B84B0C">
              <w:rPr>
                <w:rFonts w:cs="Arial"/>
                <w:b w:val="0"/>
                <w:bCs w:val="0"/>
                <w:szCs w:val="14"/>
                <w:lang w:val="en-US"/>
              </w:rPr>
              <w:t>Addition/</w:t>
            </w:r>
            <w:proofErr w:type="gramStart"/>
            <w:r w:rsidRPr="00B84B0C">
              <w:rPr>
                <w:rFonts w:cs="Arial"/>
                <w:b w:val="0"/>
                <w:bCs w:val="0"/>
                <w:szCs w:val="14"/>
                <w:lang w:val="en-US"/>
              </w:rPr>
              <w:t>Update</w:t>
            </w:r>
            <w:r w:rsidRPr="00B84B0C">
              <w:rPr>
                <w:rFonts w:cs="Arial"/>
                <w:b w:val="0"/>
                <w:szCs w:val="14"/>
                <w:vertAlign w:val="superscript"/>
              </w:rPr>
              <w:t>(</w:t>
            </w:r>
            <w:proofErr w:type="gramEnd"/>
            <w:r w:rsidRPr="00B84B0C">
              <w:rPr>
                <w:rFonts w:cs="Arial"/>
                <w:b w:val="0"/>
                <w:szCs w:val="14"/>
                <w:vertAlign w:val="superscript"/>
              </w:rPr>
              <w:t>1)</w:t>
            </w:r>
          </w:p>
        </w:tc>
        <w:tc>
          <w:tcPr>
            <w:tcW w:w="567" w:type="dxa"/>
            <w:tcBorders>
              <w:top w:val="nil"/>
              <w:bottom w:val="nil"/>
            </w:tcBorders>
            <w:vAlign w:val="center"/>
          </w:tcPr>
          <w:p w14:paraId="21CBBDA1"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134" w:type="dxa"/>
            <w:tcBorders>
              <w:top w:val="nil"/>
              <w:bottom w:val="nil"/>
            </w:tcBorders>
            <w:vAlign w:val="center"/>
          </w:tcPr>
          <w:p w14:paraId="203682BC"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66423771"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10</w:t>
            </w:r>
          </w:p>
        </w:tc>
        <w:tc>
          <w:tcPr>
            <w:tcW w:w="283" w:type="dxa"/>
            <w:tcBorders>
              <w:top w:val="nil"/>
              <w:bottom w:val="nil"/>
            </w:tcBorders>
            <w:vAlign w:val="center"/>
          </w:tcPr>
          <w:p w14:paraId="1555DF64"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1A67C40A"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center"/>
          </w:tcPr>
          <w:p w14:paraId="19D87CC4"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14</w:t>
            </w:r>
          </w:p>
        </w:tc>
      </w:tr>
      <w:tr w:rsidR="00081370" w:rsidRPr="00B84B0C" w14:paraId="445722BE"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5C3EB842" w14:textId="77777777" w:rsidR="00081370" w:rsidRPr="00B84B0C" w:rsidRDefault="00081370" w:rsidP="00081370">
            <w:pPr>
              <w:pStyle w:val="08-Tabelageral"/>
              <w:ind w:left="2"/>
              <w:jc w:val="left"/>
              <w:rPr>
                <w:rFonts w:cs="Arial"/>
                <w:b w:val="0"/>
                <w:szCs w:val="14"/>
                <w:lang w:val="en-US"/>
              </w:rPr>
            </w:pPr>
            <w:r w:rsidRPr="00B84B0C">
              <w:rPr>
                <w:rFonts w:cs="Arial"/>
                <w:b w:val="0"/>
                <w:bCs w:val="0"/>
                <w:szCs w:val="14"/>
                <w:lang w:val="en-US"/>
              </w:rPr>
              <w:t>Reversal of the provision</w:t>
            </w:r>
          </w:p>
        </w:tc>
        <w:tc>
          <w:tcPr>
            <w:tcW w:w="567" w:type="dxa"/>
            <w:tcBorders>
              <w:top w:val="nil"/>
              <w:bottom w:val="nil"/>
            </w:tcBorders>
            <w:vAlign w:val="center"/>
          </w:tcPr>
          <w:p w14:paraId="6D2FA9BE"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588FE23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22E581E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59B4C69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07347D7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71" w:type="dxa"/>
            <w:tcBorders>
              <w:top w:val="nil"/>
              <w:bottom w:val="nil"/>
            </w:tcBorders>
            <w:vAlign w:val="center"/>
          </w:tcPr>
          <w:p w14:paraId="03BEA89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081370" w:rsidRPr="00B84B0C" w14:paraId="2BB88689"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5DDCA418" w14:textId="77777777" w:rsidR="00081370" w:rsidRPr="00B84B0C" w:rsidRDefault="00081370" w:rsidP="00081370">
            <w:pPr>
              <w:pStyle w:val="08-Tabelageral"/>
              <w:jc w:val="left"/>
              <w:rPr>
                <w:rFonts w:cs="Arial"/>
                <w:b w:val="0"/>
                <w:szCs w:val="14"/>
              </w:rPr>
            </w:pPr>
            <w:proofErr w:type="spellStart"/>
            <w:r w:rsidRPr="00B84B0C">
              <w:rPr>
                <w:rFonts w:cs="Arial"/>
                <w:b w:val="0"/>
                <w:szCs w:val="14"/>
              </w:rPr>
              <w:t>Derecognition</w:t>
            </w:r>
            <w:proofErr w:type="spellEnd"/>
            <w:r w:rsidRPr="00B84B0C">
              <w:rPr>
                <w:rFonts w:cs="Arial"/>
                <w:b w:val="0"/>
                <w:szCs w:val="14"/>
              </w:rPr>
              <w:t xml:space="preserve"> </w:t>
            </w:r>
            <w:proofErr w:type="spellStart"/>
            <w:r w:rsidRPr="00B84B0C">
              <w:rPr>
                <w:rFonts w:cs="Arial"/>
                <w:b w:val="0"/>
                <w:szCs w:val="14"/>
              </w:rPr>
              <w:t>of</w:t>
            </w:r>
            <w:proofErr w:type="spellEnd"/>
            <w:r w:rsidRPr="00B84B0C">
              <w:rPr>
                <w:rFonts w:cs="Arial"/>
                <w:b w:val="0"/>
                <w:szCs w:val="14"/>
              </w:rPr>
              <w:t xml:space="preserve"> </w:t>
            </w:r>
            <w:proofErr w:type="spellStart"/>
            <w:r w:rsidRPr="00B84B0C">
              <w:rPr>
                <w:rFonts w:cs="Arial"/>
                <w:b w:val="0"/>
                <w:szCs w:val="14"/>
              </w:rPr>
              <w:t>provisions</w:t>
            </w:r>
            <w:proofErr w:type="spellEnd"/>
          </w:p>
        </w:tc>
        <w:tc>
          <w:tcPr>
            <w:tcW w:w="567" w:type="dxa"/>
            <w:tcBorders>
              <w:top w:val="nil"/>
              <w:bottom w:val="nil"/>
            </w:tcBorders>
            <w:vAlign w:val="center"/>
          </w:tcPr>
          <w:p w14:paraId="74901B16"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134" w:type="dxa"/>
            <w:tcBorders>
              <w:top w:val="nil"/>
              <w:bottom w:val="nil"/>
            </w:tcBorders>
            <w:vAlign w:val="center"/>
          </w:tcPr>
          <w:p w14:paraId="576C0A2F"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66CF9C31"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45A7EBF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5613B58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center"/>
          </w:tcPr>
          <w:p w14:paraId="4D28A7C1"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r>
      <w:tr w:rsidR="00081370" w:rsidRPr="00B84B0C" w14:paraId="223DE74E"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610DED11" w14:textId="77777777" w:rsidR="00081370" w:rsidRPr="00B84B0C" w:rsidRDefault="00081370" w:rsidP="00081370">
            <w:pPr>
              <w:pStyle w:val="08-Tabelageral"/>
              <w:ind w:left="2"/>
              <w:jc w:val="left"/>
              <w:rPr>
                <w:rFonts w:cs="Arial"/>
                <w:szCs w:val="14"/>
                <w:lang w:val="en-US"/>
              </w:rPr>
            </w:pPr>
            <w:r w:rsidRPr="00B84B0C">
              <w:rPr>
                <w:rFonts w:cs="Arial"/>
                <w:szCs w:val="14"/>
                <w:lang w:val="en-US"/>
              </w:rPr>
              <w:t>Closing balance</w:t>
            </w:r>
          </w:p>
        </w:tc>
        <w:tc>
          <w:tcPr>
            <w:tcW w:w="567" w:type="dxa"/>
            <w:tcBorders>
              <w:top w:val="nil"/>
              <w:bottom w:val="nil"/>
            </w:tcBorders>
            <w:vAlign w:val="center"/>
          </w:tcPr>
          <w:p w14:paraId="6E4C80F6"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nil"/>
              <w:bottom w:val="nil"/>
            </w:tcBorders>
            <w:vAlign w:val="center"/>
          </w:tcPr>
          <w:p w14:paraId="07FC4AC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34" w:type="dxa"/>
            <w:tcBorders>
              <w:top w:val="nil"/>
              <w:bottom w:val="nil"/>
            </w:tcBorders>
            <w:vAlign w:val="center"/>
          </w:tcPr>
          <w:p w14:paraId="74CCFC2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1,009</w:t>
            </w:r>
          </w:p>
        </w:tc>
        <w:tc>
          <w:tcPr>
            <w:tcW w:w="283" w:type="dxa"/>
            <w:tcBorders>
              <w:top w:val="nil"/>
              <w:bottom w:val="nil"/>
            </w:tcBorders>
            <w:vAlign w:val="center"/>
          </w:tcPr>
          <w:p w14:paraId="76F2FBF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63" w:type="dxa"/>
            <w:tcBorders>
              <w:top w:val="nil"/>
              <w:bottom w:val="nil"/>
            </w:tcBorders>
            <w:vAlign w:val="center"/>
          </w:tcPr>
          <w:p w14:paraId="62B87CB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71" w:type="dxa"/>
            <w:tcBorders>
              <w:top w:val="nil"/>
              <w:bottom w:val="nil"/>
            </w:tcBorders>
            <w:vAlign w:val="center"/>
          </w:tcPr>
          <w:p w14:paraId="5A95071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953</w:t>
            </w:r>
          </w:p>
        </w:tc>
      </w:tr>
      <w:tr w:rsidR="00081370" w:rsidRPr="00B84B0C" w14:paraId="78E84966"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3BDF6F08" w14:textId="77777777" w:rsidR="00081370" w:rsidRPr="00B84B0C" w:rsidRDefault="00081370" w:rsidP="00081370">
            <w:pPr>
              <w:pStyle w:val="08-Tabelageral"/>
              <w:ind w:left="2"/>
              <w:jc w:val="left"/>
              <w:rPr>
                <w:rFonts w:cs="Arial"/>
                <w:bCs w:val="0"/>
                <w:szCs w:val="14"/>
                <w:lang w:val="en-US"/>
              </w:rPr>
            </w:pPr>
            <w:r w:rsidRPr="00B84B0C">
              <w:rPr>
                <w:rFonts w:cs="Arial"/>
                <w:bCs w:val="0"/>
                <w:szCs w:val="14"/>
                <w:lang w:val="en-US"/>
              </w:rPr>
              <w:t>CIVIL LAWSUITS</w:t>
            </w:r>
          </w:p>
        </w:tc>
        <w:tc>
          <w:tcPr>
            <w:tcW w:w="567" w:type="dxa"/>
            <w:tcBorders>
              <w:top w:val="nil"/>
              <w:bottom w:val="nil"/>
            </w:tcBorders>
            <w:vAlign w:val="center"/>
          </w:tcPr>
          <w:p w14:paraId="05B35BA1"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134" w:type="dxa"/>
            <w:tcBorders>
              <w:top w:val="nil"/>
              <w:bottom w:val="nil"/>
            </w:tcBorders>
            <w:vAlign w:val="center"/>
          </w:tcPr>
          <w:p w14:paraId="4CCEDB2C"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36BAFCDA"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283" w:type="dxa"/>
            <w:tcBorders>
              <w:top w:val="nil"/>
              <w:bottom w:val="nil"/>
            </w:tcBorders>
            <w:vAlign w:val="center"/>
          </w:tcPr>
          <w:p w14:paraId="3E83172E"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461D0D56"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tcPr>
          <w:p w14:paraId="63957CF9"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081370" w:rsidRPr="00B84B0C" w14:paraId="5AC03E1B"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0254D24F" w14:textId="77777777" w:rsidR="00081370" w:rsidRPr="00B84B0C" w:rsidRDefault="00081370" w:rsidP="00081370">
            <w:pPr>
              <w:pStyle w:val="08-Tabelageral"/>
              <w:ind w:left="2"/>
              <w:jc w:val="left"/>
              <w:rPr>
                <w:rFonts w:cs="Arial"/>
                <w:szCs w:val="14"/>
                <w:lang w:val="en-US"/>
              </w:rPr>
            </w:pPr>
            <w:r w:rsidRPr="00B84B0C">
              <w:rPr>
                <w:rFonts w:cs="Arial"/>
                <w:bCs w:val="0"/>
                <w:szCs w:val="14"/>
                <w:lang w:val="en-US"/>
              </w:rPr>
              <w:t>Initial balance</w:t>
            </w:r>
          </w:p>
        </w:tc>
        <w:tc>
          <w:tcPr>
            <w:tcW w:w="567" w:type="dxa"/>
            <w:tcBorders>
              <w:top w:val="nil"/>
              <w:bottom w:val="nil"/>
            </w:tcBorders>
            <w:vAlign w:val="center"/>
          </w:tcPr>
          <w:p w14:paraId="0B14C4BE"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nil"/>
              <w:bottom w:val="nil"/>
            </w:tcBorders>
            <w:vAlign w:val="center"/>
          </w:tcPr>
          <w:p w14:paraId="36CC6EAA"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34" w:type="dxa"/>
            <w:tcBorders>
              <w:top w:val="nil"/>
              <w:bottom w:val="nil"/>
            </w:tcBorders>
            <w:vAlign w:val="center"/>
          </w:tcPr>
          <w:p w14:paraId="5BBE3EB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16,692</w:t>
            </w:r>
          </w:p>
        </w:tc>
        <w:tc>
          <w:tcPr>
            <w:tcW w:w="283" w:type="dxa"/>
            <w:tcBorders>
              <w:top w:val="nil"/>
              <w:bottom w:val="nil"/>
            </w:tcBorders>
            <w:vAlign w:val="center"/>
          </w:tcPr>
          <w:p w14:paraId="2C791AFF"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63" w:type="dxa"/>
            <w:tcBorders>
              <w:top w:val="nil"/>
              <w:bottom w:val="nil"/>
            </w:tcBorders>
            <w:vAlign w:val="center"/>
          </w:tcPr>
          <w:p w14:paraId="3D0D6FAB"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71" w:type="dxa"/>
            <w:tcBorders>
              <w:top w:val="nil"/>
              <w:bottom w:val="nil"/>
            </w:tcBorders>
            <w:vAlign w:val="center"/>
          </w:tcPr>
          <w:p w14:paraId="4781D47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18,125</w:t>
            </w:r>
          </w:p>
        </w:tc>
      </w:tr>
      <w:tr w:rsidR="00081370" w:rsidRPr="00B84B0C" w14:paraId="6DFE62C7"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1C1B7517" w14:textId="77777777" w:rsidR="00081370" w:rsidRPr="00B84B0C" w:rsidRDefault="00081370" w:rsidP="00081370">
            <w:pPr>
              <w:pStyle w:val="08-Tabelageral"/>
              <w:ind w:left="2"/>
              <w:jc w:val="left"/>
              <w:rPr>
                <w:rFonts w:cs="Arial"/>
                <w:b w:val="0"/>
                <w:szCs w:val="14"/>
                <w:lang w:val="en-US"/>
              </w:rPr>
            </w:pPr>
            <w:r w:rsidRPr="00B84B0C">
              <w:rPr>
                <w:rFonts w:cs="Arial"/>
                <w:b w:val="0"/>
                <w:bCs w:val="0"/>
                <w:szCs w:val="14"/>
                <w:lang w:val="en-US"/>
              </w:rPr>
              <w:t>Addition/</w:t>
            </w:r>
            <w:proofErr w:type="gramStart"/>
            <w:r w:rsidRPr="00B84B0C">
              <w:rPr>
                <w:rFonts w:cs="Arial"/>
                <w:b w:val="0"/>
                <w:bCs w:val="0"/>
                <w:szCs w:val="14"/>
                <w:lang w:val="en-US"/>
              </w:rPr>
              <w:t>Update</w:t>
            </w:r>
            <w:r w:rsidRPr="00B84B0C">
              <w:rPr>
                <w:rFonts w:cs="Arial"/>
                <w:b w:val="0"/>
                <w:szCs w:val="14"/>
                <w:vertAlign w:val="superscript"/>
              </w:rPr>
              <w:t>(</w:t>
            </w:r>
            <w:proofErr w:type="gramEnd"/>
            <w:r w:rsidRPr="00B84B0C">
              <w:rPr>
                <w:rFonts w:cs="Arial"/>
                <w:b w:val="0"/>
                <w:szCs w:val="14"/>
                <w:vertAlign w:val="superscript"/>
              </w:rPr>
              <w:t>2)</w:t>
            </w:r>
          </w:p>
        </w:tc>
        <w:tc>
          <w:tcPr>
            <w:tcW w:w="567" w:type="dxa"/>
            <w:tcBorders>
              <w:top w:val="nil"/>
              <w:bottom w:val="nil"/>
            </w:tcBorders>
            <w:vAlign w:val="center"/>
          </w:tcPr>
          <w:p w14:paraId="6467C0AE"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nil"/>
              <w:bottom w:val="nil"/>
            </w:tcBorders>
            <w:vAlign w:val="center"/>
          </w:tcPr>
          <w:p w14:paraId="7B57BE6E"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34" w:type="dxa"/>
            <w:tcBorders>
              <w:top w:val="nil"/>
              <w:bottom w:val="nil"/>
            </w:tcBorders>
            <w:vAlign w:val="center"/>
          </w:tcPr>
          <w:p w14:paraId="70317F6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863</w:t>
            </w:r>
          </w:p>
        </w:tc>
        <w:tc>
          <w:tcPr>
            <w:tcW w:w="283" w:type="dxa"/>
            <w:tcBorders>
              <w:top w:val="nil"/>
              <w:bottom w:val="nil"/>
            </w:tcBorders>
            <w:vAlign w:val="center"/>
          </w:tcPr>
          <w:p w14:paraId="35F0FBDE"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c>
          <w:tcPr>
            <w:tcW w:w="1063" w:type="dxa"/>
            <w:tcBorders>
              <w:top w:val="nil"/>
              <w:bottom w:val="nil"/>
            </w:tcBorders>
            <w:vAlign w:val="center"/>
          </w:tcPr>
          <w:p w14:paraId="78FB33B5"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71" w:type="dxa"/>
            <w:tcBorders>
              <w:top w:val="nil"/>
              <w:bottom w:val="nil"/>
            </w:tcBorders>
            <w:vAlign w:val="center"/>
          </w:tcPr>
          <w:p w14:paraId="57FBB292"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1,975</w:t>
            </w:r>
          </w:p>
        </w:tc>
      </w:tr>
      <w:tr w:rsidR="00081370" w:rsidRPr="00B84B0C" w14:paraId="5D5F6BE5"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53206108" w14:textId="77777777" w:rsidR="00081370" w:rsidRPr="00B84B0C" w:rsidRDefault="00081370" w:rsidP="00081370">
            <w:pPr>
              <w:pStyle w:val="08-Tabelageral"/>
              <w:ind w:left="2"/>
              <w:jc w:val="left"/>
              <w:rPr>
                <w:rFonts w:cs="Arial"/>
                <w:b w:val="0"/>
                <w:szCs w:val="14"/>
                <w:lang w:val="en-US"/>
              </w:rPr>
            </w:pPr>
            <w:r w:rsidRPr="00B84B0C">
              <w:rPr>
                <w:rFonts w:cs="Arial"/>
                <w:b w:val="0"/>
                <w:bCs w:val="0"/>
                <w:szCs w:val="14"/>
                <w:lang w:val="en-US"/>
              </w:rPr>
              <w:t>Reversal of the provision</w:t>
            </w:r>
          </w:p>
        </w:tc>
        <w:tc>
          <w:tcPr>
            <w:tcW w:w="567" w:type="dxa"/>
            <w:tcBorders>
              <w:top w:val="nil"/>
              <w:bottom w:val="nil"/>
            </w:tcBorders>
            <w:vAlign w:val="center"/>
          </w:tcPr>
          <w:p w14:paraId="1C3749BF"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1014F610"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0F3076D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(1,042)</w:t>
            </w:r>
          </w:p>
        </w:tc>
        <w:tc>
          <w:tcPr>
            <w:tcW w:w="283" w:type="dxa"/>
            <w:tcBorders>
              <w:top w:val="nil"/>
              <w:bottom w:val="nil"/>
            </w:tcBorders>
            <w:vAlign w:val="center"/>
          </w:tcPr>
          <w:p w14:paraId="514BE454"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67835CA1"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171" w:type="dxa"/>
            <w:tcBorders>
              <w:top w:val="nil"/>
              <w:bottom w:val="nil"/>
            </w:tcBorders>
            <w:vAlign w:val="center"/>
          </w:tcPr>
          <w:p w14:paraId="35857ED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(716)</w:t>
            </w:r>
          </w:p>
        </w:tc>
      </w:tr>
      <w:tr w:rsidR="00081370" w:rsidRPr="00B84B0C" w14:paraId="2B615B27"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30BB2B13" w14:textId="77777777" w:rsidR="00081370" w:rsidRPr="00B84B0C" w:rsidRDefault="00081370" w:rsidP="00081370">
            <w:pPr>
              <w:pStyle w:val="08-Tabelageral"/>
              <w:jc w:val="left"/>
              <w:rPr>
                <w:rFonts w:cs="Arial"/>
                <w:b w:val="0"/>
                <w:szCs w:val="14"/>
                <w:lang w:val="en-US"/>
              </w:rPr>
            </w:pPr>
            <w:r w:rsidRPr="00B84B0C">
              <w:rPr>
                <w:rFonts w:cs="Arial"/>
                <w:b w:val="0"/>
                <w:szCs w:val="14"/>
                <w:lang w:val="en-US"/>
              </w:rPr>
              <w:t>Derecognition of provisions</w:t>
            </w:r>
          </w:p>
        </w:tc>
        <w:tc>
          <w:tcPr>
            <w:tcW w:w="567" w:type="dxa"/>
            <w:tcBorders>
              <w:top w:val="nil"/>
              <w:bottom w:val="nil"/>
            </w:tcBorders>
            <w:vAlign w:val="center"/>
          </w:tcPr>
          <w:p w14:paraId="17704D8C"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134" w:type="dxa"/>
            <w:tcBorders>
              <w:top w:val="nil"/>
              <w:bottom w:val="nil"/>
            </w:tcBorders>
            <w:vAlign w:val="center"/>
          </w:tcPr>
          <w:p w14:paraId="4A5BBEF0"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3CB8D72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(302)</w:t>
            </w:r>
          </w:p>
        </w:tc>
        <w:tc>
          <w:tcPr>
            <w:tcW w:w="283" w:type="dxa"/>
            <w:tcBorders>
              <w:top w:val="nil"/>
              <w:bottom w:val="nil"/>
            </w:tcBorders>
            <w:vAlign w:val="center"/>
          </w:tcPr>
          <w:p w14:paraId="1A23B8F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677B6026"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center"/>
          </w:tcPr>
          <w:p w14:paraId="03248725"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(530)</w:t>
            </w:r>
          </w:p>
        </w:tc>
      </w:tr>
      <w:tr w:rsidR="00081370" w:rsidRPr="00B84B0C" w14:paraId="71A46E22"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50F2B04D" w14:textId="77777777" w:rsidR="00081370" w:rsidRPr="00B84B0C" w:rsidRDefault="00081370" w:rsidP="00081370">
            <w:pPr>
              <w:pStyle w:val="08-Tabelageral"/>
              <w:ind w:left="2"/>
              <w:jc w:val="left"/>
              <w:rPr>
                <w:rFonts w:cs="Arial"/>
                <w:szCs w:val="14"/>
                <w:lang w:val="en-US"/>
              </w:rPr>
            </w:pPr>
            <w:r w:rsidRPr="00B84B0C">
              <w:rPr>
                <w:rFonts w:cs="Arial"/>
                <w:szCs w:val="14"/>
                <w:lang w:val="en-US"/>
              </w:rPr>
              <w:t>Closing balance</w:t>
            </w:r>
          </w:p>
        </w:tc>
        <w:tc>
          <w:tcPr>
            <w:tcW w:w="567" w:type="dxa"/>
            <w:tcBorders>
              <w:top w:val="nil"/>
              <w:bottom w:val="nil"/>
            </w:tcBorders>
            <w:vAlign w:val="center"/>
          </w:tcPr>
          <w:p w14:paraId="09624F3F"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1B86CC2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1D51AFD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16,211</w:t>
            </w:r>
          </w:p>
        </w:tc>
        <w:tc>
          <w:tcPr>
            <w:tcW w:w="283" w:type="dxa"/>
            <w:tcBorders>
              <w:top w:val="nil"/>
              <w:bottom w:val="nil"/>
            </w:tcBorders>
            <w:vAlign w:val="center"/>
          </w:tcPr>
          <w:p w14:paraId="61D4424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63" w:type="dxa"/>
            <w:tcBorders>
              <w:top w:val="nil"/>
              <w:bottom w:val="nil"/>
            </w:tcBorders>
            <w:vAlign w:val="center"/>
          </w:tcPr>
          <w:p w14:paraId="27001A0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71" w:type="dxa"/>
            <w:tcBorders>
              <w:top w:val="nil"/>
              <w:bottom w:val="nil"/>
            </w:tcBorders>
            <w:vAlign w:val="center"/>
          </w:tcPr>
          <w:p w14:paraId="49F25B4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18,854</w:t>
            </w:r>
          </w:p>
        </w:tc>
      </w:tr>
      <w:tr w:rsidR="00081370" w:rsidRPr="00B84B0C" w14:paraId="7EE54EE4"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4C220929" w14:textId="77777777" w:rsidR="00081370" w:rsidRPr="00B84B0C" w:rsidRDefault="00081370" w:rsidP="00081370">
            <w:pPr>
              <w:pStyle w:val="08-Tabelageral"/>
              <w:jc w:val="left"/>
              <w:rPr>
                <w:rFonts w:cs="Arial"/>
              </w:rPr>
            </w:pPr>
            <w:r w:rsidRPr="00B84B0C">
              <w:rPr>
                <w:rFonts w:cs="Arial"/>
              </w:rPr>
              <w:t>LABOR LAWSUITS</w:t>
            </w:r>
          </w:p>
        </w:tc>
        <w:tc>
          <w:tcPr>
            <w:tcW w:w="567" w:type="dxa"/>
            <w:tcBorders>
              <w:top w:val="nil"/>
              <w:bottom w:val="nil"/>
            </w:tcBorders>
            <w:vAlign w:val="center"/>
          </w:tcPr>
          <w:p w14:paraId="50C638A5"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134" w:type="dxa"/>
            <w:tcBorders>
              <w:top w:val="nil"/>
              <w:bottom w:val="nil"/>
            </w:tcBorders>
            <w:vAlign w:val="center"/>
          </w:tcPr>
          <w:p w14:paraId="5F77E81B"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16104FAB"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283" w:type="dxa"/>
            <w:tcBorders>
              <w:top w:val="nil"/>
              <w:bottom w:val="nil"/>
            </w:tcBorders>
            <w:vAlign w:val="center"/>
          </w:tcPr>
          <w:p w14:paraId="0ACD1044"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77F5BC91" w14:textId="77777777" w:rsidR="00081370" w:rsidRPr="00B84B0C" w:rsidRDefault="00081370" w:rsidP="00081370">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bottom"/>
          </w:tcPr>
          <w:p w14:paraId="29500BE6"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p>
        </w:tc>
      </w:tr>
      <w:tr w:rsidR="00081370" w:rsidRPr="00B84B0C" w14:paraId="751C184B"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3E1086F3" w14:textId="77777777" w:rsidR="00081370" w:rsidRPr="00B84B0C" w:rsidRDefault="00081370" w:rsidP="00081370">
            <w:pPr>
              <w:pStyle w:val="08-Tabelageral"/>
              <w:ind w:left="2"/>
              <w:jc w:val="left"/>
              <w:rPr>
                <w:rFonts w:cs="Arial"/>
                <w:szCs w:val="14"/>
                <w:lang w:val="en-US"/>
              </w:rPr>
            </w:pPr>
            <w:r w:rsidRPr="00B84B0C">
              <w:rPr>
                <w:rFonts w:cs="Arial"/>
                <w:bCs w:val="0"/>
                <w:szCs w:val="14"/>
                <w:lang w:val="en-US"/>
              </w:rPr>
              <w:t>Initial balance</w:t>
            </w:r>
          </w:p>
        </w:tc>
        <w:tc>
          <w:tcPr>
            <w:tcW w:w="567" w:type="dxa"/>
            <w:tcBorders>
              <w:top w:val="nil"/>
              <w:bottom w:val="nil"/>
            </w:tcBorders>
            <w:vAlign w:val="center"/>
          </w:tcPr>
          <w:p w14:paraId="1B15F784"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b/>
              </w:rPr>
            </w:pPr>
          </w:p>
        </w:tc>
        <w:tc>
          <w:tcPr>
            <w:tcW w:w="1134" w:type="dxa"/>
            <w:tcBorders>
              <w:top w:val="nil"/>
              <w:bottom w:val="nil"/>
            </w:tcBorders>
            <w:vAlign w:val="center"/>
          </w:tcPr>
          <w:p w14:paraId="34C53143"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34" w:type="dxa"/>
            <w:tcBorders>
              <w:top w:val="nil"/>
              <w:bottom w:val="nil"/>
            </w:tcBorders>
            <w:vAlign w:val="center"/>
          </w:tcPr>
          <w:p w14:paraId="0BFF948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103</w:t>
            </w:r>
          </w:p>
        </w:tc>
        <w:tc>
          <w:tcPr>
            <w:tcW w:w="283" w:type="dxa"/>
            <w:tcBorders>
              <w:top w:val="nil"/>
              <w:bottom w:val="nil"/>
            </w:tcBorders>
            <w:vAlign w:val="center"/>
          </w:tcPr>
          <w:p w14:paraId="66F2F4C9"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63" w:type="dxa"/>
            <w:tcBorders>
              <w:top w:val="nil"/>
              <w:bottom w:val="nil"/>
            </w:tcBorders>
            <w:vAlign w:val="center"/>
          </w:tcPr>
          <w:p w14:paraId="11A59DC3" w14:textId="77777777" w:rsidR="00081370" w:rsidRPr="00B84B0C" w:rsidRDefault="00081370" w:rsidP="00081370">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71" w:type="dxa"/>
            <w:tcBorders>
              <w:top w:val="nil"/>
              <w:bottom w:val="nil"/>
            </w:tcBorders>
            <w:vAlign w:val="center"/>
          </w:tcPr>
          <w:p w14:paraId="19A1F40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w:t>
            </w:r>
          </w:p>
        </w:tc>
      </w:tr>
      <w:tr w:rsidR="00081370" w:rsidRPr="00B84B0C" w14:paraId="0A7DA126"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51DCEE54" w14:textId="77777777" w:rsidR="00081370" w:rsidRPr="00B84B0C" w:rsidRDefault="00081370" w:rsidP="00081370">
            <w:pPr>
              <w:pStyle w:val="08-Tabelageral"/>
              <w:ind w:left="2"/>
              <w:jc w:val="left"/>
              <w:rPr>
                <w:rFonts w:cs="Arial"/>
                <w:b w:val="0"/>
                <w:szCs w:val="14"/>
                <w:lang w:val="en-US"/>
              </w:rPr>
            </w:pPr>
            <w:r w:rsidRPr="00B84B0C">
              <w:rPr>
                <w:rFonts w:cs="Arial"/>
                <w:b w:val="0"/>
                <w:bCs w:val="0"/>
                <w:szCs w:val="14"/>
                <w:lang w:val="en-US"/>
              </w:rPr>
              <w:t>Addition/</w:t>
            </w:r>
            <w:proofErr w:type="gramStart"/>
            <w:r w:rsidRPr="00B84B0C">
              <w:rPr>
                <w:rFonts w:cs="Arial"/>
                <w:b w:val="0"/>
                <w:bCs w:val="0"/>
                <w:szCs w:val="14"/>
                <w:lang w:val="en-US"/>
              </w:rPr>
              <w:t>Update</w:t>
            </w:r>
            <w:r w:rsidRPr="00B84B0C">
              <w:rPr>
                <w:rFonts w:cs="Arial"/>
                <w:b w:val="0"/>
                <w:szCs w:val="14"/>
                <w:vertAlign w:val="superscript"/>
              </w:rPr>
              <w:t>(</w:t>
            </w:r>
            <w:proofErr w:type="gramEnd"/>
            <w:r w:rsidRPr="00B84B0C">
              <w:rPr>
                <w:rFonts w:cs="Arial"/>
                <w:b w:val="0"/>
                <w:szCs w:val="14"/>
                <w:vertAlign w:val="superscript"/>
              </w:rPr>
              <w:t>2)</w:t>
            </w:r>
          </w:p>
        </w:tc>
        <w:tc>
          <w:tcPr>
            <w:tcW w:w="567" w:type="dxa"/>
            <w:tcBorders>
              <w:top w:val="nil"/>
              <w:bottom w:val="nil"/>
            </w:tcBorders>
            <w:vAlign w:val="center"/>
          </w:tcPr>
          <w:p w14:paraId="23AFFABD"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rPr>
            </w:pPr>
          </w:p>
        </w:tc>
        <w:tc>
          <w:tcPr>
            <w:tcW w:w="1134" w:type="dxa"/>
            <w:tcBorders>
              <w:top w:val="nil"/>
              <w:bottom w:val="nil"/>
            </w:tcBorders>
            <w:vAlign w:val="center"/>
          </w:tcPr>
          <w:p w14:paraId="3132DF8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vAlign w:val="center"/>
          </w:tcPr>
          <w:p w14:paraId="07B71B96"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127</w:t>
            </w:r>
          </w:p>
        </w:tc>
        <w:tc>
          <w:tcPr>
            <w:tcW w:w="283" w:type="dxa"/>
            <w:tcBorders>
              <w:top w:val="nil"/>
              <w:bottom w:val="nil"/>
            </w:tcBorders>
            <w:vAlign w:val="center"/>
          </w:tcPr>
          <w:p w14:paraId="16AA0A88"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vAlign w:val="center"/>
          </w:tcPr>
          <w:p w14:paraId="1462D05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nil"/>
            </w:tcBorders>
            <w:vAlign w:val="center"/>
          </w:tcPr>
          <w:p w14:paraId="2DE021C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r>
      <w:tr w:rsidR="00081370" w:rsidRPr="00B84B0C" w14:paraId="211B099F"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109BE2F5" w14:textId="77777777" w:rsidR="00081370" w:rsidRPr="00B84B0C" w:rsidRDefault="00081370" w:rsidP="00081370">
            <w:pPr>
              <w:pStyle w:val="08-Tabelageral"/>
              <w:ind w:left="2"/>
              <w:jc w:val="left"/>
              <w:rPr>
                <w:rFonts w:cs="Arial"/>
                <w:b w:val="0"/>
                <w:szCs w:val="14"/>
                <w:lang w:val="en-US"/>
              </w:rPr>
            </w:pPr>
            <w:r w:rsidRPr="00B84B0C">
              <w:rPr>
                <w:rFonts w:cs="Arial"/>
                <w:b w:val="0"/>
                <w:bCs w:val="0"/>
                <w:szCs w:val="14"/>
                <w:lang w:val="en-US"/>
              </w:rPr>
              <w:t>Reversal of the provision</w:t>
            </w:r>
          </w:p>
        </w:tc>
        <w:tc>
          <w:tcPr>
            <w:tcW w:w="567" w:type="dxa"/>
            <w:tcBorders>
              <w:top w:val="nil"/>
              <w:bottom w:val="nil"/>
            </w:tcBorders>
            <w:vAlign w:val="center"/>
          </w:tcPr>
          <w:p w14:paraId="475E94AA" w14:textId="77777777" w:rsidR="00081370" w:rsidRPr="00B84B0C" w:rsidRDefault="00081370" w:rsidP="00081370">
            <w:pPr>
              <w:pStyle w:val="08-Tabelageral"/>
              <w:jc w:val="center"/>
              <w:cnfStyle w:val="000000100000" w:firstRow="0" w:lastRow="0" w:firstColumn="0" w:lastColumn="0" w:oddVBand="0" w:evenVBand="0" w:oddHBand="1" w:evenHBand="0" w:firstRowFirstColumn="0" w:firstRowLastColumn="0" w:lastRowFirstColumn="0" w:lastRowLastColumn="0"/>
              <w:rPr>
                <w:rFonts w:cs="Arial"/>
              </w:rPr>
            </w:pPr>
          </w:p>
        </w:tc>
        <w:tc>
          <w:tcPr>
            <w:tcW w:w="1134" w:type="dxa"/>
            <w:tcBorders>
              <w:top w:val="nil"/>
              <w:bottom w:val="nil"/>
            </w:tcBorders>
            <w:vAlign w:val="center"/>
          </w:tcPr>
          <w:p w14:paraId="127A186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vAlign w:val="center"/>
          </w:tcPr>
          <w:p w14:paraId="7107B8D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504A95C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vAlign w:val="center"/>
          </w:tcPr>
          <w:p w14:paraId="5861ABD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71" w:type="dxa"/>
            <w:tcBorders>
              <w:top w:val="nil"/>
              <w:bottom w:val="nil"/>
            </w:tcBorders>
            <w:vAlign w:val="center"/>
          </w:tcPr>
          <w:p w14:paraId="360962A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081370" w:rsidRPr="00B84B0C" w14:paraId="315C0230"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254CE7E3" w14:textId="77777777" w:rsidR="00081370" w:rsidRPr="00B84B0C" w:rsidRDefault="00081370" w:rsidP="00081370">
            <w:pPr>
              <w:pStyle w:val="08-Tabelageral"/>
              <w:jc w:val="left"/>
              <w:rPr>
                <w:rFonts w:cs="Arial"/>
                <w:b w:val="0"/>
                <w:szCs w:val="14"/>
                <w:lang w:val="en-US"/>
              </w:rPr>
            </w:pPr>
            <w:r w:rsidRPr="00B84B0C">
              <w:rPr>
                <w:rFonts w:cs="Arial"/>
                <w:b w:val="0"/>
                <w:szCs w:val="14"/>
                <w:lang w:val="en-US"/>
              </w:rPr>
              <w:t>Derecognition of provisions</w:t>
            </w:r>
          </w:p>
        </w:tc>
        <w:tc>
          <w:tcPr>
            <w:tcW w:w="567" w:type="dxa"/>
            <w:tcBorders>
              <w:top w:val="nil"/>
              <w:bottom w:val="nil"/>
            </w:tcBorders>
            <w:vAlign w:val="center"/>
          </w:tcPr>
          <w:p w14:paraId="1268C21D"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noProof/>
              </w:rPr>
            </w:pPr>
          </w:p>
        </w:tc>
        <w:tc>
          <w:tcPr>
            <w:tcW w:w="1134" w:type="dxa"/>
            <w:tcBorders>
              <w:top w:val="nil"/>
              <w:bottom w:val="nil"/>
            </w:tcBorders>
            <w:vAlign w:val="center"/>
          </w:tcPr>
          <w:p w14:paraId="57EB936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34" w:type="dxa"/>
            <w:tcBorders>
              <w:top w:val="nil"/>
              <w:bottom w:val="nil"/>
            </w:tcBorders>
            <w:vAlign w:val="center"/>
          </w:tcPr>
          <w:p w14:paraId="03837B9E"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w:t>
            </w:r>
          </w:p>
        </w:tc>
        <w:tc>
          <w:tcPr>
            <w:tcW w:w="283" w:type="dxa"/>
            <w:tcBorders>
              <w:top w:val="nil"/>
              <w:bottom w:val="nil"/>
            </w:tcBorders>
            <w:vAlign w:val="center"/>
          </w:tcPr>
          <w:p w14:paraId="662A06A8"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063" w:type="dxa"/>
            <w:tcBorders>
              <w:top w:val="nil"/>
              <w:bottom w:val="nil"/>
            </w:tcBorders>
            <w:vAlign w:val="center"/>
          </w:tcPr>
          <w:p w14:paraId="754E45F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71" w:type="dxa"/>
            <w:tcBorders>
              <w:top w:val="nil"/>
              <w:bottom w:val="nil"/>
            </w:tcBorders>
            <w:vAlign w:val="center"/>
          </w:tcPr>
          <w:p w14:paraId="56DE8332"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r>
      <w:tr w:rsidR="00081370" w:rsidRPr="00B84B0C" w14:paraId="248280CD" w14:textId="77777777" w:rsidTr="00081370">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nil"/>
            </w:tcBorders>
          </w:tcPr>
          <w:p w14:paraId="31CCA9EE" w14:textId="77777777" w:rsidR="00081370" w:rsidRPr="00B84B0C" w:rsidRDefault="00081370" w:rsidP="00081370">
            <w:pPr>
              <w:pStyle w:val="08-Tabelageral"/>
              <w:ind w:left="2"/>
              <w:jc w:val="left"/>
              <w:rPr>
                <w:rFonts w:cs="Arial"/>
                <w:szCs w:val="14"/>
                <w:lang w:val="en-US"/>
              </w:rPr>
            </w:pPr>
            <w:r w:rsidRPr="00B84B0C">
              <w:rPr>
                <w:rFonts w:cs="Arial"/>
                <w:szCs w:val="14"/>
                <w:lang w:val="en-US"/>
              </w:rPr>
              <w:t>Closing balance</w:t>
            </w:r>
          </w:p>
        </w:tc>
        <w:tc>
          <w:tcPr>
            <w:tcW w:w="567" w:type="dxa"/>
            <w:tcBorders>
              <w:top w:val="nil"/>
              <w:bottom w:val="nil"/>
            </w:tcBorders>
            <w:vAlign w:val="center"/>
          </w:tcPr>
          <w:p w14:paraId="139FD5AC" w14:textId="77777777" w:rsidR="00081370" w:rsidRPr="00B84B0C" w:rsidRDefault="00081370" w:rsidP="00081370">
            <w:pPr>
              <w:pStyle w:val="08-Tabelageral"/>
              <w:jc w:val="left"/>
              <w:cnfStyle w:val="000000100000" w:firstRow="0" w:lastRow="0" w:firstColumn="0" w:lastColumn="0" w:oddVBand="0" w:evenVBand="0" w:oddHBand="1" w:evenHBand="0" w:firstRowFirstColumn="0" w:firstRowLastColumn="0" w:lastRowFirstColumn="0" w:lastRowLastColumn="0"/>
              <w:rPr>
                <w:rFonts w:cs="Arial"/>
                <w:b/>
                <w:color w:val="FF0000"/>
                <w:szCs w:val="14"/>
              </w:rPr>
            </w:pPr>
          </w:p>
        </w:tc>
        <w:tc>
          <w:tcPr>
            <w:tcW w:w="1134" w:type="dxa"/>
            <w:tcBorders>
              <w:top w:val="nil"/>
              <w:bottom w:val="nil"/>
            </w:tcBorders>
            <w:vAlign w:val="center"/>
          </w:tcPr>
          <w:p w14:paraId="75D4E28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34" w:type="dxa"/>
            <w:tcBorders>
              <w:top w:val="nil"/>
              <w:bottom w:val="nil"/>
            </w:tcBorders>
            <w:vAlign w:val="center"/>
          </w:tcPr>
          <w:p w14:paraId="030333F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230</w:t>
            </w:r>
          </w:p>
        </w:tc>
        <w:tc>
          <w:tcPr>
            <w:tcW w:w="283" w:type="dxa"/>
            <w:tcBorders>
              <w:top w:val="nil"/>
              <w:bottom w:val="nil"/>
            </w:tcBorders>
            <w:vAlign w:val="center"/>
          </w:tcPr>
          <w:p w14:paraId="2CEDDD0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63" w:type="dxa"/>
            <w:tcBorders>
              <w:top w:val="nil"/>
              <w:bottom w:val="nil"/>
            </w:tcBorders>
            <w:vAlign w:val="center"/>
          </w:tcPr>
          <w:p w14:paraId="3C4636C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71" w:type="dxa"/>
            <w:tcBorders>
              <w:top w:val="nil"/>
              <w:bottom w:val="nil"/>
            </w:tcBorders>
            <w:vAlign w:val="center"/>
          </w:tcPr>
          <w:p w14:paraId="6CAF84B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w:t>
            </w:r>
          </w:p>
        </w:tc>
      </w:tr>
      <w:tr w:rsidR="00081370" w:rsidRPr="00B84B0C" w14:paraId="017B92DE" w14:textId="77777777" w:rsidTr="00081370">
        <w:trPr>
          <w:trHeight w:val="238"/>
        </w:trPr>
        <w:tc>
          <w:tcPr>
            <w:cnfStyle w:val="001000000000" w:firstRow="0" w:lastRow="0" w:firstColumn="1" w:lastColumn="0" w:oddVBand="0" w:evenVBand="0" w:oddHBand="0" w:evenHBand="0" w:firstRowFirstColumn="0" w:firstRowLastColumn="0" w:lastRowFirstColumn="0" w:lastRowLastColumn="0"/>
            <w:tcW w:w="4287" w:type="dxa"/>
            <w:tcBorders>
              <w:top w:val="nil"/>
              <w:bottom w:val="single" w:sz="2" w:space="0" w:color="8EAADB" w:themeColor="accent5" w:themeTint="99"/>
            </w:tcBorders>
          </w:tcPr>
          <w:p w14:paraId="3D93EDBF" w14:textId="77777777" w:rsidR="00081370" w:rsidRPr="00B84B0C" w:rsidRDefault="00081370" w:rsidP="00081370">
            <w:pPr>
              <w:pStyle w:val="08-Tabelageral"/>
              <w:jc w:val="left"/>
              <w:rPr>
                <w:rFonts w:cs="Arial"/>
              </w:rPr>
            </w:pPr>
            <w:r w:rsidRPr="00B84B0C">
              <w:rPr>
                <w:rFonts w:cs="Arial"/>
              </w:rPr>
              <w:t>Total</w:t>
            </w:r>
          </w:p>
        </w:tc>
        <w:tc>
          <w:tcPr>
            <w:tcW w:w="567" w:type="dxa"/>
            <w:tcBorders>
              <w:top w:val="nil"/>
              <w:bottom w:val="single" w:sz="2" w:space="0" w:color="8EAADB" w:themeColor="accent5" w:themeTint="99"/>
            </w:tcBorders>
            <w:vAlign w:val="center"/>
          </w:tcPr>
          <w:p w14:paraId="6F1497D8" w14:textId="77777777" w:rsidR="00081370" w:rsidRPr="00B84B0C" w:rsidRDefault="00081370" w:rsidP="00081370">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134" w:type="dxa"/>
            <w:tcBorders>
              <w:top w:val="nil"/>
              <w:bottom w:val="single" w:sz="2" w:space="0" w:color="8EAADB" w:themeColor="accent5" w:themeTint="99"/>
            </w:tcBorders>
            <w:vAlign w:val="center"/>
          </w:tcPr>
          <w:p w14:paraId="0412230C"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single" w:sz="2" w:space="0" w:color="8EAADB" w:themeColor="accent5" w:themeTint="99"/>
            </w:tcBorders>
            <w:vAlign w:val="center"/>
          </w:tcPr>
          <w:p w14:paraId="46D7344A"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17,450</w:t>
            </w:r>
          </w:p>
        </w:tc>
        <w:tc>
          <w:tcPr>
            <w:tcW w:w="283" w:type="dxa"/>
            <w:tcBorders>
              <w:top w:val="nil"/>
              <w:bottom w:val="single" w:sz="2" w:space="0" w:color="8EAADB" w:themeColor="accent5" w:themeTint="99"/>
            </w:tcBorders>
            <w:vAlign w:val="center"/>
          </w:tcPr>
          <w:p w14:paraId="48FDC5D0"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single" w:sz="2" w:space="0" w:color="8EAADB" w:themeColor="accent5" w:themeTint="99"/>
            </w:tcBorders>
            <w:vAlign w:val="center"/>
          </w:tcPr>
          <w:p w14:paraId="4A9A889D"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1" w:type="dxa"/>
            <w:tcBorders>
              <w:top w:val="nil"/>
              <w:bottom w:val="single" w:sz="2" w:space="0" w:color="8EAADB" w:themeColor="accent5" w:themeTint="99"/>
            </w:tcBorders>
            <w:vAlign w:val="center"/>
          </w:tcPr>
          <w:p w14:paraId="2577D6E3" w14:textId="77777777" w:rsidR="00081370" w:rsidRPr="00B84B0C" w:rsidRDefault="00081370" w:rsidP="00081370">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19,807</w:t>
            </w:r>
          </w:p>
        </w:tc>
      </w:tr>
    </w:tbl>
    <w:p w14:paraId="7CBDFE4D" w14:textId="77777777" w:rsidR="00081370" w:rsidRPr="00B84B0C" w:rsidRDefault="00081370" w:rsidP="00081370">
      <w:pPr>
        <w:pStyle w:val="07-Legenda"/>
        <w:numPr>
          <w:ilvl w:val="0"/>
          <w:numId w:val="16"/>
        </w:numPr>
        <w:rPr>
          <w:rStyle w:val="tlid-translation"/>
          <w:rFonts w:cs="Arial"/>
          <w:szCs w:val="14"/>
        </w:rPr>
      </w:pPr>
      <w:r w:rsidRPr="00B84B0C">
        <w:rPr>
          <w:rStyle w:val="tlid-translation"/>
          <w:rFonts w:cs="Arial"/>
          <w:lang w:val="en"/>
        </w:rPr>
        <w:t>On Mar 31, 2020, includes the amount of R$ 10 thousand related to monetary restatement.</w:t>
      </w:r>
    </w:p>
    <w:p w14:paraId="1FD1BDE5" w14:textId="77777777" w:rsidR="00081370" w:rsidRPr="00B84B0C" w:rsidRDefault="00081370" w:rsidP="00081370">
      <w:pPr>
        <w:pStyle w:val="07-Legenda"/>
        <w:numPr>
          <w:ilvl w:val="0"/>
          <w:numId w:val="16"/>
        </w:numPr>
        <w:rPr>
          <w:rFonts w:cs="Arial"/>
          <w:szCs w:val="14"/>
        </w:rPr>
      </w:pPr>
      <w:r w:rsidRPr="00B84B0C">
        <w:rPr>
          <w:rStyle w:val="tlid-translation"/>
          <w:rFonts w:cs="Arial"/>
          <w:lang w:val="en"/>
        </w:rPr>
        <w:t>On Mar 31, 2020, includes the amount of R$ 215 thousand related to monetary restatement.</w:t>
      </w:r>
    </w:p>
    <w:p w14:paraId="4C6ECB30" w14:textId="77777777" w:rsidR="00081370" w:rsidRPr="00B84B0C" w:rsidRDefault="00081370" w:rsidP="00081370">
      <w:pPr>
        <w:pStyle w:val="04-TtuloNegrito"/>
        <w:rPr>
          <w:rStyle w:val="tlid-translation"/>
          <w:rFonts w:cs="Arial"/>
          <w:b w:val="0"/>
          <w:sz w:val="18"/>
          <w:szCs w:val="18"/>
          <w:lang w:val="en"/>
        </w:rPr>
      </w:pPr>
      <w:r w:rsidRPr="00B84B0C">
        <w:rPr>
          <w:rStyle w:val="tlid-translation"/>
          <w:rFonts w:cs="Arial"/>
          <w:b w:val="0"/>
          <w:sz w:val="18"/>
          <w:szCs w:val="18"/>
          <w:lang w:val="en"/>
        </w:rPr>
        <w:t xml:space="preserve">They mainly refer to contingencies registered with BB </w:t>
      </w:r>
      <w:proofErr w:type="spellStart"/>
      <w:r w:rsidRPr="00B84B0C">
        <w:rPr>
          <w:rStyle w:val="tlid-translation"/>
          <w:rFonts w:cs="Arial"/>
          <w:b w:val="0"/>
          <w:sz w:val="18"/>
          <w:szCs w:val="18"/>
          <w:lang w:val="en"/>
        </w:rPr>
        <w:t>Corretora</w:t>
      </w:r>
      <w:proofErr w:type="spellEnd"/>
      <w:r w:rsidRPr="00B84B0C">
        <w:rPr>
          <w:rStyle w:val="tlid-translation"/>
          <w:rFonts w:cs="Arial"/>
          <w:b w:val="0"/>
          <w:sz w:val="18"/>
          <w:szCs w:val="18"/>
          <w:lang w:val="en"/>
        </w:rPr>
        <w:t>.</w:t>
      </w:r>
    </w:p>
    <w:p w14:paraId="5175D7D6" w14:textId="77777777" w:rsidR="00081370" w:rsidRPr="00B84B0C" w:rsidRDefault="00081370" w:rsidP="00081370">
      <w:pPr>
        <w:pStyle w:val="04-TtuloNegrito"/>
        <w:rPr>
          <w:rStyle w:val="tlid-translation"/>
          <w:rFonts w:cs="Arial"/>
          <w:b w:val="0"/>
          <w:sz w:val="18"/>
          <w:szCs w:val="18"/>
          <w:lang w:val="en"/>
        </w:rPr>
      </w:pPr>
      <w:r w:rsidRPr="00B84B0C">
        <w:rPr>
          <w:rStyle w:val="tlid-translation"/>
          <w:rFonts w:cs="Arial"/>
          <w:b w:val="0"/>
          <w:sz w:val="18"/>
          <w:szCs w:val="18"/>
          <w:lang w:val="en"/>
        </w:rPr>
        <w:t>On Mar 31, 2020, the amount of R$ 230 thousand related to labor claims was provisioned at the controller. For the other claims, there are no provision balances in the controller.</w:t>
      </w:r>
    </w:p>
    <w:p w14:paraId="30E6200F" w14:textId="77777777" w:rsidR="00081370" w:rsidRPr="00B84B0C" w:rsidRDefault="00081370" w:rsidP="00081370">
      <w:pPr>
        <w:rPr>
          <w:rFonts w:cs="Arial"/>
          <w:lang w:val="en" w:eastAsia="pt-BR"/>
        </w:rPr>
      </w:pPr>
    </w:p>
    <w:p w14:paraId="0768A7D5" w14:textId="77777777" w:rsidR="00081370" w:rsidRPr="00B84B0C" w:rsidRDefault="00081370" w:rsidP="00081370">
      <w:pPr>
        <w:pStyle w:val="04-TtuloNegrito"/>
        <w:rPr>
          <w:rFonts w:cs="Arial"/>
          <w:color w:val="1F4E79" w:themeColor="accent1" w:themeShade="80"/>
          <w:sz w:val="18"/>
          <w:szCs w:val="18"/>
        </w:rPr>
      </w:pPr>
      <w:proofErr w:type="spellStart"/>
      <w:r w:rsidRPr="00B84B0C">
        <w:rPr>
          <w:rFonts w:cs="Arial"/>
          <w:color w:val="1F4E79" w:themeColor="accent1" w:themeShade="80"/>
          <w:sz w:val="18"/>
          <w:szCs w:val="18"/>
        </w:rPr>
        <w:t>Expected</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outflows</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of</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economic</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benefits</w:t>
      </w:r>
      <w:proofErr w:type="spellEnd"/>
    </w:p>
    <w:p w14:paraId="54FB5BB0" w14:textId="77777777" w:rsidR="00081370" w:rsidRPr="00B84B0C" w:rsidRDefault="00081370" w:rsidP="00081370">
      <w:pPr>
        <w:pStyle w:val="01-TtulodeNota"/>
        <w:spacing w:before="0" w:after="0"/>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Style w:val="TabeladeLista6Colorida-nfase510"/>
        <w:tblW w:w="9639" w:type="dxa"/>
        <w:tblInd w:w="108" w:type="dxa"/>
        <w:tblLook w:val="04A0" w:firstRow="1" w:lastRow="0" w:firstColumn="1" w:lastColumn="0" w:noHBand="0" w:noVBand="1"/>
      </w:tblPr>
      <w:tblGrid>
        <w:gridCol w:w="3094"/>
        <w:gridCol w:w="604"/>
        <w:gridCol w:w="1411"/>
        <w:gridCol w:w="1412"/>
        <w:gridCol w:w="283"/>
        <w:gridCol w:w="1417"/>
        <w:gridCol w:w="1418"/>
      </w:tblGrid>
      <w:tr w:rsidR="00081370" w:rsidRPr="00B84B0C" w14:paraId="28B4258F" w14:textId="77777777" w:rsidTr="00081370">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tcBorders>
              <w:top w:val="single" w:sz="2" w:space="0" w:color="8EAADB"/>
              <w:bottom w:val="single" w:sz="2" w:space="0" w:color="8EAADB"/>
            </w:tcBorders>
          </w:tcPr>
          <w:p w14:paraId="49F94973" w14:textId="77777777" w:rsidR="00081370" w:rsidRPr="00B84B0C" w:rsidRDefault="00081370" w:rsidP="00081370">
            <w:pPr>
              <w:keepNext/>
              <w:keepLines/>
              <w:spacing w:before="40" w:after="40"/>
              <w:rPr>
                <w:rFonts w:cs="Arial"/>
                <w:spacing w:val="-2"/>
                <w:sz w:val="14"/>
                <w:szCs w:val="14"/>
              </w:rPr>
            </w:pPr>
          </w:p>
        </w:tc>
        <w:tc>
          <w:tcPr>
            <w:tcW w:w="604" w:type="dxa"/>
            <w:tcBorders>
              <w:top w:val="single" w:sz="2" w:space="0" w:color="8EAADB"/>
              <w:bottom w:val="single" w:sz="2" w:space="0" w:color="8EAADB"/>
            </w:tcBorders>
          </w:tcPr>
          <w:p w14:paraId="7B83AACC" w14:textId="77777777" w:rsidR="00081370" w:rsidRPr="00B84B0C" w:rsidRDefault="00081370" w:rsidP="00081370">
            <w:pPr>
              <w:keepNext/>
              <w:keepLines/>
              <w:spacing w:before="40" w:after="40"/>
              <w:cnfStyle w:val="100000000000" w:firstRow="1" w:lastRow="0" w:firstColumn="0" w:lastColumn="0" w:oddVBand="0" w:evenVBand="0" w:oddHBand="0" w:evenHBand="0" w:firstRowFirstColumn="0" w:firstRowLastColumn="0" w:lastRowFirstColumn="0" w:lastRowLastColumn="0"/>
              <w:rPr>
                <w:rFonts w:cs="Arial"/>
                <w:spacing w:val="-2"/>
                <w:sz w:val="14"/>
                <w:szCs w:val="14"/>
              </w:rPr>
            </w:pPr>
          </w:p>
        </w:tc>
        <w:tc>
          <w:tcPr>
            <w:tcW w:w="1411" w:type="dxa"/>
            <w:tcBorders>
              <w:top w:val="single" w:sz="2" w:space="0" w:color="8EAADB"/>
              <w:bottom w:val="single" w:sz="2" w:space="0" w:color="8EAADB"/>
            </w:tcBorders>
            <w:vAlign w:val="center"/>
          </w:tcPr>
          <w:p w14:paraId="053C5524" w14:textId="77777777" w:rsidR="00081370" w:rsidRPr="00B84B0C" w:rsidRDefault="00081370" w:rsidP="00081370">
            <w:pPr>
              <w:keepNext/>
              <w:keepLines/>
              <w:spacing w:before="40" w:after="40"/>
              <w:cnfStyle w:val="100000000000" w:firstRow="1" w:lastRow="0" w:firstColumn="0" w:lastColumn="0" w:oddVBand="0" w:evenVBand="0" w:oddHBand="0" w:evenHBand="0" w:firstRowFirstColumn="0" w:firstRowLastColumn="0" w:lastRowFirstColumn="0" w:lastRowLastColumn="0"/>
              <w:rPr>
                <w:rFonts w:cs="Arial"/>
                <w:spacing w:val="-2"/>
                <w:sz w:val="14"/>
                <w:szCs w:val="14"/>
              </w:rPr>
            </w:pPr>
            <w:r w:rsidRPr="00B84B0C">
              <w:rPr>
                <w:rFonts w:cs="Arial"/>
                <w:spacing w:val="-2"/>
                <w:sz w:val="14"/>
                <w:szCs w:val="14"/>
              </w:rPr>
              <w:t xml:space="preserve">      Labor </w:t>
            </w:r>
            <w:proofErr w:type="spellStart"/>
            <w:r w:rsidRPr="00B84B0C">
              <w:rPr>
                <w:rFonts w:cs="Arial"/>
                <w:spacing w:val="-2"/>
                <w:sz w:val="14"/>
                <w:szCs w:val="14"/>
              </w:rPr>
              <w:t>tawsuits</w:t>
            </w:r>
            <w:proofErr w:type="spellEnd"/>
          </w:p>
        </w:tc>
        <w:tc>
          <w:tcPr>
            <w:tcW w:w="1412" w:type="dxa"/>
            <w:tcBorders>
              <w:top w:val="single" w:sz="2" w:space="0" w:color="8EAADB"/>
              <w:bottom w:val="single" w:sz="2" w:space="0" w:color="8EAADB"/>
            </w:tcBorders>
            <w:vAlign w:val="center"/>
          </w:tcPr>
          <w:p w14:paraId="769AF175" w14:textId="77777777" w:rsidR="00081370" w:rsidRPr="00B84B0C" w:rsidRDefault="00081370" w:rsidP="00081370">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4"/>
              </w:rPr>
            </w:pPr>
            <w:proofErr w:type="spellStart"/>
            <w:r w:rsidRPr="00B84B0C">
              <w:rPr>
                <w:rFonts w:cs="Arial"/>
                <w:spacing w:val="-2"/>
                <w:sz w:val="14"/>
                <w:szCs w:val="14"/>
              </w:rPr>
              <w:t>Tax</w:t>
            </w:r>
            <w:proofErr w:type="spellEnd"/>
            <w:r w:rsidRPr="00B84B0C">
              <w:rPr>
                <w:rFonts w:cs="Arial"/>
                <w:spacing w:val="-2"/>
                <w:sz w:val="14"/>
                <w:szCs w:val="14"/>
              </w:rPr>
              <w:t xml:space="preserve"> </w:t>
            </w:r>
            <w:proofErr w:type="spellStart"/>
            <w:r w:rsidRPr="00B84B0C">
              <w:rPr>
                <w:rFonts w:cs="Arial"/>
                <w:spacing w:val="-2"/>
                <w:sz w:val="14"/>
                <w:szCs w:val="14"/>
              </w:rPr>
              <w:t>lawsuits</w:t>
            </w:r>
            <w:proofErr w:type="spellEnd"/>
          </w:p>
        </w:tc>
        <w:tc>
          <w:tcPr>
            <w:tcW w:w="283" w:type="dxa"/>
            <w:tcBorders>
              <w:top w:val="single" w:sz="2" w:space="0" w:color="8EAADB"/>
              <w:bottom w:val="single" w:sz="2" w:space="0" w:color="8EAADB"/>
            </w:tcBorders>
            <w:vAlign w:val="center"/>
          </w:tcPr>
          <w:p w14:paraId="312E1C3A" w14:textId="77777777" w:rsidR="00081370" w:rsidRPr="00B84B0C" w:rsidRDefault="00081370" w:rsidP="00081370">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4"/>
              </w:rPr>
            </w:pPr>
          </w:p>
        </w:tc>
        <w:tc>
          <w:tcPr>
            <w:tcW w:w="1417" w:type="dxa"/>
            <w:tcBorders>
              <w:top w:val="single" w:sz="2" w:space="0" w:color="8EAADB"/>
              <w:bottom w:val="single" w:sz="2" w:space="0" w:color="8EAADB"/>
            </w:tcBorders>
            <w:vAlign w:val="center"/>
          </w:tcPr>
          <w:p w14:paraId="50FDA753" w14:textId="77777777" w:rsidR="00081370" w:rsidRPr="00B84B0C" w:rsidRDefault="00081370" w:rsidP="00081370">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4"/>
              </w:rPr>
            </w:pPr>
            <w:proofErr w:type="spellStart"/>
            <w:r w:rsidRPr="00B84B0C">
              <w:rPr>
                <w:rFonts w:cs="Arial"/>
                <w:spacing w:val="-2"/>
                <w:sz w:val="14"/>
                <w:szCs w:val="14"/>
              </w:rPr>
              <w:t>Cívil</w:t>
            </w:r>
            <w:proofErr w:type="spellEnd"/>
            <w:r w:rsidRPr="00B84B0C">
              <w:rPr>
                <w:rFonts w:cs="Arial"/>
                <w:spacing w:val="-2"/>
                <w:sz w:val="14"/>
                <w:szCs w:val="14"/>
              </w:rPr>
              <w:t xml:space="preserve"> </w:t>
            </w:r>
            <w:proofErr w:type="spellStart"/>
            <w:r w:rsidRPr="00B84B0C">
              <w:rPr>
                <w:rFonts w:cs="Arial"/>
                <w:spacing w:val="-2"/>
                <w:sz w:val="14"/>
                <w:szCs w:val="14"/>
              </w:rPr>
              <w:t>lawsuits</w:t>
            </w:r>
            <w:proofErr w:type="spellEnd"/>
          </w:p>
        </w:tc>
        <w:tc>
          <w:tcPr>
            <w:tcW w:w="1418" w:type="dxa"/>
            <w:tcBorders>
              <w:top w:val="single" w:sz="2" w:space="0" w:color="8EAADB"/>
              <w:bottom w:val="single" w:sz="2" w:space="0" w:color="8EAADB"/>
            </w:tcBorders>
            <w:vAlign w:val="center"/>
          </w:tcPr>
          <w:p w14:paraId="2E08F538" w14:textId="77777777" w:rsidR="00081370" w:rsidRPr="00B84B0C" w:rsidRDefault="00081370" w:rsidP="00081370">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4"/>
              </w:rPr>
            </w:pPr>
            <w:r w:rsidRPr="00B84B0C">
              <w:rPr>
                <w:rFonts w:cs="Arial"/>
                <w:spacing w:val="-2"/>
                <w:sz w:val="14"/>
                <w:szCs w:val="14"/>
              </w:rPr>
              <w:t>Total</w:t>
            </w:r>
          </w:p>
        </w:tc>
      </w:tr>
      <w:tr w:rsidR="00081370" w:rsidRPr="00B84B0C" w14:paraId="38F22A47" w14:textId="77777777" w:rsidTr="0008137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tcBorders>
              <w:top w:val="single" w:sz="2" w:space="0" w:color="8EAADB"/>
              <w:bottom w:val="nil"/>
            </w:tcBorders>
            <w:vAlign w:val="center"/>
          </w:tcPr>
          <w:p w14:paraId="2211ABFA" w14:textId="77777777" w:rsidR="00081370" w:rsidRPr="00B84B0C" w:rsidRDefault="00081370" w:rsidP="00081370">
            <w:pPr>
              <w:pStyle w:val="08-Tabelageral"/>
              <w:spacing w:before="0" w:after="0"/>
              <w:jc w:val="left"/>
              <w:rPr>
                <w:rFonts w:cs="Arial"/>
                <w:b w:val="0"/>
              </w:rPr>
            </w:pPr>
            <w:proofErr w:type="spellStart"/>
            <w:r w:rsidRPr="00B84B0C">
              <w:rPr>
                <w:rFonts w:cs="Arial"/>
                <w:b w:val="0"/>
              </w:rPr>
              <w:t>Up</w:t>
            </w:r>
            <w:proofErr w:type="spellEnd"/>
            <w:r w:rsidRPr="00B84B0C">
              <w:rPr>
                <w:rFonts w:cs="Arial"/>
                <w:b w:val="0"/>
              </w:rPr>
              <w:t xml:space="preserve"> </w:t>
            </w:r>
            <w:proofErr w:type="spellStart"/>
            <w:r w:rsidRPr="00B84B0C">
              <w:rPr>
                <w:rFonts w:cs="Arial"/>
                <w:b w:val="0"/>
              </w:rPr>
              <w:t>to</w:t>
            </w:r>
            <w:proofErr w:type="spellEnd"/>
            <w:r w:rsidRPr="00B84B0C">
              <w:rPr>
                <w:rFonts w:cs="Arial"/>
                <w:b w:val="0"/>
              </w:rPr>
              <w:t xml:space="preserve"> 5 </w:t>
            </w:r>
            <w:proofErr w:type="spellStart"/>
            <w:r w:rsidRPr="00B84B0C">
              <w:rPr>
                <w:rFonts w:cs="Arial"/>
                <w:b w:val="0"/>
              </w:rPr>
              <w:t>years</w:t>
            </w:r>
            <w:proofErr w:type="spellEnd"/>
          </w:p>
        </w:tc>
        <w:tc>
          <w:tcPr>
            <w:tcW w:w="604" w:type="dxa"/>
            <w:tcBorders>
              <w:top w:val="single" w:sz="2" w:space="0" w:color="8EAADB"/>
              <w:bottom w:val="nil"/>
            </w:tcBorders>
            <w:vAlign w:val="center"/>
          </w:tcPr>
          <w:p w14:paraId="1AFF652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single" w:sz="2" w:space="0" w:color="8EAADB"/>
              <w:bottom w:val="nil"/>
            </w:tcBorders>
          </w:tcPr>
          <w:p w14:paraId="52D90A2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230</w:t>
            </w:r>
          </w:p>
        </w:tc>
        <w:tc>
          <w:tcPr>
            <w:tcW w:w="1412" w:type="dxa"/>
            <w:tcBorders>
              <w:top w:val="single" w:sz="2" w:space="0" w:color="8EAADB"/>
              <w:bottom w:val="nil"/>
            </w:tcBorders>
          </w:tcPr>
          <w:p w14:paraId="6B6814D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850</w:t>
            </w:r>
          </w:p>
        </w:tc>
        <w:tc>
          <w:tcPr>
            <w:tcW w:w="283" w:type="dxa"/>
            <w:tcBorders>
              <w:top w:val="single" w:sz="2" w:space="0" w:color="8EAADB"/>
              <w:bottom w:val="nil"/>
            </w:tcBorders>
            <w:vAlign w:val="center"/>
          </w:tcPr>
          <w:p w14:paraId="12F5958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8EAADB"/>
              <w:bottom w:val="nil"/>
            </w:tcBorders>
          </w:tcPr>
          <w:p w14:paraId="7275AF0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15,888</w:t>
            </w:r>
          </w:p>
        </w:tc>
        <w:tc>
          <w:tcPr>
            <w:tcW w:w="1418" w:type="dxa"/>
            <w:tcBorders>
              <w:top w:val="single" w:sz="2" w:space="0" w:color="8EAADB"/>
              <w:bottom w:val="nil"/>
            </w:tcBorders>
          </w:tcPr>
          <w:p w14:paraId="27C7D99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16,968</w:t>
            </w:r>
          </w:p>
        </w:tc>
      </w:tr>
      <w:tr w:rsidR="00081370" w:rsidRPr="00B84B0C" w14:paraId="2024E313" w14:textId="77777777" w:rsidTr="0008137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tcBorders>
              <w:top w:val="nil"/>
              <w:bottom w:val="nil"/>
            </w:tcBorders>
            <w:vAlign w:val="center"/>
          </w:tcPr>
          <w:p w14:paraId="3D4CABC7" w14:textId="77777777" w:rsidR="00081370" w:rsidRPr="00B84B0C" w:rsidRDefault="00081370" w:rsidP="00081370">
            <w:pPr>
              <w:pStyle w:val="08-Tabelageral"/>
              <w:spacing w:before="0" w:after="0"/>
              <w:jc w:val="left"/>
              <w:rPr>
                <w:rFonts w:cs="Arial"/>
                <w:b w:val="0"/>
                <w:lang w:val="en-US"/>
              </w:rPr>
            </w:pPr>
            <w:r w:rsidRPr="00B84B0C">
              <w:rPr>
                <w:rFonts w:cs="Arial"/>
                <w:b w:val="0"/>
                <w:lang w:val="en-US"/>
              </w:rPr>
              <w:t>More than 5 years and up to 10 years</w:t>
            </w:r>
          </w:p>
        </w:tc>
        <w:tc>
          <w:tcPr>
            <w:tcW w:w="604" w:type="dxa"/>
            <w:tcBorders>
              <w:top w:val="nil"/>
              <w:bottom w:val="nil"/>
            </w:tcBorders>
            <w:vAlign w:val="center"/>
          </w:tcPr>
          <w:p w14:paraId="4166BDCC"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tcPr>
          <w:p w14:paraId="1D8C000C"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tcPr>
          <w:p w14:paraId="1EEA8409"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134</w:t>
            </w:r>
          </w:p>
        </w:tc>
        <w:tc>
          <w:tcPr>
            <w:tcW w:w="283" w:type="dxa"/>
            <w:tcBorders>
              <w:top w:val="nil"/>
              <w:bottom w:val="nil"/>
            </w:tcBorders>
            <w:vAlign w:val="center"/>
          </w:tcPr>
          <w:p w14:paraId="25D7FF2C"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tcPr>
          <w:p w14:paraId="6A6513C6"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317</w:t>
            </w:r>
          </w:p>
        </w:tc>
        <w:tc>
          <w:tcPr>
            <w:tcW w:w="1418" w:type="dxa"/>
            <w:tcBorders>
              <w:top w:val="nil"/>
              <w:bottom w:val="nil"/>
            </w:tcBorders>
          </w:tcPr>
          <w:p w14:paraId="42B47623"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451</w:t>
            </w:r>
          </w:p>
        </w:tc>
      </w:tr>
      <w:tr w:rsidR="00081370" w:rsidRPr="00B84B0C" w14:paraId="5CE31413" w14:textId="77777777" w:rsidTr="0008137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tcBorders>
              <w:top w:val="nil"/>
              <w:bottom w:val="nil"/>
            </w:tcBorders>
            <w:vAlign w:val="center"/>
          </w:tcPr>
          <w:p w14:paraId="422818E2" w14:textId="77777777" w:rsidR="00081370" w:rsidRPr="00B84B0C" w:rsidRDefault="00081370" w:rsidP="00081370">
            <w:pPr>
              <w:pStyle w:val="08-Tabelageral"/>
              <w:spacing w:before="0" w:after="0"/>
              <w:jc w:val="left"/>
              <w:rPr>
                <w:rFonts w:cs="Arial"/>
                <w:b w:val="0"/>
              </w:rPr>
            </w:pPr>
            <w:r w:rsidRPr="00B84B0C">
              <w:rPr>
                <w:rFonts w:cs="Arial"/>
                <w:b w:val="0"/>
              </w:rPr>
              <w:t xml:space="preserve">Over 10 </w:t>
            </w:r>
            <w:proofErr w:type="spellStart"/>
            <w:r w:rsidRPr="00B84B0C">
              <w:rPr>
                <w:rFonts w:cs="Arial"/>
                <w:b w:val="0"/>
              </w:rPr>
              <w:t>years</w:t>
            </w:r>
            <w:proofErr w:type="spellEnd"/>
          </w:p>
        </w:tc>
        <w:tc>
          <w:tcPr>
            <w:tcW w:w="604" w:type="dxa"/>
            <w:tcBorders>
              <w:top w:val="nil"/>
              <w:bottom w:val="nil"/>
            </w:tcBorders>
            <w:vAlign w:val="center"/>
          </w:tcPr>
          <w:p w14:paraId="174F6CC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tcPr>
          <w:p w14:paraId="5D0D87A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tcPr>
          <w:p w14:paraId="6B19FEB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25</w:t>
            </w:r>
          </w:p>
        </w:tc>
        <w:tc>
          <w:tcPr>
            <w:tcW w:w="283" w:type="dxa"/>
            <w:tcBorders>
              <w:top w:val="nil"/>
              <w:bottom w:val="nil"/>
            </w:tcBorders>
            <w:vAlign w:val="center"/>
          </w:tcPr>
          <w:p w14:paraId="5F4C8AC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tcPr>
          <w:p w14:paraId="1675541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w:t>
            </w:r>
          </w:p>
        </w:tc>
        <w:tc>
          <w:tcPr>
            <w:tcW w:w="1418" w:type="dxa"/>
            <w:tcBorders>
              <w:top w:val="nil"/>
              <w:bottom w:val="nil"/>
            </w:tcBorders>
          </w:tcPr>
          <w:p w14:paraId="2E2858CA"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31</w:t>
            </w:r>
          </w:p>
        </w:tc>
      </w:tr>
      <w:tr w:rsidR="00081370" w:rsidRPr="00B84B0C" w14:paraId="6F07CF43" w14:textId="77777777" w:rsidTr="0008137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tcBorders>
              <w:top w:val="nil"/>
              <w:bottom w:val="single" w:sz="2" w:space="0" w:color="8EAADB"/>
            </w:tcBorders>
          </w:tcPr>
          <w:p w14:paraId="0E85FCD0" w14:textId="77777777" w:rsidR="00081370" w:rsidRPr="00B84B0C" w:rsidRDefault="00081370" w:rsidP="00081370">
            <w:pPr>
              <w:keepNext/>
              <w:keepLines/>
              <w:spacing w:before="40" w:after="40"/>
              <w:rPr>
                <w:rFonts w:cs="Arial"/>
                <w:bCs w:val="0"/>
                <w:spacing w:val="-2"/>
                <w:sz w:val="14"/>
                <w:szCs w:val="14"/>
              </w:rPr>
            </w:pPr>
            <w:r w:rsidRPr="00B84B0C">
              <w:rPr>
                <w:rFonts w:cs="Arial"/>
                <w:bCs w:val="0"/>
                <w:spacing w:val="-2"/>
                <w:sz w:val="14"/>
                <w:szCs w:val="14"/>
              </w:rPr>
              <w:t>Total</w:t>
            </w:r>
          </w:p>
        </w:tc>
        <w:tc>
          <w:tcPr>
            <w:tcW w:w="604" w:type="dxa"/>
            <w:tcBorders>
              <w:top w:val="nil"/>
              <w:bottom w:val="single" w:sz="2" w:space="0" w:color="8EAADB"/>
            </w:tcBorders>
            <w:vAlign w:val="center"/>
          </w:tcPr>
          <w:p w14:paraId="45407E38"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single" w:sz="2" w:space="0" w:color="8EAADB"/>
            </w:tcBorders>
          </w:tcPr>
          <w:p w14:paraId="56370F32"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230</w:t>
            </w:r>
          </w:p>
        </w:tc>
        <w:tc>
          <w:tcPr>
            <w:tcW w:w="1412" w:type="dxa"/>
            <w:tcBorders>
              <w:top w:val="nil"/>
              <w:bottom w:val="single" w:sz="2" w:space="0" w:color="8EAADB"/>
            </w:tcBorders>
          </w:tcPr>
          <w:p w14:paraId="194EDDBD"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1,009</w:t>
            </w:r>
          </w:p>
        </w:tc>
        <w:tc>
          <w:tcPr>
            <w:tcW w:w="283" w:type="dxa"/>
            <w:tcBorders>
              <w:top w:val="nil"/>
              <w:bottom w:val="single" w:sz="2" w:space="0" w:color="8EAADB"/>
            </w:tcBorders>
            <w:vAlign w:val="center"/>
          </w:tcPr>
          <w:p w14:paraId="019D56B5"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bottom w:val="single" w:sz="2" w:space="0" w:color="8EAADB"/>
            </w:tcBorders>
          </w:tcPr>
          <w:p w14:paraId="0C141654"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16,211</w:t>
            </w:r>
          </w:p>
        </w:tc>
        <w:tc>
          <w:tcPr>
            <w:tcW w:w="1418" w:type="dxa"/>
            <w:tcBorders>
              <w:top w:val="nil"/>
              <w:bottom w:val="single" w:sz="2" w:space="0" w:color="8EAADB"/>
            </w:tcBorders>
          </w:tcPr>
          <w:p w14:paraId="79A94D4F"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17,450</w:t>
            </w:r>
          </w:p>
        </w:tc>
      </w:tr>
    </w:tbl>
    <w:p w14:paraId="19A733CE" w14:textId="77777777" w:rsidR="00081370" w:rsidRPr="00B84B0C" w:rsidRDefault="00081370" w:rsidP="00081370">
      <w:pPr>
        <w:pStyle w:val="01-Textonormal"/>
        <w:rPr>
          <w:rFonts w:cs="Arial"/>
        </w:rPr>
      </w:pPr>
      <w:r w:rsidRPr="00B84B0C">
        <w:rPr>
          <w:rStyle w:val="tlid-translation"/>
          <w:rFonts w:cs="Arial"/>
          <w:lang w:val="en"/>
        </w:rPr>
        <w:t xml:space="preserve">Given the scenario of uncertainties in the duration of the proceedings, as well as the possibility of changes in the jurisprudence of the courts, the outflow of economic benefits has been estimated based on the best available </w:t>
      </w:r>
      <w:proofErr w:type="gramStart"/>
      <w:r w:rsidRPr="00B84B0C">
        <w:rPr>
          <w:rStyle w:val="tlid-translation"/>
          <w:rFonts w:cs="Arial"/>
          <w:lang w:val="en"/>
        </w:rPr>
        <w:t>information.</w:t>
      </w:r>
      <w:r w:rsidRPr="00B84B0C">
        <w:rPr>
          <w:rFonts w:cs="Arial"/>
        </w:rPr>
        <w:t>.</w:t>
      </w:r>
      <w:proofErr w:type="gramEnd"/>
    </w:p>
    <w:p w14:paraId="3E7B200E" w14:textId="77777777" w:rsidR="00081370" w:rsidRPr="00B84B0C" w:rsidRDefault="00081370" w:rsidP="00081370">
      <w:pPr>
        <w:pStyle w:val="04-TtuloNegrito"/>
        <w:rPr>
          <w:rFonts w:cs="Arial"/>
          <w:color w:val="1F4E79" w:themeColor="accent1" w:themeShade="80"/>
          <w:sz w:val="18"/>
          <w:szCs w:val="18"/>
        </w:rPr>
      </w:pPr>
      <w:r w:rsidRPr="00B84B0C">
        <w:rPr>
          <w:rFonts w:cs="Arial"/>
          <w:color w:val="1F4E79" w:themeColor="accent1" w:themeShade="80"/>
          <w:sz w:val="18"/>
          <w:szCs w:val="18"/>
        </w:rPr>
        <w:t xml:space="preserve">b) </w:t>
      </w:r>
      <w:proofErr w:type="spellStart"/>
      <w:r w:rsidRPr="00B84B0C">
        <w:rPr>
          <w:rFonts w:cs="Arial"/>
          <w:color w:val="1F4E79" w:themeColor="accent1" w:themeShade="80"/>
          <w:sz w:val="18"/>
          <w:szCs w:val="18"/>
        </w:rPr>
        <w:t>Contingent</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Liabilities</w:t>
      </w:r>
      <w:proofErr w:type="spellEnd"/>
    </w:p>
    <w:p w14:paraId="14899819" w14:textId="77777777" w:rsidR="00081370" w:rsidRPr="00B84B0C" w:rsidRDefault="00081370" w:rsidP="00081370">
      <w:pPr>
        <w:pStyle w:val="05-Textonormal"/>
        <w:rPr>
          <w:rFonts w:cs="Arial"/>
        </w:rPr>
      </w:pPr>
      <w:r w:rsidRPr="00B84B0C">
        <w:rPr>
          <w:rStyle w:val="tlid-translation"/>
          <w:rFonts w:cs="Arial"/>
          <w:lang w:val="en"/>
        </w:rPr>
        <w:t>Tax and civil claims classified as “possible” risk are exempted from constituting a provision in accordance with CPC 25 (IAS 37</w:t>
      </w:r>
      <w:r w:rsidRPr="00B84B0C">
        <w:rPr>
          <w:rFonts w:cs="Arial"/>
        </w:rPr>
        <w:t>).</w:t>
      </w:r>
    </w:p>
    <w:p w14:paraId="7D9CB6D8" w14:textId="77777777" w:rsidR="00081370" w:rsidRPr="00B84B0C" w:rsidRDefault="00081370" w:rsidP="00081370">
      <w:pPr>
        <w:pStyle w:val="04-TtuloNegrito"/>
        <w:rPr>
          <w:rFonts w:cs="Arial"/>
          <w:color w:val="1F4E79" w:themeColor="accent1" w:themeShade="80"/>
          <w:sz w:val="18"/>
          <w:szCs w:val="18"/>
        </w:rPr>
      </w:pPr>
      <w:r w:rsidRPr="00B84B0C">
        <w:rPr>
          <w:rFonts w:cs="Arial"/>
          <w:color w:val="1F4E79" w:themeColor="accent1" w:themeShade="80"/>
          <w:sz w:val="18"/>
          <w:szCs w:val="18"/>
        </w:rPr>
        <w:t xml:space="preserve">Balances </w:t>
      </w:r>
      <w:proofErr w:type="spellStart"/>
      <w:r w:rsidRPr="00B84B0C">
        <w:rPr>
          <w:rFonts w:cs="Arial"/>
          <w:color w:val="1F4E79" w:themeColor="accent1" w:themeShade="80"/>
          <w:sz w:val="18"/>
          <w:szCs w:val="18"/>
        </w:rPr>
        <w:t>of</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contingent</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liabilities</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classified</w:t>
      </w:r>
      <w:proofErr w:type="spellEnd"/>
      <w:r w:rsidRPr="00B84B0C">
        <w:rPr>
          <w:rFonts w:cs="Arial"/>
          <w:color w:val="1F4E79" w:themeColor="accent1" w:themeShade="80"/>
          <w:sz w:val="18"/>
          <w:szCs w:val="18"/>
        </w:rPr>
        <w:t xml:space="preserve"> as </w:t>
      </w:r>
      <w:proofErr w:type="spellStart"/>
      <w:r w:rsidRPr="00B84B0C">
        <w:rPr>
          <w:rFonts w:cs="Arial"/>
          <w:color w:val="1F4E79" w:themeColor="accent1" w:themeShade="80"/>
          <w:sz w:val="18"/>
          <w:szCs w:val="18"/>
        </w:rPr>
        <w:t>possible</w:t>
      </w:r>
      <w:proofErr w:type="spellEnd"/>
    </w:p>
    <w:p w14:paraId="001F6C6A" w14:textId="77777777" w:rsidR="00081370" w:rsidRPr="00B84B0C" w:rsidRDefault="00081370" w:rsidP="00081370">
      <w:pPr>
        <w:pStyle w:val="01-TtulodeNota"/>
        <w:spacing w:before="0" w:after="0"/>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Style w:val="TabeladeLista6Colorida-nfase510"/>
        <w:tblW w:w="9627" w:type="dxa"/>
        <w:tblInd w:w="108" w:type="dxa"/>
        <w:tblLook w:val="0480" w:firstRow="0" w:lastRow="0" w:firstColumn="1" w:lastColumn="0" w:noHBand="0" w:noVBand="1"/>
      </w:tblPr>
      <w:tblGrid>
        <w:gridCol w:w="850"/>
        <w:gridCol w:w="2244"/>
        <w:gridCol w:w="308"/>
        <w:gridCol w:w="1411"/>
        <w:gridCol w:w="1412"/>
        <w:gridCol w:w="283"/>
        <w:gridCol w:w="284"/>
        <w:gridCol w:w="1417"/>
        <w:gridCol w:w="1418"/>
      </w:tblGrid>
      <w:tr w:rsidR="00081370" w:rsidRPr="00B84B0C" w14:paraId="447FEE5C" w14:textId="77777777" w:rsidTr="0008137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8EAADB"/>
              <w:bottom w:val="nil"/>
            </w:tcBorders>
            <w:shd w:val="clear" w:color="auto" w:fill="D9E2F3"/>
          </w:tcPr>
          <w:p w14:paraId="508EE05E" w14:textId="77777777" w:rsidR="00081370" w:rsidRPr="00B84B0C" w:rsidRDefault="00081370" w:rsidP="00081370">
            <w:pPr>
              <w:keepNext/>
              <w:keepLines/>
              <w:spacing w:before="40" w:after="40"/>
              <w:jc w:val="center"/>
              <w:rPr>
                <w:rFonts w:cs="Arial"/>
                <w:bCs w:val="0"/>
                <w:spacing w:val="-2"/>
                <w:sz w:val="14"/>
                <w:szCs w:val="14"/>
              </w:rPr>
            </w:pPr>
          </w:p>
        </w:tc>
        <w:tc>
          <w:tcPr>
            <w:tcW w:w="2552" w:type="dxa"/>
            <w:gridSpan w:val="2"/>
            <w:tcBorders>
              <w:top w:val="single" w:sz="2" w:space="0" w:color="8EAADB"/>
              <w:bottom w:val="nil"/>
            </w:tcBorders>
            <w:shd w:val="clear" w:color="auto" w:fill="D9E2F3"/>
          </w:tcPr>
          <w:p w14:paraId="14426965"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2823" w:type="dxa"/>
            <w:gridSpan w:val="2"/>
            <w:tcBorders>
              <w:top w:val="single" w:sz="2" w:space="0" w:color="8EAADB"/>
              <w:bottom w:val="single" w:sz="2" w:space="0" w:color="8EAADB"/>
            </w:tcBorders>
            <w:shd w:val="clear" w:color="auto" w:fill="D9E2F3"/>
          </w:tcPr>
          <w:p w14:paraId="52D1F120"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spacing w:val="-2"/>
                <w:sz w:val="14"/>
                <w:szCs w:val="14"/>
                <w:vertAlign w:val="superscript"/>
              </w:rPr>
            </w:pPr>
            <w:proofErr w:type="spellStart"/>
            <w:r w:rsidRPr="00B84B0C">
              <w:rPr>
                <w:rFonts w:cs="Arial"/>
                <w:b/>
                <w:spacing w:val="-2"/>
                <w:sz w:val="14"/>
                <w:szCs w:val="14"/>
              </w:rPr>
              <w:t>Parent</w:t>
            </w:r>
            <w:proofErr w:type="spellEnd"/>
          </w:p>
        </w:tc>
        <w:tc>
          <w:tcPr>
            <w:tcW w:w="283" w:type="dxa"/>
            <w:tcBorders>
              <w:top w:val="single" w:sz="2" w:space="0" w:color="8EAADB"/>
              <w:bottom w:val="single" w:sz="2" w:space="0" w:color="8EAADB"/>
            </w:tcBorders>
            <w:shd w:val="clear" w:color="auto" w:fill="D9E2F3"/>
          </w:tcPr>
          <w:p w14:paraId="5B1C439F"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bCs/>
                <w:spacing w:val="-2"/>
                <w:sz w:val="14"/>
                <w:szCs w:val="14"/>
              </w:rPr>
            </w:pPr>
          </w:p>
        </w:tc>
        <w:tc>
          <w:tcPr>
            <w:tcW w:w="284" w:type="dxa"/>
            <w:tcBorders>
              <w:top w:val="single" w:sz="2" w:space="0" w:color="8EAADB"/>
              <w:bottom w:val="nil"/>
            </w:tcBorders>
            <w:shd w:val="clear" w:color="auto" w:fill="D9E2F3"/>
          </w:tcPr>
          <w:p w14:paraId="665B1349"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2835" w:type="dxa"/>
            <w:gridSpan w:val="2"/>
            <w:tcBorders>
              <w:top w:val="single" w:sz="2" w:space="0" w:color="8EAADB"/>
              <w:bottom w:val="single" w:sz="2" w:space="0" w:color="8EAADB"/>
            </w:tcBorders>
            <w:shd w:val="clear" w:color="auto" w:fill="D9E2F3"/>
          </w:tcPr>
          <w:p w14:paraId="4EFFC045"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spacing w:val="-2"/>
                <w:sz w:val="14"/>
                <w:szCs w:val="14"/>
                <w:vertAlign w:val="superscript"/>
              </w:rPr>
            </w:pPr>
            <w:proofErr w:type="spellStart"/>
            <w:r w:rsidRPr="00B84B0C">
              <w:rPr>
                <w:rFonts w:cs="Arial"/>
                <w:b/>
                <w:spacing w:val="-2"/>
                <w:sz w:val="14"/>
                <w:szCs w:val="14"/>
              </w:rPr>
              <w:t>Consolidated</w:t>
            </w:r>
            <w:proofErr w:type="spellEnd"/>
          </w:p>
        </w:tc>
      </w:tr>
      <w:tr w:rsidR="00081370" w:rsidRPr="00B84B0C" w14:paraId="02C8B528" w14:textId="77777777" w:rsidTr="0008137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tcPr>
          <w:p w14:paraId="7AE80A59" w14:textId="77777777" w:rsidR="00081370" w:rsidRPr="00B84B0C" w:rsidRDefault="00081370" w:rsidP="00081370">
            <w:pPr>
              <w:keepNext/>
              <w:keepLines/>
              <w:spacing w:before="40" w:after="40"/>
              <w:rPr>
                <w:rFonts w:cs="Arial"/>
                <w:spacing w:val="-2"/>
                <w:sz w:val="14"/>
                <w:szCs w:val="14"/>
              </w:rPr>
            </w:pPr>
          </w:p>
        </w:tc>
        <w:tc>
          <w:tcPr>
            <w:tcW w:w="308" w:type="dxa"/>
            <w:tcBorders>
              <w:top w:val="nil"/>
              <w:bottom w:val="single" w:sz="2" w:space="0" w:color="8EAADB"/>
            </w:tcBorders>
          </w:tcPr>
          <w:p w14:paraId="32E1EAC0" w14:textId="77777777" w:rsidR="00081370" w:rsidRPr="00B84B0C" w:rsidRDefault="00081370" w:rsidP="00081370">
            <w:pPr>
              <w:keepNext/>
              <w:keepLines/>
              <w:spacing w:before="40" w:after="40"/>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
        </w:tc>
        <w:tc>
          <w:tcPr>
            <w:tcW w:w="1411" w:type="dxa"/>
            <w:tcBorders>
              <w:top w:val="single" w:sz="2" w:space="0" w:color="8EAADB"/>
              <w:bottom w:val="single" w:sz="2" w:space="0" w:color="8EAADB"/>
            </w:tcBorders>
            <w:vAlign w:val="center"/>
          </w:tcPr>
          <w:p w14:paraId="1FF78951"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r w:rsidRPr="00B84B0C">
              <w:rPr>
                <w:rFonts w:cs="Arial"/>
                <w:b/>
                <w:spacing w:val="-2"/>
                <w:sz w:val="14"/>
                <w:szCs w:val="14"/>
              </w:rPr>
              <w:t>Mar 31, 2020</w:t>
            </w:r>
          </w:p>
        </w:tc>
        <w:tc>
          <w:tcPr>
            <w:tcW w:w="1412" w:type="dxa"/>
            <w:tcBorders>
              <w:top w:val="single" w:sz="2" w:space="0" w:color="8EAADB"/>
              <w:bottom w:val="single" w:sz="2" w:space="0" w:color="8EAADB"/>
            </w:tcBorders>
            <w:vAlign w:val="center"/>
          </w:tcPr>
          <w:p w14:paraId="765B996D"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roofErr w:type="spellStart"/>
            <w:r w:rsidRPr="00B84B0C">
              <w:rPr>
                <w:rFonts w:cs="Arial"/>
                <w:b/>
                <w:spacing w:val="-2"/>
                <w:sz w:val="14"/>
                <w:szCs w:val="14"/>
              </w:rPr>
              <w:t>Dec</w:t>
            </w:r>
            <w:proofErr w:type="spellEnd"/>
            <w:r w:rsidRPr="00B84B0C">
              <w:rPr>
                <w:rFonts w:cs="Arial"/>
                <w:b/>
                <w:spacing w:val="-2"/>
                <w:sz w:val="14"/>
                <w:szCs w:val="14"/>
              </w:rPr>
              <w:t xml:space="preserve"> 31, 2019</w:t>
            </w:r>
          </w:p>
        </w:tc>
        <w:tc>
          <w:tcPr>
            <w:tcW w:w="283" w:type="dxa"/>
            <w:tcBorders>
              <w:top w:val="single" w:sz="2" w:space="0" w:color="8EAADB"/>
              <w:bottom w:val="single" w:sz="2" w:space="0" w:color="8EAADB"/>
            </w:tcBorders>
            <w:vAlign w:val="center"/>
          </w:tcPr>
          <w:p w14:paraId="3319E2DC"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
        </w:tc>
        <w:tc>
          <w:tcPr>
            <w:tcW w:w="284" w:type="dxa"/>
            <w:tcBorders>
              <w:top w:val="nil"/>
              <w:bottom w:val="single" w:sz="2" w:space="0" w:color="8EAADB"/>
            </w:tcBorders>
          </w:tcPr>
          <w:p w14:paraId="0320D9EF"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
        </w:tc>
        <w:tc>
          <w:tcPr>
            <w:tcW w:w="1417" w:type="dxa"/>
            <w:tcBorders>
              <w:top w:val="single" w:sz="2" w:space="0" w:color="8EAADB"/>
              <w:bottom w:val="single" w:sz="2" w:space="0" w:color="8EAADB"/>
            </w:tcBorders>
            <w:vAlign w:val="center"/>
          </w:tcPr>
          <w:p w14:paraId="1E55484B"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r w:rsidRPr="00B84B0C">
              <w:rPr>
                <w:rFonts w:cs="Arial"/>
                <w:b/>
                <w:spacing w:val="-2"/>
                <w:sz w:val="14"/>
                <w:szCs w:val="14"/>
              </w:rPr>
              <w:t>Mar 31, 2020</w:t>
            </w:r>
          </w:p>
        </w:tc>
        <w:tc>
          <w:tcPr>
            <w:tcW w:w="1418" w:type="dxa"/>
            <w:tcBorders>
              <w:top w:val="single" w:sz="2" w:space="0" w:color="8EAADB"/>
              <w:bottom w:val="single" w:sz="2" w:space="0" w:color="8EAADB"/>
            </w:tcBorders>
            <w:vAlign w:val="center"/>
          </w:tcPr>
          <w:p w14:paraId="48C32E01"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roofErr w:type="spellStart"/>
            <w:r w:rsidRPr="00B84B0C">
              <w:rPr>
                <w:rFonts w:cs="Arial"/>
                <w:b/>
                <w:spacing w:val="-2"/>
                <w:sz w:val="14"/>
                <w:szCs w:val="14"/>
              </w:rPr>
              <w:t>Dec</w:t>
            </w:r>
            <w:proofErr w:type="spellEnd"/>
            <w:r w:rsidRPr="00B84B0C">
              <w:rPr>
                <w:rFonts w:cs="Arial"/>
                <w:b/>
                <w:spacing w:val="-2"/>
                <w:sz w:val="14"/>
                <w:szCs w:val="14"/>
              </w:rPr>
              <w:t xml:space="preserve"> 31, 2019</w:t>
            </w:r>
          </w:p>
        </w:tc>
      </w:tr>
      <w:tr w:rsidR="00081370" w:rsidRPr="00B84B0C" w14:paraId="69676CD4" w14:textId="77777777" w:rsidTr="0008137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8EAADB"/>
              <w:bottom w:val="nil"/>
            </w:tcBorders>
            <w:vAlign w:val="center"/>
          </w:tcPr>
          <w:p w14:paraId="68DA7C5F" w14:textId="77777777" w:rsidR="00081370" w:rsidRPr="00B84B0C" w:rsidRDefault="00081370" w:rsidP="00081370">
            <w:pPr>
              <w:pStyle w:val="08-Tabelageral"/>
              <w:jc w:val="left"/>
              <w:rPr>
                <w:rFonts w:cs="Arial"/>
                <w:b w:val="0"/>
                <w:szCs w:val="14"/>
                <w:lang w:val="en-US"/>
              </w:rPr>
            </w:pPr>
            <w:r w:rsidRPr="00B84B0C">
              <w:rPr>
                <w:rFonts w:cs="Arial"/>
                <w:b w:val="0"/>
                <w:bCs w:val="0"/>
                <w:szCs w:val="14"/>
                <w:lang w:val="en-US"/>
              </w:rPr>
              <w:t>Labor lawsuits</w:t>
            </w:r>
          </w:p>
        </w:tc>
        <w:tc>
          <w:tcPr>
            <w:tcW w:w="308" w:type="dxa"/>
            <w:tcBorders>
              <w:top w:val="single" w:sz="2" w:space="0" w:color="8EAADB"/>
              <w:bottom w:val="nil"/>
            </w:tcBorders>
            <w:vAlign w:val="center"/>
          </w:tcPr>
          <w:p w14:paraId="20E2353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single" w:sz="2" w:space="0" w:color="8EAADB"/>
              <w:bottom w:val="nil"/>
            </w:tcBorders>
          </w:tcPr>
          <w:p w14:paraId="21211EC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single" w:sz="2" w:space="0" w:color="8EAADB"/>
              <w:bottom w:val="nil"/>
            </w:tcBorders>
          </w:tcPr>
          <w:p w14:paraId="0EA6AC4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single" w:sz="2" w:space="0" w:color="8EAADB"/>
              <w:bottom w:val="nil"/>
            </w:tcBorders>
            <w:vAlign w:val="center"/>
          </w:tcPr>
          <w:p w14:paraId="2B2C26E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84" w:type="dxa"/>
            <w:tcBorders>
              <w:top w:val="single" w:sz="2" w:space="0" w:color="8EAADB"/>
              <w:bottom w:val="nil"/>
            </w:tcBorders>
          </w:tcPr>
          <w:p w14:paraId="57DCBF6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8EAADB"/>
              <w:bottom w:val="nil"/>
            </w:tcBorders>
          </w:tcPr>
          <w:p w14:paraId="4AA7FD08"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8" w:type="dxa"/>
            <w:tcBorders>
              <w:top w:val="single" w:sz="2" w:space="0" w:color="8EAADB"/>
              <w:bottom w:val="nil"/>
            </w:tcBorders>
          </w:tcPr>
          <w:p w14:paraId="29A2E63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r>
      <w:tr w:rsidR="00081370" w:rsidRPr="00B84B0C" w14:paraId="4DE7D4CC" w14:textId="77777777" w:rsidTr="0008137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bottom"/>
          </w:tcPr>
          <w:p w14:paraId="3FC6E379" w14:textId="77777777" w:rsidR="00081370" w:rsidRPr="00B84B0C" w:rsidRDefault="00081370" w:rsidP="00081370">
            <w:pPr>
              <w:pStyle w:val="08-Tabelageral"/>
              <w:jc w:val="left"/>
              <w:rPr>
                <w:rFonts w:cs="Arial"/>
                <w:b w:val="0"/>
                <w:bCs w:val="0"/>
                <w:szCs w:val="14"/>
                <w:lang w:val="en-US"/>
              </w:rPr>
            </w:pPr>
            <w:r w:rsidRPr="00B84B0C">
              <w:rPr>
                <w:rFonts w:cs="Arial"/>
                <w:b w:val="0"/>
                <w:bCs w:val="0"/>
                <w:szCs w:val="14"/>
                <w:lang w:val="en-US"/>
              </w:rPr>
              <w:t xml:space="preserve">Tax </w:t>
            </w:r>
            <w:proofErr w:type="gramStart"/>
            <w:r w:rsidRPr="00B84B0C">
              <w:rPr>
                <w:rFonts w:cs="Arial"/>
                <w:b w:val="0"/>
                <w:bCs w:val="0"/>
                <w:szCs w:val="14"/>
                <w:lang w:val="en-US"/>
              </w:rPr>
              <w:t>lawsuits</w:t>
            </w:r>
            <w:r w:rsidRPr="00B84B0C">
              <w:rPr>
                <w:rFonts w:cs="Arial"/>
                <w:b w:val="0"/>
                <w:bCs w:val="0"/>
                <w:szCs w:val="14"/>
                <w:vertAlign w:val="superscript"/>
                <w:lang w:val="en-US"/>
              </w:rPr>
              <w:t>(</w:t>
            </w:r>
            <w:proofErr w:type="gramEnd"/>
            <w:r w:rsidRPr="00B84B0C">
              <w:rPr>
                <w:rFonts w:cs="Arial"/>
                <w:b w:val="0"/>
                <w:bCs w:val="0"/>
                <w:szCs w:val="14"/>
                <w:vertAlign w:val="superscript"/>
                <w:lang w:val="en-US"/>
              </w:rPr>
              <w:t>1)</w:t>
            </w:r>
          </w:p>
        </w:tc>
        <w:tc>
          <w:tcPr>
            <w:tcW w:w="308" w:type="dxa"/>
            <w:tcBorders>
              <w:top w:val="nil"/>
              <w:bottom w:val="nil"/>
            </w:tcBorders>
            <w:vAlign w:val="center"/>
          </w:tcPr>
          <w:p w14:paraId="4C11665C"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tcPr>
          <w:p w14:paraId="5290A340"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278</w:t>
            </w:r>
          </w:p>
        </w:tc>
        <w:tc>
          <w:tcPr>
            <w:tcW w:w="1412" w:type="dxa"/>
            <w:tcBorders>
              <w:top w:val="nil"/>
              <w:bottom w:val="nil"/>
            </w:tcBorders>
          </w:tcPr>
          <w:p w14:paraId="11D3A133"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275</w:t>
            </w:r>
          </w:p>
        </w:tc>
        <w:tc>
          <w:tcPr>
            <w:tcW w:w="283" w:type="dxa"/>
            <w:tcBorders>
              <w:top w:val="nil"/>
              <w:bottom w:val="nil"/>
            </w:tcBorders>
            <w:vAlign w:val="center"/>
          </w:tcPr>
          <w:p w14:paraId="7EDBD7EC"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84" w:type="dxa"/>
            <w:tcBorders>
              <w:top w:val="nil"/>
              <w:bottom w:val="nil"/>
            </w:tcBorders>
          </w:tcPr>
          <w:p w14:paraId="52F773FE"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tcPr>
          <w:p w14:paraId="7A29A977"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217,544</w:t>
            </w:r>
          </w:p>
        </w:tc>
        <w:tc>
          <w:tcPr>
            <w:tcW w:w="1418" w:type="dxa"/>
            <w:tcBorders>
              <w:top w:val="nil"/>
              <w:bottom w:val="nil"/>
            </w:tcBorders>
          </w:tcPr>
          <w:p w14:paraId="2B574466"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215,397</w:t>
            </w:r>
          </w:p>
        </w:tc>
      </w:tr>
      <w:tr w:rsidR="00081370" w:rsidRPr="00B84B0C" w14:paraId="5F17B48C" w14:textId="77777777" w:rsidTr="0008137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bottom"/>
          </w:tcPr>
          <w:p w14:paraId="51DB647C" w14:textId="77777777" w:rsidR="00081370" w:rsidRPr="00B84B0C" w:rsidRDefault="00081370" w:rsidP="00081370">
            <w:pPr>
              <w:pStyle w:val="08-Tabelageral"/>
              <w:jc w:val="left"/>
              <w:rPr>
                <w:rFonts w:cs="Arial"/>
                <w:b w:val="0"/>
                <w:szCs w:val="14"/>
                <w:lang w:val="en-US"/>
              </w:rPr>
            </w:pPr>
            <w:r w:rsidRPr="00B84B0C">
              <w:rPr>
                <w:rFonts w:cs="Arial"/>
                <w:b w:val="0"/>
                <w:bCs w:val="0"/>
                <w:szCs w:val="14"/>
                <w:lang w:val="en-US"/>
              </w:rPr>
              <w:t>Civil lawsuits</w:t>
            </w:r>
          </w:p>
        </w:tc>
        <w:tc>
          <w:tcPr>
            <w:tcW w:w="308" w:type="dxa"/>
            <w:tcBorders>
              <w:top w:val="nil"/>
              <w:bottom w:val="nil"/>
            </w:tcBorders>
            <w:vAlign w:val="center"/>
          </w:tcPr>
          <w:p w14:paraId="68AAC2B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tcPr>
          <w:p w14:paraId="79FD906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tcPr>
          <w:p w14:paraId="0F99545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vAlign w:val="center"/>
          </w:tcPr>
          <w:p w14:paraId="0844C1B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84" w:type="dxa"/>
            <w:tcBorders>
              <w:top w:val="nil"/>
              <w:bottom w:val="nil"/>
            </w:tcBorders>
          </w:tcPr>
          <w:p w14:paraId="50C7F02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tcPr>
          <w:p w14:paraId="2154F93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2,446</w:t>
            </w:r>
          </w:p>
        </w:tc>
        <w:tc>
          <w:tcPr>
            <w:tcW w:w="1418" w:type="dxa"/>
            <w:tcBorders>
              <w:top w:val="nil"/>
              <w:bottom w:val="nil"/>
            </w:tcBorders>
          </w:tcPr>
          <w:p w14:paraId="53EA504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2,337</w:t>
            </w:r>
          </w:p>
        </w:tc>
      </w:tr>
      <w:tr w:rsidR="00081370" w:rsidRPr="00B84B0C" w14:paraId="29F68671" w14:textId="77777777" w:rsidTr="0008137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tcPr>
          <w:p w14:paraId="2B765480" w14:textId="77777777" w:rsidR="00081370" w:rsidRPr="00B84B0C" w:rsidRDefault="00081370" w:rsidP="00081370">
            <w:pPr>
              <w:keepNext/>
              <w:keepLines/>
              <w:spacing w:before="40" w:after="40"/>
              <w:rPr>
                <w:rFonts w:cs="Arial"/>
                <w:bCs w:val="0"/>
                <w:spacing w:val="-2"/>
                <w:sz w:val="14"/>
                <w:szCs w:val="14"/>
              </w:rPr>
            </w:pPr>
            <w:r w:rsidRPr="00B84B0C">
              <w:rPr>
                <w:rFonts w:cs="Arial"/>
                <w:bCs w:val="0"/>
                <w:spacing w:val="-2"/>
                <w:sz w:val="14"/>
                <w:szCs w:val="14"/>
              </w:rPr>
              <w:t>Total</w:t>
            </w:r>
          </w:p>
        </w:tc>
        <w:tc>
          <w:tcPr>
            <w:tcW w:w="308" w:type="dxa"/>
            <w:tcBorders>
              <w:top w:val="nil"/>
              <w:bottom w:val="single" w:sz="2" w:space="0" w:color="8EAADB"/>
            </w:tcBorders>
            <w:vAlign w:val="center"/>
          </w:tcPr>
          <w:p w14:paraId="75946CB7"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single" w:sz="2" w:space="0" w:color="8EAADB"/>
            </w:tcBorders>
          </w:tcPr>
          <w:p w14:paraId="5A1BADDA"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278</w:t>
            </w:r>
          </w:p>
        </w:tc>
        <w:tc>
          <w:tcPr>
            <w:tcW w:w="1412" w:type="dxa"/>
            <w:tcBorders>
              <w:top w:val="nil"/>
              <w:bottom w:val="single" w:sz="2" w:space="0" w:color="8EAADB"/>
            </w:tcBorders>
          </w:tcPr>
          <w:p w14:paraId="72E96A52"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275</w:t>
            </w:r>
          </w:p>
        </w:tc>
        <w:tc>
          <w:tcPr>
            <w:tcW w:w="283" w:type="dxa"/>
            <w:tcBorders>
              <w:top w:val="nil"/>
              <w:bottom w:val="single" w:sz="2" w:space="0" w:color="8EAADB"/>
            </w:tcBorders>
            <w:vAlign w:val="center"/>
          </w:tcPr>
          <w:p w14:paraId="7FA0BBBA"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284" w:type="dxa"/>
            <w:tcBorders>
              <w:top w:val="nil"/>
              <w:bottom w:val="single" w:sz="2" w:space="0" w:color="8EAADB"/>
            </w:tcBorders>
          </w:tcPr>
          <w:p w14:paraId="544EDD28"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bottom w:val="single" w:sz="2" w:space="0" w:color="8EAADB"/>
            </w:tcBorders>
          </w:tcPr>
          <w:p w14:paraId="70873AD8"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219,990</w:t>
            </w:r>
          </w:p>
        </w:tc>
        <w:tc>
          <w:tcPr>
            <w:tcW w:w="1418" w:type="dxa"/>
            <w:tcBorders>
              <w:top w:val="nil"/>
              <w:bottom w:val="single" w:sz="2" w:space="0" w:color="8EAADB"/>
            </w:tcBorders>
          </w:tcPr>
          <w:p w14:paraId="0EE95F37"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217,734</w:t>
            </w:r>
          </w:p>
        </w:tc>
      </w:tr>
    </w:tbl>
    <w:p w14:paraId="71905F23" w14:textId="77777777" w:rsidR="00081370" w:rsidRPr="00B84B0C" w:rsidRDefault="00081370" w:rsidP="00081370">
      <w:pPr>
        <w:pStyle w:val="05-Textonormal"/>
        <w:rPr>
          <w:rStyle w:val="tlid-translation"/>
          <w:rFonts w:cs="Arial"/>
          <w:sz w:val="14"/>
          <w:szCs w:val="14"/>
          <w:lang w:val="en"/>
        </w:rPr>
      </w:pPr>
      <w:r w:rsidRPr="00B84B0C">
        <w:rPr>
          <w:rStyle w:val="tlid-translation"/>
          <w:rFonts w:cs="Arial"/>
          <w:sz w:val="14"/>
          <w:szCs w:val="14"/>
          <w:lang w:val="en"/>
        </w:rPr>
        <w:t xml:space="preserve">(1) Refers mainly to a tax lawsuit by BB </w:t>
      </w:r>
      <w:proofErr w:type="spellStart"/>
      <w:r w:rsidRPr="00B84B0C">
        <w:rPr>
          <w:rStyle w:val="tlid-translation"/>
          <w:rFonts w:cs="Arial"/>
          <w:sz w:val="14"/>
          <w:szCs w:val="14"/>
          <w:lang w:val="en"/>
        </w:rPr>
        <w:t>Corretora</w:t>
      </w:r>
      <w:proofErr w:type="spellEnd"/>
      <w:r w:rsidRPr="00B84B0C">
        <w:rPr>
          <w:rStyle w:val="tlid-translation"/>
          <w:rFonts w:cs="Arial"/>
          <w:sz w:val="14"/>
          <w:szCs w:val="14"/>
          <w:lang w:val="en"/>
        </w:rPr>
        <w:t xml:space="preserve"> with the objective of annulling an administrative decision that did not ratify declarations of offsetting negative IRPJ balances with different taxes. There is a </w:t>
      </w:r>
      <w:proofErr w:type="gramStart"/>
      <w:r w:rsidRPr="00B84B0C">
        <w:rPr>
          <w:rStyle w:val="tlid-translation"/>
          <w:rFonts w:cs="Arial"/>
          <w:sz w:val="14"/>
          <w:szCs w:val="14"/>
          <w:lang w:val="en"/>
        </w:rPr>
        <w:t>guarantee</w:t>
      </w:r>
      <w:proofErr w:type="gramEnd"/>
      <w:r w:rsidRPr="00B84B0C">
        <w:rPr>
          <w:rStyle w:val="tlid-translation"/>
          <w:rFonts w:cs="Arial"/>
          <w:sz w:val="14"/>
          <w:szCs w:val="14"/>
          <w:lang w:val="en"/>
        </w:rPr>
        <w:t xml:space="preserve"> deposit for the mentioned action as shown in item “c” below.</w:t>
      </w:r>
    </w:p>
    <w:p w14:paraId="4A9EA37F" w14:textId="77777777" w:rsidR="00081370" w:rsidRPr="00B84B0C" w:rsidRDefault="00081370" w:rsidP="00081370">
      <w:pPr>
        <w:pStyle w:val="05-Textonormal"/>
        <w:rPr>
          <w:rFonts w:cs="Arial"/>
          <w:b/>
        </w:rPr>
      </w:pPr>
      <w:r w:rsidRPr="00B84B0C">
        <w:rPr>
          <w:rStyle w:val="tlid-translation"/>
          <w:rFonts w:cs="Arial"/>
          <w:lang w:val="en"/>
        </w:rPr>
        <w:t xml:space="preserve">BB </w:t>
      </w:r>
      <w:proofErr w:type="spellStart"/>
      <w:r w:rsidRPr="00B84B0C">
        <w:rPr>
          <w:rStyle w:val="tlid-translation"/>
          <w:rFonts w:cs="Arial"/>
          <w:lang w:val="en"/>
        </w:rPr>
        <w:t>Seguridade</w:t>
      </w:r>
      <w:proofErr w:type="spellEnd"/>
      <w:r w:rsidRPr="00B84B0C">
        <w:rPr>
          <w:rStyle w:val="tlid-translation"/>
          <w:rFonts w:cs="Arial"/>
          <w:lang w:val="en"/>
        </w:rPr>
        <w:t xml:space="preserve"> does not have contingent liabilities of its affiliates shared with other investors of the affiliates nor is it jointly and severally liable for all or part of the liabilities of its affiliates</w:t>
      </w:r>
      <w:r w:rsidRPr="00B84B0C">
        <w:rPr>
          <w:rFonts w:cs="Arial"/>
        </w:rPr>
        <w:t>.</w:t>
      </w:r>
    </w:p>
    <w:p w14:paraId="42F31AA0" w14:textId="77777777" w:rsidR="00081370" w:rsidRPr="00B84B0C" w:rsidRDefault="00081370" w:rsidP="00E72E05">
      <w:pPr>
        <w:pStyle w:val="04-TtuloNegrito"/>
        <w:keepNext/>
        <w:keepLines/>
        <w:pageBreakBefore/>
        <w:rPr>
          <w:rFonts w:cs="Arial"/>
          <w:color w:val="1F4E79" w:themeColor="accent1" w:themeShade="80"/>
          <w:sz w:val="18"/>
          <w:szCs w:val="18"/>
        </w:rPr>
      </w:pPr>
      <w:r w:rsidRPr="00B84B0C">
        <w:rPr>
          <w:rFonts w:cs="Arial"/>
          <w:color w:val="1F4E79" w:themeColor="accent1" w:themeShade="80"/>
          <w:sz w:val="18"/>
          <w:szCs w:val="18"/>
        </w:rPr>
        <w:lastRenderedPageBreak/>
        <w:t xml:space="preserve">c) </w:t>
      </w:r>
      <w:proofErr w:type="spellStart"/>
      <w:r w:rsidRPr="00B84B0C">
        <w:rPr>
          <w:rFonts w:cs="Arial"/>
          <w:color w:val="1F4E79" w:themeColor="accent1" w:themeShade="80"/>
          <w:sz w:val="18"/>
          <w:szCs w:val="18"/>
        </w:rPr>
        <w:t>Deposits</w:t>
      </w:r>
      <w:proofErr w:type="spellEnd"/>
      <w:r w:rsidRPr="00B84B0C">
        <w:rPr>
          <w:rFonts w:cs="Arial"/>
          <w:color w:val="1F4E79" w:themeColor="accent1" w:themeShade="80"/>
          <w:sz w:val="18"/>
          <w:szCs w:val="18"/>
        </w:rPr>
        <w:t xml:space="preserve"> in </w:t>
      </w:r>
      <w:proofErr w:type="spellStart"/>
      <w:r w:rsidRPr="00B84B0C">
        <w:rPr>
          <w:rFonts w:cs="Arial"/>
          <w:color w:val="1F4E79" w:themeColor="accent1" w:themeShade="80"/>
          <w:sz w:val="18"/>
          <w:szCs w:val="18"/>
        </w:rPr>
        <w:t>Guarantee</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of</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Funds</w:t>
      </w:r>
      <w:proofErr w:type="spellEnd"/>
    </w:p>
    <w:p w14:paraId="03513DA7" w14:textId="77777777" w:rsidR="00081370" w:rsidRPr="00B84B0C" w:rsidRDefault="00081370" w:rsidP="00081370">
      <w:pPr>
        <w:pStyle w:val="04-TtuloNegrito"/>
        <w:rPr>
          <w:rStyle w:val="tlid-translation"/>
          <w:rFonts w:cs="Arial"/>
          <w:b w:val="0"/>
          <w:sz w:val="18"/>
          <w:szCs w:val="18"/>
          <w:lang w:val="en"/>
        </w:rPr>
      </w:pPr>
      <w:r w:rsidRPr="00B84B0C">
        <w:rPr>
          <w:rStyle w:val="tlid-translation"/>
          <w:rFonts w:cs="Arial"/>
          <w:b w:val="0"/>
          <w:sz w:val="18"/>
          <w:szCs w:val="18"/>
          <w:lang w:val="en"/>
        </w:rPr>
        <w:t xml:space="preserve">Guarantee deposits are cash deposits and are made with Banco do </w:t>
      </w:r>
      <w:proofErr w:type="spellStart"/>
      <w:r w:rsidRPr="00B84B0C">
        <w:rPr>
          <w:rStyle w:val="tlid-translation"/>
          <w:rFonts w:cs="Arial"/>
          <w:b w:val="0"/>
          <w:sz w:val="18"/>
          <w:szCs w:val="18"/>
          <w:lang w:val="en"/>
        </w:rPr>
        <w:t>Brasil</w:t>
      </w:r>
      <w:proofErr w:type="spellEnd"/>
      <w:r w:rsidRPr="00B84B0C">
        <w:rPr>
          <w:rStyle w:val="tlid-translation"/>
          <w:rFonts w:cs="Arial"/>
          <w:b w:val="0"/>
          <w:sz w:val="18"/>
          <w:szCs w:val="18"/>
          <w:lang w:val="en"/>
        </w:rPr>
        <w:t xml:space="preserve"> or another official financial institution, as a means of payment or as a means of guaranteeing the payment of convictions, indemnities, </w:t>
      </w:r>
      <w:proofErr w:type="gramStart"/>
      <w:r w:rsidRPr="00B84B0C">
        <w:rPr>
          <w:rStyle w:val="tlid-translation"/>
          <w:rFonts w:cs="Arial"/>
          <w:b w:val="0"/>
          <w:sz w:val="18"/>
          <w:szCs w:val="18"/>
          <w:lang w:val="en"/>
        </w:rPr>
        <w:t>agreements</w:t>
      </w:r>
      <w:proofErr w:type="gramEnd"/>
      <w:r w:rsidRPr="00B84B0C">
        <w:rPr>
          <w:rStyle w:val="tlid-translation"/>
          <w:rFonts w:cs="Arial"/>
          <w:b w:val="0"/>
          <w:sz w:val="18"/>
          <w:szCs w:val="18"/>
          <w:lang w:val="en"/>
        </w:rPr>
        <w:t xml:space="preserve"> and other expenses resulting from legal proceedings. The amounts are presented in the balance sheet under Other Assets.</w:t>
      </w:r>
    </w:p>
    <w:p w14:paraId="5EB6D4C2" w14:textId="77777777" w:rsidR="00081370" w:rsidRPr="00B84B0C" w:rsidRDefault="00081370" w:rsidP="00081370">
      <w:pPr>
        <w:pStyle w:val="04-TtuloNegrito"/>
        <w:rPr>
          <w:rFonts w:cs="Arial"/>
          <w:color w:val="1F4E79" w:themeColor="accent1" w:themeShade="80"/>
          <w:sz w:val="18"/>
          <w:szCs w:val="18"/>
        </w:rPr>
      </w:pPr>
      <w:r w:rsidRPr="00B84B0C">
        <w:rPr>
          <w:rFonts w:cs="Arial"/>
          <w:color w:val="1F4E79" w:themeColor="accent1" w:themeShade="80"/>
          <w:sz w:val="18"/>
          <w:szCs w:val="18"/>
        </w:rPr>
        <w:t xml:space="preserve">Balances </w:t>
      </w:r>
      <w:proofErr w:type="spellStart"/>
      <w:r w:rsidRPr="00B84B0C">
        <w:rPr>
          <w:rFonts w:cs="Arial"/>
          <w:color w:val="1F4E79" w:themeColor="accent1" w:themeShade="80"/>
          <w:sz w:val="18"/>
          <w:szCs w:val="18"/>
        </w:rPr>
        <w:t>of</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escrow</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deposits</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formed</w:t>
      </w:r>
      <w:proofErr w:type="spellEnd"/>
      <w:r w:rsidRPr="00B84B0C">
        <w:rPr>
          <w:rFonts w:cs="Arial"/>
          <w:color w:val="1F4E79" w:themeColor="accent1" w:themeShade="80"/>
          <w:sz w:val="18"/>
          <w:szCs w:val="18"/>
        </w:rPr>
        <w:t xml:space="preserve"> for </w:t>
      </w:r>
      <w:proofErr w:type="spellStart"/>
      <w:r w:rsidRPr="00B84B0C">
        <w:rPr>
          <w:rFonts w:cs="Arial"/>
          <w:color w:val="1F4E79" w:themeColor="accent1" w:themeShade="80"/>
          <w:sz w:val="18"/>
          <w:szCs w:val="18"/>
        </w:rPr>
        <w:t>provisions</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and</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contingent</w:t>
      </w:r>
      <w:proofErr w:type="spellEnd"/>
      <w:r w:rsidRPr="00B84B0C">
        <w:rPr>
          <w:rFonts w:cs="Arial"/>
          <w:color w:val="1F4E79" w:themeColor="accent1" w:themeShade="80"/>
          <w:sz w:val="18"/>
          <w:szCs w:val="18"/>
        </w:rPr>
        <w:t xml:space="preserve"> </w:t>
      </w:r>
      <w:proofErr w:type="spellStart"/>
      <w:r w:rsidRPr="00B84B0C">
        <w:rPr>
          <w:rFonts w:cs="Arial"/>
          <w:color w:val="1F4E79" w:themeColor="accent1" w:themeShade="80"/>
          <w:sz w:val="18"/>
          <w:szCs w:val="18"/>
        </w:rPr>
        <w:t>liabilities</w:t>
      </w:r>
      <w:proofErr w:type="spellEnd"/>
    </w:p>
    <w:p w14:paraId="270CECF3" w14:textId="77777777" w:rsidR="00081370" w:rsidRPr="00B84B0C" w:rsidRDefault="00081370" w:rsidP="00081370">
      <w:pPr>
        <w:pStyle w:val="01-TtulodeNota"/>
        <w:spacing w:before="0" w:after="0"/>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Style w:val="TabeladeLista6Colorida-nfase510"/>
        <w:tblW w:w="9639" w:type="dxa"/>
        <w:tblInd w:w="108" w:type="dxa"/>
        <w:tblLook w:val="0480" w:firstRow="0" w:lastRow="0" w:firstColumn="1" w:lastColumn="0" w:noHBand="0" w:noVBand="1"/>
      </w:tblPr>
      <w:tblGrid>
        <w:gridCol w:w="850"/>
        <w:gridCol w:w="2244"/>
        <w:gridCol w:w="604"/>
        <w:gridCol w:w="1411"/>
        <w:gridCol w:w="1412"/>
        <w:gridCol w:w="283"/>
        <w:gridCol w:w="1417"/>
        <w:gridCol w:w="1418"/>
      </w:tblGrid>
      <w:tr w:rsidR="00081370" w:rsidRPr="00B84B0C" w14:paraId="1569C57C" w14:textId="77777777" w:rsidTr="00081370">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8EAADB"/>
              <w:bottom w:val="nil"/>
            </w:tcBorders>
            <w:shd w:val="clear" w:color="auto" w:fill="D9E2F3"/>
          </w:tcPr>
          <w:p w14:paraId="35EAE1EC" w14:textId="77777777" w:rsidR="00081370" w:rsidRPr="00B84B0C" w:rsidRDefault="00081370" w:rsidP="00081370">
            <w:pPr>
              <w:keepNext/>
              <w:keepLines/>
              <w:spacing w:before="40" w:after="40"/>
              <w:jc w:val="center"/>
              <w:rPr>
                <w:rFonts w:cs="Arial"/>
                <w:bCs w:val="0"/>
                <w:spacing w:val="-2"/>
                <w:sz w:val="14"/>
                <w:szCs w:val="14"/>
              </w:rPr>
            </w:pPr>
          </w:p>
        </w:tc>
        <w:tc>
          <w:tcPr>
            <w:tcW w:w="2848" w:type="dxa"/>
            <w:gridSpan w:val="2"/>
            <w:tcBorders>
              <w:top w:val="single" w:sz="2" w:space="0" w:color="8EAADB"/>
              <w:bottom w:val="nil"/>
            </w:tcBorders>
            <w:shd w:val="clear" w:color="auto" w:fill="D9E2F3"/>
          </w:tcPr>
          <w:p w14:paraId="0EE9E4B1"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2823" w:type="dxa"/>
            <w:gridSpan w:val="2"/>
            <w:tcBorders>
              <w:top w:val="single" w:sz="2" w:space="0" w:color="8EAADB"/>
              <w:bottom w:val="single" w:sz="2" w:space="0" w:color="8EAADB"/>
            </w:tcBorders>
            <w:shd w:val="clear" w:color="auto" w:fill="D9E2F3"/>
          </w:tcPr>
          <w:p w14:paraId="3DF7187E"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spacing w:val="-2"/>
                <w:sz w:val="14"/>
                <w:szCs w:val="14"/>
                <w:vertAlign w:val="superscript"/>
              </w:rPr>
            </w:pPr>
            <w:proofErr w:type="spellStart"/>
            <w:r w:rsidRPr="00B84B0C">
              <w:rPr>
                <w:rFonts w:cs="Arial"/>
                <w:b/>
                <w:spacing w:val="-2"/>
                <w:sz w:val="14"/>
                <w:szCs w:val="14"/>
              </w:rPr>
              <w:t>Parent</w:t>
            </w:r>
            <w:proofErr w:type="spellEnd"/>
          </w:p>
        </w:tc>
        <w:tc>
          <w:tcPr>
            <w:tcW w:w="283" w:type="dxa"/>
            <w:tcBorders>
              <w:top w:val="single" w:sz="2" w:space="0" w:color="8EAADB"/>
              <w:bottom w:val="nil"/>
            </w:tcBorders>
            <w:shd w:val="clear" w:color="auto" w:fill="D9E2F3"/>
          </w:tcPr>
          <w:p w14:paraId="4B736A79"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bCs/>
                <w:spacing w:val="-2"/>
                <w:sz w:val="14"/>
                <w:szCs w:val="14"/>
              </w:rPr>
            </w:pPr>
          </w:p>
        </w:tc>
        <w:tc>
          <w:tcPr>
            <w:tcW w:w="2835" w:type="dxa"/>
            <w:gridSpan w:val="2"/>
            <w:tcBorders>
              <w:top w:val="single" w:sz="2" w:space="0" w:color="8EAADB"/>
              <w:bottom w:val="nil"/>
            </w:tcBorders>
            <w:shd w:val="clear" w:color="auto" w:fill="D9E2F3"/>
          </w:tcPr>
          <w:p w14:paraId="25C86F7D" w14:textId="77777777" w:rsidR="00081370" w:rsidRPr="00B84B0C" w:rsidRDefault="00081370" w:rsidP="00081370">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spacing w:val="-2"/>
                <w:sz w:val="14"/>
                <w:szCs w:val="14"/>
                <w:vertAlign w:val="superscript"/>
              </w:rPr>
            </w:pPr>
            <w:proofErr w:type="spellStart"/>
            <w:r w:rsidRPr="00B84B0C">
              <w:rPr>
                <w:rFonts w:cs="Arial"/>
                <w:b/>
                <w:spacing w:val="-2"/>
                <w:sz w:val="14"/>
                <w:szCs w:val="14"/>
              </w:rPr>
              <w:t>Consolidated</w:t>
            </w:r>
            <w:proofErr w:type="spellEnd"/>
          </w:p>
        </w:tc>
      </w:tr>
      <w:tr w:rsidR="00081370" w:rsidRPr="00B84B0C" w14:paraId="1AC7A2B0" w14:textId="77777777" w:rsidTr="00081370">
        <w:trPr>
          <w:cnfStyle w:val="000000010000" w:firstRow="0" w:lastRow="0" w:firstColumn="0" w:lastColumn="0" w:oddVBand="0" w:evenVBand="0" w:oddHBand="0" w:evenHBand="1"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tcPr>
          <w:p w14:paraId="15C9ECEF" w14:textId="77777777" w:rsidR="00081370" w:rsidRPr="00B84B0C" w:rsidRDefault="00081370" w:rsidP="00081370">
            <w:pPr>
              <w:keepNext/>
              <w:keepLines/>
              <w:spacing w:before="40" w:after="40"/>
              <w:rPr>
                <w:rFonts w:cs="Arial"/>
                <w:spacing w:val="-2"/>
                <w:sz w:val="14"/>
                <w:szCs w:val="14"/>
              </w:rPr>
            </w:pPr>
          </w:p>
        </w:tc>
        <w:tc>
          <w:tcPr>
            <w:tcW w:w="604" w:type="dxa"/>
            <w:tcBorders>
              <w:top w:val="nil"/>
              <w:bottom w:val="single" w:sz="2" w:space="0" w:color="8EAADB"/>
            </w:tcBorders>
          </w:tcPr>
          <w:p w14:paraId="7E9339DA" w14:textId="77777777" w:rsidR="00081370" w:rsidRPr="00B84B0C" w:rsidRDefault="00081370" w:rsidP="00081370">
            <w:pPr>
              <w:keepNext/>
              <w:keepLines/>
              <w:spacing w:before="40" w:after="40"/>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
        </w:tc>
        <w:tc>
          <w:tcPr>
            <w:tcW w:w="1411" w:type="dxa"/>
            <w:tcBorders>
              <w:top w:val="single" w:sz="2" w:space="0" w:color="8EAADB"/>
              <w:bottom w:val="single" w:sz="2" w:space="0" w:color="8EAADB"/>
            </w:tcBorders>
            <w:vAlign w:val="center"/>
          </w:tcPr>
          <w:p w14:paraId="711F66C4"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r w:rsidRPr="00B84B0C">
              <w:rPr>
                <w:rFonts w:cs="Arial"/>
                <w:b/>
                <w:spacing w:val="-2"/>
                <w:sz w:val="14"/>
                <w:szCs w:val="14"/>
              </w:rPr>
              <w:t>Mar 31, 2020</w:t>
            </w:r>
          </w:p>
        </w:tc>
        <w:tc>
          <w:tcPr>
            <w:tcW w:w="1412" w:type="dxa"/>
            <w:tcBorders>
              <w:top w:val="single" w:sz="2" w:space="0" w:color="8EAADB"/>
              <w:bottom w:val="single" w:sz="2" w:space="0" w:color="8EAADB"/>
            </w:tcBorders>
            <w:vAlign w:val="center"/>
          </w:tcPr>
          <w:p w14:paraId="5CB64FBB"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roofErr w:type="spellStart"/>
            <w:r w:rsidRPr="00B84B0C">
              <w:rPr>
                <w:rFonts w:cs="Arial"/>
                <w:b/>
                <w:spacing w:val="-2"/>
                <w:sz w:val="14"/>
                <w:szCs w:val="14"/>
              </w:rPr>
              <w:t>Dec</w:t>
            </w:r>
            <w:proofErr w:type="spellEnd"/>
            <w:r w:rsidRPr="00B84B0C">
              <w:rPr>
                <w:rFonts w:cs="Arial"/>
                <w:b/>
                <w:spacing w:val="-2"/>
                <w:sz w:val="14"/>
                <w:szCs w:val="14"/>
              </w:rPr>
              <w:t xml:space="preserve"> 31, 2019</w:t>
            </w:r>
          </w:p>
        </w:tc>
        <w:tc>
          <w:tcPr>
            <w:tcW w:w="283" w:type="dxa"/>
            <w:tcBorders>
              <w:top w:val="nil"/>
              <w:bottom w:val="single" w:sz="2" w:space="0" w:color="8EAADB"/>
            </w:tcBorders>
            <w:vAlign w:val="center"/>
          </w:tcPr>
          <w:p w14:paraId="591DB3BD"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
        </w:tc>
        <w:tc>
          <w:tcPr>
            <w:tcW w:w="1417" w:type="dxa"/>
            <w:tcBorders>
              <w:top w:val="single" w:sz="2" w:space="0" w:color="8EAADB"/>
              <w:bottom w:val="single" w:sz="2" w:space="0" w:color="8EAADB"/>
            </w:tcBorders>
            <w:vAlign w:val="center"/>
          </w:tcPr>
          <w:p w14:paraId="63854EB2"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r w:rsidRPr="00B84B0C">
              <w:rPr>
                <w:rFonts w:cs="Arial"/>
                <w:b/>
                <w:spacing w:val="-2"/>
                <w:sz w:val="14"/>
                <w:szCs w:val="14"/>
              </w:rPr>
              <w:t>Mar 31, 2020</w:t>
            </w:r>
          </w:p>
        </w:tc>
        <w:tc>
          <w:tcPr>
            <w:tcW w:w="1418" w:type="dxa"/>
            <w:tcBorders>
              <w:top w:val="single" w:sz="2" w:space="0" w:color="8EAADB"/>
              <w:bottom w:val="single" w:sz="2" w:space="0" w:color="8EAADB"/>
            </w:tcBorders>
            <w:vAlign w:val="center"/>
          </w:tcPr>
          <w:p w14:paraId="0C28F83B" w14:textId="77777777" w:rsidR="00081370" w:rsidRPr="00B84B0C" w:rsidRDefault="00081370" w:rsidP="000813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spacing w:val="-2"/>
                <w:sz w:val="14"/>
                <w:szCs w:val="14"/>
              </w:rPr>
            </w:pPr>
            <w:proofErr w:type="spellStart"/>
            <w:r w:rsidRPr="00B84B0C">
              <w:rPr>
                <w:rFonts w:cs="Arial"/>
                <w:b/>
                <w:spacing w:val="-2"/>
                <w:sz w:val="14"/>
                <w:szCs w:val="14"/>
              </w:rPr>
              <w:t>Dec</w:t>
            </w:r>
            <w:proofErr w:type="spellEnd"/>
            <w:r w:rsidRPr="00B84B0C">
              <w:rPr>
                <w:rFonts w:cs="Arial"/>
                <w:b/>
                <w:spacing w:val="-2"/>
                <w:sz w:val="14"/>
                <w:szCs w:val="14"/>
              </w:rPr>
              <w:t xml:space="preserve"> 31, 2019</w:t>
            </w:r>
          </w:p>
        </w:tc>
      </w:tr>
      <w:tr w:rsidR="00081370" w:rsidRPr="00B84B0C" w14:paraId="5F5C45C8" w14:textId="77777777" w:rsidTr="0008137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8EAADB"/>
              <w:bottom w:val="nil"/>
            </w:tcBorders>
            <w:vAlign w:val="center"/>
          </w:tcPr>
          <w:p w14:paraId="77B8F6B4" w14:textId="77777777" w:rsidR="00081370" w:rsidRPr="00B84B0C" w:rsidRDefault="00081370" w:rsidP="00081370">
            <w:pPr>
              <w:pStyle w:val="08-Tabelageral"/>
              <w:jc w:val="left"/>
              <w:rPr>
                <w:rFonts w:cs="Arial"/>
                <w:b w:val="0"/>
                <w:szCs w:val="14"/>
                <w:lang w:val="en-US"/>
              </w:rPr>
            </w:pPr>
            <w:r w:rsidRPr="00B84B0C">
              <w:rPr>
                <w:rFonts w:cs="Arial"/>
                <w:b w:val="0"/>
                <w:bCs w:val="0"/>
                <w:szCs w:val="14"/>
                <w:lang w:val="en-US"/>
              </w:rPr>
              <w:t>Labor lawsuits</w:t>
            </w:r>
          </w:p>
        </w:tc>
        <w:tc>
          <w:tcPr>
            <w:tcW w:w="604" w:type="dxa"/>
            <w:tcBorders>
              <w:top w:val="single" w:sz="2" w:space="0" w:color="8EAADB"/>
              <w:bottom w:val="nil"/>
            </w:tcBorders>
            <w:vAlign w:val="center"/>
          </w:tcPr>
          <w:p w14:paraId="0DDD3D26"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single" w:sz="2" w:space="0" w:color="8EAADB"/>
              <w:bottom w:val="nil"/>
            </w:tcBorders>
          </w:tcPr>
          <w:p w14:paraId="7B7F81B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single" w:sz="2" w:space="0" w:color="8EAADB"/>
              <w:bottom w:val="nil"/>
            </w:tcBorders>
          </w:tcPr>
          <w:p w14:paraId="659F478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single" w:sz="2" w:space="0" w:color="8EAADB"/>
              <w:bottom w:val="nil"/>
            </w:tcBorders>
            <w:vAlign w:val="center"/>
          </w:tcPr>
          <w:p w14:paraId="2A88EDE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8EAADB"/>
              <w:bottom w:val="nil"/>
            </w:tcBorders>
          </w:tcPr>
          <w:p w14:paraId="621C60A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10</w:t>
            </w:r>
          </w:p>
        </w:tc>
        <w:tc>
          <w:tcPr>
            <w:tcW w:w="1418" w:type="dxa"/>
            <w:tcBorders>
              <w:top w:val="single" w:sz="2" w:space="0" w:color="8EAADB"/>
              <w:bottom w:val="nil"/>
            </w:tcBorders>
          </w:tcPr>
          <w:p w14:paraId="75B5ED44"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20</w:t>
            </w:r>
          </w:p>
        </w:tc>
      </w:tr>
      <w:tr w:rsidR="00081370" w:rsidRPr="00B84B0C" w14:paraId="63F02643" w14:textId="77777777" w:rsidTr="0008137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bottom"/>
          </w:tcPr>
          <w:p w14:paraId="71EE0210" w14:textId="77777777" w:rsidR="00081370" w:rsidRPr="00B84B0C" w:rsidRDefault="00081370" w:rsidP="00081370">
            <w:pPr>
              <w:pStyle w:val="08-Tabelageral"/>
              <w:jc w:val="left"/>
              <w:rPr>
                <w:rFonts w:cs="Arial"/>
                <w:b w:val="0"/>
                <w:bCs w:val="0"/>
                <w:szCs w:val="14"/>
                <w:lang w:val="en-US"/>
              </w:rPr>
            </w:pPr>
            <w:r w:rsidRPr="00B84B0C">
              <w:rPr>
                <w:rFonts w:cs="Arial"/>
                <w:b w:val="0"/>
                <w:bCs w:val="0"/>
                <w:szCs w:val="14"/>
                <w:lang w:val="en-US"/>
              </w:rPr>
              <w:t xml:space="preserve">Tax </w:t>
            </w:r>
            <w:proofErr w:type="gramStart"/>
            <w:r w:rsidRPr="00B84B0C">
              <w:rPr>
                <w:rFonts w:cs="Arial"/>
                <w:b w:val="0"/>
                <w:bCs w:val="0"/>
                <w:szCs w:val="14"/>
                <w:lang w:val="en-US"/>
              </w:rPr>
              <w:t>lawsuits</w:t>
            </w:r>
            <w:r w:rsidRPr="00B84B0C">
              <w:rPr>
                <w:rFonts w:cs="Arial"/>
                <w:b w:val="0"/>
                <w:bCs w:val="0"/>
                <w:szCs w:val="14"/>
                <w:vertAlign w:val="superscript"/>
                <w:lang w:val="en-US"/>
              </w:rPr>
              <w:t>(</w:t>
            </w:r>
            <w:proofErr w:type="gramEnd"/>
            <w:r w:rsidRPr="00B84B0C">
              <w:rPr>
                <w:rFonts w:cs="Arial"/>
                <w:b w:val="0"/>
                <w:bCs w:val="0"/>
                <w:szCs w:val="14"/>
                <w:vertAlign w:val="superscript"/>
                <w:lang w:val="en-US"/>
              </w:rPr>
              <w:t>1)</w:t>
            </w:r>
          </w:p>
        </w:tc>
        <w:tc>
          <w:tcPr>
            <w:tcW w:w="604" w:type="dxa"/>
            <w:tcBorders>
              <w:top w:val="nil"/>
              <w:bottom w:val="nil"/>
            </w:tcBorders>
            <w:vAlign w:val="center"/>
          </w:tcPr>
          <w:p w14:paraId="52D21C0B"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tcPr>
          <w:p w14:paraId="618AB221"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tcPr>
          <w:p w14:paraId="20E0778E"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vAlign w:val="center"/>
          </w:tcPr>
          <w:p w14:paraId="5E5734B6"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tcPr>
          <w:p w14:paraId="528E17D0"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202,240</w:t>
            </w:r>
          </w:p>
        </w:tc>
        <w:tc>
          <w:tcPr>
            <w:tcW w:w="1418" w:type="dxa"/>
            <w:tcBorders>
              <w:top w:val="nil"/>
              <w:bottom w:val="nil"/>
            </w:tcBorders>
          </w:tcPr>
          <w:p w14:paraId="30345D68"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201,126</w:t>
            </w:r>
          </w:p>
        </w:tc>
      </w:tr>
      <w:tr w:rsidR="00081370" w:rsidRPr="00B84B0C" w14:paraId="2130C387" w14:textId="77777777" w:rsidTr="0008137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vAlign w:val="bottom"/>
          </w:tcPr>
          <w:p w14:paraId="0EF8BD1F" w14:textId="77777777" w:rsidR="00081370" w:rsidRPr="00B84B0C" w:rsidRDefault="00081370" w:rsidP="00081370">
            <w:pPr>
              <w:pStyle w:val="08-Tabelageral"/>
              <w:jc w:val="left"/>
              <w:rPr>
                <w:rFonts w:cs="Arial"/>
                <w:b w:val="0"/>
                <w:szCs w:val="14"/>
                <w:lang w:val="en-US"/>
              </w:rPr>
            </w:pPr>
            <w:r w:rsidRPr="00B84B0C">
              <w:rPr>
                <w:rFonts w:cs="Arial"/>
                <w:b w:val="0"/>
                <w:bCs w:val="0"/>
                <w:szCs w:val="14"/>
                <w:lang w:val="en-US"/>
              </w:rPr>
              <w:t>Civil lawsuits</w:t>
            </w:r>
          </w:p>
        </w:tc>
        <w:tc>
          <w:tcPr>
            <w:tcW w:w="604" w:type="dxa"/>
            <w:tcBorders>
              <w:top w:val="nil"/>
              <w:bottom w:val="nil"/>
            </w:tcBorders>
            <w:vAlign w:val="center"/>
          </w:tcPr>
          <w:p w14:paraId="777C0D8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tcPr>
          <w:p w14:paraId="6D1ECD0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tcPr>
          <w:p w14:paraId="51AC642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vAlign w:val="center"/>
          </w:tcPr>
          <w:p w14:paraId="5D8BFC1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tcPr>
          <w:p w14:paraId="5E5223B1"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2,756</w:t>
            </w:r>
          </w:p>
        </w:tc>
        <w:tc>
          <w:tcPr>
            <w:tcW w:w="1418" w:type="dxa"/>
            <w:tcBorders>
              <w:top w:val="nil"/>
              <w:bottom w:val="nil"/>
            </w:tcBorders>
          </w:tcPr>
          <w:p w14:paraId="10301F6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2,726</w:t>
            </w:r>
          </w:p>
        </w:tc>
      </w:tr>
      <w:tr w:rsidR="00081370" w:rsidRPr="00B84B0C" w14:paraId="695A9D4A" w14:textId="77777777" w:rsidTr="0008137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tcPr>
          <w:p w14:paraId="66C9CC1C" w14:textId="77777777" w:rsidR="00081370" w:rsidRPr="00B84B0C" w:rsidRDefault="00081370" w:rsidP="00081370">
            <w:pPr>
              <w:keepNext/>
              <w:keepLines/>
              <w:spacing w:before="40" w:after="40"/>
              <w:rPr>
                <w:rFonts w:cs="Arial"/>
                <w:bCs w:val="0"/>
                <w:spacing w:val="-2"/>
                <w:sz w:val="14"/>
                <w:szCs w:val="14"/>
              </w:rPr>
            </w:pPr>
            <w:r w:rsidRPr="00B84B0C">
              <w:rPr>
                <w:rFonts w:cs="Arial"/>
                <w:bCs w:val="0"/>
                <w:spacing w:val="-2"/>
                <w:sz w:val="14"/>
                <w:szCs w:val="14"/>
              </w:rPr>
              <w:t>Total</w:t>
            </w:r>
          </w:p>
        </w:tc>
        <w:tc>
          <w:tcPr>
            <w:tcW w:w="604" w:type="dxa"/>
            <w:tcBorders>
              <w:top w:val="nil"/>
              <w:bottom w:val="single" w:sz="2" w:space="0" w:color="8EAADB"/>
            </w:tcBorders>
            <w:vAlign w:val="center"/>
          </w:tcPr>
          <w:p w14:paraId="66A8459B"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single" w:sz="2" w:space="0" w:color="8EAADB"/>
            </w:tcBorders>
          </w:tcPr>
          <w:p w14:paraId="608339AD"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w:t>
            </w:r>
          </w:p>
        </w:tc>
        <w:tc>
          <w:tcPr>
            <w:tcW w:w="1412" w:type="dxa"/>
            <w:tcBorders>
              <w:top w:val="nil"/>
              <w:bottom w:val="single" w:sz="2" w:space="0" w:color="8EAADB"/>
            </w:tcBorders>
          </w:tcPr>
          <w:p w14:paraId="2548910B"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w:t>
            </w:r>
          </w:p>
        </w:tc>
        <w:tc>
          <w:tcPr>
            <w:tcW w:w="283" w:type="dxa"/>
            <w:tcBorders>
              <w:top w:val="nil"/>
              <w:bottom w:val="single" w:sz="2" w:space="0" w:color="8EAADB"/>
            </w:tcBorders>
            <w:vAlign w:val="center"/>
          </w:tcPr>
          <w:p w14:paraId="6BF11BC0"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bottom w:val="single" w:sz="2" w:space="0" w:color="8EAADB"/>
            </w:tcBorders>
          </w:tcPr>
          <w:p w14:paraId="1BC27CE7"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205,006</w:t>
            </w:r>
          </w:p>
        </w:tc>
        <w:tc>
          <w:tcPr>
            <w:tcW w:w="1418" w:type="dxa"/>
            <w:tcBorders>
              <w:top w:val="nil"/>
              <w:bottom w:val="single" w:sz="2" w:space="0" w:color="8EAADB"/>
            </w:tcBorders>
          </w:tcPr>
          <w:p w14:paraId="0F3E6FFB"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203,872</w:t>
            </w:r>
          </w:p>
        </w:tc>
      </w:tr>
    </w:tbl>
    <w:p w14:paraId="5451070F" w14:textId="77777777" w:rsidR="00081370" w:rsidRPr="00B84B0C" w:rsidRDefault="00081370" w:rsidP="00081370">
      <w:pPr>
        <w:pStyle w:val="07-Legenda"/>
        <w:rPr>
          <w:rFonts w:cs="Arial"/>
        </w:rPr>
      </w:pPr>
      <w:r w:rsidRPr="00B84B0C">
        <w:rPr>
          <w:rStyle w:val="tlid-translation"/>
          <w:rFonts w:cs="Arial"/>
          <w:lang w:val="en"/>
        </w:rPr>
        <w:t xml:space="preserve">(1) Refers mainly to a tax lawsuit aimed at annulling an administrative decision that did not ratify declarations of offsetting negative IRPJ balances with various taxes. The updated amount of the </w:t>
      </w:r>
      <w:proofErr w:type="gramStart"/>
      <w:r w:rsidRPr="00B84B0C">
        <w:rPr>
          <w:rStyle w:val="tlid-translation"/>
          <w:rFonts w:cs="Arial"/>
          <w:lang w:val="en"/>
        </w:rPr>
        <w:t>aforementioned judicial</w:t>
      </w:r>
      <w:proofErr w:type="gramEnd"/>
      <w:r w:rsidRPr="00B84B0C">
        <w:rPr>
          <w:rStyle w:val="tlid-translation"/>
          <w:rFonts w:cs="Arial"/>
          <w:lang w:val="en"/>
        </w:rPr>
        <w:t xml:space="preserve"> deposit is R$ 150,406 thousand (R$ 149,233 thousand on Dec 31. 2019), referring to the investee BB </w:t>
      </w:r>
      <w:proofErr w:type="spellStart"/>
      <w:r w:rsidRPr="00B84B0C">
        <w:rPr>
          <w:rStyle w:val="tlid-translation"/>
          <w:rFonts w:cs="Arial"/>
          <w:lang w:val="en"/>
        </w:rPr>
        <w:t>Corretora</w:t>
      </w:r>
      <w:proofErr w:type="spellEnd"/>
      <w:r w:rsidRPr="00B84B0C">
        <w:rPr>
          <w:rStyle w:val="tlid-translation"/>
          <w:rFonts w:cs="Arial"/>
          <w:lang w:val="en"/>
        </w:rPr>
        <w:t>, being updated using the SELIC rate.</w:t>
      </w:r>
    </w:p>
    <w:p w14:paraId="08135991" w14:textId="027ED4B5" w:rsidR="00E72E05" w:rsidRDefault="00E72E05" w:rsidP="00E72E05">
      <w:pPr>
        <w:pStyle w:val="01-Textonormal"/>
      </w:pPr>
    </w:p>
    <w:p w14:paraId="79710B2E" w14:textId="25171B4B" w:rsidR="00081370" w:rsidRPr="00E72E05" w:rsidRDefault="00081370" w:rsidP="00E72E05">
      <w:pPr>
        <w:pStyle w:val="02-TtulodeNota"/>
        <w:rPr>
          <w:color w:val="1F4E79" w:themeColor="accent1" w:themeShade="80"/>
        </w:rPr>
      </w:pPr>
      <w:bookmarkStart w:id="31" w:name="_Toc39131501"/>
      <w:r w:rsidRPr="00E72E05">
        <w:rPr>
          <w:color w:val="1F4E79" w:themeColor="accent1" w:themeShade="80"/>
        </w:rPr>
        <w:t>17 – UNEARDED COMMISSIONS</w:t>
      </w:r>
      <w:bookmarkEnd w:id="31"/>
    </w:p>
    <w:p w14:paraId="00C6C98B" w14:textId="77777777" w:rsidR="00081370" w:rsidRPr="00B84B0C" w:rsidRDefault="00081370" w:rsidP="00081370">
      <w:pPr>
        <w:pStyle w:val="01-TtulodeNota"/>
        <w:spacing w:before="0" w:after="0"/>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Style w:val="TabeladeLista6Colorida-nfase510"/>
        <w:tblW w:w="9658" w:type="dxa"/>
        <w:jc w:val="center"/>
        <w:tblInd w:w="0" w:type="dxa"/>
        <w:shd w:val="clear" w:color="auto" w:fill="D9E2F3"/>
        <w:tblLook w:val="04A0" w:firstRow="1" w:lastRow="0" w:firstColumn="1" w:lastColumn="0" w:noHBand="0" w:noVBand="1"/>
      </w:tblPr>
      <w:tblGrid>
        <w:gridCol w:w="4384"/>
        <w:gridCol w:w="856"/>
        <w:gridCol w:w="401"/>
        <w:gridCol w:w="2008"/>
        <w:gridCol w:w="2009"/>
      </w:tblGrid>
      <w:tr w:rsidR="00081370" w:rsidRPr="00B84B0C" w14:paraId="7354AD26" w14:textId="77777777" w:rsidTr="009C72AA">
        <w:trPr>
          <w:cnfStyle w:val="100000000000" w:firstRow="1" w:lastRow="0" w:firstColumn="0" w:lastColumn="0" w:oddVBand="0" w:evenVBand="0" w:oddHBand="0" w:evenHBand="0" w:firstRowFirstColumn="0" w:firstRowLastColumn="0" w:lastRowFirstColumn="0" w:lastRowLastColumn="0"/>
          <w:trHeight w:hRule="exact" w:val="327"/>
          <w:jc w:val="center"/>
        </w:trPr>
        <w:tc>
          <w:tcPr>
            <w:cnfStyle w:val="001000000000" w:firstRow="0" w:lastRow="0" w:firstColumn="1" w:lastColumn="0" w:oddVBand="0" w:evenVBand="0" w:oddHBand="0" w:evenHBand="0" w:firstRowFirstColumn="0" w:firstRowLastColumn="0" w:lastRowFirstColumn="0" w:lastRowLastColumn="0"/>
            <w:tcW w:w="5641" w:type="dxa"/>
            <w:gridSpan w:val="3"/>
            <w:vMerge w:val="restart"/>
            <w:tcBorders>
              <w:top w:val="single" w:sz="2" w:space="0" w:color="8EAADB"/>
            </w:tcBorders>
            <w:shd w:val="clear" w:color="auto" w:fill="D9E2F3"/>
          </w:tcPr>
          <w:p w14:paraId="652E8746" w14:textId="77777777" w:rsidR="00081370" w:rsidRPr="00B84B0C" w:rsidRDefault="00081370" w:rsidP="00081370">
            <w:pPr>
              <w:keepNext/>
              <w:keepLines/>
              <w:spacing w:before="40" w:after="40"/>
              <w:jc w:val="center"/>
              <w:rPr>
                <w:rFonts w:cs="Arial"/>
                <w:b w:val="0"/>
                <w:bCs w:val="0"/>
                <w:spacing w:val="-2"/>
                <w:sz w:val="14"/>
                <w:szCs w:val="18"/>
              </w:rPr>
            </w:pPr>
          </w:p>
        </w:tc>
        <w:tc>
          <w:tcPr>
            <w:tcW w:w="4017" w:type="dxa"/>
            <w:gridSpan w:val="2"/>
            <w:tcBorders>
              <w:top w:val="single" w:sz="2" w:space="0" w:color="8EAADB"/>
              <w:bottom w:val="nil"/>
            </w:tcBorders>
            <w:shd w:val="clear" w:color="auto" w:fill="D9E2F3"/>
          </w:tcPr>
          <w:p w14:paraId="450887F5" w14:textId="77777777" w:rsidR="00081370" w:rsidRPr="00B84B0C" w:rsidRDefault="00081370" w:rsidP="00081370">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szCs w:val="14"/>
              </w:rPr>
              <w:t>Consolidated</w:t>
            </w:r>
            <w:proofErr w:type="spellEnd"/>
          </w:p>
        </w:tc>
      </w:tr>
      <w:tr w:rsidR="00081370" w:rsidRPr="00B84B0C" w14:paraId="6384322B" w14:textId="77777777" w:rsidTr="009C72AA">
        <w:trPr>
          <w:cnfStyle w:val="000000100000" w:firstRow="0" w:lastRow="0" w:firstColumn="0" w:lastColumn="0" w:oddVBand="0" w:evenVBand="0" w:oddHBand="1" w:evenHBand="0" w:firstRowFirstColumn="0" w:firstRowLastColumn="0" w:lastRowFirstColumn="0" w:lastRowLastColumn="0"/>
          <w:trHeight w:hRule="exact" w:val="275"/>
          <w:jc w:val="center"/>
        </w:trPr>
        <w:tc>
          <w:tcPr>
            <w:cnfStyle w:val="001000000000" w:firstRow="0" w:lastRow="0" w:firstColumn="1" w:lastColumn="0" w:oddVBand="0" w:evenVBand="0" w:oddHBand="0" w:evenHBand="0" w:firstRowFirstColumn="0" w:firstRowLastColumn="0" w:lastRowFirstColumn="0" w:lastRowLastColumn="0"/>
            <w:tcW w:w="5641" w:type="dxa"/>
            <w:gridSpan w:val="3"/>
            <w:vMerge/>
            <w:tcBorders>
              <w:bottom w:val="single" w:sz="2" w:space="0" w:color="8EAADB"/>
            </w:tcBorders>
            <w:shd w:val="clear" w:color="auto" w:fill="D9E2F3"/>
          </w:tcPr>
          <w:p w14:paraId="12838145" w14:textId="77777777" w:rsidR="00081370" w:rsidRPr="00B84B0C" w:rsidRDefault="00081370" w:rsidP="00081370">
            <w:pPr>
              <w:keepNext/>
              <w:keepLines/>
              <w:spacing w:before="40" w:after="40"/>
              <w:jc w:val="right"/>
              <w:rPr>
                <w:rFonts w:cs="Arial"/>
                <w:b w:val="0"/>
                <w:spacing w:val="-2"/>
                <w:sz w:val="14"/>
                <w:szCs w:val="18"/>
              </w:rPr>
            </w:pPr>
          </w:p>
        </w:tc>
        <w:tc>
          <w:tcPr>
            <w:tcW w:w="2008" w:type="dxa"/>
            <w:tcBorders>
              <w:top w:val="single" w:sz="2" w:space="0" w:color="8EAADB"/>
              <w:bottom w:val="single" w:sz="2" w:space="0" w:color="8EAADB"/>
            </w:tcBorders>
            <w:shd w:val="clear" w:color="auto" w:fill="D9E2F3"/>
            <w:vAlign w:val="center"/>
          </w:tcPr>
          <w:p w14:paraId="5A02EE49"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kern w:val="2"/>
                <w:szCs w:val="14"/>
                <w:lang w:val="en-US"/>
              </w:rPr>
              <w:t>Mar 31, 2020</w:t>
            </w:r>
          </w:p>
        </w:tc>
        <w:tc>
          <w:tcPr>
            <w:tcW w:w="2009" w:type="dxa"/>
            <w:tcBorders>
              <w:top w:val="single" w:sz="2" w:space="0" w:color="8EAADB"/>
              <w:bottom w:val="single" w:sz="2" w:space="0" w:color="8EAADB"/>
            </w:tcBorders>
            <w:shd w:val="clear" w:color="auto" w:fill="D9E2F3"/>
            <w:vAlign w:val="center"/>
          </w:tcPr>
          <w:p w14:paraId="3D7C4587"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kern w:val="2"/>
                <w:szCs w:val="14"/>
                <w:lang w:val="en-US"/>
              </w:rPr>
              <w:t>Dec 31, 2019</w:t>
            </w:r>
          </w:p>
        </w:tc>
      </w:tr>
      <w:tr w:rsidR="00081370" w:rsidRPr="00B84B0C" w14:paraId="623A5484" w14:textId="77777777" w:rsidTr="009C72AA">
        <w:trPr>
          <w:cnfStyle w:val="000000010000" w:firstRow="0" w:lastRow="0" w:firstColumn="0" w:lastColumn="0" w:oddVBand="0" w:evenVBand="0" w:oddHBand="0" w:evenHBand="1"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nil"/>
            </w:tcBorders>
            <w:shd w:val="clear" w:color="auto" w:fill="FFFFFF" w:themeFill="background1"/>
          </w:tcPr>
          <w:p w14:paraId="61858B90" w14:textId="77777777" w:rsidR="00081370" w:rsidRPr="00B84B0C" w:rsidRDefault="00081370" w:rsidP="00081370">
            <w:pPr>
              <w:pStyle w:val="08-Tabelageral"/>
              <w:jc w:val="left"/>
              <w:rPr>
                <w:rFonts w:cs="Arial"/>
                <w:b w:val="0"/>
                <w:lang w:val="en-US"/>
              </w:rPr>
            </w:pPr>
            <w:r w:rsidRPr="00B84B0C">
              <w:rPr>
                <w:rFonts w:cs="Arial"/>
                <w:lang w:val="en-US"/>
              </w:rPr>
              <w:t>Current Liabilities</w:t>
            </w:r>
          </w:p>
        </w:tc>
        <w:tc>
          <w:tcPr>
            <w:tcW w:w="856" w:type="dxa"/>
            <w:tcBorders>
              <w:top w:val="nil"/>
              <w:bottom w:val="nil"/>
            </w:tcBorders>
            <w:shd w:val="clear" w:color="auto" w:fill="FFFFFF" w:themeFill="background1"/>
            <w:vAlign w:val="center"/>
          </w:tcPr>
          <w:p w14:paraId="5B47FB63"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01" w:type="dxa"/>
            <w:tcBorders>
              <w:top w:val="nil"/>
              <w:bottom w:val="nil"/>
            </w:tcBorders>
            <w:shd w:val="clear" w:color="auto" w:fill="FFFFFF" w:themeFill="background1"/>
            <w:vAlign w:val="center"/>
          </w:tcPr>
          <w:p w14:paraId="7383EA44"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008" w:type="dxa"/>
            <w:tcBorders>
              <w:top w:val="nil"/>
              <w:bottom w:val="nil"/>
            </w:tcBorders>
            <w:shd w:val="clear" w:color="auto" w:fill="FFFFFF" w:themeFill="background1"/>
          </w:tcPr>
          <w:p w14:paraId="26BF22B9"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949,137</w:t>
            </w:r>
          </w:p>
        </w:tc>
        <w:tc>
          <w:tcPr>
            <w:tcW w:w="2009" w:type="dxa"/>
            <w:tcBorders>
              <w:top w:val="nil"/>
              <w:bottom w:val="nil"/>
            </w:tcBorders>
            <w:shd w:val="clear" w:color="auto" w:fill="FFFFFF" w:themeFill="background1"/>
          </w:tcPr>
          <w:p w14:paraId="0DA3DBF7"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993,057</w:t>
            </w:r>
          </w:p>
        </w:tc>
      </w:tr>
      <w:tr w:rsidR="00081370" w:rsidRPr="00B84B0C" w14:paraId="269350ED" w14:textId="77777777" w:rsidTr="009C72AA">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nil"/>
            </w:tcBorders>
            <w:shd w:val="clear" w:color="auto" w:fill="D9E2F3"/>
          </w:tcPr>
          <w:p w14:paraId="72C93839" w14:textId="77777777" w:rsidR="00081370" w:rsidRPr="00B84B0C" w:rsidRDefault="00081370" w:rsidP="00081370">
            <w:pPr>
              <w:pStyle w:val="08-Tabelageral"/>
              <w:ind w:left="113"/>
              <w:jc w:val="left"/>
              <w:rPr>
                <w:rFonts w:cs="Arial"/>
                <w:b w:val="0"/>
                <w:highlight w:val="yellow"/>
                <w:lang w:val="en-US"/>
              </w:rPr>
            </w:pPr>
            <w:r w:rsidRPr="00B84B0C">
              <w:rPr>
                <w:rFonts w:cs="Arial"/>
                <w:b w:val="0"/>
                <w:lang w:val="en-US"/>
              </w:rPr>
              <w:t xml:space="preserve">BB </w:t>
            </w:r>
            <w:proofErr w:type="spellStart"/>
            <w:r w:rsidRPr="00B84B0C">
              <w:rPr>
                <w:rFonts w:cs="Arial"/>
                <w:b w:val="0"/>
                <w:lang w:val="en-US"/>
              </w:rPr>
              <w:t>Mapfre</w:t>
            </w:r>
            <w:proofErr w:type="spellEnd"/>
          </w:p>
        </w:tc>
        <w:tc>
          <w:tcPr>
            <w:tcW w:w="856" w:type="dxa"/>
            <w:tcBorders>
              <w:top w:val="nil"/>
              <w:bottom w:val="nil"/>
            </w:tcBorders>
            <w:shd w:val="clear" w:color="auto" w:fill="D9E2F3"/>
            <w:vAlign w:val="center"/>
          </w:tcPr>
          <w:p w14:paraId="2C7ECE9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01" w:type="dxa"/>
            <w:tcBorders>
              <w:top w:val="nil"/>
              <w:bottom w:val="nil"/>
            </w:tcBorders>
            <w:shd w:val="clear" w:color="auto" w:fill="D9E2F3"/>
            <w:vAlign w:val="center"/>
          </w:tcPr>
          <w:p w14:paraId="17C8D95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008" w:type="dxa"/>
            <w:tcBorders>
              <w:top w:val="nil"/>
              <w:bottom w:val="nil"/>
            </w:tcBorders>
            <w:shd w:val="clear" w:color="auto" w:fill="D9E2F3"/>
          </w:tcPr>
          <w:p w14:paraId="0F47A27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861,014</w:t>
            </w:r>
          </w:p>
        </w:tc>
        <w:tc>
          <w:tcPr>
            <w:tcW w:w="2009" w:type="dxa"/>
            <w:tcBorders>
              <w:top w:val="nil"/>
              <w:bottom w:val="nil"/>
            </w:tcBorders>
            <w:shd w:val="clear" w:color="auto" w:fill="D9E2F3"/>
          </w:tcPr>
          <w:p w14:paraId="4A2FCB3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902,215</w:t>
            </w:r>
          </w:p>
        </w:tc>
      </w:tr>
      <w:tr w:rsidR="00081370" w:rsidRPr="00B84B0C" w14:paraId="5EACAEE2" w14:textId="77777777" w:rsidTr="009C72AA">
        <w:trPr>
          <w:cnfStyle w:val="000000010000" w:firstRow="0" w:lastRow="0" w:firstColumn="0" w:lastColumn="0" w:oddVBand="0" w:evenVBand="0" w:oddHBand="0" w:evenHBand="1"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nil"/>
            </w:tcBorders>
            <w:shd w:val="clear" w:color="auto" w:fill="FFFFFF" w:themeFill="background1"/>
          </w:tcPr>
          <w:p w14:paraId="7C944F10" w14:textId="77777777" w:rsidR="00081370" w:rsidRPr="00B84B0C" w:rsidRDefault="00081370" w:rsidP="00081370">
            <w:pPr>
              <w:pStyle w:val="08-Tabelageral"/>
              <w:ind w:left="113"/>
              <w:jc w:val="left"/>
              <w:rPr>
                <w:rFonts w:cs="Arial"/>
                <w:b w:val="0"/>
                <w:highlight w:val="yellow"/>
                <w:vertAlign w:val="superscript"/>
                <w:lang w:val="en-US"/>
              </w:rPr>
            </w:pPr>
            <w:proofErr w:type="spellStart"/>
            <w:proofErr w:type="gramStart"/>
            <w:r w:rsidRPr="00B84B0C">
              <w:rPr>
                <w:rFonts w:cs="Arial"/>
                <w:b w:val="0"/>
                <w:lang w:val="en-US"/>
              </w:rPr>
              <w:t>Mapfre</w:t>
            </w:r>
            <w:proofErr w:type="spellEnd"/>
            <w:r w:rsidRPr="00B84B0C">
              <w:rPr>
                <w:rFonts w:cs="Arial"/>
                <w:b w:val="0"/>
                <w:vertAlign w:val="superscript"/>
                <w:lang w:val="en-US"/>
              </w:rPr>
              <w:t>(</w:t>
            </w:r>
            <w:proofErr w:type="gramEnd"/>
            <w:r w:rsidRPr="00B84B0C">
              <w:rPr>
                <w:rFonts w:cs="Arial"/>
                <w:b w:val="0"/>
                <w:vertAlign w:val="superscript"/>
                <w:lang w:val="en-US"/>
              </w:rPr>
              <w:t>1)</w:t>
            </w:r>
          </w:p>
        </w:tc>
        <w:tc>
          <w:tcPr>
            <w:tcW w:w="856" w:type="dxa"/>
            <w:tcBorders>
              <w:top w:val="nil"/>
              <w:bottom w:val="nil"/>
            </w:tcBorders>
            <w:shd w:val="clear" w:color="auto" w:fill="FFFFFF" w:themeFill="background1"/>
            <w:vAlign w:val="center"/>
          </w:tcPr>
          <w:p w14:paraId="60AA1724"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01" w:type="dxa"/>
            <w:tcBorders>
              <w:top w:val="nil"/>
              <w:bottom w:val="nil"/>
            </w:tcBorders>
            <w:shd w:val="clear" w:color="auto" w:fill="FFFFFF" w:themeFill="background1"/>
            <w:vAlign w:val="center"/>
          </w:tcPr>
          <w:p w14:paraId="7846A381"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008" w:type="dxa"/>
            <w:tcBorders>
              <w:top w:val="nil"/>
              <w:bottom w:val="nil"/>
            </w:tcBorders>
            <w:shd w:val="clear" w:color="auto" w:fill="FFFFFF" w:themeFill="background1"/>
          </w:tcPr>
          <w:p w14:paraId="48FB8D7D"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87,860</w:t>
            </w:r>
          </w:p>
        </w:tc>
        <w:tc>
          <w:tcPr>
            <w:tcW w:w="2009" w:type="dxa"/>
            <w:tcBorders>
              <w:top w:val="nil"/>
              <w:bottom w:val="nil"/>
            </w:tcBorders>
            <w:shd w:val="clear" w:color="auto" w:fill="FFFFFF" w:themeFill="background1"/>
          </w:tcPr>
          <w:p w14:paraId="756FD78A"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90,495</w:t>
            </w:r>
          </w:p>
        </w:tc>
      </w:tr>
      <w:tr w:rsidR="00081370" w:rsidRPr="00B84B0C" w14:paraId="492620EF" w14:textId="77777777" w:rsidTr="009C72AA">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nil"/>
            </w:tcBorders>
            <w:shd w:val="clear" w:color="auto" w:fill="D9E2F3"/>
            <w:vAlign w:val="center"/>
          </w:tcPr>
          <w:p w14:paraId="21BE07B8" w14:textId="77777777" w:rsidR="00081370" w:rsidRPr="00B84B0C" w:rsidRDefault="00081370" w:rsidP="00081370">
            <w:pPr>
              <w:pStyle w:val="08-Tabelageral"/>
              <w:ind w:left="113"/>
              <w:jc w:val="left"/>
              <w:rPr>
                <w:rFonts w:cs="Arial"/>
                <w:b w:val="0"/>
                <w:szCs w:val="14"/>
                <w:lang w:val="en-US"/>
              </w:rPr>
            </w:pPr>
            <w:r w:rsidRPr="00B84B0C">
              <w:rPr>
                <w:rFonts w:cs="Arial"/>
                <w:b w:val="0"/>
                <w:szCs w:val="14"/>
                <w:lang w:val="en-US"/>
              </w:rPr>
              <w:t>Others</w:t>
            </w:r>
          </w:p>
        </w:tc>
        <w:tc>
          <w:tcPr>
            <w:tcW w:w="856" w:type="dxa"/>
            <w:tcBorders>
              <w:top w:val="nil"/>
              <w:bottom w:val="nil"/>
            </w:tcBorders>
            <w:shd w:val="clear" w:color="auto" w:fill="D9E2F3"/>
            <w:vAlign w:val="center"/>
          </w:tcPr>
          <w:p w14:paraId="123ADBBD"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01" w:type="dxa"/>
            <w:tcBorders>
              <w:top w:val="nil"/>
              <w:bottom w:val="nil"/>
            </w:tcBorders>
            <w:shd w:val="clear" w:color="auto" w:fill="D9E2F3"/>
            <w:vAlign w:val="center"/>
          </w:tcPr>
          <w:p w14:paraId="770C967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008" w:type="dxa"/>
            <w:tcBorders>
              <w:top w:val="nil"/>
              <w:bottom w:val="nil"/>
            </w:tcBorders>
            <w:shd w:val="clear" w:color="auto" w:fill="D9E2F3"/>
          </w:tcPr>
          <w:p w14:paraId="38F5EF0F"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263</w:t>
            </w:r>
          </w:p>
        </w:tc>
        <w:tc>
          <w:tcPr>
            <w:tcW w:w="2009" w:type="dxa"/>
            <w:tcBorders>
              <w:top w:val="nil"/>
              <w:bottom w:val="nil"/>
            </w:tcBorders>
            <w:shd w:val="clear" w:color="auto" w:fill="D9E2F3"/>
          </w:tcPr>
          <w:p w14:paraId="4DE0EE6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347</w:t>
            </w:r>
          </w:p>
        </w:tc>
      </w:tr>
      <w:tr w:rsidR="00081370" w:rsidRPr="00B84B0C" w14:paraId="5B054F66" w14:textId="77777777" w:rsidTr="009C72AA">
        <w:trPr>
          <w:cnfStyle w:val="000000010000" w:firstRow="0" w:lastRow="0" w:firstColumn="0" w:lastColumn="0" w:oddVBand="0" w:evenVBand="0" w:oddHBand="0" w:evenHBand="1"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nil"/>
            </w:tcBorders>
            <w:shd w:val="clear" w:color="auto" w:fill="FFFFFF" w:themeFill="background1"/>
          </w:tcPr>
          <w:p w14:paraId="56CA49EA" w14:textId="77777777" w:rsidR="00081370" w:rsidRPr="00B84B0C" w:rsidRDefault="00081370" w:rsidP="00081370">
            <w:pPr>
              <w:pStyle w:val="08-Tabelageral"/>
              <w:jc w:val="left"/>
              <w:rPr>
                <w:rFonts w:cs="Arial"/>
                <w:b w:val="0"/>
                <w:lang w:val="en-US"/>
              </w:rPr>
            </w:pPr>
            <w:r w:rsidRPr="00B84B0C">
              <w:rPr>
                <w:rFonts w:cs="Arial"/>
                <w:lang w:val="en-US"/>
              </w:rPr>
              <w:t>Non-Current Liabilities</w:t>
            </w:r>
          </w:p>
        </w:tc>
        <w:tc>
          <w:tcPr>
            <w:tcW w:w="856" w:type="dxa"/>
            <w:tcBorders>
              <w:top w:val="nil"/>
              <w:bottom w:val="nil"/>
            </w:tcBorders>
            <w:shd w:val="clear" w:color="auto" w:fill="FFFFFF" w:themeFill="background1"/>
            <w:vAlign w:val="center"/>
          </w:tcPr>
          <w:p w14:paraId="29826EB9"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01" w:type="dxa"/>
            <w:tcBorders>
              <w:top w:val="nil"/>
              <w:bottom w:val="nil"/>
            </w:tcBorders>
            <w:shd w:val="clear" w:color="auto" w:fill="FFFFFF" w:themeFill="background1"/>
            <w:vAlign w:val="center"/>
          </w:tcPr>
          <w:p w14:paraId="0BDE8B73"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008" w:type="dxa"/>
            <w:tcBorders>
              <w:top w:val="nil"/>
              <w:bottom w:val="nil"/>
            </w:tcBorders>
            <w:shd w:val="clear" w:color="auto" w:fill="FFFFFF" w:themeFill="background1"/>
          </w:tcPr>
          <w:p w14:paraId="73985EE4"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1,301,691</w:t>
            </w:r>
          </w:p>
        </w:tc>
        <w:tc>
          <w:tcPr>
            <w:tcW w:w="2009" w:type="dxa"/>
            <w:tcBorders>
              <w:top w:val="nil"/>
              <w:bottom w:val="nil"/>
            </w:tcBorders>
            <w:shd w:val="clear" w:color="auto" w:fill="FFFFFF" w:themeFill="background1"/>
          </w:tcPr>
          <w:p w14:paraId="377D3FCC"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1,226,955</w:t>
            </w:r>
          </w:p>
        </w:tc>
      </w:tr>
      <w:tr w:rsidR="00081370" w:rsidRPr="00B84B0C" w14:paraId="5BCB68FF" w14:textId="77777777" w:rsidTr="009C72AA">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nil"/>
            </w:tcBorders>
            <w:shd w:val="clear" w:color="auto" w:fill="D9E2F3"/>
          </w:tcPr>
          <w:p w14:paraId="75C3D12C" w14:textId="77777777" w:rsidR="00081370" w:rsidRPr="00B84B0C" w:rsidRDefault="00081370" w:rsidP="00081370">
            <w:pPr>
              <w:pStyle w:val="08-Tabelageral"/>
              <w:ind w:left="113"/>
              <w:jc w:val="left"/>
              <w:rPr>
                <w:rFonts w:cs="Arial"/>
                <w:b w:val="0"/>
                <w:highlight w:val="yellow"/>
                <w:lang w:val="en-US"/>
              </w:rPr>
            </w:pPr>
            <w:r w:rsidRPr="00B84B0C">
              <w:rPr>
                <w:rFonts w:cs="Arial"/>
                <w:b w:val="0"/>
                <w:lang w:val="en-US"/>
              </w:rPr>
              <w:t xml:space="preserve">BB </w:t>
            </w:r>
            <w:proofErr w:type="spellStart"/>
            <w:r w:rsidRPr="00B84B0C">
              <w:rPr>
                <w:rFonts w:cs="Arial"/>
                <w:b w:val="0"/>
                <w:lang w:val="en-US"/>
              </w:rPr>
              <w:t>Mapfre</w:t>
            </w:r>
            <w:proofErr w:type="spellEnd"/>
          </w:p>
        </w:tc>
        <w:tc>
          <w:tcPr>
            <w:tcW w:w="856" w:type="dxa"/>
            <w:tcBorders>
              <w:top w:val="nil"/>
              <w:bottom w:val="nil"/>
            </w:tcBorders>
            <w:shd w:val="clear" w:color="auto" w:fill="D9E2F3"/>
            <w:vAlign w:val="center"/>
          </w:tcPr>
          <w:p w14:paraId="743C6C02"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01" w:type="dxa"/>
            <w:tcBorders>
              <w:top w:val="nil"/>
              <w:bottom w:val="nil"/>
            </w:tcBorders>
            <w:shd w:val="clear" w:color="auto" w:fill="D9E2F3"/>
            <w:vAlign w:val="center"/>
          </w:tcPr>
          <w:p w14:paraId="4D087FA3"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008" w:type="dxa"/>
            <w:tcBorders>
              <w:top w:val="nil"/>
              <w:bottom w:val="nil"/>
            </w:tcBorders>
            <w:shd w:val="clear" w:color="auto" w:fill="D9E2F3"/>
          </w:tcPr>
          <w:p w14:paraId="5A15743E"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1,262,180</w:t>
            </w:r>
          </w:p>
        </w:tc>
        <w:tc>
          <w:tcPr>
            <w:tcW w:w="2009" w:type="dxa"/>
            <w:tcBorders>
              <w:top w:val="nil"/>
              <w:bottom w:val="nil"/>
            </w:tcBorders>
            <w:shd w:val="clear" w:color="auto" w:fill="D9E2F3"/>
          </w:tcPr>
          <w:p w14:paraId="04195B2C"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1,185,165</w:t>
            </w:r>
          </w:p>
        </w:tc>
      </w:tr>
      <w:tr w:rsidR="00081370" w:rsidRPr="00B84B0C" w14:paraId="29365BBD" w14:textId="77777777" w:rsidTr="009C72AA">
        <w:trPr>
          <w:cnfStyle w:val="000000010000" w:firstRow="0" w:lastRow="0" w:firstColumn="0" w:lastColumn="0" w:oddVBand="0" w:evenVBand="0" w:oddHBand="0" w:evenHBand="1"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nil"/>
            </w:tcBorders>
            <w:shd w:val="clear" w:color="auto" w:fill="FFFFFF" w:themeFill="background1"/>
          </w:tcPr>
          <w:p w14:paraId="2587D974" w14:textId="77777777" w:rsidR="00081370" w:rsidRPr="00B84B0C" w:rsidRDefault="00081370" w:rsidP="00081370">
            <w:pPr>
              <w:pStyle w:val="08-Tabelageral"/>
              <w:ind w:left="113"/>
              <w:jc w:val="left"/>
              <w:rPr>
                <w:rFonts w:cs="Arial"/>
                <w:b w:val="0"/>
                <w:highlight w:val="yellow"/>
                <w:vertAlign w:val="superscript"/>
                <w:lang w:val="en-US"/>
              </w:rPr>
            </w:pPr>
            <w:proofErr w:type="spellStart"/>
            <w:proofErr w:type="gramStart"/>
            <w:r w:rsidRPr="00B84B0C">
              <w:rPr>
                <w:rFonts w:cs="Arial"/>
                <w:b w:val="0"/>
                <w:lang w:val="en-US"/>
              </w:rPr>
              <w:t>Mapfre</w:t>
            </w:r>
            <w:proofErr w:type="spellEnd"/>
            <w:r w:rsidRPr="00B84B0C">
              <w:rPr>
                <w:rFonts w:cs="Arial"/>
                <w:b w:val="0"/>
                <w:vertAlign w:val="superscript"/>
                <w:lang w:val="en-US"/>
              </w:rPr>
              <w:t>(</w:t>
            </w:r>
            <w:proofErr w:type="gramEnd"/>
            <w:r w:rsidRPr="00B84B0C">
              <w:rPr>
                <w:rFonts w:cs="Arial"/>
                <w:b w:val="0"/>
                <w:vertAlign w:val="superscript"/>
                <w:lang w:val="en-US"/>
              </w:rPr>
              <w:t>1)</w:t>
            </w:r>
          </w:p>
        </w:tc>
        <w:tc>
          <w:tcPr>
            <w:tcW w:w="856" w:type="dxa"/>
            <w:tcBorders>
              <w:top w:val="nil"/>
              <w:bottom w:val="nil"/>
            </w:tcBorders>
            <w:shd w:val="clear" w:color="auto" w:fill="FFFFFF" w:themeFill="background1"/>
            <w:vAlign w:val="center"/>
          </w:tcPr>
          <w:p w14:paraId="67ADF04F"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401" w:type="dxa"/>
            <w:tcBorders>
              <w:top w:val="nil"/>
              <w:bottom w:val="nil"/>
            </w:tcBorders>
            <w:shd w:val="clear" w:color="auto" w:fill="FFFFFF" w:themeFill="background1"/>
            <w:vAlign w:val="center"/>
          </w:tcPr>
          <w:p w14:paraId="16E8F73F"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008" w:type="dxa"/>
            <w:tcBorders>
              <w:top w:val="nil"/>
              <w:bottom w:val="nil"/>
            </w:tcBorders>
            <w:shd w:val="clear" w:color="auto" w:fill="FFFFFF" w:themeFill="background1"/>
          </w:tcPr>
          <w:p w14:paraId="0261D89F"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39,509</w:t>
            </w:r>
          </w:p>
        </w:tc>
        <w:tc>
          <w:tcPr>
            <w:tcW w:w="2009" w:type="dxa"/>
            <w:tcBorders>
              <w:top w:val="nil"/>
              <w:bottom w:val="nil"/>
            </w:tcBorders>
            <w:shd w:val="clear" w:color="auto" w:fill="FFFFFF" w:themeFill="background1"/>
          </w:tcPr>
          <w:p w14:paraId="7EC01018"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41,789</w:t>
            </w:r>
          </w:p>
        </w:tc>
      </w:tr>
      <w:tr w:rsidR="00081370" w:rsidRPr="00B84B0C" w14:paraId="1CA39247" w14:textId="77777777" w:rsidTr="009C72AA">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nil"/>
            </w:tcBorders>
            <w:shd w:val="clear" w:color="auto" w:fill="D9E2F3"/>
            <w:vAlign w:val="center"/>
          </w:tcPr>
          <w:p w14:paraId="256A252C" w14:textId="77777777" w:rsidR="00081370" w:rsidRPr="00B84B0C" w:rsidRDefault="00081370" w:rsidP="00081370">
            <w:pPr>
              <w:pStyle w:val="08-Tabelageral"/>
              <w:ind w:left="113"/>
              <w:jc w:val="left"/>
              <w:rPr>
                <w:rFonts w:cs="Arial"/>
                <w:b w:val="0"/>
                <w:szCs w:val="14"/>
                <w:lang w:val="en-US"/>
              </w:rPr>
            </w:pPr>
            <w:r w:rsidRPr="00B84B0C">
              <w:rPr>
                <w:rFonts w:cs="Arial"/>
                <w:b w:val="0"/>
                <w:szCs w:val="14"/>
                <w:lang w:val="en-US"/>
              </w:rPr>
              <w:t>Others</w:t>
            </w:r>
          </w:p>
        </w:tc>
        <w:tc>
          <w:tcPr>
            <w:tcW w:w="856" w:type="dxa"/>
            <w:tcBorders>
              <w:top w:val="nil"/>
              <w:bottom w:val="nil"/>
            </w:tcBorders>
            <w:shd w:val="clear" w:color="auto" w:fill="D9E2F3"/>
            <w:vAlign w:val="center"/>
          </w:tcPr>
          <w:p w14:paraId="7420D5B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401" w:type="dxa"/>
            <w:tcBorders>
              <w:top w:val="nil"/>
              <w:bottom w:val="nil"/>
            </w:tcBorders>
            <w:shd w:val="clear" w:color="auto" w:fill="D9E2F3"/>
            <w:vAlign w:val="center"/>
          </w:tcPr>
          <w:p w14:paraId="2AB380F5"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2008" w:type="dxa"/>
            <w:tcBorders>
              <w:top w:val="nil"/>
              <w:bottom w:val="nil"/>
            </w:tcBorders>
            <w:shd w:val="clear" w:color="auto" w:fill="D9E2F3"/>
          </w:tcPr>
          <w:p w14:paraId="436708C0"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w:t>
            </w:r>
          </w:p>
        </w:tc>
        <w:tc>
          <w:tcPr>
            <w:tcW w:w="2009" w:type="dxa"/>
            <w:tcBorders>
              <w:top w:val="nil"/>
              <w:bottom w:val="nil"/>
            </w:tcBorders>
            <w:shd w:val="clear" w:color="auto" w:fill="D9E2F3"/>
          </w:tcPr>
          <w:p w14:paraId="62C78E1B" w14:textId="77777777" w:rsidR="00081370" w:rsidRPr="00B84B0C" w:rsidRDefault="00081370" w:rsidP="00081370">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w:t>
            </w:r>
          </w:p>
        </w:tc>
      </w:tr>
      <w:tr w:rsidR="00081370" w:rsidRPr="00B84B0C" w14:paraId="03F9AA1B" w14:textId="77777777" w:rsidTr="009C72AA">
        <w:trPr>
          <w:cnfStyle w:val="000000010000" w:firstRow="0" w:lastRow="0" w:firstColumn="0" w:lastColumn="0" w:oddVBand="0" w:evenVBand="0" w:oddHBand="0" w:evenHBand="1"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4384" w:type="dxa"/>
            <w:tcBorders>
              <w:top w:val="nil"/>
              <w:bottom w:val="single" w:sz="2" w:space="0" w:color="8EAADB"/>
            </w:tcBorders>
            <w:shd w:val="clear" w:color="auto" w:fill="FFFFFF" w:themeFill="background1"/>
            <w:vAlign w:val="center"/>
          </w:tcPr>
          <w:p w14:paraId="4A2F79EB" w14:textId="77777777" w:rsidR="00081370" w:rsidRPr="00B84B0C" w:rsidRDefault="00081370" w:rsidP="00081370">
            <w:pPr>
              <w:pStyle w:val="08-Tabelageral"/>
              <w:jc w:val="left"/>
              <w:rPr>
                <w:rFonts w:cs="Arial"/>
                <w:b w:val="0"/>
                <w:bCs w:val="0"/>
                <w:szCs w:val="14"/>
                <w:lang w:val="en-US"/>
              </w:rPr>
            </w:pPr>
            <w:r w:rsidRPr="00B84B0C">
              <w:rPr>
                <w:rFonts w:cs="Arial"/>
                <w:lang w:val="en-US"/>
              </w:rPr>
              <w:t>Total</w:t>
            </w:r>
          </w:p>
        </w:tc>
        <w:tc>
          <w:tcPr>
            <w:tcW w:w="856" w:type="dxa"/>
            <w:tcBorders>
              <w:top w:val="nil"/>
              <w:bottom w:val="single" w:sz="2" w:space="0" w:color="8EAADB"/>
            </w:tcBorders>
            <w:shd w:val="clear" w:color="auto" w:fill="FFFFFF" w:themeFill="background1"/>
            <w:vAlign w:val="center"/>
          </w:tcPr>
          <w:p w14:paraId="1A651B31"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401" w:type="dxa"/>
            <w:tcBorders>
              <w:top w:val="nil"/>
              <w:bottom w:val="single" w:sz="2" w:space="0" w:color="8EAADB"/>
            </w:tcBorders>
            <w:shd w:val="clear" w:color="auto" w:fill="FFFFFF" w:themeFill="background1"/>
            <w:vAlign w:val="center"/>
          </w:tcPr>
          <w:p w14:paraId="33D0F314"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2008" w:type="dxa"/>
            <w:tcBorders>
              <w:top w:val="nil"/>
              <w:bottom w:val="single" w:sz="2" w:space="0" w:color="8EAADB"/>
            </w:tcBorders>
            <w:shd w:val="clear" w:color="auto" w:fill="FFFFFF" w:themeFill="background1"/>
          </w:tcPr>
          <w:p w14:paraId="720A1CA8"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2,250,828</w:t>
            </w:r>
          </w:p>
        </w:tc>
        <w:tc>
          <w:tcPr>
            <w:tcW w:w="2009" w:type="dxa"/>
            <w:tcBorders>
              <w:top w:val="nil"/>
              <w:bottom w:val="single" w:sz="2" w:space="0" w:color="8EAADB"/>
            </w:tcBorders>
            <w:shd w:val="clear" w:color="auto" w:fill="FFFFFF" w:themeFill="background1"/>
          </w:tcPr>
          <w:p w14:paraId="08FA436F" w14:textId="77777777" w:rsidR="00081370" w:rsidRPr="00B84B0C" w:rsidRDefault="00081370" w:rsidP="00081370">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2,220,012</w:t>
            </w:r>
          </w:p>
        </w:tc>
      </w:tr>
    </w:tbl>
    <w:p w14:paraId="1BFF8ACE" w14:textId="77777777" w:rsidR="00081370" w:rsidRPr="00B84B0C" w:rsidRDefault="00081370" w:rsidP="00081370">
      <w:pPr>
        <w:keepLines/>
        <w:tabs>
          <w:tab w:val="left" w:pos="284"/>
        </w:tabs>
        <w:spacing w:before="40" w:after="0" w:line="240" w:lineRule="auto"/>
        <w:ind w:left="284" w:hanging="284"/>
        <w:jc w:val="both"/>
        <w:rPr>
          <w:rFonts w:eastAsia="Times New Roman" w:cs="Arial"/>
          <w:spacing w:val="-2"/>
          <w:sz w:val="14"/>
          <w:szCs w:val="14"/>
        </w:rPr>
      </w:pPr>
      <w:r w:rsidRPr="00B84B0C">
        <w:rPr>
          <w:rFonts w:eastAsia="Times New Roman" w:cs="Arial"/>
          <w:spacing w:val="-2"/>
          <w:sz w:val="14"/>
          <w:szCs w:val="14"/>
          <w:lang w:eastAsia="pt-BR"/>
        </w:rPr>
        <w:t xml:space="preserve">(1) </w:t>
      </w:r>
      <w:proofErr w:type="spellStart"/>
      <w:r w:rsidRPr="00B84B0C">
        <w:rPr>
          <w:rFonts w:cs="Arial"/>
          <w:sz w:val="14"/>
          <w:szCs w:val="14"/>
        </w:rPr>
        <w:t>Despite</w:t>
      </w:r>
      <w:proofErr w:type="spellEnd"/>
      <w:r w:rsidRPr="00B84B0C">
        <w:rPr>
          <w:rFonts w:cs="Arial"/>
          <w:sz w:val="14"/>
          <w:szCs w:val="14"/>
        </w:rPr>
        <w:t xml:space="preserve"> </w:t>
      </w:r>
      <w:proofErr w:type="spellStart"/>
      <w:r w:rsidRPr="00B84B0C">
        <w:rPr>
          <w:rFonts w:cs="Arial"/>
          <w:sz w:val="14"/>
          <w:szCs w:val="14"/>
        </w:rPr>
        <w:t>the</w:t>
      </w:r>
      <w:proofErr w:type="spellEnd"/>
      <w:r w:rsidRPr="00B84B0C">
        <w:rPr>
          <w:rFonts w:cs="Arial"/>
          <w:sz w:val="14"/>
          <w:szCs w:val="14"/>
        </w:rPr>
        <w:t xml:space="preserve"> </w:t>
      </w:r>
      <w:proofErr w:type="spellStart"/>
      <w:r w:rsidRPr="00B84B0C">
        <w:rPr>
          <w:rFonts w:cs="Arial"/>
          <w:sz w:val="14"/>
          <w:szCs w:val="14"/>
        </w:rPr>
        <w:t>sale</w:t>
      </w:r>
      <w:proofErr w:type="spellEnd"/>
      <w:r w:rsidRPr="00B84B0C">
        <w:rPr>
          <w:rFonts w:cs="Arial"/>
          <w:sz w:val="14"/>
          <w:szCs w:val="14"/>
        </w:rPr>
        <w:t xml:space="preserve"> </w:t>
      </w:r>
      <w:proofErr w:type="spellStart"/>
      <w:r w:rsidRPr="00B84B0C">
        <w:rPr>
          <w:rFonts w:cs="Arial"/>
          <w:sz w:val="14"/>
          <w:szCs w:val="14"/>
        </w:rPr>
        <w:t>of</w:t>
      </w:r>
      <w:proofErr w:type="spellEnd"/>
      <w:r w:rsidRPr="00B84B0C">
        <w:rPr>
          <w:rFonts w:cs="Arial"/>
          <w:sz w:val="14"/>
          <w:szCs w:val="14"/>
        </w:rPr>
        <w:t xml:space="preserve"> </w:t>
      </w:r>
      <w:proofErr w:type="spellStart"/>
      <w:r w:rsidRPr="00B84B0C">
        <w:rPr>
          <w:rFonts w:cs="Arial"/>
          <w:sz w:val="14"/>
          <w:szCs w:val="14"/>
        </w:rPr>
        <w:t>the</w:t>
      </w:r>
      <w:proofErr w:type="spellEnd"/>
      <w:r w:rsidRPr="00B84B0C">
        <w:rPr>
          <w:rFonts w:cs="Arial"/>
          <w:sz w:val="14"/>
          <w:szCs w:val="14"/>
        </w:rPr>
        <w:t xml:space="preserve"> </w:t>
      </w:r>
      <w:proofErr w:type="spellStart"/>
      <w:r w:rsidRPr="00B84B0C">
        <w:rPr>
          <w:rFonts w:cs="Arial"/>
          <w:sz w:val="14"/>
          <w:szCs w:val="14"/>
        </w:rPr>
        <w:t>stake</w:t>
      </w:r>
      <w:proofErr w:type="spellEnd"/>
      <w:r w:rsidRPr="00B84B0C">
        <w:rPr>
          <w:rFonts w:cs="Arial"/>
          <w:sz w:val="14"/>
          <w:szCs w:val="14"/>
        </w:rPr>
        <w:t xml:space="preserve">, Mapfre </w:t>
      </w:r>
      <w:proofErr w:type="spellStart"/>
      <w:r w:rsidRPr="00B84B0C">
        <w:rPr>
          <w:rFonts w:cs="Arial"/>
          <w:sz w:val="14"/>
          <w:szCs w:val="14"/>
        </w:rPr>
        <w:t>products</w:t>
      </w:r>
      <w:proofErr w:type="spellEnd"/>
      <w:r w:rsidRPr="00B84B0C">
        <w:rPr>
          <w:rFonts w:cs="Arial"/>
          <w:sz w:val="14"/>
          <w:szCs w:val="14"/>
        </w:rPr>
        <w:t xml:space="preserve"> continue </w:t>
      </w:r>
      <w:proofErr w:type="spellStart"/>
      <w:r w:rsidRPr="00B84B0C">
        <w:rPr>
          <w:rFonts w:cs="Arial"/>
          <w:sz w:val="14"/>
          <w:szCs w:val="14"/>
        </w:rPr>
        <w:t>to</w:t>
      </w:r>
      <w:proofErr w:type="spellEnd"/>
      <w:r w:rsidRPr="00B84B0C">
        <w:rPr>
          <w:rFonts w:cs="Arial"/>
          <w:sz w:val="14"/>
          <w:szCs w:val="14"/>
        </w:rPr>
        <w:t xml:space="preserve"> </w:t>
      </w:r>
      <w:proofErr w:type="spellStart"/>
      <w:r w:rsidRPr="00B84B0C">
        <w:rPr>
          <w:rFonts w:cs="Arial"/>
          <w:sz w:val="14"/>
          <w:szCs w:val="14"/>
        </w:rPr>
        <w:t>be</w:t>
      </w:r>
      <w:proofErr w:type="spellEnd"/>
      <w:r w:rsidRPr="00B84B0C">
        <w:rPr>
          <w:rFonts w:cs="Arial"/>
          <w:sz w:val="14"/>
          <w:szCs w:val="14"/>
        </w:rPr>
        <w:t xml:space="preserve"> </w:t>
      </w:r>
      <w:proofErr w:type="spellStart"/>
      <w:r w:rsidRPr="00B84B0C">
        <w:rPr>
          <w:rFonts w:cs="Arial"/>
          <w:sz w:val="14"/>
          <w:szCs w:val="14"/>
        </w:rPr>
        <w:t>sold</w:t>
      </w:r>
      <w:proofErr w:type="spellEnd"/>
      <w:r w:rsidRPr="00B84B0C">
        <w:rPr>
          <w:rFonts w:cs="Arial"/>
          <w:sz w:val="14"/>
          <w:szCs w:val="14"/>
        </w:rPr>
        <w:t xml:space="preserve"> </w:t>
      </w:r>
      <w:proofErr w:type="spellStart"/>
      <w:r w:rsidRPr="00B84B0C">
        <w:rPr>
          <w:rFonts w:cs="Arial"/>
          <w:sz w:val="14"/>
          <w:szCs w:val="14"/>
        </w:rPr>
        <w:t>by</w:t>
      </w:r>
      <w:proofErr w:type="spellEnd"/>
      <w:r w:rsidRPr="00B84B0C">
        <w:rPr>
          <w:rFonts w:cs="Arial"/>
          <w:sz w:val="14"/>
          <w:szCs w:val="14"/>
        </w:rPr>
        <w:t xml:space="preserve"> BB Corretora.</w:t>
      </w:r>
    </w:p>
    <w:p w14:paraId="357CAEC5" w14:textId="77777777" w:rsidR="00081370" w:rsidRPr="00B84B0C" w:rsidRDefault="00081370" w:rsidP="00081370">
      <w:pPr>
        <w:keepLines/>
        <w:tabs>
          <w:tab w:val="left" w:pos="284"/>
        </w:tabs>
        <w:spacing w:before="40" w:after="0" w:line="240" w:lineRule="auto"/>
        <w:ind w:left="284" w:hanging="284"/>
        <w:jc w:val="both"/>
        <w:rPr>
          <w:rFonts w:eastAsia="Times New Roman" w:cs="Arial"/>
          <w:spacing w:val="-2"/>
          <w:sz w:val="14"/>
          <w:szCs w:val="14"/>
        </w:rPr>
      </w:pPr>
    </w:p>
    <w:p w14:paraId="0B497C4F" w14:textId="77777777" w:rsidR="00081370" w:rsidRPr="00B84B0C" w:rsidRDefault="00081370" w:rsidP="00081370">
      <w:pPr>
        <w:pStyle w:val="07-Legenda"/>
        <w:rPr>
          <w:rFonts w:cs="Arial"/>
          <w:sz w:val="18"/>
          <w:lang w:eastAsia="en-US"/>
        </w:rPr>
      </w:pPr>
      <w:r w:rsidRPr="00B84B0C">
        <w:rPr>
          <w:rFonts w:cs="Arial"/>
          <w:sz w:val="18"/>
          <w:lang w:val="en-US" w:eastAsia="en-US"/>
        </w:rPr>
        <w:t xml:space="preserve">There are no </w:t>
      </w:r>
      <w:proofErr w:type="gramStart"/>
      <w:r w:rsidRPr="00B84B0C">
        <w:rPr>
          <w:rFonts w:cs="Arial"/>
          <w:sz w:val="18"/>
          <w:lang w:val="en-US" w:eastAsia="en-US"/>
        </w:rPr>
        <w:t>amount</w:t>
      </w:r>
      <w:proofErr w:type="gramEnd"/>
      <w:r w:rsidRPr="00B84B0C">
        <w:rPr>
          <w:rFonts w:cs="Arial"/>
          <w:sz w:val="18"/>
          <w:lang w:val="en-US" w:eastAsia="en-US"/>
        </w:rPr>
        <w:t xml:space="preserve"> of unearned commissions in parent</w:t>
      </w:r>
      <w:r w:rsidRPr="00B84B0C">
        <w:rPr>
          <w:rFonts w:cs="Arial"/>
          <w:sz w:val="18"/>
          <w:lang w:eastAsia="en-US"/>
        </w:rPr>
        <w:t>.</w:t>
      </w:r>
    </w:p>
    <w:p w14:paraId="1D3293C8" w14:textId="77777777" w:rsidR="00081370" w:rsidRPr="00B84B0C" w:rsidRDefault="00081370" w:rsidP="00081370">
      <w:pPr>
        <w:keepLines/>
        <w:tabs>
          <w:tab w:val="left" w:pos="284"/>
        </w:tabs>
        <w:spacing w:before="40" w:after="0" w:line="240" w:lineRule="auto"/>
        <w:ind w:left="284" w:hanging="284"/>
        <w:jc w:val="both"/>
        <w:rPr>
          <w:rFonts w:eastAsia="Times New Roman" w:cs="Arial"/>
          <w:spacing w:val="-2"/>
          <w:szCs w:val="14"/>
        </w:rPr>
      </w:pPr>
    </w:p>
    <w:p w14:paraId="13D27E3A" w14:textId="341F0532" w:rsidR="009C72AA" w:rsidRPr="00B84B0C" w:rsidRDefault="009C72AA" w:rsidP="009C72AA">
      <w:pPr>
        <w:pStyle w:val="02-TtulodeNota"/>
        <w:rPr>
          <w:rFonts w:cs="Arial"/>
          <w:color w:val="1F4E79" w:themeColor="accent1" w:themeShade="80"/>
        </w:rPr>
      </w:pPr>
      <w:bookmarkStart w:id="32" w:name="_Toc39131502"/>
      <w:r w:rsidRPr="00B84B0C">
        <w:rPr>
          <w:rFonts w:cs="Arial"/>
          <w:color w:val="1F4E79" w:themeColor="accent1" w:themeShade="80"/>
        </w:rPr>
        <w:t>18 – OTHER LIABILITIES</w:t>
      </w:r>
      <w:bookmarkEnd w:id="32"/>
    </w:p>
    <w:p w14:paraId="0D412F6B" w14:textId="77777777" w:rsidR="009C72AA" w:rsidRPr="00B84B0C" w:rsidRDefault="009C72AA" w:rsidP="009C72AA">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2986"/>
        <w:gridCol w:w="604"/>
        <w:gridCol w:w="1411"/>
        <w:gridCol w:w="1412"/>
        <w:gridCol w:w="283"/>
        <w:gridCol w:w="1417"/>
        <w:gridCol w:w="1526"/>
      </w:tblGrid>
      <w:tr w:rsidR="009C72AA" w:rsidRPr="00B84B0C" w14:paraId="54C2B9F5" w14:textId="77777777" w:rsidTr="009C72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themeFill="accent5" w:themeFillTint="33"/>
            <w:vAlign w:val="center"/>
          </w:tcPr>
          <w:p w14:paraId="18C4E621" w14:textId="77777777" w:rsidR="009C72AA" w:rsidRPr="00B84B0C" w:rsidRDefault="009C72AA" w:rsidP="009C72AA">
            <w:pPr>
              <w:jc w:val="center"/>
              <w:rPr>
                <w:rFonts w:cs="Arial"/>
                <w:b w:val="0"/>
                <w:szCs w:val="18"/>
              </w:rPr>
            </w:pPr>
          </w:p>
        </w:tc>
        <w:tc>
          <w:tcPr>
            <w:tcW w:w="604" w:type="dxa"/>
            <w:tcBorders>
              <w:top w:val="single" w:sz="2" w:space="0" w:color="8EAADB" w:themeColor="accent5" w:themeTint="99"/>
              <w:bottom w:val="nil"/>
            </w:tcBorders>
            <w:shd w:val="clear" w:color="auto" w:fill="D9E2F3" w:themeFill="accent5" w:themeFillTint="33"/>
          </w:tcPr>
          <w:p w14:paraId="54BD33B0" w14:textId="77777777" w:rsidR="009C72AA" w:rsidRPr="00B84B0C" w:rsidRDefault="009C72AA" w:rsidP="009C72AA">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82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7974CD83" w14:textId="77777777" w:rsidR="009C72AA" w:rsidRPr="00B84B0C" w:rsidRDefault="009C72AA" w:rsidP="009C72AA">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10FD0DFC" w14:textId="77777777" w:rsidR="009C72AA" w:rsidRPr="00B84B0C" w:rsidRDefault="009C72AA" w:rsidP="009C72AA">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94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70E2588" w14:textId="77777777" w:rsidR="009C72AA" w:rsidRPr="00B84B0C" w:rsidRDefault="009C72AA" w:rsidP="009C72AA">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roofErr w:type="spellStart"/>
            <w:r w:rsidRPr="00B84B0C">
              <w:rPr>
                <w:rFonts w:cs="Arial"/>
                <w:sz w:val="14"/>
                <w:szCs w:val="18"/>
              </w:rPr>
              <w:t>Consolidated</w:t>
            </w:r>
            <w:proofErr w:type="spellEnd"/>
          </w:p>
        </w:tc>
      </w:tr>
      <w:tr w:rsidR="009C72AA" w:rsidRPr="00B84B0C" w14:paraId="5963EEF0"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4D64C6E4" w14:textId="77777777" w:rsidR="009C72AA" w:rsidRPr="00B84B0C" w:rsidRDefault="009C72AA" w:rsidP="009C72AA">
            <w:pPr>
              <w:pStyle w:val="08-Tabelageral"/>
              <w:rPr>
                <w:rFonts w:cs="Arial"/>
                <w:b w:val="0"/>
              </w:rPr>
            </w:pPr>
          </w:p>
        </w:tc>
        <w:tc>
          <w:tcPr>
            <w:tcW w:w="604" w:type="dxa"/>
            <w:tcBorders>
              <w:top w:val="nil"/>
              <w:bottom w:val="single" w:sz="2" w:space="0" w:color="8EAADB" w:themeColor="accent5" w:themeTint="99"/>
            </w:tcBorders>
          </w:tcPr>
          <w:p w14:paraId="2E2EFF5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center"/>
          </w:tcPr>
          <w:p w14:paraId="5C0625E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412" w:type="dxa"/>
            <w:tcBorders>
              <w:top w:val="single" w:sz="2" w:space="0" w:color="8EAADB" w:themeColor="accent5" w:themeTint="99"/>
              <w:bottom w:val="single" w:sz="2" w:space="0" w:color="8EAADB" w:themeColor="accent5" w:themeTint="99"/>
            </w:tcBorders>
            <w:vAlign w:val="center"/>
          </w:tcPr>
          <w:p w14:paraId="72EA3BA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c>
          <w:tcPr>
            <w:tcW w:w="283" w:type="dxa"/>
            <w:tcBorders>
              <w:top w:val="nil"/>
              <w:bottom w:val="single" w:sz="2" w:space="0" w:color="8EAADB" w:themeColor="accent5" w:themeTint="99"/>
            </w:tcBorders>
            <w:vAlign w:val="center"/>
          </w:tcPr>
          <w:p w14:paraId="1EFF833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center"/>
          </w:tcPr>
          <w:p w14:paraId="4B5966B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526" w:type="dxa"/>
            <w:tcBorders>
              <w:top w:val="single" w:sz="2" w:space="0" w:color="8EAADB" w:themeColor="accent5" w:themeTint="99"/>
              <w:bottom w:val="single" w:sz="2" w:space="0" w:color="8EAADB" w:themeColor="accent5" w:themeTint="99"/>
            </w:tcBorders>
            <w:vAlign w:val="center"/>
          </w:tcPr>
          <w:p w14:paraId="3FC73C5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9C72AA" w:rsidRPr="00B84B0C" w14:paraId="0118DD11"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69D252A3" w14:textId="77777777" w:rsidR="009C72AA" w:rsidRPr="00B84B0C" w:rsidRDefault="009C72AA" w:rsidP="009C72AA">
            <w:pPr>
              <w:pStyle w:val="08-Tabelageral"/>
              <w:jc w:val="left"/>
              <w:rPr>
                <w:rFonts w:cs="Arial"/>
                <w:b w:val="0"/>
              </w:rPr>
            </w:pPr>
            <w:proofErr w:type="spellStart"/>
            <w:r w:rsidRPr="00B84B0C">
              <w:rPr>
                <w:rFonts w:cs="Arial"/>
              </w:rPr>
              <w:t>Current</w:t>
            </w:r>
            <w:proofErr w:type="spellEnd"/>
            <w:r w:rsidRPr="00B84B0C">
              <w:rPr>
                <w:rFonts w:cs="Arial"/>
              </w:rPr>
              <w:t xml:space="preserve"> </w:t>
            </w:r>
            <w:proofErr w:type="spellStart"/>
            <w:r w:rsidRPr="00B84B0C">
              <w:rPr>
                <w:rFonts w:cs="Arial"/>
              </w:rPr>
              <w:t>Liabilities</w:t>
            </w:r>
            <w:proofErr w:type="spellEnd"/>
          </w:p>
        </w:tc>
        <w:tc>
          <w:tcPr>
            <w:tcW w:w="604" w:type="dxa"/>
            <w:tcBorders>
              <w:top w:val="nil"/>
              <w:bottom w:val="nil"/>
            </w:tcBorders>
          </w:tcPr>
          <w:p w14:paraId="44B9352B"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11" w:type="dxa"/>
            <w:tcBorders>
              <w:top w:val="single" w:sz="2" w:space="0" w:color="8EAADB" w:themeColor="accent5" w:themeTint="99"/>
              <w:bottom w:val="nil"/>
            </w:tcBorders>
            <w:vAlign w:val="center"/>
          </w:tcPr>
          <w:p w14:paraId="1039996D"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12" w:type="dxa"/>
            <w:tcBorders>
              <w:top w:val="single" w:sz="2" w:space="0" w:color="8EAADB" w:themeColor="accent5" w:themeTint="99"/>
              <w:bottom w:val="nil"/>
            </w:tcBorders>
            <w:vAlign w:val="center"/>
          </w:tcPr>
          <w:p w14:paraId="0CBFA62B"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283" w:type="dxa"/>
            <w:tcBorders>
              <w:top w:val="nil"/>
              <w:bottom w:val="nil"/>
            </w:tcBorders>
            <w:vAlign w:val="center"/>
          </w:tcPr>
          <w:p w14:paraId="2F56829C"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Borders>
              <w:top w:val="single" w:sz="2" w:space="0" w:color="8EAADB" w:themeColor="accent5" w:themeTint="99"/>
              <w:bottom w:val="nil"/>
            </w:tcBorders>
            <w:vAlign w:val="center"/>
          </w:tcPr>
          <w:p w14:paraId="24DD5CFC"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526" w:type="dxa"/>
            <w:tcBorders>
              <w:top w:val="single" w:sz="2" w:space="0" w:color="8EAADB" w:themeColor="accent5" w:themeTint="99"/>
              <w:bottom w:val="nil"/>
            </w:tcBorders>
            <w:vAlign w:val="center"/>
          </w:tcPr>
          <w:p w14:paraId="5B44FFDE"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r>
      <w:tr w:rsidR="009C72AA" w:rsidRPr="00B84B0C" w14:paraId="54DDFFB5"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31E57A7E" w14:textId="77777777" w:rsidR="009C72AA" w:rsidRPr="00B84B0C" w:rsidRDefault="009C72AA" w:rsidP="009C72AA">
            <w:pPr>
              <w:pStyle w:val="08-Tabelageral"/>
              <w:ind w:left="113" w:hanging="113"/>
              <w:jc w:val="left"/>
              <w:rPr>
                <w:rFonts w:cs="Arial"/>
                <w:b w:val="0"/>
                <w:szCs w:val="14"/>
                <w:vertAlign w:val="superscript"/>
              </w:rPr>
            </w:pPr>
            <w:proofErr w:type="spellStart"/>
            <w:r w:rsidRPr="00B84B0C">
              <w:rPr>
                <w:rFonts w:cs="Arial"/>
                <w:b w:val="0"/>
                <w:szCs w:val="14"/>
              </w:rPr>
              <w:t>Amounts</w:t>
            </w:r>
            <w:proofErr w:type="spellEnd"/>
            <w:r w:rsidRPr="00B84B0C">
              <w:rPr>
                <w:rFonts w:cs="Arial"/>
                <w:b w:val="0"/>
                <w:szCs w:val="14"/>
              </w:rPr>
              <w:t xml:space="preserve"> </w:t>
            </w:r>
            <w:proofErr w:type="spellStart"/>
            <w:r w:rsidRPr="00B84B0C">
              <w:rPr>
                <w:rFonts w:cs="Arial"/>
                <w:b w:val="0"/>
                <w:szCs w:val="14"/>
              </w:rPr>
              <w:t>payable</w:t>
            </w:r>
            <w:proofErr w:type="spellEnd"/>
            <w:r w:rsidRPr="00B84B0C">
              <w:rPr>
                <w:rFonts w:cs="Arial"/>
                <w:b w:val="0"/>
                <w:szCs w:val="14"/>
              </w:rPr>
              <w:t xml:space="preserve"> </w:t>
            </w:r>
            <w:proofErr w:type="spellStart"/>
            <w:r w:rsidRPr="00B84B0C">
              <w:rPr>
                <w:rFonts w:cs="Arial"/>
                <w:b w:val="0"/>
                <w:szCs w:val="14"/>
              </w:rPr>
              <w:t>to</w:t>
            </w:r>
            <w:proofErr w:type="spellEnd"/>
            <w:r w:rsidRPr="00B84B0C">
              <w:rPr>
                <w:rFonts w:cs="Arial"/>
                <w:b w:val="0"/>
                <w:szCs w:val="14"/>
              </w:rPr>
              <w:t xml:space="preserve"> </w:t>
            </w:r>
            <w:proofErr w:type="spellStart"/>
            <w:r w:rsidRPr="00B84B0C">
              <w:rPr>
                <w:rFonts w:cs="Arial"/>
                <w:b w:val="0"/>
                <w:szCs w:val="14"/>
              </w:rPr>
              <w:t>related</w:t>
            </w:r>
            <w:proofErr w:type="spellEnd"/>
            <w:r w:rsidRPr="00B84B0C">
              <w:rPr>
                <w:rFonts w:cs="Arial"/>
                <w:b w:val="0"/>
                <w:szCs w:val="14"/>
              </w:rPr>
              <w:t xml:space="preserve"> </w:t>
            </w:r>
            <w:proofErr w:type="spellStart"/>
            <w:proofErr w:type="gramStart"/>
            <w:r w:rsidRPr="00B84B0C">
              <w:rPr>
                <w:rFonts w:cs="Arial"/>
                <w:b w:val="0"/>
                <w:szCs w:val="14"/>
              </w:rPr>
              <w:t>companies</w:t>
            </w:r>
            <w:proofErr w:type="spellEnd"/>
            <w:r w:rsidRPr="00B84B0C">
              <w:rPr>
                <w:rFonts w:cs="Arial"/>
                <w:b w:val="0"/>
                <w:szCs w:val="14"/>
                <w:vertAlign w:val="superscript"/>
              </w:rPr>
              <w:t>(</w:t>
            </w:r>
            <w:proofErr w:type="gramEnd"/>
            <w:r w:rsidRPr="00B84B0C">
              <w:rPr>
                <w:rFonts w:cs="Arial"/>
                <w:b w:val="0"/>
                <w:szCs w:val="14"/>
                <w:vertAlign w:val="superscript"/>
              </w:rPr>
              <w:t>1)</w:t>
            </w:r>
          </w:p>
        </w:tc>
        <w:tc>
          <w:tcPr>
            <w:tcW w:w="604" w:type="dxa"/>
            <w:tcBorders>
              <w:top w:val="nil"/>
              <w:bottom w:val="nil"/>
            </w:tcBorders>
            <w:vAlign w:val="center"/>
          </w:tcPr>
          <w:p w14:paraId="4B98F8C8" w14:textId="77777777" w:rsidR="009C72AA" w:rsidRPr="00B84B0C" w:rsidRDefault="009C72AA" w:rsidP="009C72A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468D0129"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5,857</w:t>
            </w:r>
          </w:p>
        </w:tc>
        <w:tc>
          <w:tcPr>
            <w:tcW w:w="1412" w:type="dxa"/>
            <w:tcBorders>
              <w:top w:val="nil"/>
              <w:bottom w:val="nil"/>
            </w:tcBorders>
            <w:vAlign w:val="center"/>
          </w:tcPr>
          <w:p w14:paraId="2A7264A7"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5,615</w:t>
            </w:r>
          </w:p>
        </w:tc>
        <w:tc>
          <w:tcPr>
            <w:tcW w:w="283" w:type="dxa"/>
            <w:tcBorders>
              <w:top w:val="nil"/>
              <w:bottom w:val="nil"/>
            </w:tcBorders>
            <w:vAlign w:val="center"/>
          </w:tcPr>
          <w:p w14:paraId="018C1D95"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77579878"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72,419</w:t>
            </w:r>
          </w:p>
        </w:tc>
        <w:tc>
          <w:tcPr>
            <w:tcW w:w="1526" w:type="dxa"/>
            <w:tcBorders>
              <w:top w:val="nil"/>
              <w:bottom w:val="nil"/>
            </w:tcBorders>
            <w:vAlign w:val="center"/>
          </w:tcPr>
          <w:p w14:paraId="76812E66"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62,008</w:t>
            </w:r>
          </w:p>
        </w:tc>
      </w:tr>
      <w:tr w:rsidR="009C72AA" w:rsidRPr="00B84B0C" w14:paraId="3CD56CCA" w14:textId="77777777" w:rsidTr="009C72AA">
        <w:trPr>
          <w:trHeight w:hRule="exact" w:val="397"/>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63A797F2" w14:textId="77777777" w:rsidR="009C72AA" w:rsidRPr="00B84B0C" w:rsidRDefault="009C72AA" w:rsidP="009C72AA">
            <w:pPr>
              <w:pStyle w:val="08-Tabelageral"/>
              <w:jc w:val="left"/>
              <w:rPr>
                <w:rFonts w:cs="Arial"/>
                <w:b w:val="0"/>
                <w:szCs w:val="14"/>
              </w:rPr>
            </w:pPr>
            <w:r w:rsidRPr="00B84B0C">
              <w:rPr>
                <w:rFonts w:cs="Arial"/>
                <w:b w:val="0"/>
                <w:szCs w:val="14"/>
              </w:rPr>
              <w:t xml:space="preserve">Annual </w:t>
            </w:r>
            <w:proofErr w:type="spellStart"/>
            <w:r w:rsidRPr="00B84B0C">
              <w:rPr>
                <w:rFonts w:cs="Arial"/>
                <w:b w:val="0"/>
                <w:szCs w:val="14"/>
              </w:rPr>
              <w:t>variable</w:t>
            </w:r>
            <w:proofErr w:type="spellEnd"/>
            <w:r w:rsidRPr="00B84B0C">
              <w:rPr>
                <w:rFonts w:cs="Arial"/>
                <w:b w:val="0"/>
                <w:szCs w:val="14"/>
              </w:rPr>
              <w:t xml:space="preserve"> </w:t>
            </w:r>
            <w:proofErr w:type="spellStart"/>
            <w:r w:rsidRPr="00B84B0C">
              <w:rPr>
                <w:rFonts w:cs="Arial"/>
                <w:b w:val="0"/>
                <w:szCs w:val="14"/>
              </w:rPr>
              <w:t>remuneration</w:t>
            </w:r>
            <w:proofErr w:type="spellEnd"/>
            <w:r w:rsidRPr="00B84B0C">
              <w:rPr>
                <w:rFonts w:cs="Arial"/>
                <w:b w:val="0"/>
                <w:szCs w:val="14"/>
              </w:rPr>
              <w:t xml:space="preserve"> </w:t>
            </w:r>
            <w:proofErr w:type="spellStart"/>
            <w:r w:rsidRPr="00B84B0C">
              <w:rPr>
                <w:rFonts w:cs="Arial"/>
                <w:b w:val="0"/>
                <w:szCs w:val="14"/>
              </w:rPr>
              <w:t>program</w:t>
            </w:r>
            <w:proofErr w:type="spellEnd"/>
            <w:r w:rsidRPr="00B84B0C">
              <w:rPr>
                <w:rFonts w:cs="Arial"/>
                <w:b w:val="0"/>
                <w:szCs w:val="14"/>
              </w:rPr>
              <w:t xml:space="preserve"> </w:t>
            </w:r>
            <w:proofErr w:type="spellStart"/>
            <w:r w:rsidRPr="00B84B0C">
              <w:rPr>
                <w:rFonts w:cs="Arial"/>
                <w:b w:val="0"/>
                <w:szCs w:val="14"/>
              </w:rPr>
              <w:t>of</w:t>
            </w:r>
            <w:proofErr w:type="spellEnd"/>
            <w:r w:rsidRPr="00B84B0C">
              <w:rPr>
                <w:rFonts w:cs="Arial"/>
                <w:b w:val="0"/>
                <w:szCs w:val="14"/>
              </w:rPr>
              <w:t xml:space="preserve"> </w:t>
            </w:r>
            <w:proofErr w:type="spellStart"/>
            <w:r w:rsidRPr="00B84B0C">
              <w:rPr>
                <w:rFonts w:cs="Arial"/>
                <w:b w:val="0"/>
                <w:szCs w:val="14"/>
              </w:rPr>
              <w:t>the</w:t>
            </w:r>
            <w:proofErr w:type="spellEnd"/>
            <w:r w:rsidRPr="00B84B0C">
              <w:rPr>
                <w:rFonts w:cs="Arial"/>
                <w:b w:val="0"/>
                <w:szCs w:val="14"/>
              </w:rPr>
              <w:t xml:space="preserve"> </w:t>
            </w:r>
            <w:proofErr w:type="spellStart"/>
            <w:r w:rsidRPr="00B84B0C">
              <w:rPr>
                <w:rFonts w:cs="Arial"/>
                <w:b w:val="0"/>
                <w:szCs w:val="14"/>
              </w:rPr>
              <w:t>Executive</w:t>
            </w:r>
            <w:proofErr w:type="spellEnd"/>
            <w:r w:rsidRPr="00B84B0C">
              <w:rPr>
                <w:rFonts w:cs="Arial"/>
                <w:b w:val="0"/>
                <w:szCs w:val="14"/>
              </w:rPr>
              <w:t xml:space="preserve"> Board</w:t>
            </w:r>
          </w:p>
        </w:tc>
        <w:tc>
          <w:tcPr>
            <w:tcW w:w="604" w:type="dxa"/>
            <w:tcBorders>
              <w:top w:val="nil"/>
              <w:bottom w:val="nil"/>
            </w:tcBorders>
            <w:vAlign w:val="center"/>
          </w:tcPr>
          <w:p w14:paraId="2F7D0CE9" w14:textId="77777777" w:rsidR="009C72AA" w:rsidRPr="00B84B0C" w:rsidRDefault="009C72AA" w:rsidP="009C72AA">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vAlign w:val="center"/>
          </w:tcPr>
          <w:p w14:paraId="6B6512FE"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1,421</w:t>
            </w:r>
          </w:p>
        </w:tc>
        <w:tc>
          <w:tcPr>
            <w:tcW w:w="1412" w:type="dxa"/>
            <w:tcBorders>
              <w:top w:val="nil"/>
              <w:bottom w:val="nil"/>
            </w:tcBorders>
            <w:vAlign w:val="center"/>
          </w:tcPr>
          <w:p w14:paraId="1F969E00"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2,444</w:t>
            </w:r>
          </w:p>
        </w:tc>
        <w:tc>
          <w:tcPr>
            <w:tcW w:w="283" w:type="dxa"/>
            <w:tcBorders>
              <w:top w:val="nil"/>
              <w:bottom w:val="nil"/>
            </w:tcBorders>
            <w:vAlign w:val="center"/>
          </w:tcPr>
          <w:p w14:paraId="70382610"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17" w:type="dxa"/>
            <w:tcBorders>
              <w:top w:val="nil"/>
              <w:bottom w:val="nil"/>
            </w:tcBorders>
            <w:vAlign w:val="center"/>
          </w:tcPr>
          <w:p w14:paraId="35191944"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1,421</w:t>
            </w:r>
          </w:p>
        </w:tc>
        <w:tc>
          <w:tcPr>
            <w:tcW w:w="1526" w:type="dxa"/>
            <w:tcBorders>
              <w:top w:val="nil"/>
              <w:bottom w:val="nil"/>
            </w:tcBorders>
            <w:vAlign w:val="center"/>
          </w:tcPr>
          <w:p w14:paraId="1EEB1D72"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2,444</w:t>
            </w:r>
          </w:p>
        </w:tc>
      </w:tr>
      <w:tr w:rsidR="009C72AA" w:rsidRPr="00B84B0C" w14:paraId="60B7D067"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tcPr>
          <w:p w14:paraId="62BB5B12" w14:textId="77777777" w:rsidR="009C72AA" w:rsidRPr="00B84B0C" w:rsidRDefault="009C72AA" w:rsidP="009C72AA">
            <w:pPr>
              <w:pStyle w:val="08-Tabelageral"/>
              <w:ind w:left="113" w:hanging="113"/>
              <w:jc w:val="left"/>
              <w:rPr>
                <w:rFonts w:cs="Arial"/>
                <w:b w:val="0"/>
                <w:szCs w:val="14"/>
              </w:rPr>
            </w:pPr>
            <w:r w:rsidRPr="00B84B0C">
              <w:rPr>
                <w:rFonts w:cs="Arial"/>
                <w:b w:val="0"/>
                <w:szCs w:val="14"/>
              </w:rPr>
              <w:t>Other</w:t>
            </w:r>
          </w:p>
        </w:tc>
        <w:tc>
          <w:tcPr>
            <w:tcW w:w="604" w:type="dxa"/>
            <w:tcBorders>
              <w:top w:val="nil"/>
              <w:bottom w:val="nil"/>
            </w:tcBorders>
            <w:vAlign w:val="center"/>
          </w:tcPr>
          <w:p w14:paraId="48A1ABA3" w14:textId="77777777" w:rsidR="009C72AA" w:rsidRPr="00B84B0C" w:rsidRDefault="009C72AA" w:rsidP="009C72AA">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7D426DD8"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344</w:t>
            </w:r>
          </w:p>
        </w:tc>
        <w:tc>
          <w:tcPr>
            <w:tcW w:w="1412" w:type="dxa"/>
            <w:tcBorders>
              <w:top w:val="nil"/>
              <w:bottom w:val="nil"/>
            </w:tcBorders>
            <w:vAlign w:val="center"/>
          </w:tcPr>
          <w:p w14:paraId="787CEB4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179</w:t>
            </w:r>
          </w:p>
        </w:tc>
        <w:tc>
          <w:tcPr>
            <w:tcW w:w="283" w:type="dxa"/>
            <w:tcBorders>
              <w:top w:val="nil"/>
              <w:bottom w:val="nil"/>
            </w:tcBorders>
            <w:vAlign w:val="center"/>
          </w:tcPr>
          <w:p w14:paraId="6B5C08A4"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vAlign w:val="center"/>
          </w:tcPr>
          <w:p w14:paraId="44C47EC7"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693</w:t>
            </w:r>
          </w:p>
        </w:tc>
        <w:tc>
          <w:tcPr>
            <w:tcW w:w="1526" w:type="dxa"/>
            <w:tcBorders>
              <w:top w:val="nil"/>
              <w:bottom w:val="nil"/>
            </w:tcBorders>
            <w:vAlign w:val="center"/>
          </w:tcPr>
          <w:p w14:paraId="4140743B"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191</w:t>
            </w:r>
          </w:p>
        </w:tc>
      </w:tr>
      <w:tr w:rsidR="009C72AA" w:rsidRPr="00B84B0C" w14:paraId="709C5FDC"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06C2D883" w14:textId="77777777" w:rsidR="009C72AA" w:rsidRPr="00B84B0C" w:rsidRDefault="009C72AA" w:rsidP="009C72AA">
            <w:pPr>
              <w:pStyle w:val="08-Tabelageral"/>
              <w:jc w:val="left"/>
              <w:rPr>
                <w:rFonts w:cs="Arial"/>
              </w:rPr>
            </w:pPr>
            <w:r w:rsidRPr="00B84B0C">
              <w:rPr>
                <w:rFonts w:cs="Arial"/>
              </w:rPr>
              <w:t xml:space="preserve">Total </w:t>
            </w:r>
          </w:p>
          <w:p w14:paraId="7BF8CBF0" w14:textId="77777777" w:rsidR="009C72AA" w:rsidRPr="00B84B0C" w:rsidRDefault="009C72AA" w:rsidP="009C72AA">
            <w:pPr>
              <w:pStyle w:val="08-Tabelageral"/>
              <w:jc w:val="left"/>
              <w:rPr>
                <w:rFonts w:cs="Arial"/>
                <w:szCs w:val="14"/>
              </w:rPr>
            </w:pPr>
          </w:p>
        </w:tc>
        <w:tc>
          <w:tcPr>
            <w:tcW w:w="604" w:type="dxa"/>
            <w:tcBorders>
              <w:top w:val="nil"/>
              <w:bottom w:val="single" w:sz="2" w:space="0" w:color="8EAADB" w:themeColor="accent5" w:themeTint="99"/>
            </w:tcBorders>
            <w:vAlign w:val="center"/>
          </w:tcPr>
          <w:p w14:paraId="12B4B8CA" w14:textId="77777777" w:rsidR="009C72AA" w:rsidRPr="00B84B0C" w:rsidRDefault="009C72AA" w:rsidP="009C72AA">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single" w:sz="2" w:space="0" w:color="8EAADB" w:themeColor="accent5" w:themeTint="99"/>
            </w:tcBorders>
            <w:vAlign w:val="center"/>
          </w:tcPr>
          <w:p w14:paraId="3A21E7F0"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7,622</w:t>
            </w:r>
          </w:p>
        </w:tc>
        <w:tc>
          <w:tcPr>
            <w:tcW w:w="1412" w:type="dxa"/>
            <w:tcBorders>
              <w:top w:val="nil"/>
              <w:bottom w:val="single" w:sz="2" w:space="0" w:color="8EAADB" w:themeColor="accent5" w:themeTint="99"/>
            </w:tcBorders>
            <w:vAlign w:val="center"/>
          </w:tcPr>
          <w:p w14:paraId="41CBB1C3"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8,238</w:t>
            </w:r>
          </w:p>
        </w:tc>
        <w:tc>
          <w:tcPr>
            <w:tcW w:w="283" w:type="dxa"/>
            <w:tcBorders>
              <w:top w:val="nil"/>
              <w:bottom w:val="single" w:sz="2" w:space="0" w:color="8EAADB" w:themeColor="accent5" w:themeTint="99"/>
            </w:tcBorders>
            <w:vAlign w:val="center"/>
          </w:tcPr>
          <w:p w14:paraId="3E6F5BEF"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7" w:type="dxa"/>
            <w:tcBorders>
              <w:top w:val="nil"/>
              <w:bottom w:val="single" w:sz="2" w:space="0" w:color="8EAADB" w:themeColor="accent5" w:themeTint="99"/>
            </w:tcBorders>
            <w:vAlign w:val="center"/>
          </w:tcPr>
          <w:p w14:paraId="5126AE59"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74,533</w:t>
            </w:r>
          </w:p>
        </w:tc>
        <w:tc>
          <w:tcPr>
            <w:tcW w:w="1526" w:type="dxa"/>
            <w:tcBorders>
              <w:top w:val="nil"/>
              <w:bottom w:val="single" w:sz="2" w:space="0" w:color="8EAADB" w:themeColor="accent5" w:themeTint="99"/>
            </w:tcBorders>
            <w:vAlign w:val="center"/>
          </w:tcPr>
          <w:p w14:paraId="53FB73F5"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64,643</w:t>
            </w:r>
          </w:p>
        </w:tc>
      </w:tr>
    </w:tbl>
    <w:p w14:paraId="3A165D4E" w14:textId="77777777" w:rsidR="009C72AA" w:rsidRPr="00B84B0C" w:rsidRDefault="009C72AA" w:rsidP="009C72AA">
      <w:pPr>
        <w:pStyle w:val="07-Legenda"/>
        <w:numPr>
          <w:ilvl w:val="0"/>
          <w:numId w:val="37"/>
        </w:numPr>
        <w:ind w:left="284" w:hanging="284"/>
        <w:rPr>
          <w:rFonts w:cs="Arial"/>
          <w:lang w:val="en-US"/>
        </w:rPr>
      </w:pPr>
      <w:r w:rsidRPr="00B84B0C">
        <w:rPr>
          <w:rFonts w:cs="Arial"/>
          <w:lang w:val="en-US"/>
        </w:rPr>
        <w:t xml:space="preserve">Refers to expenses as sharing contract customer data, use of staff, distribution network and resource materials technological and administrative, between the Banco do </w:t>
      </w:r>
      <w:proofErr w:type="spellStart"/>
      <w:r w:rsidRPr="00B84B0C">
        <w:rPr>
          <w:rFonts w:cs="Arial"/>
          <w:lang w:val="en-US"/>
        </w:rPr>
        <w:t>Brasil</w:t>
      </w:r>
      <w:proofErr w:type="spellEnd"/>
      <w:r w:rsidRPr="00B84B0C">
        <w:rPr>
          <w:rFonts w:cs="Arial"/>
          <w:lang w:val="en-US"/>
        </w:rPr>
        <w:t xml:space="preserve">, BB </w:t>
      </w:r>
      <w:proofErr w:type="spellStart"/>
      <w:r w:rsidRPr="00B84B0C">
        <w:rPr>
          <w:rFonts w:cs="Arial"/>
          <w:lang w:val="en-US"/>
        </w:rPr>
        <w:t>Seguridade</w:t>
      </w:r>
      <w:proofErr w:type="spellEnd"/>
      <w:r w:rsidRPr="00B84B0C">
        <w:rPr>
          <w:rFonts w:cs="Arial"/>
          <w:lang w:val="en-US"/>
        </w:rPr>
        <w:t xml:space="preserve">, BB </w:t>
      </w:r>
      <w:proofErr w:type="spellStart"/>
      <w:r w:rsidRPr="00B84B0C">
        <w:rPr>
          <w:rFonts w:cs="Arial"/>
          <w:lang w:val="en-US"/>
        </w:rPr>
        <w:t>Corretora</w:t>
      </w:r>
      <w:proofErr w:type="spellEnd"/>
      <w:r w:rsidRPr="00B84B0C">
        <w:rPr>
          <w:rFonts w:cs="Arial"/>
          <w:lang w:val="en-US"/>
        </w:rPr>
        <w:t xml:space="preserve"> and BB </w:t>
      </w:r>
      <w:proofErr w:type="spellStart"/>
      <w:r w:rsidRPr="00B84B0C">
        <w:rPr>
          <w:rFonts w:cs="Arial"/>
          <w:lang w:val="en-US"/>
        </w:rPr>
        <w:t>Seguros</w:t>
      </w:r>
      <w:proofErr w:type="spellEnd"/>
      <w:r w:rsidRPr="00B84B0C">
        <w:rPr>
          <w:rFonts w:cs="Arial"/>
          <w:lang w:val="en-US"/>
        </w:rPr>
        <w:t>.</w:t>
      </w:r>
    </w:p>
    <w:p w14:paraId="07063FD9" w14:textId="77777777" w:rsidR="009C72AA" w:rsidRPr="00B84B0C" w:rsidRDefault="009C72AA" w:rsidP="009C72AA">
      <w:pPr>
        <w:pStyle w:val="PargrafodaLista"/>
        <w:ind w:left="284"/>
        <w:jc w:val="both"/>
        <w:rPr>
          <w:rFonts w:ascii="Arial" w:hAnsi="Arial" w:cs="Arial"/>
          <w:b/>
          <w:color w:val="1F4E79" w:themeColor="accent1" w:themeShade="80"/>
          <w:sz w:val="18"/>
          <w:szCs w:val="18"/>
        </w:rPr>
      </w:pPr>
      <w:r w:rsidRPr="00B84B0C">
        <w:rPr>
          <w:rFonts w:ascii="Arial" w:hAnsi="Arial" w:cs="Arial"/>
          <w:sz w:val="14"/>
          <w:szCs w:val="14"/>
        </w:rPr>
        <w:t xml:space="preserve">In </w:t>
      </w:r>
      <w:proofErr w:type="spellStart"/>
      <w:r w:rsidRPr="00B84B0C">
        <w:rPr>
          <w:rFonts w:ascii="Arial" w:hAnsi="Arial" w:cs="Arial"/>
          <w:sz w:val="14"/>
          <w:szCs w:val="14"/>
        </w:rPr>
        <w:t>Consolidated</w:t>
      </w:r>
      <w:proofErr w:type="spellEnd"/>
      <w:r w:rsidRPr="00B84B0C">
        <w:rPr>
          <w:rFonts w:ascii="Arial" w:hAnsi="Arial" w:cs="Arial"/>
          <w:sz w:val="14"/>
          <w:szCs w:val="14"/>
        </w:rPr>
        <w:t xml:space="preserve">, it </w:t>
      </w:r>
      <w:proofErr w:type="spellStart"/>
      <w:r w:rsidRPr="00B84B0C">
        <w:rPr>
          <w:rFonts w:ascii="Arial" w:hAnsi="Arial" w:cs="Arial"/>
          <w:sz w:val="14"/>
          <w:szCs w:val="14"/>
        </w:rPr>
        <w:t>also</w:t>
      </w:r>
      <w:proofErr w:type="spellEnd"/>
      <w:r w:rsidRPr="00B84B0C">
        <w:rPr>
          <w:rFonts w:ascii="Arial" w:hAnsi="Arial" w:cs="Arial"/>
          <w:sz w:val="14"/>
          <w:szCs w:val="14"/>
        </w:rPr>
        <w:t xml:space="preserve"> includes </w:t>
      </w:r>
      <w:proofErr w:type="spellStart"/>
      <w:r w:rsidRPr="00B84B0C">
        <w:rPr>
          <w:rFonts w:ascii="Arial" w:hAnsi="Arial" w:cs="Arial"/>
          <w:sz w:val="14"/>
          <w:szCs w:val="14"/>
        </w:rPr>
        <w:t>amounts</w:t>
      </w:r>
      <w:proofErr w:type="spellEnd"/>
      <w:r w:rsidRPr="00B84B0C">
        <w:rPr>
          <w:rFonts w:ascii="Arial" w:hAnsi="Arial" w:cs="Arial"/>
          <w:sz w:val="14"/>
          <w:szCs w:val="14"/>
        </w:rPr>
        <w:t xml:space="preserve"> </w:t>
      </w:r>
      <w:proofErr w:type="spellStart"/>
      <w:r w:rsidRPr="00B84B0C">
        <w:rPr>
          <w:rFonts w:ascii="Arial" w:hAnsi="Arial" w:cs="Arial"/>
          <w:sz w:val="14"/>
          <w:szCs w:val="14"/>
        </w:rPr>
        <w:t>related</w:t>
      </w:r>
      <w:proofErr w:type="spellEnd"/>
      <w:r w:rsidRPr="00B84B0C">
        <w:rPr>
          <w:rFonts w:ascii="Arial" w:hAnsi="Arial" w:cs="Arial"/>
          <w:sz w:val="14"/>
          <w:szCs w:val="14"/>
        </w:rPr>
        <w:t xml:space="preserve"> </w:t>
      </w:r>
      <w:proofErr w:type="spellStart"/>
      <w:r w:rsidRPr="00B84B0C">
        <w:rPr>
          <w:rFonts w:ascii="Arial" w:hAnsi="Arial" w:cs="Arial"/>
          <w:sz w:val="14"/>
          <w:szCs w:val="14"/>
        </w:rPr>
        <w:t>to</w:t>
      </w:r>
      <w:proofErr w:type="spellEnd"/>
      <w:r w:rsidRPr="00B84B0C">
        <w:rPr>
          <w:rFonts w:ascii="Arial" w:hAnsi="Arial" w:cs="Arial"/>
          <w:sz w:val="14"/>
          <w:szCs w:val="14"/>
        </w:rPr>
        <w:t xml:space="preserve"> </w:t>
      </w:r>
      <w:proofErr w:type="spellStart"/>
      <w:r w:rsidRPr="00B84B0C">
        <w:rPr>
          <w:rFonts w:ascii="Arial" w:hAnsi="Arial" w:cs="Arial"/>
          <w:sz w:val="14"/>
          <w:szCs w:val="14"/>
        </w:rPr>
        <w:t>the</w:t>
      </w:r>
      <w:proofErr w:type="spellEnd"/>
      <w:r w:rsidRPr="00B84B0C">
        <w:rPr>
          <w:rFonts w:ascii="Arial" w:hAnsi="Arial" w:cs="Arial"/>
          <w:sz w:val="14"/>
          <w:szCs w:val="14"/>
        </w:rPr>
        <w:t xml:space="preserve"> </w:t>
      </w:r>
      <w:proofErr w:type="spellStart"/>
      <w:r w:rsidRPr="00B84B0C">
        <w:rPr>
          <w:rFonts w:ascii="Arial" w:hAnsi="Arial" w:cs="Arial"/>
          <w:sz w:val="14"/>
          <w:szCs w:val="14"/>
        </w:rPr>
        <w:t>price</w:t>
      </w:r>
      <w:proofErr w:type="spellEnd"/>
      <w:r w:rsidRPr="00B84B0C">
        <w:rPr>
          <w:rFonts w:ascii="Arial" w:hAnsi="Arial" w:cs="Arial"/>
          <w:sz w:val="14"/>
          <w:szCs w:val="14"/>
        </w:rPr>
        <w:t xml:space="preserve"> </w:t>
      </w:r>
      <w:proofErr w:type="spellStart"/>
      <w:r w:rsidRPr="00B84B0C">
        <w:rPr>
          <w:rFonts w:ascii="Arial" w:hAnsi="Arial" w:cs="Arial"/>
          <w:sz w:val="14"/>
          <w:szCs w:val="14"/>
        </w:rPr>
        <w:t>adjustment</w:t>
      </w:r>
      <w:proofErr w:type="spellEnd"/>
      <w:r w:rsidRPr="00B84B0C">
        <w:rPr>
          <w:rFonts w:ascii="Arial" w:hAnsi="Arial" w:cs="Arial"/>
          <w:sz w:val="14"/>
          <w:szCs w:val="14"/>
        </w:rPr>
        <w:t xml:space="preserve"> </w:t>
      </w:r>
      <w:proofErr w:type="spellStart"/>
      <w:r w:rsidRPr="00B84B0C">
        <w:rPr>
          <w:rFonts w:ascii="Arial" w:hAnsi="Arial" w:cs="Arial"/>
          <w:sz w:val="14"/>
          <w:szCs w:val="14"/>
        </w:rPr>
        <w:t>mechanism</w:t>
      </w:r>
      <w:proofErr w:type="spellEnd"/>
      <w:r w:rsidRPr="00B84B0C">
        <w:rPr>
          <w:rFonts w:ascii="Arial" w:hAnsi="Arial" w:cs="Arial"/>
          <w:sz w:val="14"/>
          <w:szCs w:val="14"/>
        </w:rPr>
        <w:t xml:space="preserve"> </w:t>
      </w:r>
      <w:proofErr w:type="spellStart"/>
      <w:r w:rsidRPr="00B84B0C">
        <w:rPr>
          <w:rFonts w:ascii="Arial" w:hAnsi="Arial" w:cs="Arial"/>
          <w:sz w:val="14"/>
          <w:szCs w:val="14"/>
        </w:rPr>
        <w:t>of</w:t>
      </w:r>
      <w:proofErr w:type="spellEnd"/>
      <w:r w:rsidRPr="00B84B0C">
        <w:rPr>
          <w:rFonts w:ascii="Arial" w:hAnsi="Arial" w:cs="Arial"/>
          <w:sz w:val="14"/>
          <w:szCs w:val="14"/>
        </w:rPr>
        <w:t xml:space="preserve"> </w:t>
      </w:r>
      <w:proofErr w:type="spellStart"/>
      <w:r w:rsidRPr="00B84B0C">
        <w:rPr>
          <w:rFonts w:ascii="Arial" w:hAnsi="Arial" w:cs="Arial"/>
          <w:sz w:val="14"/>
          <w:szCs w:val="14"/>
        </w:rPr>
        <w:t>the</w:t>
      </w:r>
      <w:proofErr w:type="spellEnd"/>
      <w:r w:rsidRPr="00B84B0C">
        <w:rPr>
          <w:rFonts w:ascii="Arial" w:hAnsi="Arial" w:cs="Arial"/>
          <w:sz w:val="14"/>
          <w:szCs w:val="14"/>
        </w:rPr>
        <w:t xml:space="preserve"> </w:t>
      </w:r>
      <w:proofErr w:type="spellStart"/>
      <w:r w:rsidRPr="00B84B0C">
        <w:rPr>
          <w:rFonts w:ascii="Arial" w:hAnsi="Arial" w:cs="Arial"/>
          <w:sz w:val="14"/>
          <w:szCs w:val="14"/>
        </w:rPr>
        <w:t>assets</w:t>
      </w:r>
      <w:proofErr w:type="spellEnd"/>
      <w:r w:rsidRPr="00B84B0C">
        <w:rPr>
          <w:rFonts w:ascii="Arial" w:hAnsi="Arial" w:cs="Arial"/>
          <w:sz w:val="14"/>
          <w:szCs w:val="14"/>
        </w:rPr>
        <w:t xml:space="preserve"> </w:t>
      </w:r>
      <w:proofErr w:type="spellStart"/>
      <w:r w:rsidRPr="00B84B0C">
        <w:rPr>
          <w:rFonts w:ascii="Arial" w:hAnsi="Arial" w:cs="Arial"/>
          <w:sz w:val="14"/>
          <w:szCs w:val="14"/>
        </w:rPr>
        <w:t>of</w:t>
      </w:r>
      <w:proofErr w:type="spellEnd"/>
      <w:r w:rsidRPr="00B84B0C">
        <w:rPr>
          <w:rFonts w:ascii="Arial" w:hAnsi="Arial" w:cs="Arial"/>
          <w:sz w:val="14"/>
          <w:szCs w:val="14"/>
        </w:rPr>
        <w:t xml:space="preserve"> </w:t>
      </w:r>
      <w:proofErr w:type="spellStart"/>
      <w:r w:rsidRPr="00B84B0C">
        <w:rPr>
          <w:rFonts w:ascii="Arial" w:hAnsi="Arial" w:cs="Arial"/>
          <w:sz w:val="14"/>
          <w:szCs w:val="14"/>
        </w:rPr>
        <w:t>Brasilveículos</w:t>
      </w:r>
      <w:proofErr w:type="spellEnd"/>
      <w:r w:rsidRPr="00B84B0C">
        <w:rPr>
          <w:rFonts w:ascii="Arial" w:hAnsi="Arial" w:cs="Arial"/>
          <w:sz w:val="14"/>
          <w:szCs w:val="14"/>
        </w:rPr>
        <w:t xml:space="preserve"> </w:t>
      </w:r>
      <w:proofErr w:type="spellStart"/>
      <w:r w:rsidRPr="00B84B0C">
        <w:rPr>
          <w:rFonts w:ascii="Arial" w:hAnsi="Arial" w:cs="Arial"/>
          <w:sz w:val="14"/>
          <w:szCs w:val="14"/>
        </w:rPr>
        <w:t>sold</w:t>
      </w:r>
      <w:proofErr w:type="spellEnd"/>
      <w:r w:rsidRPr="00B84B0C">
        <w:rPr>
          <w:rFonts w:ascii="Arial" w:hAnsi="Arial" w:cs="Arial"/>
          <w:sz w:val="14"/>
          <w:szCs w:val="14"/>
        </w:rPr>
        <w:t xml:space="preserve"> </w:t>
      </w:r>
      <w:proofErr w:type="spellStart"/>
      <w:r w:rsidRPr="00B84B0C">
        <w:rPr>
          <w:rFonts w:ascii="Arial" w:hAnsi="Arial" w:cs="Arial"/>
          <w:sz w:val="14"/>
          <w:szCs w:val="14"/>
        </w:rPr>
        <w:t>to</w:t>
      </w:r>
      <w:proofErr w:type="spellEnd"/>
      <w:r w:rsidRPr="00B84B0C">
        <w:rPr>
          <w:rFonts w:ascii="Arial" w:hAnsi="Arial" w:cs="Arial"/>
          <w:sz w:val="14"/>
          <w:szCs w:val="14"/>
        </w:rPr>
        <w:t xml:space="preserve"> MAPFRE Brasil </w:t>
      </w:r>
      <w:proofErr w:type="spellStart"/>
      <w:r w:rsidRPr="00B84B0C">
        <w:rPr>
          <w:rFonts w:ascii="Arial" w:hAnsi="Arial" w:cs="Arial"/>
          <w:sz w:val="14"/>
          <w:szCs w:val="14"/>
        </w:rPr>
        <w:t>on</w:t>
      </w:r>
      <w:proofErr w:type="spellEnd"/>
      <w:r w:rsidRPr="00B84B0C">
        <w:rPr>
          <w:rFonts w:ascii="Arial" w:hAnsi="Arial" w:cs="Arial"/>
          <w:sz w:val="14"/>
          <w:szCs w:val="14"/>
        </w:rPr>
        <w:t xml:space="preserve"> </w:t>
      </w:r>
      <w:proofErr w:type="spellStart"/>
      <w:r w:rsidRPr="00B84B0C">
        <w:rPr>
          <w:rFonts w:ascii="Arial" w:hAnsi="Arial" w:cs="Arial"/>
          <w:sz w:val="14"/>
          <w:szCs w:val="14"/>
        </w:rPr>
        <w:t>November</w:t>
      </w:r>
      <w:proofErr w:type="spellEnd"/>
      <w:r w:rsidRPr="00B84B0C">
        <w:rPr>
          <w:rFonts w:ascii="Arial" w:hAnsi="Arial" w:cs="Arial"/>
          <w:sz w:val="14"/>
          <w:szCs w:val="14"/>
        </w:rPr>
        <w:t xml:space="preserve"> 30, 2018 </w:t>
      </w:r>
      <w:proofErr w:type="spellStart"/>
      <w:r w:rsidRPr="00B84B0C">
        <w:rPr>
          <w:rFonts w:ascii="Arial" w:hAnsi="Arial" w:cs="Arial"/>
          <w:sz w:val="14"/>
          <w:szCs w:val="14"/>
        </w:rPr>
        <w:t>and</w:t>
      </w:r>
      <w:proofErr w:type="spellEnd"/>
      <w:r w:rsidRPr="00B84B0C">
        <w:rPr>
          <w:rFonts w:ascii="Arial" w:hAnsi="Arial" w:cs="Arial"/>
          <w:sz w:val="14"/>
          <w:szCs w:val="14"/>
        </w:rPr>
        <w:t xml:space="preserve"> a </w:t>
      </w:r>
      <w:proofErr w:type="spellStart"/>
      <w:r w:rsidRPr="00B84B0C">
        <w:rPr>
          <w:rFonts w:ascii="Arial" w:hAnsi="Arial" w:cs="Arial"/>
          <w:sz w:val="14"/>
          <w:szCs w:val="14"/>
        </w:rPr>
        <w:t>provision</w:t>
      </w:r>
      <w:proofErr w:type="spellEnd"/>
      <w:r w:rsidRPr="00B84B0C">
        <w:rPr>
          <w:rFonts w:ascii="Arial" w:hAnsi="Arial" w:cs="Arial"/>
          <w:sz w:val="14"/>
          <w:szCs w:val="14"/>
        </w:rPr>
        <w:t xml:space="preserve"> for </w:t>
      </w:r>
      <w:proofErr w:type="spellStart"/>
      <w:r w:rsidRPr="00B84B0C">
        <w:rPr>
          <w:rFonts w:ascii="Arial" w:hAnsi="Arial" w:cs="Arial"/>
          <w:sz w:val="14"/>
          <w:szCs w:val="14"/>
        </w:rPr>
        <w:t>brokerage</w:t>
      </w:r>
      <w:proofErr w:type="spellEnd"/>
      <w:r w:rsidRPr="00B84B0C">
        <w:rPr>
          <w:rFonts w:ascii="Arial" w:hAnsi="Arial" w:cs="Arial"/>
          <w:sz w:val="14"/>
          <w:szCs w:val="14"/>
        </w:rPr>
        <w:t xml:space="preserve"> </w:t>
      </w:r>
      <w:proofErr w:type="spellStart"/>
      <w:r w:rsidRPr="00B84B0C">
        <w:rPr>
          <w:rFonts w:ascii="Arial" w:hAnsi="Arial" w:cs="Arial"/>
          <w:sz w:val="14"/>
          <w:szCs w:val="14"/>
        </w:rPr>
        <w:t>to</w:t>
      </w:r>
      <w:proofErr w:type="spellEnd"/>
      <w:r w:rsidRPr="00B84B0C">
        <w:rPr>
          <w:rFonts w:ascii="Arial" w:hAnsi="Arial" w:cs="Arial"/>
          <w:sz w:val="14"/>
          <w:szCs w:val="14"/>
        </w:rPr>
        <w:t xml:space="preserve"> </w:t>
      </w:r>
      <w:proofErr w:type="spellStart"/>
      <w:r w:rsidRPr="00B84B0C">
        <w:rPr>
          <w:rFonts w:ascii="Arial" w:hAnsi="Arial" w:cs="Arial"/>
          <w:sz w:val="14"/>
          <w:szCs w:val="14"/>
        </w:rPr>
        <w:t>be</w:t>
      </w:r>
      <w:proofErr w:type="spellEnd"/>
      <w:r w:rsidRPr="00B84B0C">
        <w:rPr>
          <w:rFonts w:ascii="Arial" w:hAnsi="Arial" w:cs="Arial"/>
          <w:sz w:val="14"/>
          <w:szCs w:val="14"/>
        </w:rPr>
        <w:t xml:space="preserve"> </w:t>
      </w:r>
      <w:proofErr w:type="spellStart"/>
      <w:r w:rsidRPr="00B84B0C">
        <w:rPr>
          <w:rFonts w:ascii="Arial" w:hAnsi="Arial" w:cs="Arial"/>
          <w:sz w:val="14"/>
          <w:szCs w:val="14"/>
        </w:rPr>
        <w:t>returned</w:t>
      </w:r>
      <w:proofErr w:type="spellEnd"/>
      <w:r w:rsidRPr="00B84B0C">
        <w:rPr>
          <w:rFonts w:ascii="Arial" w:hAnsi="Arial" w:cs="Arial"/>
          <w:sz w:val="14"/>
          <w:szCs w:val="14"/>
        </w:rPr>
        <w:t xml:space="preserve"> </w:t>
      </w:r>
      <w:proofErr w:type="spellStart"/>
      <w:r w:rsidRPr="00B84B0C">
        <w:rPr>
          <w:rFonts w:ascii="Arial" w:hAnsi="Arial" w:cs="Arial"/>
          <w:sz w:val="14"/>
          <w:szCs w:val="14"/>
        </w:rPr>
        <w:t>to</w:t>
      </w:r>
      <w:proofErr w:type="spellEnd"/>
      <w:r w:rsidRPr="00B84B0C">
        <w:rPr>
          <w:rFonts w:ascii="Arial" w:hAnsi="Arial" w:cs="Arial"/>
          <w:sz w:val="14"/>
          <w:szCs w:val="14"/>
        </w:rPr>
        <w:t xml:space="preserve"> </w:t>
      </w:r>
      <w:proofErr w:type="spellStart"/>
      <w:r w:rsidRPr="00B84B0C">
        <w:rPr>
          <w:rFonts w:ascii="Arial" w:hAnsi="Arial" w:cs="Arial"/>
          <w:sz w:val="14"/>
          <w:szCs w:val="14"/>
        </w:rPr>
        <w:t>Brasilprev</w:t>
      </w:r>
      <w:proofErr w:type="spellEnd"/>
      <w:r w:rsidRPr="00B84B0C">
        <w:rPr>
          <w:rFonts w:ascii="Arial" w:hAnsi="Arial" w:cs="Arial"/>
          <w:sz w:val="14"/>
          <w:szCs w:val="14"/>
        </w:rPr>
        <w:t>.</w:t>
      </w:r>
    </w:p>
    <w:p w14:paraId="256BA0AC" w14:textId="038EFDD4" w:rsidR="00DF77DE" w:rsidRPr="00B84B0C" w:rsidRDefault="00DF77DE" w:rsidP="009C72AA">
      <w:pPr>
        <w:pStyle w:val="02-TtulodeNota"/>
        <w:rPr>
          <w:rFonts w:cs="Arial"/>
        </w:rPr>
      </w:pPr>
    </w:p>
    <w:p w14:paraId="1DFC6CDE" w14:textId="1E357324" w:rsidR="009C72AA" w:rsidRPr="00B84B0C" w:rsidRDefault="009C72AA" w:rsidP="00E72E05">
      <w:pPr>
        <w:pStyle w:val="02-TtulodeNota"/>
        <w:keepNext/>
        <w:keepLines/>
        <w:pageBreakBefore/>
        <w:rPr>
          <w:rFonts w:cs="Arial"/>
          <w:color w:val="1F4E79" w:themeColor="accent1" w:themeShade="80"/>
        </w:rPr>
      </w:pPr>
      <w:bookmarkStart w:id="33" w:name="_Toc39131503"/>
      <w:r w:rsidRPr="00B84B0C">
        <w:rPr>
          <w:rFonts w:cs="Arial"/>
          <w:color w:val="1F4E79" w:themeColor="accent1" w:themeShade="80"/>
        </w:rPr>
        <w:lastRenderedPageBreak/>
        <w:t>19 – EQUITY</w:t>
      </w:r>
      <w:bookmarkEnd w:id="33"/>
    </w:p>
    <w:p w14:paraId="77E952EB" w14:textId="77777777" w:rsidR="009C72AA" w:rsidRPr="00B84B0C" w:rsidRDefault="009C72AA" w:rsidP="009C72AA">
      <w:pPr>
        <w:pStyle w:val="01-TtulodeNota"/>
        <w:rPr>
          <w:rFonts w:cs="Arial"/>
          <w:color w:val="1F4E79" w:themeColor="accent1" w:themeShade="80"/>
        </w:rPr>
      </w:pPr>
      <w:r w:rsidRPr="00B84B0C">
        <w:rPr>
          <w:rFonts w:cs="Arial"/>
          <w:color w:val="1F4E79" w:themeColor="accent1" w:themeShade="80"/>
        </w:rPr>
        <w:t xml:space="preserve">a) Capital </w:t>
      </w:r>
    </w:p>
    <w:p w14:paraId="4D1EEC25" w14:textId="77777777" w:rsidR="009C72AA" w:rsidRPr="00B84B0C" w:rsidRDefault="009C72AA" w:rsidP="009C72AA">
      <w:pPr>
        <w:pStyle w:val="05-Textonormal2"/>
        <w:rPr>
          <w:rFonts w:cs="Arial"/>
        </w:rPr>
      </w:pPr>
      <w:r w:rsidRPr="00B84B0C">
        <w:rPr>
          <w:rFonts w:cs="Arial"/>
        </w:rPr>
        <w:t xml:space="preserve">The capital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Group</w:t>
      </w:r>
      <w:proofErr w:type="spellEnd"/>
      <w:r w:rsidRPr="00B84B0C">
        <w:rPr>
          <w:rFonts w:cs="Arial"/>
        </w:rPr>
        <w:t xml:space="preserve"> BB Seguridade </w:t>
      </w:r>
      <w:proofErr w:type="spellStart"/>
      <w:r w:rsidRPr="00B84B0C">
        <w:rPr>
          <w:rFonts w:cs="Arial"/>
        </w:rPr>
        <w:t>amounted</w:t>
      </w:r>
      <w:proofErr w:type="spellEnd"/>
      <w:r w:rsidRPr="00B84B0C">
        <w:rPr>
          <w:rFonts w:cs="Arial"/>
        </w:rPr>
        <w:t xml:space="preserve"> </w:t>
      </w:r>
      <w:proofErr w:type="spellStart"/>
      <w:r w:rsidRPr="00B84B0C">
        <w:rPr>
          <w:rFonts w:cs="Arial"/>
        </w:rPr>
        <w:t>to</w:t>
      </w:r>
      <w:proofErr w:type="spellEnd"/>
      <w:r w:rsidRPr="00B84B0C">
        <w:rPr>
          <w:rFonts w:cs="Arial"/>
        </w:rPr>
        <w:t xml:space="preserve"> R$ 3,396,767 </w:t>
      </w:r>
      <w:proofErr w:type="spellStart"/>
      <w:r w:rsidRPr="00B84B0C">
        <w:rPr>
          <w:rFonts w:cs="Arial"/>
        </w:rPr>
        <w:t>thousand</w:t>
      </w:r>
      <w:proofErr w:type="spellEnd"/>
      <w:r w:rsidRPr="00B84B0C">
        <w:rPr>
          <w:rFonts w:cs="Arial"/>
        </w:rPr>
        <w:t xml:space="preserve"> as </w:t>
      </w:r>
      <w:proofErr w:type="spellStart"/>
      <w:r w:rsidRPr="00B84B0C">
        <w:rPr>
          <w:rFonts w:cs="Arial"/>
        </w:rPr>
        <w:t>of</w:t>
      </w:r>
      <w:proofErr w:type="spellEnd"/>
      <w:r w:rsidRPr="00B84B0C">
        <w:rPr>
          <w:rFonts w:cs="Arial"/>
        </w:rPr>
        <w:t xml:space="preserve"> Mar 31, 2020 </w:t>
      </w:r>
      <w:proofErr w:type="spellStart"/>
      <w:proofErr w:type="gramStart"/>
      <w:r w:rsidRPr="00B84B0C">
        <w:rPr>
          <w:rFonts w:cs="Arial"/>
        </w:rPr>
        <w:t>and</w:t>
      </w:r>
      <w:proofErr w:type="spellEnd"/>
      <w:r w:rsidRPr="00B84B0C">
        <w:rPr>
          <w:rFonts w:cs="Arial"/>
        </w:rPr>
        <w:t xml:space="preserve">  </w:t>
      </w:r>
      <w:proofErr w:type="spellStart"/>
      <w:r w:rsidRPr="00B84B0C">
        <w:rPr>
          <w:rFonts w:cs="Arial"/>
        </w:rPr>
        <w:t>Dec</w:t>
      </w:r>
      <w:proofErr w:type="spellEnd"/>
      <w:proofErr w:type="gramEnd"/>
      <w:r w:rsidRPr="00B84B0C">
        <w:rPr>
          <w:rFonts w:cs="Arial"/>
        </w:rPr>
        <w:t xml:space="preserve"> 31, 2019, it </w:t>
      </w:r>
      <w:proofErr w:type="spellStart"/>
      <w:r w:rsidRPr="00B84B0C">
        <w:rPr>
          <w:rFonts w:cs="Arial"/>
        </w:rPr>
        <w:t>is</w:t>
      </w:r>
      <w:proofErr w:type="spellEnd"/>
      <w:r w:rsidRPr="00B84B0C">
        <w:rPr>
          <w:rFonts w:cs="Arial"/>
        </w:rPr>
        <w:t xml:space="preserve"> </w:t>
      </w:r>
      <w:proofErr w:type="spellStart"/>
      <w:r w:rsidRPr="00B84B0C">
        <w:rPr>
          <w:rFonts w:cs="Arial"/>
        </w:rPr>
        <w:t>divided</w:t>
      </w:r>
      <w:proofErr w:type="spellEnd"/>
      <w:r w:rsidRPr="00B84B0C">
        <w:rPr>
          <w:rFonts w:cs="Arial"/>
        </w:rPr>
        <w:t xml:space="preserve"> </w:t>
      </w:r>
      <w:proofErr w:type="spellStart"/>
      <w:r w:rsidRPr="00B84B0C">
        <w:rPr>
          <w:rFonts w:cs="Arial"/>
        </w:rPr>
        <w:t>into</w:t>
      </w:r>
      <w:proofErr w:type="spellEnd"/>
      <w:r w:rsidRPr="00B84B0C">
        <w:rPr>
          <w:rFonts w:cs="Arial"/>
        </w:rPr>
        <w:t xml:space="preserve"> 2,000,000,000 (</w:t>
      </w:r>
      <w:proofErr w:type="spellStart"/>
      <w:r w:rsidRPr="00B84B0C">
        <w:rPr>
          <w:rFonts w:cs="Arial"/>
        </w:rPr>
        <w:t>two</w:t>
      </w:r>
      <w:proofErr w:type="spellEnd"/>
      <w:r w:rsidRPr="00B84B0C">
        <w:rPr>
          <w:rFonts w:cs="Arial"/>
        </w:rPr>
        <w:t xml:space="preserve"> </w:t>
      </w:r>
      <w:proofErr w:type="spellStart"/>
      <w:r w:rsidRPr="00B84B0C">
        <w:rPr>
          <w:rFonts w:cs="Arial"/>
        </w:rPr>
        <w:t>billion</w:t>
      </w:r>
      <w:proofErr w:type="spellEnd"/>
      <w:r w:rsidRPr="00B84B0C">
        <w:rPr>
          <w:rFonts w:cs="Arial"/>
        </w:rPr>
        <w:t xml:space="preserve">) </w:t>
      </w:r>
      <w:proofErr w:type="spellStart"/>
      <w:r w:rsidRPr="00B84B0C">
        <w:rPr>
          <w:rFonts w:cs="Arial"/>
        </w:rPr>
        <w:t>shares</w:t>
      </w:r>
      <w:proofErr w:type="spellEnd"/>
      <w:r w:rsidRPr="00B84B0C">
        <w:rPr>
          <w:rFonts w:cs="Arial"/>
        </w:rPr>
        <w:t xml:space="preserve"> as </w:t>
      </w:r>
      <w:proofErr w:type="spellStart"/>
      <w:r w:rsidRPr="00B84B0C">
        <w:rPr>
          <w:rFonts w:cs="Arial"/>
        </w:rPr>
        <w:t>of</w:t>
      </w:r>
      <w:proofErr w:type="spellEnd"/>
      <w:r w:rsidRPr="00B84B0C">
        <w:rPr>
          <w:rFonts w:cs="Arial"/>
        </w:rPr>
        <w:t xml:space="preserve"> Mar 31, 2020 </w:t>
      </w:r>
      <w:proofErr w:type="spellStart"/>
      <w:r w:rsidRPr="00B84B0C">
        <w:rPr>
          <w:rFonts w:cs="Arial"/>
        </w:rPr>
        <w:t>and</w:t>
      </w:r>
      <w:proofErr w:type="spellEnd"/>
      <w:r w:rsidRPr="00B84B0C">
        <w:rPr>
          <w:rFonts w:cs="Arial"/>
        </w:rPr>
        <w:t xml:space="preserve"> </w:t>
      </w:r>
      <w:proofErr w:type="spellStart"/>
      <w:r w:rsidRPr="00B84B0C">
        <w:rPr>
          <w:rFonts w:cs="Arial"/>
        </w:rPr>
        <w:t>Dec</w:t>
      </w:r>
      <w:proofErr w:type="spellEnd"/>
      <w:r w:rsidRPr="00B84B0C">
        <w:rPr>
          <w:rFonts w:cs="Arial"/>
        </w:rPr>
        <w:t xml:space="preserve"> 31, 2019. The </w:t>
      </w:r>
      <w:proofErr w:type="spellStart"/>
      <w:r w:rsidRPr="00B84B0C">
        <w:rPr>
          <w:rFonts w:cs="Arial"/>
        </w:rPr>
        <w:t>shareholders</w:t>
      </w:r>
      <w:proofErr w:type="spellEnd"/>
      <w:r w:rsidRPr="00B84B0C">
        <w:rPr>
          <w:rFonts w:cs="Arial"/>
        </w:rPr>
        <w:t xml:space="preserve">’ </w:t>
      </w:r>
      <w:proofErr w:type="spellStart"/>
      <w:r w:rsidRPr="00B84B0C">
        <w:rPr>
          <w:rFonts w:cs="Arial"/>
        </w:rPr>
        <w:t>equity</w:t>
      </w:r>
      <w:proofErr w:type="spellEnd"/>
      <w:r w:rsidRPr="00B84B0C">
        <w:rPr>
          <w:rFonts w:cs="Arial"/>
        </w:rPr>
        <w:t xml:space="preserve"> </w:t>
      </w:r>
      <w:proofErr w:type="spellStart"/>
      <w:r w:rsidRPr="00B84B0C">
        <w:rPr>
          <w:rFonts w:cs="Arial"/>
        </w:rPr>
        <w:t>amounted</w:t>
      </w:r>
      <w:proofErr w:type="spellEnd"/>
      <w:r w:rsidRPr="00B84B0C">
        <w:rPr>
          <w:rFonts w:cs="Arial"/>
        </w:rPr>
        <w:t xml:space="preserve"> R$ 6,096,395 </w:t>
      </w:r>
      <w:proofErr w:type="spellStart"/>
      <w:r w:rsidRPr="00B84B0C">
        <w:rPr>
          <w:rFonts w:cs="Arial"/>
        </w:rPr>
        <w:t>thousand</w:t>
      </w:r>
      <w:proofErr w:type="spellEnd"/>
      <w:r w:rsidRPr="00B84B0C">
        <w:rPr>
          <w:rFonts w:cs="Arial"/>
        </w:rPr>
        <w:t xml:space="preserve"> (R$ 5,248,754 </w:t>
      </w:r>
      <w:proofErr w:type="spellStart"/>
      <w:r w:rsidRPr="00B84B0C">
        <w:rPr>
          <w:rFonts w:cs="Arial"/>
        </w:rPr>
        <w:t>thousand</w:t>
      </w:r>
      <w:proofErr w:type="spellEnd"/>
      <w:r w:rsidRPr="00B84B0C">
        <w:rPr>
          <w:rFonts w:cs="Arial"/>
        </w:rPr>
        <w:t xml:space="preserve"> as </w:t>
      </w:r>
      <w:proofErr w:type="spellStart"/>
      <w:r w:rsidRPr="00B84B0C">
        <w:rPr>
          <w:rFonts w:cs="Arial"/>
        </w:rPr>
        <w:t>of</w:t>
      </w:r>
      <w:proofErr w:type="spellEnd"/>
      <w:r w:rsidRPr="00B84B0C">
        <w:rPr>
          <w:rFonts w:cs="Arial"/>
        </w:rPr>
        <w:t xml:space="preserve"> </w:t>
      </w:r>
      <w:proofErr w:type="spellStart"/>
      <w:r w:rsidRPr="00B84B0C">
        <w:rPr>
          <w:rFonts w:cs="Arial"/>
        </w:rPr>
        <w:t>Dec</w:t>
      </w:r>
      <w:proofErr w:type="spellEnd"/>
      <w:r w:rsidRPr="00B84B0C">
        <w:rPr>
          <w:rFonts w:cs="Arial"/>
        </w:rPr>
        <w:t xml:space="preserve"> 31, 2019), </w:t>
      </w:r>
      <w:proofErr w:type="spellStart"/>
      <w:r w:rsidRPr="00B84B0C">
        <w:rPr>
          <w:rFonts w:cs="Arial"/>
        </w:rPr>
        <w:t>corresponding</w:t>
      </w:r>
      <w:proofErr w:type="spellEnd"/>
      <w:r w:rsidRPr="00B84B0C">
        <w:rPr>
          <w:rFonts w:cs="Arial"/>
        </w:rPr>
        <w:t xml:space="preserve"> a book </w:t>
      </w:r>
      <w:proofErr w:type="spellStart"/>
      <w:r w:rsidRPr="00B84B0C">
        <w:rPr>
          <w:rFonts w:cs="Arial"/>
        </w:rPr>
        <w:t>value</w:t>
      </w:r>
      <w:proofErr w:type="spellEnd"/>
      <w:r w:rsidRPr="00B84B0C">
        <w:rPr>
          <w:rFonts w:cs="Arial"/>
        </w:rPr>
        <w:t xml:space="preserve"> per </w:t>
      </w:r>
      <w:proofErr w:type="spellStart"/>
      <w:r w:rsidRPr="00B84B0C">
        <w:rPr>
          <w:rFonts w:cs="Arial"/>
        </w:rPr>
        <w:t>share</w:t>
      </w:r>
      <w:proofErr w:type="spellEnd"/>
      <w:r w:rsidRPr="00B84B0C">
        <w:rPr>
          <w:rFonts w:cs="Arial"/>
        </w:rPr>
        <w:t xml:space="preserve"> </w:t>
      </w:r>
      <w:proofErr w:type="spellStart"/>
      <w:r w:rsidRPr="00B84B0C">
        <w:rPr>
          <w:rFonts w:cs="Arial"/>
        </w:rPr>
        <w:t>of</w:t>
      </w:r>
      <w:proofErr w:type="spellEnd"/>
      <w:r w:rsidRPr="00B84B0C">
        <w:rPr>
          <w:rFonts w:cs="Arial"/>
        </w:rPr>
        <w:t xml:space="preserve"> R$ </w:t>
      </w:r>
      <w:proofErr w:type="gramStart"/>
      <w:r w:rsidRPr="00B84B0C">
        <w:rPr>
          <w:rFonts w:cs="Arial"/>
        </w:rPr>
        <w:t>3.05  per</w:t>
      </w:r>
      <w:proofErr w:type="gramEnd"/>
      <w:r w:rsidRPr="00B84B0C">
        <w:rPr>
          <w:rFonts w:cs="Arial"/>
        </w:rPr>
        <w:t xml:space="preserve"> </w:t>
      </w:r>
      <w:proofErr w:type="spellStart"/>
      <w:r w:rsidRPr="00B84B0C">
        <w:rPr>
          <w:rFonts w:cs="Arial"/>
        </w:rPr>
        <w:t>share</w:t>
      </w:r>
      <w:proofErr w:type="spellEnd"/>
      <w:r w:rsidRPr="00B84B0C">
        <w:rPr>
          <w:rFonts w:cs="Arial"/>
        </w:rPr>
        <w:t xml:space="preserve"> (R$ 2.62 per </w:t>
      </w:r>
      <w:proofErr w:type="spellStart"/>
      <w:r w:rsidRPr="00B84B0C">
        <w:rPr>
          <w:rFonts w:cs="Arial"/>
        </w:rPr>
        <w:t>share</w:t>
      </w:r>
      <w:proofErr w:type="spellEnd"/>
      <w:r w:rsidRPr="00B84B0C">
        <w:rPr>
          <w:rFonts w:cs="Arial"/>
        </w:rPr>
        <w:t xml:space="preserve"> as </w:t>
      </w:r>
      <w:proofErr w:type="spellStart"/>
      <w:r w:rsidRPr="00B84B0C">
        <w:rPr>
          <w:rFonts w:cs="Arial"/>
        </w:rPr>
        <w:t>of</w:t>
      </w:r>
      <w:proofErr w:type="spellEnd"/>
      <w:r w:rsidRPr="00B84B0C">
        <w:rPr>
          <w:rFonts w:cs="Arial"/>
        </w:rPr>
        <w:t xml:space="preserve"> </w:t>
      </w:r>
      <w:proofErr w:type="spellStart"/>
      <w:r w:rsidRPr="00B84B0C">
        <w:rPr>
          <w:rFonts w:cs="Arial"/>
        </w:rPr>
        <w:t>Dec</w:t>
      </w:r>
      <w:proofErr w:type="spellEnd"/>
      <w:r w:rsidRPr="00B84B0C">
        <w:rPr>
          <w:rFonts w:cs="Arial"/>
        </w:rPr>
        <w:t xml:space="preserve"> 31, 2019). </w:t>
      </w:r>
    </w:p>
    <w:p w14:paraId="36561B23" w14:textId="77777777" w:rsidR="009C72AA" w:rsidRPr="00B84B0C" w:rsidRDefault="009C72AA" w:rsidP="009C72AA">
      <w:pPr>
        <w:pStyle w:val="05-Textonormal2"/>
        <w:rPr>
          <w:rFonts w:cs="Arial"/>
        </w:rPr>
      </w:pPr>
      <w:proofErr w:type="spellStart"/>
      <w:r w:rsidRPr="00B84B0C">
        <w:rPr>
          <w:rFonts w:cs="Arial"/>
        </w:rPr>
        <w:t>On</w:t>
      </w:r>
      <w:proofErr w:type="spellEnd"/>
      <w:r w:rsidRPr="00B84B0C">
        <w:rPr>
          <w:rFonts w:cs="Arial"/>
        </w:rPr>
        <w:t xml:space="preserve"> </w:t>
      </w:r>
      <w:proofErr w:type="spellStart"/>
      <w:r w:rsidRPr="00B84B0C">
        <w:rPr>
          <w:rFonts w:cs="Arial"/>
        </w:rPr>
        <w:t>September</w:t>
      </w:r>
      <w:proofErr w:type="spellEnd"/>
      <w:r w:rsidRPr="00B84B0C">
        <w:rPr>
          <w:rFonts w:cs="Arial"/>
        </w:rPr>
        <w:t xml:space="preserve"> 25, 2019, </w:t>
      </w:r>
      <w:proofErr w:type="spellStart"/>
      <w:r w:rsidRPr="00B84B0C">
        <w:rPr>
          <w:rFonts w:cs="Arial"/>
        </w:rPr>
        <w:t>the</w:t>
      </w:r>
      <w:proofErr w:type="spellEnd"/>
      <w:r w:rsidRPr="00B84B0C">
        <w:rPr>
          <w:rFonts w:cs="Arial"/>
        </w:rPr>
        <w:t xml:space="preserve"> Board </w:t>
      </w:r>
      <w:proofErr w:type="spellStart"/>
      <w:r w:rsidRPr="00B84B0C">
        <w:rPr>
          <w:rFonts w:cs="Arial"/>
        </w:rPr>
        <w:t>of</w:t>
      </w:r>
      <w:proofErr w:type="spellEnd"/>
      <w:r w:rsidRPr="00B84B0C">
        <w:rPr>
          <w:rFonts w:cs="Arial"/>
        </w:rPr>
        <w:t xml:space="preserve"> </w:t>
      </w:r>
      <w:proofErr w:type="spellStart"/>
      <w:r w:rsidRPr="00B84B0C">
        <w:rPr>
          <w:rFonts w:cs="Arial"/>
        </w:rPr>
        <w:t>Directors</w:t>
      </w:r>
      <w:proofErr w:type="spellEnd"/>
      <w:r w:rsidRPr="00B84B0C">
        <w:rPr>
          <w:rFonts w:cs="Arial"/>
        </w:rPr>
        <w:t xml:space="preserve"> </w:t>
      </w:r>
      <w:proofErr w:type="spellStart"/>
      <w:r w:rsidRPr="00B84B0C">
        <w:rPr>
          <w:rFonts w:cs="Arial"/>
        </w:rPr>
        <w:t>of</w:t>
      </w:r>
      <w:proofErr w:type="spellEnd"/>
      <w:r w:rsidRPr="00B84B0C">
        <w:rPr>
          <w:rFonts w:cs="Arial"/>
        </w:rPr>
        <w:t xml:space="preserve"> BB Seguridade Participações S.A. </w:t>
      </w:r>
      <w:proofErr w:type="spellStart"/>
      <w:r w:rsidRPr="00B84B0C">
        <w:rPr>
          <w:rFonts w:cs="Arial"/>
        </w:rPr>
        <w:t>approved</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submission</w:t>
      </w:r>
      <w:proofErr w:type="spellEnd"/>
      <w:r w:rsidRPr="00B84B0C">
        <w:rPr>
          <w:rFonts w:cs="Arial"/>
        </w:rPr>
        <w:t xml:space="preserve"> </w:t>
      </w:r>
      <w:proofErr w:type="spellStart"/>
      <w:r w:rsidRPr="00B84B0C">
        <w:rPr>
          <w:rFonts w:cs="Arial"/>
        </w:rPr>
        <w:t>of</w:t>
      </w:r>
      <w:proofErr w:type="spellEnd"/>
      <w:r w:rsidRPr="00B84B0C">
        <w:rPr>
          <w:rFonts w:cs="Arial"/>
        </w:rPr>
        <w:t xml:space="preserve"> a </w:t>
      </w:r>
      <w:proofErr w:type="spellStart"/>
      <w:r w:rsidRPr="00B84B0C">
        <w:rPr>
          <w:rFonts w:cs="Arial"/>
        </w:rPr>
        <w:t>proposal</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Shareholders</w:t>
      </w:r>
      <w:proofErr w:type="spellEnd"/>
      <w:r w:rsidRPr="00B84B0C">
        <w:rPr>
          <w:rFonts w:cs="Arial"/>
        </w:rPr>
        <w:t xml:space="preserve"> Meeting </w:t>
      </w:r>
      <w:proofErr w:type="spellStart"/>
      <w:r w:rsidRPr="00B84B0C">
        <w:rPr>
          <w:rFonts w:cs="Arial"/>
        </w:rPr>
        <w:t>to</w:t>
      </w:r>
      <w:proofErr w:type="spellEnd"/>
      <w:r w:rsidRPr="00B84B0C">
        <w:rPr>
          <w:rFonts w:cs="Arial"/>
        </w:rPr>
        <w:t>:</w:t>
      </w:r>
    </w:p>
    <w:p w14:paraId="205BE36F" w14:textId="77777777" w:rsidR="009C72AA" w:rsidRPr="00B84B0C" w:rsidRDefault="009C72AA" w:rsidP="009C72AA">
      <w:pPr>
        <w:pStyle w:val="05-Textonormal2"/>
        <w:numPr>
          <w:ilvl w:val="0"/>
          <w:numId w:val="17"/>
        </w:numPr>
        <w:rPr>
          <w:rFonts w:cs="Arial"/>
        </w:rPr>
      </w:pPr>
      <w:proofErr w:type="spellStart"/>
      <w:r w:rsidRPr="00B84B0C">
        <w:rPr>
          <w:rFonts w:cs="Arial"/>
        </w:rPr>
        <w:t>increase</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paid</w:t>
      </w:r>
      <w:proofErr w:type="spellEnd"/>
      <w:r w:rsidRPr="00B84B0C">
        <w:rPr>
          <w:rFonts w:cs="Arial"/>
        </w:rPr>
        <w:t xml:space="preserve">-in capital </w:t>
      </w:r>
      <w:proofErr w:type="spellStart"/>
      <w:r w:rsidRPr="00B84B0C">
        <w:rPr>
          <w:rFonts w:cs="Arial"/>
        </w:rPr>
        <w:t>by</w:t>
      </w:r>
      <w:proofErr w:type="spellEnd"/>
      <w:r w:rsidRPr="00B84B0C">
        <w:rPr>
          <w:rFonts w:cs="Arial"/>
        </w:rPr>
        <w:t xml:space="preserve"> R$450 </w:t>
      </w:r>
      <w:proofErr w:type="spellStart"/>
      <w:r w:rsidRPr="00B84B0C">
        <w:rPr>
          <w:rFonts w:cs="Arial"/>
        </w:rPr>
        <w:t>million</w:t>
      </w:r>
      <w:proofErr w:type="spellEnd"/>
      <w:r w:rsidRPr="00B84B0C">
        <w:rPr>
          <w:rFonts w:cs="Arial"/>
        </w:rPr>
        <w:t xml:space="preserve">, </w:t>
      </w:r>
      <w:proofErr w:type="spellStart"/>
      <w:r w:rsidRPr="00B84B0C">
        <w:rPr>
          <w:rFonts w:cs="Arial"/>
        </w:rPr>
        <w:t>without</w:t>
      </w:r>
      <w:proofErr w:type="spellEnd"/>
      <w:r w:rsidRPr="00B84B0C">
        <w:rPr>
          <w:rFonts w:cs="Arial"/>
        </w:rPr>
        <w:t xml:space="preserve"> </w:t>
      </w:r>
      <w:proofErr w:type="spellStart"/>
      <w:r w:rsidRPr="00B84B0C">
        <w:rPr>
          <w:rFonts w:cs="Arial"/>
        </w:rPr>
        <w:t>issuing</w:t>
      </w:r>
      <w:proofErr w:type="spellEnd"/>
      <w:r w:rsidRPr="00B84B0C">
        <w:rPr>
          <w:rFonts w:cs="Arial"/>
        </w:rPr>
        <w:t xml:space="preserve"> new </w:t>
      </w:r>
      <w:proofErr w:type="spellStart"/>
      <w:r w:rsidRPr="00B84B0C">
        <w:rPr>
          <w:rFonts w:cs="Arial"/>
        </w:rPr>
        <w:t>shares</w:t>
      </w:r>
      <w:proofErr w:type="spellEnd"/>
      <w:r w:rsidRPr="00B84B0C">
        <w:rPr>
          <w:rFonts w:cs="Arial"/>
        </w:rPr>
        <w:t xml:space="preserve">, </w:t>
      </w:r>
      <w:proofErr w:type="spellStart"/>
      <w:r w:rsidRPr="00B84B0C">
        <w:rPr>
          <w:rFonts w:cs="Arial"/>
        </w:rPr>
        <w:t>using</w:t>
      </w:r>
      <w:proofErr w:type="spellEnd"/>
      <w:r w:rsidRPr="00B84B0C">
        <w:rPr>
          <w:rFonts w:cs="Arial"/>
        </w:rPr>
        <w:t xml:space="preserve"> </w:t>
      </w:r>
      <w:proofErr w:type="spellStart"/>
      <w:r w:rsidRPr="00B84B0C">
        <w:rPr>
          <w:rFonts w:cs="Arial"/>
        </w:rPr>
        <w:t>part</w:t>
      </w:r>
      <w:proofErr w:type="spellEnd"/>
      <w:r w:rsidRPr="00B84B0C">
        <w:rPr>
          <w:rFonts w:cs="Arial"/>
        </w:rPr>
        <w:t xml:space="preserve"> </w:t>
      </w:r>
      <w:proofErr w:type="spellStart"/>
      <w:r w:rsidRPr="00B84B0C">
        <w:rPr>
          <w:rFonts w:cs="Arial"/>
        </w:rPr>
        <w:t>the</w:t>
      </w:r>
      <w:proofErr w:type="spellEnd"/>
      <w:r w:rsidRPr="00B84B0C">
        <w:rPr>
          <w:rFonts w:cs="Arial"/>
        </w:rPr>
        <w:t xml:space="preserve"> legal reserve balance, </w:t>
      </w:r>
      <w:proofErr w:type="spellStart"/>
      <w:r w:rsidRPr="00B84B0C">
        <w:rPr>
          <w:rFonts w:cs="Arial"/>
        </w:rPr>
        <w:t>pursuant</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article</w:t>
      </w:r>
      <w:proofErr w:type="spellEnd"/>
      <w:r w:rsidRPr="00B84B0C">
        <w:rPr>
          <w:rFonts w:cs="Arial"/>
        </w:rPr>
        <w:t xml:space="preserve"> 193 </w:t>
      </w:r>
      <w:proofErr w:type="spellStart"/>
      <w:r w:rsidRPr="00B84B0C">
        <w:rPr>
          <w:rFonts w:cs="Arial"/>
        </w:rPr>
        <w:t>of</w:t>
      </w:r>
      <w:proofErr w:type="spellEnd"/>
      <w:r w:rsidRPr="00B84B0C">
        <w:rPr>
          <w:rFonts w:cs="Arial"/>
        </w:rPr>
        <w:t xml:space="preserve"> Law 6,404; </w:t>
      </w:r>
      <w:proofErr w:type="spellStart"/>
      <w:r w:rsidRPr="00B84B0C">
        <w:rPr>
          <w:rFonts w:cs="Arial"/>
        </w:rPr>
        <w:t>and</w:t>
      </w:r>
      <w:proofErr w:type="spellEnd"/>
    </w:p>
    <w:p w14:paraId="0030EB60" w14:textId="77777777" w:rsidR="009C72AA" w:rsidRPr="00B84B0C" w:rsidRDefault="009C72AA" w:rsidP="009C72AA">
      <w:pPr>
        <w:pStyle w:val="05-Textonormal2"/>
        <w:numPr>
          <w:ilvl w:val="0"/>
          <w:numId w:val="17"/>
        </w:numPr>
        <w:rPr>
          <w:rFonts w:cs="Arial"/>
        </w:rPr>
      </w:pPr>
      <w:proofErr w:type="spellStart"/>
      <w:r w:rsidRPr="00B84B0C">
        <w:rPr>
          <w:rFonts w:cs="Arial"/>
        </w:rPr>
        <w:t>immediately</w:t>
      </w:r>
      <w:proofErr w:type="spellEnd"/>
      <w:r w:rsidRPr="00B84B0C">
        <w:rPr>
          <w:rFonts w:cs="Arial"/>
        </w:rPr>
        <w:t xml:space="preserve"> </w:t>
      </w:r>
      <w:proofErr w:type="spellStart"/>
      <w:r w:rsidRPr="00B84B0C">
        <w:rPr>
          <w:rFonts w:cs="Arial"/>
        </w:rPr>
        <w:t>thereafter</w:t>
      </w:r>
      <w:proofErr w:type="spellEnd"/>
      <w:r w:rsidRPr="00B84B0C">
        <w:rPr>
          <w:rFonts w:cs="Arial"/>
        </w:rPr>
        <w:t xml:space="preserve">, </w:t>
      </w:r>
      <w:proofErr w:type="spellStart"/>
      <w:r w:rsidRPr="00B84B0C">
        <w:rPr>
          <w:rFonts w:cs="Arial"/>
        </w:rPr>
        <w:t>reduce</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paid</w:t>
      </w:r>
      <w:proofErr w:type="spellEnd"/>
      <w:r w:rsidRPr="00B84B0C">
        <w:rPr>
          <w:rFonts w:cs="Arial"/>
        </w:rPr>
        <w:t xml:space="preserve">-in capital </w:t>
      </w:r>
      <w:proofErr w:type="spellStart"/>
      <w:r w:rsidRPr="00B84B0C">
        <w:rPr>
          <w:rFonts w:cs="Arial"/>
        </w:rPr>
        <w:t>by</w:t>
      </w:r>
      <w:proofErr w:type="spellEnd"/>
      <w:r w:rsidRPr="00B84B0C">
        <w:rPr>
          <w:rFonts w:cs="Arial"/>
        </w:rPr>
        <w:t xml:space="preserve"> R$2.7 </w:t>
      </w:r>
      <w:proofErr w:type="spellStart"/>
      <w:r w:rsidRPr="00B84B0C">
        <w:rPr>
          <w:rFonts w:cs="Arial"/>
        </w:rPr>
        <w:t>billion</w:t>
      </w:r>
      <w:proofErr w:type="spellEnd"/>
      <w:r w:rsidRPr="00B84B0C">
        <w:rPr>
          <w:rFonts w:cs="Arial"/>
        </w:rPr>
        <w:t xml:space="preserve">, </w:t>
      </w:r>
      <w:proofErr w:type="spellStart"/>
      <w:r w:rsidRPr="00B84B0C">
        <w:rPr>
          <w:rFonts w:cs="Arial"/>
        </w:rPr>
        <w:t>without</w:t>
      </w:r>
      <w:proofErr w:type="spellEnd"/>
      <w:r w:rsidRPr="00B84B0C">
        <w:rPr>
          <w:rFonts w:cs="Arial"/>
        </w:rPr>
        <w:t xml:space="preserve"> </w:t>
      </w:r>
      <w:proofErr w:type="spellStart"/>
      <w:r w:rsidRPr="00B84B0C">
        <w:rPr>
          <w:rFonts w:cs="Arial"/>
        </w:rPr>
        <w:t>canceling</w:t>
      </w:r>
      <w:proofErr w:type="spellEnd"/>
      <w:r w:rsidRPr="00B84B0C">
        <w:rPr>
          <w:rFonts w:cs="Arial"/>
        </w:rPr>
        <w:t xml:space="preserve"> </w:t>
      </w:r>
      <w:proofErr w:type="spellStart"/>
      <w:r w:rsidRPr="00B84B0C">
        <w:rPr>
          <w:rFonts w:cs="Arial"/>
        </w:rPr>
        <w:t>shares</w:t>
      </w:r>
      <w:proofErr w:type="spellEnd"/>
      <w:r w:rsidRPr="00B84B0C">
        <w:rPr>
          <w:rFonts w:cs="Arial"/>
        </w:rPr>
        <w:t xml:space="preserve">, for </w:t>
      </w:r>
      <w:proofErr w:type="spellStart"/>
      <w:r w:rsidRPr="00B84B0C">
        <w:rPr>
          <w:rFonts w:cs="Arial"/>
        </w:rPr>
        <w:t>considering</w:t>
      </w:r>
      <w:proofErr w:type="spellEnd"/>
      <w:r w:rsidRPr="00B84B0C">
        <w:rPr>
          <w:rFonts w:cs="Arial"/>
        </w:rPr>
        <w:t xml:space="preserve"> it </w:t>
      </w:r>
      <w:proofErr w:type="spellStart"/>
      <w:r w:rsidRPr="00B84B0C">
        <w:rPr>
          <w:rFonts w:cs="Arial"/>
        </w:rPr>
        <w:t>excessive</w:t>
      </w:r>
      <w:proofErr w:type="spellEnd"/>
      <w:r w:rsidRPr="00B84B0C">
        <w:rPr>
          <w:rFonts w:cs="Arial"/>
        </w:rPr>
        <w:t xml:space="preserve">, </w:t>
      </w:r>
      <w:proofErr w:type="spellStart"/>
      <w:r w:rsidRPr="00B84B0C">
        <w:rPr>
          <w:rFonts w:cs="Arial"/>
        </w:rPr>
        <w:t>pursuant</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article</w:t>
      </w:r>
      <w:proofErr w:type="spellEnd"/>
      <w:r w:rsidRPr="00B84B0C">
        <w:rPr>
          <w:rFonts w:cs="Arial"/>
        </w:rPr>
        <w:t xml:space="preserve"> 173 </w:t>
      </w:r>
      <w:proofErr w:type="spellStart"/>
      <w:r w:rsidRPr="00B84B0C">
        <w:rPr>
          <w:rFonts w:cs="Arial"/>
        </w:rPr>
        <w:t>of</w:t>
      </w:r>
      <w:proofErr w:type="spellEnd"/>
      <w:r w:rsidRPr="00B84B0C">
        <w:rPr>
          <w:rFonts w:cs="Arial"/>
        </w:rPr>
        <w:t xml:space="preserve"> Law 6,404.</w:t>
      </w:r>
    </w:p>
    <w:p w14:paraId="6FC27160" w14:textId="77777777" w:rsidR="009C72AA" w:rsidRPr="00B84B0C" w:rsidRDefault="009C72AA" w:rsidP="009C72AA">
      <w:pPr>
        <w:pStyle w:val="05-Textonormal2"/>
        <w:rPr>
          <w:rFonts w:cs="Arial"/>
        </w:rPr>
      </w:pPr>
      <w:proofErr w:type="spellStart"/>
      <w:r w:rsidRPr="00B84B0C">
        <w:rPr>
          <w:rFonts w:cs="Arial"/>
        </w:rPr>
        <w:t>On</w:t>
      </w:r>
      <w:proofErr w:type="spellEnd"/>
      <w:r w:rsidRPr="00B84B0C">
        <w:rPr>
          <w:rFonts w:cs="Arial"/>
        </w:rPr>
        <w:t xml:space="preserve"> </w:t>
      </w:r>
      <w:proofErr w:type="spellStart"/>
      <w:r w:rsidRPr="00B84B0C">
        <w:rPr>
          <w:rFonts w:cs="Arial"/>
        </w:rPr>
        <w:t>October</w:t>
      </w:r>
      <w:proofErr w:type="spellEnd"/>
      <w:r w:rsidRPr="00B84B0C">
        <w:rPr>
          <w:rFonts w:cs="Arial"/>
        </w:rPr>
        <w:t xml:space="preserve"> 30, 2019, </w:t>
      </w:r>
      <w:proofErr w:type="spellStart"/>
      <w:r w:rsidRPr="00B84B0C">
        <w:rPr>
          <w:rFonts w:cs="Arial"/>
        </w:rPr>
        <w:t>the</w:t>
      </w:r>
      <w:proofErr w:type="spellEnd"/>
      <w:r w:rsidRPr="00B84B0C">
        <w:rPr>
          <w:rFonts w:cs="Arial"/>
        </w:rPr>
        <w:t xml:space="preserve"> </w:t>
      </w:r>
      <w:proofErr w:type="spellStart"/>
      <w:r w:rsidRPr="00B84B0C">
        <w:rPr>
          <w:rFonts w:cs="Arial"/>
        </w:rPr>
        <w:t>Extraordinary</w:t>
      </w:r>
      <w:proofErr w:type="spellEnd"/>
      <w:r w:rsidRPr="00B84B0C">
        <w:rPr>
          <w:rFonts w:cs="Arial"/>
        </w:rPr>
        <w:t xml:space="preserve"> General Meeting </w:t>
      </w:r>
      <w:proofErr w:type="spellStart"/>
      <w:r w:rsidRPr="00B84B0C">
        <w:rPr>
          <w:rFonts w:cs="Arial"/>
        </w:rPr>
        <w:t>approved</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respective</w:t>
      </w:r>
      <w:proofErr w:type="spellEnd"/>
      <w:r w:rsidRPr="00B84B0C">
        <w:rPr>
          <w:rFonts w:cs="Arial"/>
        </w:rPr>
        <w:t xml:space="preserve"> </w:t>
      </w:r>
      <w:proofErr w:type="spellStart"/>
      <w:r w:rsidRPr="00B84B0C">
        <w:rPr>
          <w:rFonts w:cs="Arial"/>
        </w:rPr>
        <w:t>proposals</w:t>
      </w:r>
      <w:proofErr w:type="spellEnd"/>
      <w:r w:rsidRPr="00B84B0C">
        <w:rPr>
          <w:rFonts w:cs="Arial"/>
        </w:rPr>
        <w:t xml:space="preserve">. BB </w:t>
      </w:r>
      <w:proofErr w:type="spellStart"/>
      <w:r w:rsidRPr="00B84B0C">
        <w:rPr>
          <w:rFonts w:cs="Arial"/>
        </w:rPr>
        <w:t>Seguridade’s</w:t>
      </w:r>
      <w:proofErr w:type="spellEnd"/>
      <w:r w:rsidRPr="00B84B0C">
        <w:rPr>
          <w:rFonts w:cs="Arial"/>
        </w:rPr>
        <w:t xml:space="preserve"> </w:t>
      </w:r>
      <w:proofErr w:type="spellStart"/>
      <w:r w:rsidRPr="00B84B0C">
        <w:rPr>
          <w:rFonts w:cs="Arial"/>
        </w:rPr>
        <w:t>shareholders</w:t>
      </w:r>
      <w:proofErr w:type="spellEnd"/>
      <w:r w:rsidRPr="00B84B0C">
        <w:rPr>
          <w:rFonts w:cs="Arial"/>
        </w:rPr>
        <w:t xml:space="preserve"> </w:t>
      </w:r>
      <w:proofErr w:type="spellStart"/>
      <w:r w:rsidRPr="00B84B0C">
        <w:rPr>
          <w:rFonts w:cs="Arial"/>
        </w:rPr>
        <w:t>will</w:t>
      </w:r>
      <w:proofErr w:type="spellEnd"/>
      <w:r w:rsidRPr="00B84B0C">
        <w:rPr>
          <w:rFonts w:cs="Arial"/>
        </w:rPr>
        <w:t xml:space="preserve"> </w:t>
      </w:r>
      <w:proofErr w:type="spellStart"/>
      <w:r w:rsidRPr="00B84B0C">
        <w:rPr>
          <w:rFonts w:cs="Arial"/>
        </w:rPr>
        <w:t>receive</w:t>
      </w:r>
      <w:proofErr w:type="spellEnd"/>
      <w:r w:rsidRPr="00B84B0C">
        <w:rPr>
          <w:rFonts w:cs="Arial"/>
        </w:rPr>
        <w:t xml:space="preserve">, as a </w:t>
      </w:r>
      <w:proofErr w:type="spellStart"/>
      <w:r w:rsidRPr="00B84B0C">
        <w:rPr>
          <w:rFonts w:cs="Arial"/>
        </w:rPr>
        <w:t>refund</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part</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book </w:t>
      </w:r>
      <w:proofErr w:type="spellStart"/>
      <w:r w:rsidRPr="00B84B0C">
        <w:rPr>
          <w:rFonts w:cs="Arial"/>
        </w:rPr>
        <w:t>value</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their</w:t>
      </w:r>
      <w:proofErr w:type="spellEnd"/>
      <w:r w:rsidRPr="00B84B0C">
        <w:rPr>
          <w:rFonts w:cs="Arial"/>
        </w:rPr>
        <w:t xml:space="preserve"> </w:t>
      </w:r>
      <w:proofErr w:type="spellStart"/>
      <w:r w:rsidRPr="00B84B0C">
        <w:rPr>
          <w:rFonts w:cs="Arial"/>
        </w:rPr>
        <w:t>shares</w:t>
      </w:r>
      <w:proofErr w:type="spellEnd"/>
      <w:r w:rsidRPr="00B84B0C">
        <w:rPr>
          <w:rFonts w:cs="Arial"/>
        </w:rPr>
        <w:t xml:space="preserve">, </w:t>
      </w:r>
      <w:proofErr w:type="spellStart"/>
      <w:r w:rsidRPr="00B84B0C">
        <w:rPr>
          <w:rFonts w:cs="Arial"/>
        </w:rPr>
        <w:t>an</w:t>
      </w:r>
      <w:proofErr w:type="spellEnd"/>
      <w:r w:rsidRPr="00B84B0C">
        <w:rPr>
          <w:rFonts w:cs="Arial"/>
        </w:rPr>
        <w:t xml:space="preserve"> </w:t>
      </w:r>
      <w:proofErr w:type="spellStart"/>
      <w:r w:rsidRPr="00B84B0C">
        <w:rPr>
          <w:rFonts w:cs="Arial"/>
        </w:rPr>
        <w:t>estimated</w:t>
      </w:r>
      <w:proofErr w:type="spellEnd"/>
      <w:r w:rsidRPr="00B84B0C">
        <w:rPr>
          <w:rFonts w:cs="Arial"/>
        </w:rPr>
        <w:t xml:space="preserve"> </w:t>
      </w:r>
      <w:proofErr w:type="spellStart"/>
      <w:r w:rsidRPr="00B84B0C">
        <w:rPr>
          <w:rFonts w:cs="Arial"/>
        </w:rPr>
        <w:t>amount</w:t>
      </w:r>
      <w:proofErr w:type="spellEnd"/>
      <w:r w:rsidRPr="00B84B0C">
        <w:rPr>
          <w:rFonts w:cs="Arial"/>
        </w:rPr>
        <w:t xml:space="preserve"> </w:t>
      </w:r>
      <w:proofErr w:type="spellStart"/>
      <w:r w:rsidRPr="00B84B0C">
        <w:rPr>
          <w:rFonts w:cs="Arial"/>
        </w:rPr>
        <w:t>of</w:t>
      </w:r>
      <w:proofErr w:type="spellEnd"/>
      <w:r w:rsidRPr="00B84B0C">
        <w:rPr>
          <w:rFonts w:cs="Arial"/>
        </w:rPr>
        <w:t xml:space="preserve"> R$1.35 per </w:t>
      </w:r>
      <w:proofErr w:type="spellStart"/>
      <w:r w:rsidRPr="00B84B0C">
        <w:rPr>
          <w:rFonts w:cs="Arial"/>
        </w:rPr>
        <w:t>share</w:t>
      </w:r>
      <w:proofErr w:type="spellEnd"/>
      <w:r w:rsidRPr="00B84B0C">
        <w:rPr>
          <w:rFonts w:cs="Arial"/>
        </w:rPr>
        <w:t>.</w:t>
      </w:r>
      <w:r w:rsidRPr="00B84B0C">
        <w:rPr>
          <w:rFonts w:cs="Arial"/>
        </w:rPr>
        <w:br/>
        <w:t xml:space="preserve">The </w:t>
      </w:r>
      <w:proofErr w:type="spellStart"/>
      <w:r w:rsidRPr="00B84B0C">
        <w:rPr>
          <w:rFonts w:cs="Arial"/>
        </w:rPr>
        <w:t>approved</w:t>
      </w:r>
      <w:proofErr w:type="spellEnd"/>
      <w:r w:rsidRPr="00B84B0C">
        <w:rPr>
          <w:rFonts w:cs="Arial"/>
        </w:rPr>
        <w:t xml:space="preserve"> capital </w:t>
      </w:r>
      <w:proofErr w:type="spellStart"/>
      <w:r w:rsidRPr="00B84B0C">
        <w:rPr>
          <w:rFonts w:cs="Arial"/>
        </w:rPr>
        <w:t>reduction</w:t>
      </w:r>
      <w:proofErr w:type="spellEnd"/>
      <w:r w:rsidRPr="00B84B0C">
        <w:rPr>
          <w:rFonts w:cs="Arial"/>
        </w:rPr>
        <w:t xml:space="preserve"> </w:t>
      </w:r>
      <w:proofErr w:type="spellStart"/>
      <w:r w:rsidRPr="00B84B0C">
        <w:rPr>
          <w:rFonts w:cs="Arial"/>
        </w:rPr>
        <w:t>became</w:t>
      </w:r>
      <w:proofErr w:type="spellEnd"/>
      <w:r w:rsidRPr="00B84B0C">
        <w:rPr>
          <w:rFonts w:cs="Arial"/>
        </w:rPr>
        <w:t xml:space="preserve"> </w:t>
      </w:r>
      <w:proofErr w:type="spellStart"/>
      <w:r w:rsidRPr="00B84B0C">
        <w:rPr>
          <w:rFonts w:cs="Arial"/>
        </w:rPr>
        <w:t>effective</w:t>
      </w:r>
      <w:proofErr w:type="spellEnd"/>
      <w:r w:rsidRPr="00B84B0C">
        <w:rPr>
          <w:rFonts w:cs="Arial"/>
        </w:rPr>
        <w:t xml:space="preserve"> 60 (</w:t>
      </w:r>
      <w:proofErr w:type="spellStart"/>
      <w:r w:rsidRPr="00B84B0C">
        <w:rPr>
          <w:rFonts w:cs="Arial"/>
        </w:rPr>
        <w:t>sixty</w:t>
      </w:r>
      <w:proofErr w:type="spellEnd"/>
      <w:r w:rsidRPr="00B84B0C">
        <w:rPr>
          <w:rFonts w:cs="Arial"/>
        </w:rPr>
        <w:t xml:space="preserve">) </w:t>
      </w:r>
      <w:proofErr w:type="spellStart"/>
      <w:r w:rsidRPr="00B84B0C">
        <w:rPr>
          <w:rFonts w:cs="Arial"/>
        </w:rPr>
        <w:t>days</w:t>
      </w:r>
      <w:proofErr w:type="spellEnd"/>
      <w:r w:rsidRPr="00B84B0C">
        <w:rPr>
          <w:rFonts w:cs="Arial"/>
        </w:rPr>
        <w:t xml:space="preserve"> </w:t>
      </w:r>
      <w:proofErr w:type="spellStart"/>
      <w:r w:rsidRPr="00B84B0C">
        <w:rPr>
          <w:rFonts w:cs="Arial"/>
        </w:rPr>
        <w:t>after</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publication</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minutes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Extraordinary</w:t>
      </w:r>
      <w:proofErr w:type="spellEnd"/>
      <w:r w:rsidRPr="00B84B0C">
        <w:rPr>
          <w:rFonts w:cs="Arial"/>
        </w:rPr>
        <w:t xml:space="preserve"> General Meeting, </w:t>
      </w:r>
      <w:proofErr w:type="spellStart"/>
      <w:r w:rsidRPr="00B84B0C">
        <w:rPr>
          <w:rFonts w:cs="Arial"/>
        </w:rPr>
        <w:t>pursuant</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article</w:t>
      </w:r>
      <w:proofErr w:type="spellEnd"/>
      <w:r w:rsidRPr="00B84B0C">
        <w:rPr>
          <w:rFonts w:cs="Arial"/>
        </w:rPr>
        <w:t xml:space="preserve"> 174 </w:t>
      </w:r>
      <w:proofErr w:type="spellStart"/>
      <w:r w:rsidRPr="00B84B0C">
        <w:rPr>
          <w:rFonts w:cs="Arial"/>
        </w:rPr>
        <w:t>of</w:t>
      </w:r>
      <w:proofErr w:type="spellEnd"/>
      <w:r w:rsidRPr="00B84B0C">
        <w:rPr>
          <w:rFonts w:cs="Arial"/>
        </w:rPr>
        <w:t xml:space="preserve"> Law No. 6,404 / 76, </w:t>
      </w:r>
      <w:proofErr w:type="spellStart"/>
      <w:r w:rsidRPr="00B84B0C">
        <w:rPr>
          <w:rFonts w:cs="Arial"/>
        </w:rPr>
        <w:t>when</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Company</w:t>
      </w:r>
      <w:proofErr w:type="spellEnd"/>
      <w:r w:rsidRPr="00B84B0C">
        <w:rPr>
          <w:rFonts w:cs="Arial"/>
        </w:rPr>
        <w:t xml:space="preserve"> </w:t>
      </w:r>
      <w:proofErr w:type="spellStart"/>
      <w:r w:rsidRPr="00B84B0C">
        <w:rPr>
          <w:rFonts w:cs="Arial"/>
        </w:rPr>
        <w:t>disclosed</w:t>
      </w:r>
      <w:proofErr w:type="spellEnd"/>
      <w:r w:rsidRPr="00B84B0C">
        <w:rPr>
          <w:rFonts w:cs="Arial"/>
        </w:rPr>
        <w:t xml:space="preserve"> </w:t>
      </w:r>
      <w:proofErr w:type="spellStart"/>
      <w:r w:rsidRPr="00B84B0C">
        <w:rPr>
          <w:rFonts w:cs="Arial"/>
        </w:rPr>
        <w:t>the</w:t>
      </w:r>
      <w:proofErr w:type="spellEnd"/>
      <w:r w:rsidRPr="00B84B0C">
        <w:rPr>
          <w:rFonts w:cs="Arial"/>
        </w:rPr>
        <w:t xml:space="preserve"> procedures </w:t>
      </w:r>
      <w:proofErr w:type="spellStart"/>
      <w:r w:rsidRPr="00B84B0C">
        <w:rPr>
          <w:rFonts w:cs="Arial"/>
        </w:rPr>
        <w:t>to</w:t>
      </w:r>
      <w:proofErr w:type="spellEnd"/>
      <w:r w:rsidRPr="00B84B0C">
        <w:rPr>
          <w:rFonts w:cs="Arial"/>
        </w:rPr>
        <w:t xml:space="preserve"> </w:t>
      </w:r>
      <w:proofErr w:type="spellStart"/>
      <w:r w:rsidRPr="00B84B0C">
        <w:rPr>
          <w:rFonts w:cs="Arial"/>
        </w:rPr>
        <w:t>be</w:t>
      </w:r>
      <w:proofErr w:type="spellEnd"/>
      <w:r w:rsidRPr="00B84B0C">
        <w:rPr>
          <w:rFonts w:cs="Arial"/>
        </w:rPr>
        <w:t xml:space="preserve"> </w:t>
      </w:r>
      <w:proofErr w:type="spellStart"/>
      <w:r w:rsidRPr="00B84B0C">
        <w:rPr>
          <w:rFonts w:cs="Arial"/>
        </w:rPr>
        <w:t>adopted</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shareholders</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exact</w:t>
      </w:r>
      <w:proofErr w:type="spellEnd"/>
      <w:r w:rsidRPr="00B84B0C">
        <w:rPr>
          <w:rFonts w:cs="Arial"/>
        </w:rPr>
        <w:t xml:space="preserve"> </w:t>
      </w:r>
      <w:proofErr w:type="spellStart"/>
      <w:r w:rsidRPr="00B84B0C">
        <w:rPr>
          <w:rFonts w:cs="Arial"/>
        </w:rPr>
        <w:t>amount</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be</w:t>
      </w:r>
      <w:proofErr w:type="spellEnd"/>
      <w:r w:rsidRPr="00B84B0C">
        <w:rPr>
          <w:rFonts w:cs="Arial"/>
        </w:rPr>
        <w:t xml:space="preserve"> </w:t>
      </w:r>
      <w:proofErr w:type="spellStart"/>
      <w:r w:rsidRPr="00B84B0C">
        <w:rPr>
          <w:rFonts w:cs="Arial"/>
        </w:rPr>
        <w:t>refunded</w:t>
      </w:r>
      <w:proofErr w:type="spellEnd"/>
      <w:r w:rsidRPr="00B84B0C">
        <w:rPr>
          <w:rFonts w:cs="Arial"/>
        </w:rPr>
        <w:t xml:space="preserve"> per </w:t>
      </w:r>
      <w:proofErr w:type="spellStart"/>
      <w:r w:rsidRPr="00B84B0C">
        <w:rPr>
          <w:rFonts w:cs="Arial"/>
        </w:rPr>
        <w:t>share</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definition</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start date </w:t>
      </w:r>
      <w:proofErr w:type="spellStart"/>
      <w:r w:rsidRPr="00B84B0C">
        <w:rPr>
          <w:rFonts w:cs="Arial"/>
        </w:rPr>
        <w:t>of</w:t>
      </w:r>
      <w:proofErr w:type="spellEnd"/>
      <w:r w:rsidRPr="00B84B0C">
        <w:rPr>
          <w:rFonts w:cs="Arial"/>
        </w:rPr>
        <w:t xml:space="preserve"> trading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shares</w:t>
      </w:r>
      <w:proofErr w:type="spellEnd"/>
      <w:r w:rsidRPr="00B84B0C">
        <w:rPr>
          <w:rFonts w:cs="Arial"/>
        </w:rPr>
        <w:t xml:space="preserve"> </w:t>
      </w:r>
      <w:proofErr w:type="spellStart"/>
      <w:r w:rsidRPr="00B84B0C">
        <w:rPr>
          <w:rFonts w:cs="Arial"/>
        </w:rPr>
        <w:t>issued</w:t>
      </w:r>
      <w:proofErr w:type="spellEnd"/>
      <w:r w:rsidRPr="00B84B0C">
        <w:rPr>
          <w:rFonts w:cs="Arial"/>
        </w:rPr>
        <w:t xml:space="preserve"> </w:t>
      </w:r>
      <w:proofErr w:type="spellStart"/>
      <w:r w:rsidRPr="00B84B0C">
        <w:rPr>
          <w:rFonts w:cs="Arial"/>
        </w:rPr>
        <w:t>by</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Company</w:t>
      </w:r>
      <w:proofErr w:type="spellEnd"/>
      <w:r w:rsidRPr="00B84B0C">
        <w:rPr>
          <w:rFonts w:cs="Arial"/>
        </w:rPr>
        <w:t xml:space="preserve"> </w:t>
      </w:r>
      <w:proofErr w:type="spellStart"/>
      <w:r w:rsidRPr="00B84B0C">
        <w:rPr>
          <w:rFonts w:cs="Arial"/>
        </w:rPr>
        <w:t>ex-refund</w:t>
      </w:r>
      <w:proofErr w:type="spellEnd"/>
      <w:r w:rsidRPr="00B84B0C">
        <w:rPr>
          <w:rFonts w:cs="Arial"/>
        </w:rPr>
        <w:t xml:space="preserve"> for </w:t>
      </w:r>
      <w:proofErr w:type="spellStart"/>
      <w:r w:rsidRPr="00B84B0C">
        <w:rPr>
          <w:rFonts w:cs="Arial"/>
        </w:rPr>
        <w:t>January</w:t>
      </w:r>
      <w:proofErr w:type="spellEnd"/>
      <w:r w:rsidRPr="00B84B0C">
        <w:rPr>
          <w:rFonts w:cs="Arial"/>
        </w:rPr>
        <w:t xml:space="preserve"> 10, 2020 </w:t>
      </w:r>
      <w:proofErr w:type="spellStart"/>
      <w:r w:rsidRPr="00B84B0C">
        <w:rPr>
          <w:rFonts w:cs="Arial"/>
        </w:rPr>
        <w:t>and</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payment</w:t>
      </w:r>
      <w:proofErr w:type="spellEnd"/>
      <w:r w:rsidRPr="00B84B0C">
        <w:rPr>
          <w:rFonts w:cs="Arial"/>
        </w:rPr>
        <w:t xml:space="preserve"> date for April 30, 2020.</w:t>
      </w:r>
    </w:p>
    <w:p w14:paraId="1184763A" w14:textId="77777777" w:rsidR="009C72AA" w:rsidRPr="00B84B0C" w:rsidRDefault="009C72AA" w:rsidP="009C72AA">
      <w:pPr>
        <w:pStyle w:val="05-Textonormal2"/>
        <w:rPr>
          <w:rStyle w:val="tlid-translation"/>
          <w:rFonts w:cs="Arial"/>
          <w:lang w:val="en"/>
        </w:rPr>
      </w:pPr>
      <w:r w:rsidRPr="00B84B0C">
        <w:rPr>
          <w:rFonts w:cs="Arial"/>
        </w:rPr>
        <w:t xml:space="preserve">Management </w:t>
      </w:r>
      <w:proofErr w:type="spellStart"/>
      <w:r w:rsidRPr="00B84B0C">
        <w:rPr>
          <w:rFonts w:cs="Arial"/>
        </w:rPr>
        <w:t>is</w:t>
      </w:r>
      <w:proofErr w:type="spellEnd"/>
      <w:r w:rsidRPr="00B84B0C">
        <w:rPr>
          <w:rFonts w:cs="Arial"/>
        </w:rPr>
        <w:t xml:space="preserve"> </w:t>
      </w:r>
      <w:proofErr w:type="spellStart"/>
      <w:r w:rsidRPr="00B84B0C">
        <w:rPr>
          <w:rFonts w:cs="Arial"/>
        </w:rPr>
        <w:t>convinced</w:t>
      </w:r>
      <w:proofErr w:type="spellEnd"/>
      <w:r w:rsidRPr="00B84B0C">
        <w:rPr>
          <w:rFonts w:cs="Arial"/>
        </w:rPr>
        <w:t xml:space="preserve"> </w:t>
      </w:r>
      <w:proofErr w:type="spellStart"/>
      <w:r w:rsidRPr="00B84B0C">
        <w:rPr>
          <w:rFonts w:cs="Arial"/>
        </w:rPr>
        <w:t>that</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Company</w:t>
      </w:r>
      <w:proofErr w:type="spellEnd"/>
      <w:r w:rsidRPr="00B84B0C">
        <w:rPr>
          <w:rFonts w:cs="Arial"/>
        </w:rPr>
        <w:t xml:space="preserve"> </w:t>
      </w:r>
      <w:proofErr w:type="spellStart"/>
      <w:r w:rsidRPr="00B84B0C">
        <w:rPr>
          <w:rFonts w:cs="Arial"/>
        </w:rPr>
        <w:t>has</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resources</w:t>
      </w:r>
      <w:proofErr w:type="spellEnd"/>
      <w:r w:rsidRPr="00B84B0C">
        <w:rPr>
          <w:rFonts w:cs="Arial"/>
        </w:rPr>
        <w:t xml:space="preserve"> </w:t>
      </w:r>
      <w:proofErr w:type="spellStart"/>
      <w:r w:rsidRPr="00B84B0C">
        <w:rPr>
          <w:rFonts w:cs="Arial"/>
        </w:rPr>
        <w:t>to</w:t>
      </w:r>
      <w:proofErr w:type="spellEnd"/>
      <w:r w:rsidRPr="00B84B0C">
        <w:rPr>
          <w:rFonts w:cs="Arial"/>
        </w:rPr>
        <w:t xml:space="preserve"> continue its business in </w:t>
      </w:r>
      <w:proofErr w:type="spellStart"/>
      <w:r w:rsidRPr="00B84B0C">
        <w:rPr>
          <w:rFonts w:cs="Arial"/>
        </w:rPr>
        <w:t>the</w:t>
      </w:r>
      <w:proofErr w:type="spellEnd"/>
      <w:r w:rsidRPr="00B84B0C">
        <w:rPr>
          <w:rFonts w:cs="Arial"/>
        </w:rPr>
        <w:t xml:space="preserve"> future.</w:t>
      </w:r>
      <w:r w:rsidRPr="00B84B0C">
        <w:rPr>
          <w:rFonts w:cs="Arial"/>
        </w:rPr>
        <w:br/>
        <w:t xml:space="preserve">The </w:t>
      </w:r>
      <w:proofErr w:type="spellStart"/>
      <w:r w:rsidRPr="00B84B0C">
        <w:rPr>
          <w:rFonts w:cs="Arial"/>
        </w:rPr>
        <w:t>proposed</w:t>
      </w:r>
      <w:proofErr w:type="spellEnd"/>
      <w:r w:rsidRPr="00B84B0C">
        <w:rPr>
          <w:rFonts w:cs="Arial"/>
        </w:rPr>
        <w:t xml:space="preserve"> </w:t>
      </w:r>
      <w:proofErr w:type="spellStart"/>
      <w:r w:rsidRPr="00B84B0C">
        <w:rPr>
          <w:rFonts w:cs="Arial"/>
        </w:rPr>
        <w:t>movement</w:t>
      </w:r>
      <w:proofErr w:type="spellEnd"/>
      <w:r w:rsidRPr="00B84B0C">
        <w:rPr>
          <w:rFonts w:cs="Arial"/>
        </w:rPr>
        <w:t xml:space="preserve"> </w:t>
      </w:r>
      <w:proofErr w:type="spellStart"/>
      <w:r w:rsidRPr="00B84B0C">
        <w:rPr>
          <w:rFonts w:cs="Arial"/>
        </w:rPr>
        <w:t>is</w:t>
      </w:r>
      <w:proofErr w:type="spellEnd"/>
      <w:r w:rsidRPr="00B84B0C">
        <w:rPr>
          <w:rFonts w:cs="Arial"/>
        </w:rPr>
        <w:t xml:space="preserve"> a </w:t>
      </w:r>
      <w:proofErr w:type="spellStart"/>
      <w:r w:rsidRPr="00B84B0C">
        <w:rPr>
          <w:rFonts w:cs="Arial"/>
        </w:rPr>
        <w:t>result</w:t>
      </w:r>
      <w:proofErr w:type="spellEnd"/>
      <w:r w:rsidRPr="00B84B0C">
        <w:rPr>
          <w:rFonts w:cs="Arial"/>
        </w:rPr>
        <w:t xml:space="preserve"> </w:t>
      </w:r>
      <w:proofErr w:type="spellStart"/>
      <w:r w:rsidRPr="00B84B0C">
        <w:rPr>
          <w:rFonts w:cs="Arial"/>
        </w:rPr>
        <w:t>of</w:t>
      </w:r>
      <w:proofErr w:type="spellEnd"/>
      <w:r w:rsidRPr="00B84B0C">
        <w:rPr>
          <w:rFonts w:cs="Arial"/>
        </w:rPr>
        <w:t xml:space="preserve"> </w:t>
      </w:r>
      <w:proofErr w:type="spellStart"/>
      <w:r w:rsidRPr="00B84B0C">
        <w:rPr>
          <w:rFonts w:cs="Arial"/>
        </w:rPr>
        <w:t>the</w:t>
      </w:r>
      <w:proofErr w:type="spellEnd"/>
      <w:r w:rsidRPr="00B84B0C">
        <w:rPr>
          <w:rFonts w:cs="Arial"/>
        </w:rPr>
        <w:t xml:space="preserve"> </w:t>
      </w:r>
      <w:proofErr w:type="spellStart"/>
      <w:r w:rsidRPr="00B84B0C">
        <w:rPr>
          <w:rFonts w:cs="Arial"/>
        </w:rPr>
        <w:t>Company’s</w:t>
      </w:r>
      <w:proofErr w:type="spellEnd"/>
      <w:r w:rsidRPr="00B84B0C">
        <w:rPr>
          <w:rFonts w:cs="Arial"/>
        </w:rPr>
        <w:t xml:space="preserve"> </w:t>
      </w:r>
      <w:proofErr w:type="spellStart"/>
      <w:r w:rsidRPr="00B84B0C">
        <w:rPr>
          <w:rFonts w:cs="Arial"/>
        </w:rPr>
        <w:t>commitment</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efficient</w:t>
      </w:r>
      <w:proofErr w:type="spellEnd"/>
      <w:r w:rsidRPr="00B84B0C">
        <w:rPr>
          <w:rFonts w:cs="Arial"/>
        </w:rPr>
        <w:t xml:space="preserve"> capital management </w:t>
      </w:r>
      <w:proofErr w:type="spellStart"/>
      <w:r w:rsidRPr="00B84B0C">
        <w:rPr>
          <w:rFonts w:cs="Arial"/>
        </w:rPr>
        <w:t>of</w:t>
      </w:r>
      <w:proofErr w:type="spellEnd"/>
      <w:r w:rsidRPr="00B84B0C">
        <w:rPr>
          <w:rFonts w:cs="Arial"/>
        </w:rPr>
        <w:t xml:space="preserve"> </w:t>
      </w:r>
      <w:proofErr w:type="gramStart"/>
      <w:r w:rsidRPr="00B84B0C">
        <w:rPr>
          <w:rFonts w:cs="Arial"/>
        </w:rPr>
        <w:t>its capital</w:t>
      </w:r>
      <w:proofErr w:type="gramEnd"/>
      <w:r w:rsidRPr="00B84B0C">
        <w:rPr>
          <w:rFonts w:cs="Arial"/>
        </w:rPr>
        <w:t xml:space="preserve"> </w:t>
      </w:r>
      <w:proofErr w:type="spellStart"/>
      <w:r w:rsidRPr="00B84B0C">
        <w:rPr>
          <w:rFonts w:cs="Arial"/>
        </w:rPr>
        <w:t>and</w:t>
      </w:r>
      <w:proofErr w:type="spellEnd"/>
      <w:r w:rsidRPr="00B84B0C">
        <w:rPr>
          <w:rFonts w:cs="Arial"/>
        </w:rPr>
        <w:t xml:space="preserve"> does </w:t>
      </w:r>
      <w:proofErr w:type="spellStart"/>
      <w:r w:rsidRPr="00B84B0C">
        <w:rPr>
          <w:rFonts w:cs="Arial"/>
        </w:rPr>
        <w:t>not</w:t>
      </w:r>
      <w:proofErr w:type="spellEnd"/>
      <w:r w:rsidRPr="00B84B0C">
        <w:rPr>
          <w:rFonts w:cs="Arial"/>
        </w:rPr>
        <w:t xml:space="preserve"> </w:t>
      </w:r>
      <w:proofErr w:type="spellStart"/>
      <w:r w:rsidRPr="00B84B0C">
        <w:rPr>
          <w:rFonts w:cs="Arial"/>
        </w:rPr>
        <w:t>affect</w:t>
      </w:r>
      <w:proofErr w:type="spellEnd"/>
      <w:r w:rsidRPr="00B84B0C">
        <w:rPr>
          <w:rFonts w:cs="Arial"/>
        </w:rPr>
        <w:t xml:space="preserve"> BB </w:t>
      </w:r>
      <w:proofErr w:type="spellStart"/>
      <w:r w:rsidRPr="00B84B0C">
        <w:rPr>
          <w:rFonts w:cs="Arial"/>
        </w:rPr>
        <w:t>Seguridade's</w:t>
      </w:r>
      <w:proofErr w:type="spellEnd"/>
      <w:r w:rsidRPr="00B84B0C">
        <w:rPr>
          <w:rFonts w:cs="Arial"/>
        </w:rPr>
        <w:t xml:space="preserve"> </w:t>
      </w:r>
      <w:proofErr w:type="spellStart"/>
      <w:r w:rsidRPr="00B84B0C">
        <w:rPr>
          <w:rFonts w:cs="Arial"/>
        </w:rPr>
        <w:t>ability</w:t>
      </w:r>
      <w:proofErr w:type="spellEnd"/>
      <w:r w:rsidRPr="00B84B0C">
        <w:rPr>
          <w:rFonts w:cs="Arial"/>
        </w:rPr>
        <w:t xml:space="preserve"> </w:t>
      </w:r>
      <w:proofErr w:type="spellStart"/>
      <w:r w:rsidRPr="00B84B0C">
        <w:rPr>
          <w:rFonts w:cs="Arial"/>
        </w:rPr>
        <w:t>to</w:t>
      </w:r>
      <w:proofErr w:type="spellEnd"/>
      <w:r w:rsidRPr="00B84B0C">
        <w:rPr>
          <w:rFonts w:cs="Arial"/>
        </w:rPr>
        <w:t xml:space="preserve"> continue </w:t>
      </w:r>
      <w:proofErr w:type="spellStart"/>
      <w:r w:rsidRPr="00B84B0C">
        <w:rPr>
          <w:rFonts w:cs="Arial"/>
        </w:rPr>
        <w:t>operating</w:t>
      </w:r>
      <w:proofErr w:type="spellEnd"/>
      <w:r w:rsidRPr="00B84B0C">
        <w:rPr>
          <w:rFonts w:cs="Arial"/>
        </w:rPr>
        <w:t xml:space="preserve"> </w:t>
      </w:r>
      <w:proofErr w:type="spellStart"/>
      <w:r w:rsidRPr="00B84B0C">
        <w:rPr>
          <w:rFonts w:cs="Arial"/>
        </w:rPr>
        <w:t>normally</w:t>
      </w:r>
      <w:proofErr w:type="spellEnd"/>
      <w:r w:rsidRPr="00B84B0C">
        <w:rPr>
          <w:rFonts w:cs="Arial"/>
        </w:rPr>
        <w:t>.</w:t>
      </w:r>
    </w:p>
    <w:p w14:paraId="21B844CC" w14:textId="77777777" w:rsidR="009C72AA" w:rsidRPr="00B84B0C" w:rsidRDefault="009C72AA" w:rsidP="009C72AA">
      <w:pPr>
        <w:pStyle w:val="05-Textonormal"/>
        <w:keepNext/>
        <w:rPr>
          <w:rFonts w:cs="Arial"/>
        </w:rPr>
      </w:pPr>
    </w:p>
    <w:p w14:paraId="353402A7" w14:textId="77777777" w:rsidR="009C72AA" w:rsidRPr="00B84B0C" w:rsidRDefault="009C72AA" w:rsidP="009C72AA">
      <w:pPr>
        <w:pStyle w:val="01-TtulodeNota"/>
        <w:rPr>
          <w:rFonts w:cs="Arial"/>
          <w:color w:val="1F4E79" w:themeColor="accent1" w:themeShade="80"/>
        </w:rPr>
      </w:pPr>
      <w:r w:rsidRPr="00B84B0C">
        <w:rPr>
          <w:rFonts w:cs="Arial"/>
          <w:color w:val="1F4E79" w:themeColor="accent1" w:themeShade="80"/>
        </w:rPr>
        <w:t xml:space="preserve">b) Capital </w:t>
      </w:r>
      <w:proofErr w:type="spellStart"/>
      <w:r w:rsidRPr="00B84B0C">
        <w:rPr>
          <w:rFonts w:cs="Arial"/>
          <w:color w:val="1F4E79" w:themeColor="accent1" w:themeShade="80"/>
        </w:rPr>
        <w:t>and</w:t>
      </w:r>
      <w:proofErr w:type="spellEnd"/>
      <w:r w:rsidRPr="00B84B0C">
        <w:rPr>
          <w:rFonts w:cs="Arial"/>
          <w:color w:val="1F4E79" w:themeColor="accent1" w:themeShade="80"/>
        </w:rPr>
        <w:t xml:space="preserve"> Profit Reserves </w:t>
      </w:r>
    </w:p>
    <w:p w14:paraId="27569184" w14:textId="77777777" w:rsidR="009C72AA" w:rsidRPr="00B84B0C" w:rsidRDefault="009C72AA" w:rsidP="009C72AA">
      <w:pPr>
        <w:pStyle w:val="06-Rmil"/>
        <w:rPr>
          <w:rFonts w:cs="Arial"/>
          <w:lang w:val="en-US"/>
        </w:rPr>
      </w:pPr>
      <w:r w:rsidRPr="00B84B0C">
        <w:rPr>
          <w:rFonts w:cs="Arial"/>
          <w:lang w:val="en-US"/>
        </w:rPr>
        <w:t>R$ thousand</w:t>
      </w:r>
    </w:p>
    <w:tbl>
      <w:tblPr>
        <w:tblStyle w:val="TabeladeLista6Colorida-nfase53"/>
        <w:tblW w:w="9639" w:type="dxa"/>
        <w:tblInd w:w="108" w:type="dxa"/>
        <w:tblLook w:val="04A0" w:firstRow="1" w:lastRow="0" w:firstColumn="1" w:lastColumn="0" w:noHBand="0" w:noVBand="1"/>
      </w:tblPr>
      <w:tblGrid>
        <w:gridCol w:w="6980"/>
        <w:gridCol w:w="1276"/>
        <w:gridCol w:w="1383"/>
      </w:tblGrid>
      <w:tr w:rsidR="009C72AA" w:rsidRPr="00B84B0C" w14:paraId="28F437CF" w14:textId="77777777" w:rsidTr="009C72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6980" w:type="dxa"/>
            <w:tcBorders>
              <w:top w:val="single" w:sz="2" w:space="0" w:color="8EAADB" w:themeColor="accent5" w:themeTint="99"/>
              <w:bottom w:val="nil"/>
            </w:tcBorders>
            <w:shd w:val="clear" w:color="auto" w:fill="D9E2F3" w:themeFill="accent5" w:themeFillTint="33"/>
            <w:vAlign w:val="center"/>
          </w:tcPr>
          <w:p w14:paraId="3F194E6B" w14:textId="77777777" w:rsidR="009C72AA" w:rsidRPr="00B84B0C" w:rsidRDefault="009C72AA" w:rsidP="009C72AA">
            <w:pPr>
              <w:jc w:val="center"/>
              <w:rPr>
                <w:rFonts w:cs="Arial"/>
                <w:b w:val="0"/>
                <w:szCs w:val="18"/>
              </w:rPr>
            </w:pPr>
          </w:p>
        </w:tc>
        <w:tc>
          <w:tcPr>
            <w:tcW w:w="2659"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48E23410" w14:textId="77777777" w:rsidR="009C72AA" w:rsidRPr="00B84B0C" w:rsidRDefault="009C72AA" w:rsidP="009C72AA">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B84B0C">
              <w:rPr>
                <w:rFonts w:cs="Arial"/>
                <w:sz w:val="14"/>
                <w:szCs w:val="14"/>
                <w:lang w:val="en-US"/>
              </w:rPr>
              <w:t xml:space="preserve">Parent and </w:t>
            </w:r>
            <w:proofErr w:type="gramStart"/>
            <w:r w:rsidRPr="00B84B0C">
              <w:rPr>
                <w:rFonts w:cs="Arial"/>
                <w:sz w:val="14"/>
                <w:szCs w:val="14"/>
                <w:lang w:val="en-US"/>
              </w:rPr>
              <w:t>Consolidated</w:t>
            </w:r>
            <w:proofErr w:type="gramEnd"/>
          </w:p>
        </w:tc>
      </w:tr>
      <w:tr w:rsidR="009C72AA" w:rsidRPr="00B84B0C" w14:paraId="315FE960"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80" w:type="dxa"/>
            <w:tcBorders>
              <w:top w:val="nil"/>
              <w:bottom w:val="single" w:sz="2" w:space="0" w:color="8EAADB" w:themeColor="accent5" w:themeTint="99"/>
            </w:tcBorders>
          </w:tcPr>
          <w:p w14:paraId="3C0DCC8D" w14:textId="77777777" w:rsidR="009C72AA" w:rsidRPr="00B84B0C" w:rsidRDefault="009C72AA" w:rsidP="009C72AA">
            <w:pPr>
              <w:pStyle w:val="08-Tabelageral"/>
              <w:rPr>
                <w:rFonts w:cs="Arial"/>
                <w:b w:val="0"/>
              </w:rPr>
            </w:pPr>
          </w:p>
        </w:tc>
        <w:tc>
          <w:tcPr>
            <w:tcW w:w="1276" w:type="dxa"/>
            <w:tcBorders>
              <w:top w:val="single" w:sz="2" w:space="0" w:color="8EAADB" w:themeColor="accent5" w:themeTint="99"/>
              <w:bottom w:val="single" w:sz="2" w:space="0" w:color="8EAADB" w:themeColor="accent5" w:themeTint="99"/>
            </w:tcBorders>
            <w:vAlign w:val="center"/>
          </w:tcPr>
          <w:p w14:paraId="786D1A9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383" w:type="dxa"/>
            <w:tcBorders>
              <w:top w:val="single" w:sz="2" w:space="0" w:color="8EAADB" w:themeColor="accent5" w:themeTint="99"/>
              <w:bottom w:val="single" w:sz="2" w:space="0" w:color="8EAADB" w:themeColor="accent5" w:themeTint="99"/>
            </w:tcBorders>
            <w:vAlign w:val="center"/>
          </w:tcPr>
          <w:p w14:paraId="0CA1AC6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roofErr w:type="spellStart"/>
            <w:r w:rsidRPr="00B84B0C">
              <w:rPr>
                <w:rFonts w:cs="Arial"/>
                <w:b/>
              </w:rPr>
              <w:t>Dec</w:t>
            </w:r>
            <w:proofErr w:type="spellEnd"/>
            <w:r w:rsidRPr="00B84B0C">
              <w:rPr>
                <w:rFonts w:cs="Arial"/>
                <w:b/>
              </w:rPr>
              <w:t xml:space="preserve"> 31, 2019</w:t>
            </w:r>
          </w:p>
        </w:tc>
      </w:tr>
      <w:tr w:rsidR="009C72AA" w:rsidRPr="00B84B0C" w14:paraId="6BF7676F"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6980" w:type="dxa"/>
            <w:tcBorders>
              <w:top w:val="nil"/>
              <w:bottom w:val="nil"/>
            </w:tcBorders>
            <w:vAlign w:val="center"/>
          </w:tcPr>
          <w:p w14:paraId="4788C850" w14:textId="77777777" w:rsidR="009C72AA" w:rsidRPr="00B84B0C" w:rsidRDefault="009C72AA" w:rsidP="009C72AA">
            <w:pPr>
              <w:pStyle w:val="08-Tabelageral"/>
              <w:ind w:left="113"/>
              <w:jc w:val="left"/>
              <w:rPr>
                <w:rFonts w:cs="Arial"/>
                <w:szCs w:val="14"/>
              </w:rPr>
            </w:pPr>
            <w:r w:rsidRPr="00B84B0C">
              <w:rPr>
                <w:rFonts w:cs="Arial"/>
                <w:szCs w:val="14"/>
              </w:rPr>
              <w:t>Capital Reserves</w:t>
            </w:r>
          </w:p>
        </w:tc>
        <w:tc>
          <w:tcPr>
            <w:tcW w:w="1276" w:type="dxa"/>
            <w:tcBorders>
              <w:top w:val="nil"/>
              <w:bottom w:val="nil"/>
            </w:tcBorders>
            <w:vAlign w:val="center"/>
          </w:tcPr>
          <w:p w14:paraId="657986FE"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463</w:t>
            </w:r>
          </w:p>
        </w:tc>
        <w:tc>
          <w:tcPr>
            <w:tcW w:w="1383" w:type="dxa"/>
            <w:tcBorders>
              <w:top w:val="nil"/>
              <w:bottom w:val="nil"/>
            </w:tcBorders>
            <w:vAlign w:val="center"/>
          </w:tcPr>
          <w:p w14:paraId="023CA7A0"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1,117</w:t>
            </w:r>
          </w:p>
        </w:tc>
      </w:tr>
      <w:tr w:rsidR="009C72AA" w:rsidRPr="00B84B0C" w14:paraId="674793CF"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80" w:type="dxa"/>
            <w:tcBorders>
              <w:top w:val="nil"/>
              <w:bottom w:val="nil"/>
            </w:tcBorders>
            <w:vAlign w:val="center"/>
          </w:tcPr>
          <w:p w14:paraId="0D480404" w14:textId="77777777" w:rsidR="009C72AA" w:rsidRPr="00B84B0C" w:rsidRDefault="009C72AA" w:rsidP="009C72AA">
            <w:pPr>
              <w:pStyle w:val="08-Tabelageral"/>
              <w:ind w:left="113"/>
              <w:jc w:val="left"/>
              <w:rPr>
                <w:rFonts w:cs="Arial"/>
                <w:szCs w:val="14"/>
              </w:rPr>
            </w:pPr>
            <w:r w:rsidRPr="00B84B0C">
              <w:rPr>
                <w:rFonts w:cs="Arial"/>
                <w:szCs w:val="14"/>
              </w:rPr>
              <w:t>Profit Reserves</w:t>
            </w:r>
          </w:p>
        </w:tc>
        <w:tc>
          <w:tcPr>
            <w:tcW w:w="1276" w:type="dxa"/>
            <w:tcBorders>
              <w:top w:val="nil"/>
              <w:bottom w:val="nil"/>
            </w:tcBorders>
            <w:vAlign w:val="center"/>
          </w:tcPr>
          <w:p w14:paraId="1ECECD38"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1,905,725</w:t>
            </w:r>
          </w:p>
        </w:tc>
        <w:tc>
          <w:tcPr>
            <w:tcW w:w="1383" w:type="dxa"/>
            <w:tcBorders>
              <w:top w:val="nil"/>
              <w:bottom w:val="nil"/>
            </w:tcBorders>
            <w:vAlign w:val="center"/>
          </w:tcPr>
          <w:p w14:paraId="7EA3A6EB"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1,905,725</w:t>
            </w:r>
          </w:p>
        </w:tc>
      </w:tr>
      <w:tr w:rsidR="009C72AA" w:rsidRPr="00B84B0C" w14:paraId="6B02A905"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6980" w:type="dxa"/>
            <w:tcBorders>
              <w:top w:val="nil"/>
              <w:bottom w:val="nil"/>
            </w:tcBorders>
            <w:vAlign w:val="center"/>
          </w:tcPr>
          <w:p w14:paraId="3FFE5194" w14:textId="77777777" w:rsidR="009C72AA" w:rsidRPr="00B84B0C" w:rsidRDefault="009C72AA" w:rsidP="009C72AA">
            <w:pPr>
              <w:pStyle w:val="08-Tabelageral"/>
              <w:ind w:left="113"/>
              <w:jc w:val="left"/>
              <w:rPr>
                <w:rFonts w:cs="Arial"/>
                <w:b w:val="0"/>
                <w:szCs w:val="14"/>
              </w:rPr>
            </w:pPr>
            <w:r w:rsidRPr="00B84B0C">
              <w:rPr>
                <w:rFonts w:cs="Arial"/>
                <w:b w:val="0"/>
                <w:szCs w:val="14"/>
              </w:rPr>
              <w:t xml:space="preserve">   Legal Reserve</w:t>
            </w:r>
          </w:p>
        </w:tc>
        <w:tc>
          <w:tcPr>
            <w:tcW w:w="1276" w:type="dxa"/>
            <w:tcBorders>
              <w:top w:val="nil"/>
              <w:bottom w:val="nil"/>
            </w:tcBorders>
            <w:vAlign w:val="center"/>
          </w:tcPr>
          <w:p w14:paraId="1A8C6B64"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679,354</w:t>
            </w:r>
          </w:p>
        </w:tc>
        <w:tc>
          <w:tcPr>
            <w:tcW w:w="1383" w:type="dxa"/>
            <w:tcBorders>
              <w:top w:val="nil"/>
              <w:bottom w:val="nil"/>
            </w:tcBorders>
            <w:vAlign w:val="center"/>
          </w:tcPr>
          <w:p w14:paraId="18009FE4"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679,354</w:t>
            </w:r>
          </w:p>
        </w:tc>
      </w:tr>
      <w:tr w:rsidR="009C72AA" w:rsidRPr="00B84B0C" w14:paraId="461D7246"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80" w:type="dxa"/>
            <w:tcBorders>
              <w:top w:val="nil"/>
              <w:bottom w:val="single" w:sz="2" w:space="0" w:color="8EAADB" w:themeColor="accent5" w:themeTint="99"/>
            </w:tcBorders>
            <w:vAlign w:val="center"/>
          </w:tcPr>
          <w:p w14:paraId="601B11B0" w14:textId="77777777" w:rsidR="009C72AA" w:rsidRPr="00B84B0C" w:rsidRDefault="009C72AA" w:rsidP="009C72AA">
            <w:pPr>
              <w:pStyle w:val="08-Tabelageral"/>
              <w:ind w:left="113"/>
              <w:jc w:val="left"/>
              <w:rPr>
                <w:rFonts w:cs="Arial"/>
                <w:b w:val="0"/>
                <w:szCs w:val="14"/>
              </w:rPr>
            </w:pPr>
            <w:r w:rsidRPr="00B84B0C">
              <w:rPr>
                <w:rFonts w:cs="Arial"/>
                <w:b w:val="0"/>
                <w:szCs w:val="14"/>
              </w:rPr>
              <w:t xml:space="preserve">   </w:t>
            </w:r>
            <w:proofErr w:type="spellStart"/>
            <w:r w:rsidRPr="00B84B0C">
              <w:rPr>
                <w:rFonts w:cs="Arial"/>
                <w:b w:val="0"/>
                <w:szCs w:val="14"/>
              </w:rPr>
              <w:t>Statutory</w:t>
            </w:r>
            <w:proofErr w:type="spellEnd"/>
            <w:r w:rsidRPr="00B84B0C">
              <w:rPr>
                <w:rFonts w:cs="Arial"/>
                <w:b w:val="0"/>
                <w:szCs w:val="14"/>
              </w:rPr>
              <w:t xml:space="preserve"> reserve</w:t>
            </w:r>
          </w:p>
        </w:tc>
        <w:tc>
          <w:tcPr>
            <w:tcW w:w="1276" w:type="dxa"/>
            <w:tcBorders>
              <w:top w:val="nil"/>
              <w:bottom w:val="single" w:sz="2" w:space="0" w:color="8EAADB" w:themeColor="accent5" w:themeTint="99"/>
            </w:tcBorders>
            <w:vAlign w:val="center"/>
          </w:tcPr>
          <w:p w14:paraId="098263EF"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1,226,371</w:t>
            </w:r>
          </w:p>
        </w:tc>
        <w:tc>
          <w:tcPr>
            <w:tcW w:w="1383" w:type="dxa"/>
            <w:tcBorders>
              <w:top w:val="nil"/>
              <w:bottom w:val="single" w:sz="2" w:space="0" w:color="8EAADB" w:themeColor="accent5" w:themeTint="99"/>
            </w:tcBorders>
            <w:vAlign w:val="center"/>
          </w:tcPr>
          <w:p w14:paraId="6A4076E0"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1,226,371</w:t>
            </w:r>
          </w:p>
        </w:tc>
      </w:tr>
    </w:tbl>
    <w:p w14:paraId="72B5CDC7" w14:textId="77777777" w:rsidR="009C72AA" w:rsidRPr="00B84B0C" w:rsidRDefault="009C72AA" w:rsidP="009C72AA">
      <w:pPr>
        <w:pStyle w:val="03-SubttulodeNota"/>
        <w:keepNext/>
        <w:keepLines/>
        <w:spacing w:before="40"/>
        <w:ind w:left="284" w:hanging="284"/>
        <w:rPr>
          <w:rFonts w:cs="Arial"/>
          <w:b w:val="0"/>
          <w:sz w:val="14"/>
          <w:szCs w:val="14"/>
        </w:rPr>
      </w:pPr>
      <w:r w:rsidRPr="00B84B0C">
        <w:rPr>
          <w:rFonts w:cs="Arial"/>
          <w:b w:val="0"/>
          <w:sz w:val="14"/>
          <w:szCs w:val="14"/>
        </w:rPr>
        <w:t xml:space="preserve"> </w:t>
      </w:r>
    </w:p>
    <w:p w14:paraId="43A45024" w14:textId="77777777" w:rsidR="009C72AA" w:rsidRPr="00B84B0C" w:rsidRDefault="009C72AA" w:rsidP="009C72AA">
      <w:pPr>
        <w:pStyle w:val="05-Textonormal"/>
        <w:rPr>
          <w:rFonts w:cs="Arial"/>
          <w:lang w:val="en-US"/>
        </w:rPr>
      </w:pPr>
      <w:r w:rsidRPr="00B84B0C">
        <w:rPr>
          <w:rFonts w:cs="Arial"/>
          <w:lang w:val="en-US"/>
        </w:rPr>
        <w:t>The purpose of the Legal Reserve is to ensure the integrity of the capital stock and may only be used to offset losses or increase the capital stock. Of the net income for the period, 5% is invested, before any other allocation, in the constitution of the legal reserve, which will not exceed 20% of the share capital and the balance of the legal reserve plus the amounts of capital reserves that will not exceed 30%. (thirty percent) of the capital stock.</w:t>
      </w:r>
    </w:p>
    <w:p w14:paraId="11A350DE" w14:textId="77777777" w:rsidR="009C72AA" w:rsidRPr="00B84B0C" w:rsidRDefault="009C72AA" w:rsidP="009C72AA">
      <w:pPr>
        <w:pStyle w:val="05-Textonormal"/>
        <w:rPr>
          <w:rFonts w:cs="Arial"/>
          <w:lang w:val="en-US"/>
        </w:rPr>
      </w:pPr>
      <w:r w:rsidRPr="00B84B0C">
        <w:rPr>
          <w:rFonts w:cs="Arial"/>
          <w:lang w:val="en-US"/>
        </w:rPr>
        <w:t xml:space="preserve">The purpose of the Statutory Reserve is to guarantee operating margin compatible with the development of BB </w:t>
      </w:r>
      <w:proofErr w:type="spellStart"/>
      <w:r w:rsidRPr="00B84B0C">
        <w:rPr>
          <w:rFonts w:cs="Arial"/>
          <w:lang w:val="en-US"/>
        </w:rPr>
        <w:t>Seguridade's</w:t>
      </w:r>
      <w:proofErr w:type="spellEnd"/>
      <w:r w:rsidRPr="00B84B0C">
        <w:rPr>
          <w:rFonts w:cs="Arial"/>
          <w:lang w:val="en-US"/>
        </w:rPr>
        <w:t xml:space="preserve"> operations, consisting of up to 100% (one hundred percent) of the net income balance, after legal allocations, including dividends, up to a limit of 80%. Eighty percent (%) of the share capital.</w:t>
      </w:r>
    </w:p>
    <w:p w14:paraId="41621BAE" w14:textId="77777777" w:rsidR="009C72AA" w:rsidRPr="00B84B0C" w:rsidRDefault="009C72AA" w:rsidP="009C72AA">
      <w:pPr>
        <w:pStyle w:val="01-TtulodeNota"/>
        <w:rPr>
          <w:rFonts w:cs="Arial"/>
          <w:b w:val="0"/>
          <w:sz w:val="14"/>
        </w:rPr>
      </w:pPr>
      <w:r w:rsidRPr="00B84B0C">
        <w:rPr>
          <w:rFonts w:cs="Arial"/>
          <w:color w:val="1F4E79" w:themeColor="accent1" w:themeShade="80"/>
        </w:rPr>
        <w:t xml:space="preserve">c) </w:t>
      </w:r>
      <w:proofErr w:type="spellStart"/>
      <w:r w:rsidRPr="00B84B0C">
        <w:rPr>
          <w:rFonts w:cs="Arial"/>
          <w:color w:val="1F4E79" w:themeColor="accent1" w:themeShade="80"/>
        </w:rPr>
        <w:t>Earnings</w:t>
      </w:r>
      <w:proofErr w:type="spellEnd"/>
      <w:r w:rsidRPr="00B84B0C">
        <w:rPr>
          <w:rFonts w:cs="Arial"/>
          <w:color w:val="1F4E79" w:themeColor="accent1" w:themeShade="80"/>
        </w:rPr>
        <w:t xml:space="preserve"> per </w:t>
      </w:r>
      <w:proofErr w:type="spellStart"/>
      <w:r w:rsidRPr="00B84B0C">
        <w:rPr>
          <w:rFonts w:cs="Arial"/>
          <w:color w:val="1F4E79" w:themeColor="accent1" w:themeShade="80"/>
        </w:rPr>
        <w:t>Share</w:t>
      </w:r>
      <w:proofErr w:type="spellEnd"/>
    </w:p>
    <w:tbl>
      <w:tblPr>
        <w:tblStyle w:val="TabeladeLista6Colorida-nfase53"/>
        <w:tblW w:w="9639" w:type="dxa"/>
        <w:tblInd w:w="108" w:type="dxa"/>
        <w:tblLook w:val="04A0" w:firstRow="1" w:lastRow="0" w:firstColumn="1" w:lastColumn="0" w:noHBand="0" w:noVBand="1"/>
      </w:tblPr>
      <w:tblGrid>
        <w:gridCol w:w="6555"/>
        <w:gridCol w:w="1417"/>
        <w:gridCol w:w="1667"/>
      </w:tblGrid>
      <w:tr w:rsidR="009C72AA" w:rsidRPr="00B84B0C" w14:paraId="429E294C" w14:textId="77777777" w:rsidTr="009C72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6555" w:type="dxa"/>
            <w:tcBorders>
              <w:top w:val="single" w:sz="2" w:space="0" w:color="8EAADB" w:themeColor="accent5" w:themeTint="99"/>
              <w:bottom w:val="nil"/>
            </w:tcBorders>
            <w:shd w:val="clear" w:color="auto" w:fill="D9E2F3" w:themeFill="accent5" w:themeFillTint="33"/>
            <w:vAlign w:val="center"/>
          </w:tcPr>
          <w:p w14:paraId="6BCCC38A" w14:textId="77777777" w:rsidR="009C72AA" w:rsidRPr="00B84B0C" w:rsidRDefault="009C72AA" w:rsidP="009C72AA">
            <w:pPr>
              <w:jc w:val="center"/>
              <w:rPr>
                <w:rFonts w:cs="Arial"/>
                <w:b w:val="0"/>
                <w:szCs w:val="18"/>
              </w:rPr>
            </w:pPr>
          </w:p>
        </w:tc>
        <w:tc>
          <w:tcPr>
            <w:tcW w:w="3084"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29768377" w14:textId="77777777" w:rsidR="009C72AA" w:rsidRPr="00B84B0C" w:rsidRDefault="009C72AA" w:rsidP="009C72AA">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84B0C">
              <w:rPr>
                <w:rFonts w:cs="Arial"/>
                <w:sz w:val="14"/>
                <w:szCs w:val="14"/>
                <w:lang w:val="en-US"/>
              </w:rPr>
              <w:t xml:space="preserve">Parent and </w:t>
            </w:r>
            <w:proofErr w:type="gramStart"/>
            <w:r w:rsidRPr="00B84B0C">
              <w:rPr>
                <w:rFonts w:cs="Arial"/>
                <w:sz w:val="14"/>
                <w:szCs w:val="14"/>
                <w:lang w:val="en-US"/>
              </w:rPr>
              <w:t>Consolidated</w:t>
            </w:r>
            <w:proofErr w:type="gramEnd"/>
          </w:p>
        </w:tc>
      </w:tr>
      <w:tr w:rsidR="009C72AA" w:rsidRPr="00B84B0C" w14:paraId="3BB9B3B3"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555" w:type="dxa"/>
            <w:tcBorders>
              <w:top w:val="nil"/>
              <w:bottom w:val="single" w:sz="2" w:space="0" w:color="8EAADB" w:themeColor="accent5" w:themeTint="99"/>
            </w:tcBorders>
          </w:tcPr>
          <w:p w14:paraId="48A323DF" w14:textId="77777777" w:rsidR="009C72AA" w:rsidRPr="00B84B0C" w:rsidRDefault="009C72AA" w:rsidP="009C72AA">
            <w:pPr>
              <w:pStyle w:val="08-Tabelageral"/>
              <w:rPr>
                <w:rFonts w:cs="Arial"/>
                <w:b w:val="0"/>
              </w:rPr>
            </w:pPr>
          </w:p>
        </w:tc>
        <w:tc>
          <w:tcPr>
            <w:tcW w:w="1417" w:type="dxa"/>
            <w:tcBorders>
              <w:top w:val="single" w:sz="2" w:space="0" w:color="8EAADB" w:themeColor="accent5" w:themeTint="99"/>
              <w:bottom w:val="single" w:sz="2" w:space="0" w:color="8EAADB" w:themeColor="accent5" w:themeTint="99"/>
            </w:tcBorders>
            <w:vAlign w:val="center"/>
          </w:tcPr>
          <w:p w14:paraId="35A404F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szCs w:val="14"/>
                <w:lang w:val="en-US"/>
              </w:rPr>
              <w:t>1st Quarter/2020</w:t>
            </w:r>
          </w:p>
        </w:tc>
        <w:tc>
          <w:tcPr>
            <w:tcW w:w="1667" w:type="dxa"/>
            <w:tcBorders>
              <w:top w:val="single" w:sz="2" w:space="0" w:color="8EAADB" w:themeColor="accent5" w:themeTint="99"/>
              <w:bottom w:val="single" w:sz="2" w:space="0" w:color="8EAADB" w:themeColor="accent5" w:themeTint="99"/>
            </w:tcBorders>
            <w:vAlign w:val="center"/>
          </w:tcPr>
          <w:p w14:paraId="70605C1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szCs w:val="14"/>
                <w:lang w:val="en-US"/>
              </w:rPr>
              <w:t>1st Quarter/2019</w:t>
            </w:r>
          </w:p>
        </w:tc>
      </w:tr>
      <w:tr w:rsidR="009C72AA" w:rsidRPr="00B84B0C" w14:paraId="60E9A394"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6555" w:type="dxa"/>
            <w:tcBorders>
              <w:top w:val="nil"/>
              <w:bottom w:val="nil"/>
            </w:tcBorders>
            <w:vAlign w:val="center"/>
          </w:tcPr>
          <w:p w14:paraId="5E2FAFAB" w14:textId="77777777" w:rsidR="009C72AA" w:rsidRPr="00B84B0C" w:rsidRDefault="009C72AA" w:rsidP="009C72AA">
            <w:pPr>
              <w:pStyle w:val="08-Tabelageral"/>
              <w:jc w:val="left"/>
              <w:rPr>
                <w:rFonts w:cs="Arial"/>
                <w:b w:val="0"/>
                <w:bCs w:val="0"/>
                <w:color w:val="auto"/>
                <w:lang w:val="en-US"/>
              </w:rPr>
            </w:pPr>
            <w:r w:rsidRPr="00B84B0C">
              <w:rPr>
                <w:rFonts w:cs="Arial"/>
                <w:b w:val="0"/>
                <w:bCs w:val="0"/>
                <w:color w:val="auto"/>
                <w:lang w:val="en-US"/>
              </w:rPr>
              <w:t>Net income attributable to shareholders of the Bank (R$ thousand)</w:t>
            </w:r>
          </w:p>
        </w:tc>
        <w:tc>
          <w:tcPr>
            <w:tcW w:w="1417" w:type="dxa"/>
            <w:tcBorders>
              <w:top w:val="nil"/>
              <w:bottom w:val="nil"/>
            </w:tcBorders>
            <w:vAlign w:val="center"/>
          </w:tcPr>
          <w:p w14:paraId="6673248F"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882,721</w:t>
            </w:r>
          </w:p>
        </w:tc>
        <w:tc>
          <w:tcPr>
            <w:tcW w:w="1667" w:type="dxa"/>
            <w:tcBorders>
              <w:top w:val="nil"/>
              <w:bottom w:val="nil"/>
            </w:tcBorders>
          </w:tcPr>
          <w:p w14:paraId="6A4E824D"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1,013,758</w:t>
            </w:r>
          </w:p>
        </w:tc>
      </w:tr>
      <w:tr w:rsidR="009C72AA" w:rsidRPr="00B84B0C" w14:paraId="5DF35CAA"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555" w:type="dxa"/>
            <w:tcBorders>
              <w:top w:val="nil"/>
              <w:bottom w:val="nil"/>
            </w:tcBorders>
            <w:vAlign w:val="center"/>
          </w:tcPr>
          <w:p w14:paraId="7E355C46" w14:textId="77777777" w:rsidR="009C72AA" w:rsidRPr="00B84B0C" w:rsidRDefault="009C72AA" w:rsidP="009C72AA">
            <w:pPr>
              <w:rPr>
                <w:rFonts w:eastAsia="Times New Roman" w:cs="Arial"/>
                <w:b w:val="0"/>
                <w:bCs w:val="0"/>
                <w:color w:val="auto"/>
                <w:spacing w:val="-2"/>
                <w:sz w:val="14"/>
                <w:szCs w:val="18"/>
                <w:lang w:val="en-US" w:eastAsia="pt-BR"/>
              </w:rPr>
            </w:pPr>
            <w:r w:rsidRPr="00B84B0C">
              <w:rPr>
                <w:rFonts w:eastAsia="Times New Roman" w:cs="Arial"/>
                <w:b w:val="0"/>
                <w:bCs w:val="0"/>
                <w:color w:val="auto"/>
                <w:spacing w:val="-2"/>
                <w:sz w:val="14"/>
                <w:szCs w:val="18"/>
                <w:lang w:val="en-US" w:eastAsia="pt-BR"/>
              </w:rPr>
              <w:t xml:space="preserve">Weighted average of ordinary and dilutive </w:t>
            </w:r>
            <w:proofErr w:type="spellStart"/>
            <w:r w:rsidRPr="00B84B0C">
              <w:rPr>
                <w:rFonts w:eastAsia="Times New Roman" w:cs="Arial"/>
                <w:b w:val="0"/>
                <w:bCs w:val="0"/>
                <w:color w:val="auto"/>
                <w:spacing w:val="-2"/>
                <w:sz w:val="14"/>
                <w:szCs w:val="18"/>
                <w:lang w:val="en-US" w:eastAsia="pt-BR"/>
              </w:rPr>
              <w:t>potencial</w:t>
            </w:r>
            <w:proofErr w:type="spellEnd"/>
            <w:r w:rsidRPr="00B84B0C">
              <w:rPr>
                <w:rFonts w:eastAsia="Times New Roman" w:cs="Arial"/>
                <w:b w:val="0"/>
                <w:bCs w:val="0"/>
                <w:color w:val="auto"/>
                <w:spacing w:val="-2"/>
                <w:sz w:val="14"/>
                <w:szCs w:val="18"/>
                <w:lang w:val="en-US" w:eastAsia="pt-BR"/>
              </w:rPr>
              <w:t xml:space="preserve"> ordinary shares outstanding</w:t>
            </w:r>
          </w:p>
        </w:tc>
        <w:tc>
          <w:tcPr>
            <w:tcW w:w="1417" w:type="dxa"/>
            <w:tcBorders>
              <w:top w:val="nil"/>
              <w:bottom w:val="nil"/>
            </w:tcBorders>
            <w:vAlign w:val="center"/>
          </w:tcPr>
          <w:p w14:paraId="6021DEC4"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1,996,694,370</w:t>
            </w:r>
          </w:p>
        </w:tc>
        <w:tc>
          <w:tcPr>
            <w:tcW w:w="1667" w:type="dxa"/>
            <w:tcBorders>
              <w:top w:val="nil"/>
              <w:bottom w:val="nil"/>
            </w:tcBorders>
          </w:tcPr>
          <w:p w14:paraId="0E6BF06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1,996,597,404</w:t>
            </w:r>
          </w:p>
        </w:tc>
      </w:tr>
      <w:tr w:rsidR="009C72AA" w:rsidRPr="00B84B0C" w14:paraId="702C287B"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6555" w:type="dxa"/>
            <w:tcBorders>
              <w:top w:val="nil"/>
              <w:bottom w:val="single" w:sz="2" w:space="0" w:color="8EAADB" w:themeColor="accent5" w:themeTint="99"/>
            </w:tcBorders>
            <w:vAlign w:val="center"/>
          </w:tcPr>
          <w:p w14:paraId="5C36C225" w14:textId="77777777" w:rsidR="009C72AA" w:rsidRPr="00B84B0C" w:rsidRDefault="009C72AA" w:rsidP="009C72AA">
            <w:pPr>
              <w:rPr>
                <w:rFonts w:eastAsia="Times New Roman" w:cs="Arial"/>
                <w:b w:val="0"/>
                <w:bCs w:val="0"/>
                <w:color w:val="auto"/>
                <w:spacing w:val="-2"/>
                <w:sz w:val="14"/>
                <w:szCs w:val="18"/>
                <w:lang w:val="en-US" w:eastAsia="pt-BR"/>
              </w:rPr>
            </w:pPr>
            <w:r w:rsidRPr="00B84B0C">
              <w:rPr>
                <w:rFonts w:eastAsia="Times New Roman" w:cs="Arial"/>
                <w:b w:val="0"/>
                <w:bCs w:val="0"/>
                <w:color w:val="auto"/>
                <w:spacing w:val="-2"/>
                <w:sz w:val="14"/>
                <w:szCs w:val="18"/>
                <w:lang w:val="en-US" w:eastAsia="pt-BR"/>
              </w:rPr>
              <w:t>Earnings per share – basic and diluted (R$)</w:t>
            </w:r>
          </w:p>
        </w:tc>
        <w:tc>
          <w:tcPr>
            <w:tcW w:w="1417" w:type="dxa"/>
            <w:tcBorders>
              <w:top w:val="nil"/>
              <w:bottom w:val="single" w:sz="2" w:space="0" w:color="8EAADB" w:themeColor="accent5" w:themeTint="99"/>
            </w:tcBorders>
            <w:vAlign w:val="center"/>
          </w:tcPr>
          <w:p w14:paraId="3BC2DDDB"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0.44</w:t>
            </w:r>
          </w:p>
        </w:tc>
        <w:tc>
          <w:tcPr>
            <w:tcW w:w="1667" w:type="dxa"/>
            <w:tcBorders>
              <w:top w:val="nil"/>
              <w:bottom w:val="single" w:sz="2" w:space="0" w:color="8EAADB" w:themeColor="accent5" w:themeTint="99"/>
            </w:tcBorders>
          </w:tcPr>
          <w:p w14:paraId="3DC60149"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 xml:space="preserve">0.51 </w:t>
            </w:r>
          </w:p>
        </w:tc>
      </w:tr>
    </w:tbl>
    <w:p w14:paraId="6919E427" w14:textId="77777777" w:rsidR="009C72AA" w:rsidRPr="00B84B0C" w:rsidRDefault="009C72AA" w:rsidP="009C72AA">
      <w:pPr>
        <w:pStyle w:val="05-Textonormal"/>
        <w:rPr>
          <w:rFonts w:cs="Arial"/>
          <w:lang w:val="en-US"/>
        </w:rPr>
      </w:pPr>
      <w:r w:rsidRPr="00B84B0C">
        <w:rPr>
          <w:rFonts w:cs="Arial"/>
          <w:lang w:val="en-US"/>
        </w:rPr>
        <w:t xml:space="preserve">The basic earnings per share is calculated by dividing net income attributable to shareholders of the BB </w:t>
      </w:r>
      <w:proofErr w:type="spellStart"/>
      <w:r w:rsidRPr="00B84B0C">
        <w:rPr>
          <w:rFonts w:cs="Arial"/>
          <w:lang w:val="en-US"/>
        </w:rPr>
        <w:t>Seguridade</w:t>
      </w:r>
      <w:proofErr w:type="spellEnd"/>
      <w:r w:rsidRPr="00B84B0C">
        <w:rPr>
          <w:rFonts w:cs="Arial"/>
          <w:lang w:val="en-US"/>
        </w:rPr>
        <w:t xml:space="preserve"> by the weighted average number of common shares outstanding in each of the periods presented. </w:t>
      </w:r>
    </w:p>
    <w:p w14:paraId="2152948C" w14:textId="77777777" w:rsidR="009C72AA" w:rsidRPr="00B84B0C" w:rsidRDefault="009C72AA" w:rsidP="009C72AA">
      <w:pPr>
        <w:pStyle w:val="05-Textonormal"/>
        <w:rPr>
          <w:rFonts w:cs="Arial"/>
          <w:lang w:val="en-US"/>
        </w:rPr>
      </w:pPr>
      <w:r w:rsidRPr="00B84B0C">
        <w:rPr>
          <w:rFonts w:cs="Arial"/>
          <w:lang w:val="en-US"/>
        </w:rPr>
        <w:t xml:space="preserve">The diluted earnings per share is calculated by dividing net income attributable to shareholders of the BB </w:t>
      </w:r>
      <w:proofErr w:type="spellStart"/>
      <w:r w:rsidRPr="00B84B0C">
        <w:rPr>
          <w:rFonts w:cs="Arial"/>
          <w:lang w:val="en-US"/>
        </w:rPr>
        <w:t>Seguridade</w:t>
      </w:r>
      <w:proofErr w:type="spellEnd"/>
      <w:r w:rsidRPr="00B84B0C">
        <w:rPr>
          <w:rFonts w:cs="Arial"/>
          <w:lang w:val="en-US"/>
        </w:rPr>
        <w:t xml:space="preserve"> by the weighted average number of common shares outstanding, including the effect of all dilutive potential ordinary shares. </w:t>
      </w:r>
    </w:p>
    <w:p w14:paraId="7819734E" w14:textId="77777777" w:rsidR="009C72AA" w:rsidRPr="00B84B0C" w:rsidRDefault="009C72AA" w:rsidP="009C72AA">
      <w:pPr>
        <w:pStyle w:val="05-Textonormal"/>
        <w:rPr>
          <w:rFonts w:cs="Arial"/>
          <w:lang w:val="en-US"/>
        </w:rPr>
      </w:pPr>
      <w:r w:rsidRPr="00B84B0C">
        <w:rPr>
          <w:rFonts w:cs="Arial"/>
          <w:lang w:val="en-US"/>
        </w:rPr>
        <w:t xml:space="preserve">The BB </w:t>
      </w:r>
      <w:proofErr w:type="spellStart"/>
      <w:r w:rsidRPr="00B84B0C">
        <w:rPr>
          <w:rFonts w:cs="Arial"/>
          <w:lang w:val="en-US"/>
        </w:rPr>
        <w:t>Seguridade</w:t>
      </w:r>
      <w:proofErr w:type="spellEnd"/>
      <w:r w:rsidRPr="00B84B0C">
        <w:rPr>
          <w:rFonts w:cs="Arial"/>
          <w:lang w:val="en-US"/>
        </w:rPr>
        <w:t xml:space="preserve"> has no option, bonus of subscription or its equivalents which provide their holder the right to acquire shares. Thus, the basic and diluted earnings per share are equal. </w:t>
      </w:r>
    </w:p>
    <w:p w14:paraId="03697D3D" w14:textId="77777777" w:rsidR="009C72AA" w:rsidRPr="00B84B0C" w:rsidRDefault="009C72AA" w:rsidP="00E72E05">
      <w:pPr>
        <w:pStyle w:val="01-TtulodeNota"/>
        <w:keepNext/>
        <w:keepLines/>
        <w:pageBreakBefore/>
        <w:rPr>
          <w:rFonts w:cs="Arial"/>
          <w:color w:val="1F4E79" w:themeColor="accent1" w:themeShade="80"/>
        </w:rPr>
      </w:pPr>
      <w:r w:rsidRPr="00B84B0C">
        <w:rPr>
          <w:rFonts w:cs="Arial"/>
          <w:color w:val="1F4E79" w:themeColor="accent1" w:themeShade="80"/>
        </w:rPr>
        <w:lastRenderedPageBreak/>
        <w:t xml:space="preserve">d) </w:t>
      </w:r>
      <w:proofErr w:type="spellStart"/>
      <w:r w:rsidRPr="00B84B0C">
        <w:rPr>
          <w:rFonts w:cs="Arial"/>
          <w:color w:val="1F4E79" w:themeColor="accent1" w:themeShade="80"/>
        </w:rPr>
        <w:t>Dividends</w:t>
      </w:r>
      <w:proofErr w:type="spellEnd"/>
      <w:r w:rsidRPr="00B84B0C">
        <w:rPr>
          <w:rFonts w:cs="Arial"/>
          <w:color w:val="1F4E79" w:themeColor="accent1" w:themeShade="80"/>
        </w:rPr>
        <w:t xml:space="preserve"> </w:t>
      </w:r>
    </w:p>
    <w:p w14:paraId="00F6310E" w14:textId="77777777" w:rsidR="009C72AA" w:rsidRPr="00B84B0C" w:rsidRDefault="009C72AA" w:rsidP="009C72AA">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 xml:space="preserve">BB </w:t>
      </w:r>
      <w:proofErr w:type="spellStart"/>
      <w:r w:rsidRPr="00B84B0C">
        <w:rPr>
          <w:rFonts w:eastAsia="Times New Roman" w:cs="Arial"/>
          <w:spacing w:val="-2"/>
          <w:szCs w:val="18"/>
          <w:lang w:val="en" w:eastAsia="pt-BR"/>
        </w:rPr>
        <w:t>Seguridade</w:t>
      </w:r>
      <w:proofErr w:type="spellEnd"/>
      <w:r w:rsidRPr="00B84B0C">
        <w:rPr>
          <w:rFonts w:eastAsia="Times New Roman" w:cs="Arial"/>
          <w:spacing w:val="-2"/>
          <w:szCs w:val="18"/>
          <w:lang w:val="en" w:eastAsia="pt-BR"/>
        </w:rPr>
        <w:t xml:space="preserve"> follows the Dividend Policy available on the Investor Relations website of BB </w:t>
      </w:r>
      <w:proofErr w:type="spellStart"/>
      <w:r w:rsidRPr="00B84B0C">
        <w:rPr>
          <w:rFonts w:eastAsia="Times New Roman" w:cs="Arial"/>
          <w:spacing w:val="-2"/>
          <w:szCs w:val="18"/>
          <w:lang w:val="en" w:eastAsia="pt-BR"/>
        </w:rPr>
        <w:t>Seguridade</w:t>
      </w:r>
      <w:proofErr w:type="spellEnd"/>
      <w:r w:rsidRPr="00B84B0C">
        <w:rPr>
          <w:rFonts w:eastAsia="Times New Roman" w:cs="Arial"/>
          <w:spacing w:val="-2"/>
          <w:szCs w:val="18"/>
          <w:lang w:val="en" w:eastAsia="pt-BR"/>
        </w:rPr>
        <w:t>.</w:t>
      </w:r>
    </w:p>
    <w:p w14:paraId="7FC499C8" w14:textId="77777777" w:rsidR="009C72AA" w:rsidRPr="00B84B0C" w:rsidRDefault="009C72AA" w:rsidP="009C72AA">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The Policy is reviewed annually or, extraordinarily, at any time, and submitted to the Board of Directors of group for approval.</w:t>
      </w:r>
    </w:p>
    <w:p w14:paraId="344C9A99" w14:textId="77777777" w:rsidR="009C72AA" w:rsidRPr="00B84B0C" w:rsidRDefault="009C72AA" w:rsidP="009C72AA">
      <w:pPr>
        <w:spacing w:before="120" w:after="120"/>
        <w:jc w:val="both"/>
        <w:rPr>
          <w:rFonts w:eastAsia="Times New Roman" w:cs="Arial"/>
          <w:spacing w:val="-2"/>
          <w:szCs w:val="18"/>
          <w:lang w:val="en" w:eastAsia="pt-BR"/>
        </w:rPr>
      </w:pPr>
      <w:r w:rsidRPr="00B84B0C">
        <w:rPr>
          <w:rFonts w:eastAsia="Times New Roman" w:cs="Arial"/>
          <w:spacing w:val="-2"/>
          <w:szCs w:val="18"/>
          <w:lang w:val="en" w:eastAsia="pt-BR"/>
        </w:rPr>
        <w:t xml:space="preserve">Dividends calculated in the second half of 2019 were paid in February 2020, monetarily restated by the </w:t>
      </w:r>
      <w:proofErr w:type="spellStart"/>
      <w:r w:rsidRPr="00B84B0C">
        <w:rPr>
          <w:rFonts w:eastAsia="Times New Roman" w:cs="Arial"/>
          <w:spacing w:val="-2"/>
          <w:szCs w:val="18"/>
          <w:lang w:val="en" w:eastAsia="pt-BR"/>
        </w:rPr>
        <w:t>Selic</w:t>
      </w:r>
      <w:proofErr w:type="spellEnd"/>
      <w:r w:rsidRPr="00B84B0C">
        <w:rPr>
          <w:rFonts w:eastAsia="Times New Roman" w:cs="Arial"/>
          <w:spacing w:val="-2"/>
          <w:szCs w:val="18"/>
          <w:lang w:val="en" w:eastAsia="pt-BR"/>
        </w:rPr>
        <w:t xml:space="preserve"> rate.</w:t>
      </w:r>
    </w:p>
    <w:p w14:paraId="79D3B838" w14:textId="77777777" w:rsidR="009C72AA" w:rsidRPr="00B84B0C" w:rsidRDefault="009C72AA" w:rsidP="009C72AA">
      <w:pPr>
        <w:pStyle w:val="01-TtulodeNota"/>
        <w:rPr>
          <w:rFonts w:cs="Arial"/>
        </w:rPr>
      </w:pPr>
      <w:r w:rsidRPr="00B84B0C">
        <w:rPr>
          <w:rFonts w:cs="Arial"/>
          <w:color w:val="1F4E79" w:themeColor="accent1" w:themeShade="80"/>
        </w:rPr>
        <w:t xml:space="preserve">e) Other </w:t>
      </w:r>
      <w:proofErr w:type="spellStart"/>
      <w:r w:rsidRPr="00B84B0C">
        <w:rPr>
          <w:rFonts w:cs="Arial"/>
          <w:color w:val="1F4E79" w:themeColor="accent1" w:themeShade="80"/>
        </w:rPr>
        <w:t>Accumulated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Comprehensive</w:t>
      </w:r>
      <w:proofErr w:type="spellEnd"/>
      <w:r w:rsidRPr="00B84B0C">
        <w:rPr>
          <w:rFonts w:cs="Arial"/>
          <w:color w:val="1F4E79" w:themeColor="accent1" w:themeShade="80"/>
        </w:rPr>
        <w:t xml:space="preserve"> Income</w:t>
      </w:r>
      <w:r w:rsidRPr="00B84B0C">
        <w:rPr>
          <w:rFonts w:cs="Arial"/>
        </w:rPr>
        <w:tab/>
      </w:r>
    </w:p>
    <w:p w14:paraId="4A4F37FA" w14:textId="77777777" w:rsidR="009C72AA" w:rsidRPr="00B84B0C" w:rsidRDefault="009C72AA" w:rsidP="009C72AA">
      <w:pPr>
        <w:pStyle w:val="05-Textonormal"/>
        <w:rPr>
          <w:rStyle w:val="tlid-translation"/>
          <w:rFonts w:cs="Arial"/>
          <w:lang w:val="en"/>
        </w:rPr>
      </w:pPr>
      <w:r w:rsidRPr="00B84B0C">
        <w:rPr>
          <w:rStyle w:val="tlid-translation"/>
          <w:rFonts w:cs="Arial"/>
          <w:lang w:val="en"/>
        </w:rPr>
        <w:t xml:space="preserve">The negative balance recorded in Other Comprehensive Accumulated Results in the amount of R$ 6,629 thousand (R$ 28,451 thousand positive on 12.31.2019) is composed of R$ 14,361 thousand positive (R$ 49.441 thousand positive on 12.31.2019) resulting mainly from the appreciation or devaluation resulting from the adjustment to market value, at the net value of tax effects, of securities classified as fair value through other comprehensive results of </w:t>
      </w:r>
      <w:proofErr w:type="spellStart"/>
      <w:r w:rsidRPr="00B84B0C">
        <w:rPr>
          <w:rStyle w:val="tlid-translation"/>
          <w:rFonts w:cs="Arial"/>
          <w:lang w:val="en"/>
        </w:rPr>
        <w:t>Brasilprev</w:t>
      </w:r>
      <w:proofErr w:type="spellEnd"/>
      <w:r w:rsidRPr="00B84B0C">
        <w:rPr>
          <w:rStyle w:val="tlid-translation"/>
          <w:rFonts w:cs="Arial"/>
          <w:lang w:val="en"/>
        </w:rPr>
        <w:t xml:space="preserve"> </w:t>
      </w:r>
      <w:proofErr w:type="spellStart"/>
      <w:r w:rsidRPr="00B84B0C">
        <w:rPr>
          <w:rStyle w:val="tlid-translation"/>
          <w:rFonts w:cs="Arial"/>
          <w:lang w:val="en"/>
        </w:rPr>
        <w:t>Seguros</w:t>
      </w:r>
      <w:proofErr w:type="spellEnd"/>
      <w:r w:rsidRPr="00B84B0C">
        <w:rPr>
          <w:rStyle w:val="tlid-translation"/>
          <w:rFonts w:cs="Arial"/>
          <w:lang w:val="en"/>
        </w:rPr>
        <w:t xml:space="preserve"> e </w:t>
      </w:r>
      <w:proofErr w:type="spellStart"/>
      <w:r w:rsidRPr="00B84B0C">
        <w:rPr>
          <w:rStyle w:val="tlid-translation"/>
          <w:rFonts w:cs="Arial"/>
          <w:lang w:val="en"/>
        </w:rPr>
        <w:t>Previdência</w:t>
      </w:r>
      <w:proofErr w:type="spellEnd"/>
      <w:r w:rsidRPr="00B84B0C">
        <w:rPr>
          <w:rStyle w:val="tlid-translation"/>
          <w:rFonts w:cs="Arial"/>
          <w:lang w:val="en"/>
        </w:rPr>
        <w:t xml:space="preserve"> SA, BB </w:t>
      </w:r>
      <w:proofErr w:type="spellStart"/>
      <w:r w:rsidRPr="00B84B0C">
        <w:rPr>
          <w:rStyle w:val="tlid-translation"/>
          <w:rFonts w:cs="Arial"/>
          <w:lang w:val="en"/>
        </w:rPr>
        <w:t>Mapfre</w:t>
      </w:r>
      <w:proofErr w:type="spellEnd"/>
      <w:r w:rsidRPr="00B84B0C">
        <w:rPr>
          <w:rStyle w:val="tlid-translation"/>
          <w:rFonts w:cs="Arial"/>
          <w:lang w:val="en"/>
        </w:rPr>
        <w:t xml:space="preserve"> </w:t>
      </w:r>
      <w:proofErr w:type="spellStart"/>
      <w:r w:rsidRPr="00B84B0C">
        <w:rPr>
          <w:rStyle w:val="tlid-translation"/>
          <w:rFonts w:cs="Arial"/>
          <w:lang w:val="en"/>
        </w:rPr>
        <w:t>Participações</w:t>
      </w:r>
      <w:proofErr w:type="spellEnd"/>
      <w:r w:rsidRPr="00B84B0C">
        <w:rPr>
          <w:rStyle w:val="tlid-translation"/>
          <w:rFonts w:cs="Arial"/>
          <w:lang w:val="en"/>
        </w:rPr>
        <w:t xml:space="preserve"> SA and </w:t>
      </w:r>
      <w:proofErr w:type="spellStart"/>
      <w:r w:rsidRPr="00B84B0C">
        <w:rPr>
          <w:rStyle w:val="tlid-translation"/>
          <w:rFonts w:cs="Arial"/>
          <w:lang w:val="en"/>
        </w:rPr>
        <w:t>Brasilcap</w:t>
      </w:r>
      <w:proofErr w:type="spellEnd"/>
      <w:r w:rsidRPr="00B84B0C">
        <w:rPr>
          <w:rStyle w:val="tlid-translation"/>
          <w:rFonts w:cs="Arial"/>
          <w:lang w:val="en"/>
        </w:rPr>
        <w:t xml:space="preserve"> </w:t>
      </w:r>
      <w:proofErr w:type="spellStart"/>
      <w:r w:rsidRPr="00B84B0C">
        <w:rPr>
          <w:rStyle w:val="tlid-translation"/>
          <w:rFonts w:cs="Arial"/>
          <w:lang w:val="en"/>
        </w:rPr>
        <w:t>Capitalização</w:t>
      </w:r>
      <w:proofErr w:type="spellEnd"/>
      <w:r w:rsidRPr="00B84B0C">
        <w:rPr>
          <w:rStyle w:val="tlid-translation"/>
          <w:rFonts w:cs="Arial"/>
          <w:lang w:val="en"/>
        </w:rPr>
        <w:t xml:space="preserve"> SA; Negative R$ 20,824 thousand (R$ 20,824 thousand negative on 12.31.2019) from adjustments for the purpose of standardizing accounting practices from previous periods at BB </w:t>
      </w:r>
      <w:proofErr w:type="spellStart"/>
      <w:r w:rsidRPr="00B84B0C">
        <w:rPr>
          <w:rStyle w:val="tlid-translation"/>
          <w:rFonts w:cs="Arial"/>
          <w:lang w:val="en"/>
        </w:rPr>
        <w:t>Mapfre</w:t>
      </w:r>
      <w:proofErr w:type="spellEnd"/>
      <w:r w:rsidRPr="00B84B0C">
        <w:rPr>
          <w:rStyle w:val="tlid-translation"/>
          <w:rFonts w:cs="Arial"/>
          <w:lang w:val="en"/>
        </w:rPr>
        <w:t xml:space="preserve"> </w:t>
      </w:r>
      <w:proofErr w:type="spellStart"/>
      <w:r w:rsidRPr="00B84B0C">
        <w:rPr>
          <w:rStyle w:val="tlid-translation"/>
          <w:rFonts w:cs="Arial"/>
          <w:lang w:val="en"/>
        </w:rPr>
        <w:t>Participações</w:t>
      </w:r>
      <w:proofErr w:type="spellEnd"/>
      <w:r w:rsidRPr="00B84B0C">
        <w:rPr>
          <w:rStyle w:val="tlid-translation"/>
          <w:rFonts w:cs="Arial"/>
          <w:lang w:val="en"/>
        </w:rPr>
        <w:t xml:space="preserve"> S.A. (in 2020 BB </w:t>
      </w:r>
      <w:proofErr w:type="spellStart"/>
      <w:r w:rsidRPr="00B84B0C">
        <w:rPr>
          <w:rStyle w:val="tlid-translation"/>
          <w:rFonts w:cs="Arial"/>
          <w:lang w:val="en"/>
        </w:rPr>
        <w:t>Mapfre</w:t>
      </w:r>
      <w:proofErr w:type="spellEnd"/>
      <w:r w:rsidRPr="00B84B0C">
        <w:rPr>
          <w:rStyle w:val="tlid-translation"/>
          <w:rFonts w:cs="Arial"/>
          <w:lang w:val="en"/>
        </w:rPr>
        <w:t xml:space="preserve"> </w:t>
      </w:r>
      <w:proofErr w:type="spellStart"/>
      <w:r w:rsidRPr="00B84B0C">
        <w:rPr>
          <w:rStyle w:val="tlid-translation"/>
          <w:rFonts w:cs="Arial"/>
          <w:lang w:val="en"/>
        </w:rPr>
        <w:t>Participações</w:t>
      </w:r>
      <w:proofErr w:type="spellEnd"/>
      <w:r w:rsidRPr="00B84B0C">
        <w:rPr>
          <w:rStyle w:val="tlid-translation"/>
          <w:rFonts w:cs="Arial"/>
          <w:lang w:val="en"/>
        </w:rPr>
        <w:t xml:space="preserve"> recognized this amount in its Shareholders' Equity); and R$ 166 thousand negative (R$ 166 thousand negative on 12.31.2019) from results from previous periods of </w:t>
      </w:r>
      <w:proofErr w:type="spellStart"/>
      <w:r w:rsidRPr="00B84B0C">
        <w:rPr>
          <w:rStyle w:val="tlid-translation"/>
          <w:rFonts w:cs="Arial"/>
          <w:lang w:val="en"/>
        </w:rPr>
        <w:t>Ciclic</w:t>
      </w:r>
      <w:proofErr w:type="spellEnd"/>
      <w:r w:rsidRPr="00B84B0C">
        <w:rPr>
          <w:rStyle w:val="tlid-translation"/>
          <w:rFonts w:cs="Arial"/>
          <w:lang w:val="en"/>
        </w:rPr>
        <w:t>.</w:t>
      </w:r>
    </w:p>
    <w:p w14:paraId="60CBB27C" w14:textId="77777777" w:rsidR="00AA4EEA" w:rsidRPr="00B84B0C" w:rsidRDefault="00AA4EEA" w:rsidP="00AA4EEA">
      <w:pPr>
        <w:pStyle w:val="01-TtulodeNota"/>
        <w:keepNext/>
        <w:keepLines/>
        <w:rPr>
          <w:rStyle w:val="tlid-translation"/>
          <w:rFonts w:cs="Arial"/>
          <w:b w:val="0"/>
          <w:sz w:val="18"/>
          <w:szCs w:val="18"/>
          <w:lang w:val="en"/>
        </w:rPr>
      </w:pPr>
      <w:r w:rsidRPr="00B84B0C">
        <w:rPr>
          <w:rStyle w:val="tlid-translation"/>
          <w:rFonts w:cs="Arial"/>
          <w:b w:val="0"/>
          <w:sz w:val="18"/>
          <w:szCs w:val="18"/>
          <w:lang w:val="en"/>
        </w:rPr>
        <w:t xml:space="preserve">Bearing in mind that BB </w:t>
      </w:r>
      <w:proofErr w:type="spellStart"/>
      <w:r w:rsidRPr="00B84B0C">
        <w:rPr>
          <w:rStyle w:val="tlid-translation"/>
          <w:rFonts w:cs="Arial"/>
          <w:b w:val="0"/>
          <w:sz w:val="18"/>
          <w:szCs w:val="18"/>
          <w:lang w:val="en"/>
        </w:rPr>
        <w:t>Seguridade</w:t>
      </w:r>
      <w:proofErr w:type="spellEnd"/>
      <w:r w:rsidRPr="00B84B0C">
        <w:rPr>
          <w:rStyle w:val="tlid-translation"/>
          <w:rFonts w:cs="Arial"/>
          <w:b w:val="0"/>
          <w:sz w:val="18"/>
          <w:szCs w:val="18"/>
          <w:lang w:val="en"/>
        </w:rPr>
        <w:t xml:space="preserve"> does not have securities classified as fair value through other comprehensive income, the amounts in its statements reflect the values existing in the companies in which BB </w:t>
      </w:r>
      <w:proofErr w:type="spellStart"/>
      <w:r w:rsidRPr="00B84B0C">
        <w:rPr>
          <w:rStyle w:val="tlid-translation"/>
          <w:rFonts w:cs="Arial"/>
          <w:b w:val="0"/>
          <w:sz w:val="18"/>
          <w:szCs w:val="18"/>
          <w:lang w:val="en"/>
        </w:rPr>
        <w:t>Seguros</w:t>
      </w:r>
      <w:proofErr w:type="spellEnd"/>
      <w:r w:rsidRPr="00B84B0C">
        <w:rPr>
          <w:rStyle w:val="tlid-translation"/>
          <w:rFonts w:cs="Arial"/>
          <w:b w:val="0"/>
          <w:sz w:val="18"/>
          <w:szCs w:val="18"/>
          <w:lang w:val="en"/>
        </w:rPr>
        <w:t xml:space="preserve"> holds interest.</w:t>
      </w:r>
    </w:p>
    <w:p w14:paraId="5C234092" w14:textId="71288E68" w:rsidR="009C72AA" w:rsidRPr="00B84B0C" w:rsidRDefault="009C72AA" w:rsidP="009C72AA">
      <w:pPr>
        <w:pStyle w:val="05-Textonormal"/>
        <w:rPr>
          <w:rStyle w:val="tlid-translation"/>
          <w:rFonts w:cs="Arial"/>
          <w:lang w:val="en"/>
        </w:rPr>
      </w:pPr>
    </w:p>
    <w:p w14:paraId="4F70F735" w14:textId="77777777" w:rsidR="009C72AA" w:rsidRPr="00B84B0C" w:rsidRDefault="009C72AA" w:rsidP="009C72AA">
      <w:pPr>
        <w:pStyle w:val="01-TtulodeNota"/>
        <w:keepNext/>
        <w:keepLines/>
        <w:rPr>
          <w:rFonts w:cs="Arial"/>
          <w:color w:val="1F4E79" w:themeColor="accent1" w:themeShade="80"/>
        </w:rPr>
      </w:pPr>
      <w:r w:rsidRPr="00B84B0C">
        <w:rPr>
          <w:rFonts w:cs="Arial"/>
          <w:color w:val="1F4E79" w:themeColor="accent1" w:themeShade="80"/>
        </w:rPr>
        <w:t xml:space="preserve">f) </w:t>
      </w:r>
      <w:proofErr w:type="spellStart"/>
      <w:r w:rsidRPr="00B84B0C">
        <w:rPr>
          <w:rFonts w:cs="Arial"/>
          <w:color w:val="1F4E79" w:themeColor="accent1" w:themeShade="80"/>
        </w:rPr>
        <w:t>Shareholdings</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number</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of</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shares</w:t>
      </w:r>
      <w:proofErr w:type="spellEnd"/>
      <w:r w:rsidRPr="00B84B0C">
        <w:rPr>
          <w:rFonts w:cs="Arial"/>
          <w:color w:val="1F4E79" w:themeColor="accent1" w:themeShade="80"/>
        </w:rPr>
        <w:t xml:space="preserve">) </w:t>
      </w:r>
    </w:p>
    <w:tbl>
      <w:tblPr>
        <w:tblStyle w:val="TabeladeLista6Colorida-nfase53"/>
        <w:tblW w:w="9639" w:type="dxa"/>
        <w:tblInd w:w="108" w:type="dxa"/>
        <w:tblLayout w:type="fixed"/>
        <w:tblLook w:val="04A0" w:firstRow="1" w:lastRow="0" w:firstColumn="1" w:lastColumn="0" w:noHBand="0" w:noVBand="1"/>
      </w:tblPr>
      <w:tblGrid>
        <w:gridCol w:w="4735"/>
        <w:gridCol w:w="1365"/>
        <w:gridCol w:w="707"/>
        <w:gridCol w:w="270"/>
        <w:gridCol w:w="152"/>
        <w:gridCol w:w="220"/>
        <w:gridCol w:w="29"/>
        <w:gridCol w:w="1206"/>
        <w:gridCol w:w="955"/>
      </w:tblGrid>
      <w:tr w:rsidR="009C72AA" w:rsidRPr="00B84B0C" w14:paraId="2B8CA4E4" w14:textId="77777777" w:rsidTr="009C72AA">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4735" w:type="dxa"/>
            <w:vMerge w:val="restart"/>
            <w:tcBorders>
              <w:top w:val="single" w:sz="2" w:space="0" w:color="8EAADB" w:themeColor="accent5" w:themeTint="99"/>
            </w:tcBorders>
            <w:shd w:val="clear" w:color="auto" w:fill="D9E2F3" w:themeFill="accent5" w:themeFillTint="33"/>
            <w:vAlign w:val="center"/>
          </w:tcPr>
          <w:p w14:paraId="3BC881BF" w14:textId="77777777" w:rsidR="009C72AA" w:rsidRPr="00B84B0C" w:rsidRDefault="009C72AA" w:rsidP="009C72AA">
            <w:pPr>
              <w:pStyle w:val="08-Tabelageral"/>
              <w:jc w:val="left"/>
              <w:rPr>
                <w:rFonts w:cs="Arial"/>
                <w:b w:val="0"/>
              </w:rPr>
            </w:pPr>
            <w:r w:rsidRPr="00B84B0C">
              <w:rPr>
                <w:rFonts w:cs="Arial"/>
                <w:szCs w:val="14"/>
                <w:lang w:val="en-US"/>
              </w:rPr>
              <w:t>Stockholders</w:t>
            </w:r>
          </w:p>
        </w:tc>
        <w:tc>
          <w:tcPr>
            <w:tcW w:w="2072"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16265FE5" w14:textId="77777777" w:rsidR="009C72AA" w:rsidRPr="00B84B0C" w:rsidRDefault="009C72AA" w:rsidP="009C72AA">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szCs w:val="14"/>
                <w:lang w:val="en-US"/>
              </w:rPr>
              <w:t>Mar 31, 2020</w:t>
            </w:r>
          </w:p>
        </w:tc>
        <w:tc>
          <w:tcPr>
            <w:tcW w:w="422" w:type="dxa"/>
            <w:gridSpan w:val="2"/>
            <w:tcBorders>
              <w:top w:val="single" w:sz="2" w:space="0" w:color="8EAADB" w:themeColor="accent5" w:themeTint="99"/>
              <w:bottom w:val="nil"/>
            </w:tcBorders>
            <w:shd w:val="clear" w:color="auto" w:fill="D9E2F3" w:themeFill="accent5" w:themeFillTint="33"/>
          </w:tcPr>
          <w:p w14:paraId="5939900F"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
        </w:tc>
        <w:tc>
          <w:tcPr>
            <w:tcW w:w="2410" w:type="dxa"/>
            <w:gridSpan w:val="4"/>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10586E50" w14:textId="77777777" w:rsidR="009C72AA" w:rsidRPr="00B84B0C" w:rsidRDefault="009C72AA" w:rsidP="009C72AA">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szCs w:val="14"/>
                <w:lang w:val="en-US"/>
              </w:rPr>
              <w:t>Dec 31, 2019</w:t>
            </w:r>
          </w:p>
        </w:tc>
      </w:tr>
      <w:tr w:rsidR="009C72AA" w:rsidRPr="00B84B0C" w14:paraId="02051189" w14:textId="77777777" w:rsidTr="009C72AA">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735" w:type="dxa"/>
            <w:vMerge/>
            <w:tcBorders>
              <w:bottom w:val="single" w:sz="2" w:space="0" w:color="8EAADB" w:themeColor="accent5" w:themeTint="99"/>
            </w:tcBorders>
          </w:tcPr>
          <w:p w14:paraId="4D9E90A6" w14:textId="77777777" w:rsidR="009C72AA" w:rsidRPr="00B84B0C" w:rsidRDefault="009C72AA" w:rsidP="009C72AA">
            <w:pPr>
              <w:pStyle w:val="08-Tabelageral"/>
              <w:rPr>
                <w:rFonts w:cs="Arial"/>
                <w:b w:val="0"/>
              </w:rPr>
            </w:pPr>
          </w:p>
        </w:tc>
        <w:tc>
          <w:tcPr>
            <w:tcW w:w="1365" w:type="dxa"/>
            <w:tcBorders>
              <w:top w:val="single" w:sz="2" w:space="0" w:color="8EAADB" w:themeColor="accent5" w:themeTint="99"/>
              <w:bottom w:val="single" w:sz="2" w:space="0" w:color="8EAADB" w:themeColor="accent5" w:themeTint="99"/>
            </w:tcBorders>
          </w:tcPr>
          <w:p w14:paraId="572017A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proofErr w:type="spellStart"/>
            <w:r w:rsidRPr="00B84B0C">
              <w:rPr>
                <w:rFonts w:cs="Arial"/>
                <w:b/>
                <w:bCs/>
                <w:kern w:val="2"/>
                <w:szCs w:val="14"/>
              </w:rPr>
              <w:t>Shares</w:t>
            </w:r>
            <w:proofErr w:type="spellEnd"/>
          </w:p>
        </w:tc>
        <w:tc>
          <w:tcPr>
            <w:tcW w:w="707" w:type="dxa"/>
            <w:tcBorders>
              <w:top w:val="single" w:sz="2" w:space="0" w:color="8EAADB" w:themeColor="accent5" w:themeTint="99"/>
              <w:bottom w:val="single" w:sz="2" w:space="0" w:color="8EAADB" w:themeColor="accent5" w:themeTint="99"/>
            </w:tcBorders>
          </w:tcPr>
          <w:p w14:paraId="053767D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B84B0C">
              <w:rPr>
                <w:rFonts w:cs="Arial"/>
                <w:b/>
                <w:bCs/>
                <w:kern w:val="2"/>
                <w:szCs w:val="14"/>
              </w:rPr>
              <w:t>% Total</w:t>
            </w:r>
          </w:p>
        </w:tc>
        <w:tc>
          <w:tcPr>
            <w:tcW w:w="270" w:type="dxa"/>
            <w:tcBorders>
              <w:top w:val="single" w:sz="2" w:space="0" w:color="8EAADB" w:themeColor="accent5" w:themeTint="99"/>
              <w:bottom w:val="single" w:sz="2" w:space="0" w:color="8EAADB" w:themeColor="accent5" w:themeTint="99"/>
            </w:tcBorders>
            <w:vAlign w:val="center"/>
          </w:tcPr>
          <w:p w14:paraId="3997493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401" w:type="dxa"/>
            <w:gridSpan w:val="3"/>
            <w:tcBorders>
              <w:top w:val="nil"/>
              <w:bottom w:val="single" w:sz="2" w:space="0" w:color="8EAADB" w:themeColor="accent5" w:themeTint="99"/>
            </w:tcBorders>
          </w:tcPr>
          <w:p w14:paraId="7BE1BAD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06" w:type="dxa"/>
            <w:tcBorders>
              <w:top w:val="single" w:sz="2" w:space="0" w:color="8EAADB" w:themeColor="accent5" w:themeTint="99"/>
              <w:bottom w:val="single" w:sz="2" w:space="0" w:color="8EAADB" w:themeColor="accent5" w:themeTint="99"/>
            </w:tcBorders>
            <w:vAlign w:val="center"/>
          </w:tcPr>
          <w:p w14:paraId="1DC8E85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proofErr w:type="spellStart"/>
            <w:r w:rsidRPr="00B84B0C">
              <w:rPr>
                <w:rFonts w:cs="Arial"/>
                <w:b/>
                <w:bCs/>
                <w:kern w:val="2"/>
                <w:szCs w:val="14"/>
              </w:rPr>
              <w:t>Shares</w:t>
            </w:r>
            <w:proofErr w:type="spellEnd"/>
          </w:p>
        </w:tc>
        <w:tc>
          <w:tcPr>
            <w:tcW w:w="955" w:type="dxa"/>
            <w:tcBorders>
              <w:top w:val="single" w:sz="2" w:space="0" w:color="8EAADB" w:themeColor="accent5" w:themeTint="99"/>
              <w:bottom w:val="single" w:sz="2" w:space="0" w:color="8EAADB" w:themeColor="accent5" w:themeTint="99"/>
            </w:tcBorders>
            <w:vAlign w:val="center"/>
          </w:tcPr>
          <w:p w14:paraId="3F85907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rPr>
            </w:pPr>
            <w:r w:rsidRPr="00B84B0C">
              <w:rPr>
                <w:rFonts w:cs="Arial"/>
                <w:b/>
                <w:bCs/>
                <w:kern w:val="2"/>
                <w:szCs w:val="14"/>
              </w:rPr>
              <w:t>% Total</w:t>
            </w:r>
          </w:p>
        </w:tc>
      </w:tr>
      <w:tr w:rsidR="009C72AA" w:rsidRPr="00B84B0C" w14:paraId="58E5B078" w14:textId="77777777" w:rsidTr="009C72AA">
        <w:trPr>
          <w:trHeight w:hRule="exact" w:val="258"/>
        </w:trPr>
        <w:tc>
          <w:tcPr>
            <w:cnfStyle w:val="001000000000" w:firstRow="0" w:lastRow="0" w:firstColumn="1" w:lastColumn="0" w:oddVBand="0" w:evenVBand="0" w:oddHBand="0" w:evenHBand="0" w:firstRowFirstColumn="0" w:firstRowLastColumn="0" w:lastRowFirstColumn="0" w:lastRowLastColumn="0"/>
            <w:tcW w:w="4735" w:type="dxa"/>
            <w:tcBorders>
              <w:top w:val="single" w:sz="2" w:space="0" w:color="8EAADB" w:themeColor="accent5" w:themeTint="99"/>
              <w:bottom w:val="nil"/>
            </w:tcBorders>
          </w:tcPr>
          <w:p w14:paraId="177E6D7E" w14:textId="77777777" w:rsidR="009C72AA" w:rsidRPr="00B84B0C" w:rsidRDefault="009C72AA" w:rsidP="009C72AA">
            <w:pPr>
              <w:pStyle w:val="08-Tabelageral"/>
              <w:jc w:val="left"/>
              <w:rPr>
                <w:rFonts w:cs="Arial"/>
                <w:b w:val="0"/>
                <w:bCs w:val="0"/>
                <w:color w:val="auto"/>
                <w:szCs w:val="14"/>
              </w:rPr>
            </w:pPr>
            <w:r w:rsidRPr="00B84B0C">
              <w:rPr>
                <w:rFonts w:cs="Arial"/>
                <w:b w:val="0"/>
                <w:bCs w:val="0"/>
                <w:color w:val="auto"/>
                <w:szCs w:val="14"/>
              </w:rPr>
              <w:t>Banco do Brasil</w:t>
            </w:r>
          </w:p>
        </w:tc>
        <w:tc>
          <w:tcPr>
            <w:tcW w:w="1365" w:type="dxa"/>
            <w:tcBorders>
              <w:top w:val="single" w:sz="2" w:space="0" w:color="8EAADB" w:themeColor="accent5" w:themeTint="99"/>
              <w:bottom w:val="nil"/>
            </w:tcBorders>
            <w:vAlign w:val="center"/>
          </w:tcPr>
          <w:p w14:paraId="683B4182"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1,325,000,000</w:t>
            </w:r>
          </w:p>
        </w:tc>
        <w:tc>
          <w:tcPr>
            <w:tcW w:w="707" w:type="dxa"/>
            <w:tcBorders>
              <w:top w:val="single" w:sz="2" w:space="0" w:color="8EAADB" w:themeColor="accent5" w:themeTint="99"/>
              <w:bottom w:val="nil"/>
            </w:tcBorders>
            <w:vAlign w:val="center"/>
          </w:tcPr>
          <w:p w14:paraId="444CF4B0"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66.25</w:t>
            </w:r>
          </w:p>
        </w:tc>
        <w:tc>
          <w:tcPr>
            <w:tcW w:w="270" w:type="dxa"/>
            <w:tcBorders>
              <w:top w:val="single" w:sz="2" w:space="0" w:color="8EAADB" w:themeColor="accent5" w:themeTint="99"/>
              <w:bottom w:val="nil"/>
            </w:tcBorders>
            <w:vAlign w:val="center"/>
          </w:tcPr>
          <w:p w14:paraId="5753E352"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372" w:type="dxa"/>
            <w:gridSpan w:val="2"/>
            <w:tcBorders>
              <w:top w:val="single" w:sz="2" w:space="0" w:color="8EAADB" w:themeColor="accent5" w:themeTint="99"/>
              <w:bottom w:val="nil"/>
            </w:tcBorders>
          </w:tcPr>
          <w:p w14:paraId="4844A365"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1235" w:type="dxa"/>
            <w:gridSpan w:val="2"/>
            <w:tcBorders>
              <w:top w:val="single" w:sz="2" w:space="0" w:color="8EAADB" w:themeColor="accent5" w:themeTint="99"/>
              <w:bottom w:val="nil"/>
            </w:tcBorders>
            <w:vAlign w:val="center"/>
          </w:tcPr>
          <w:p w14:paraId="0C3D3508"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1,325,000,000</w:t>
            </w:r>
          </w:p>
        </w:tc>
        <w:tc>
          <w:tcPr>
            <w:tcW w:w="955" w:type="dxa"/>
            <w:tcBorders>
              <w:top w:val="single" w:sz="2" w:space="0" w:color="8EAADB" w:themeColor="accent5" w:themeTint="99"/>
              <w:bottom w:val="nil"/>
            </w:tcBorders>
            <w:vAlign w:val="center"/>
          </w:tcPr>
          <w:p w14:paraId="2328377E"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66.25</w:t>
            </w:r>
          </w:p>
        </w:tc>
      </w:tr>
      <w:tr w:rsidR="009C72AA" w:rsidRPr="00B84B0C" w14:paraId="22D0BCA6" w14:textId="77777777" w:rsidTr="009C72AA">
        <w:trPr>
          <w:cnfStyle w:val="000000100000" w:firstRow="0" w:lastRow="0" w:firstColumn="0" w:lastColumn="0" w:oddVBand="0" w:evenVBand="0" w:oddHBand="1" w:evenHBand="0" w:firstRowFirstColumn="0" w:firstRowLastColumn="0" w:lastRowFirstColumn="0" w:lastRowLastColumn="0"/>
          <w:trHeight w:hRule="exact" w:val="258"/>
        </w:trPr>
        <w:tc>
          <w:tcPr>
            <w:cnfStyle w:val="001000000000" w:firstRow="0" w:lastRow="0" w:firstColumn="1" w:lastColumn="0" w:oddVBand="0" w:evenVBand="0" w:oddHBand="0" w:evenHBand="0" w:firstRowFirstColumn="0" w:firstRowLastColumn="0" w:lastRowFirstColumn="0" w:lastRowLastColumn="0"/>
            <w:tcW w:w="4735" w:type="dxa"/>
            <w:tcBorders>
              <w:top w:val="nil"/>
              <w:bottom w:val="nil"/>
            </w:tcBorders>
          </w:tcPr>
          <w:p w14:paraId="7EAFC14F" w14:textId="77777777" w:rsidR="009C72AA" w:rsidRPr="00B84B0C" w:rsidRDefault="009C72AA" w:rsidP="009C72AA">
            <w:pPr>
              <w:pStyle w:val="08-Tabelageral"/>
              <w:jc w:val="left"/>
              <w:rPr>
                <w:rFonts w:cs="Arial"/>
                <w:b w:val="0"/>
                <w:bCs w:val="0"/>
                <w:color w:val="auto"/>
                <w:szCs w:val="14"/>
              </w:rPr>
            </w:pPr>
            <w:r w:rsidRPr="00B84B0C">
              <w:rPr>
                <w:rFonts w:cs="Arial"/>
                <w:b w:val="0"/>
                <w:bCs w:val="0"/>
                <w:color w:val="auto"/>
                <w:szCs w:val="14"/>
              </w:rPr>
              <w:t xml:space="preserve">Other </w:t>
            </w:r>
            <w:proofErr w:type="spellStart"/>
            <w:r w:rsidRPr="00B84B0C">
              <w:rPr>
                <w:rFonts w:cs="Arial"/>
                <w:b w:val="0"/>
                <w:bCs w:val="0"/>
                <w:color w:val="auto"/>
                <w:szCs w:val="14"/>
              </w:rPr>
              <w:t>stockholders</w:t>
            </w:r>
            <w:proofErr w:type="spellEnd"/>
          </w:p>
        </w:tc>
        <w:tc>
          <w:tcPr>
            <w:tcW w:w="1365" w:type="dxa"/>
            <w:tcBorders>
              <w:top w:val="nil"/>
              <w:bottom w:val="nil"/>
            </w:tcBorders>
            <w:vAlign w:val="center"/>
          </w:tcPr>
          <w:p w14:paraId="3797EC1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671,623,417</w:t>
            </w:r>
          </w:p>
        </w:tc>
        <w:tc>
          <w:tcPr>
            <w:tcW w:w="707" w:type="dxa"/>
            <w:tcBorders>
              <w:top w:val="nil"/>
              <w:bottom w:val="nil"/>
            </w:tcBorders>
            <w:vAlign w:val="center"/>
          </w:tcPr>
          <w:p w14:paraId="5A49C41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33.58</w:t>
            </w:r>
          </w:p>
        </w:tc>
        <w:tc>
          <w:tcPr>
            <w:tcW w:w="270" w:type="dxa"/>
            <w:tcBorders>
              <w:top w:val="nil"/>
              <w:bottom w:val="nil"/>
            </w:tcBorders>
            <w:vAlign w:val="center"/>
          </w:tcPr>
          <w:p w14:paraId="5AF5737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372" w:type="dxa"/>
            <w:gridSpan w:val="2"/>
            <w:tcBorders>
              <w:top w:val="nil"/>
              <w:bottom w:val="nil"/>
            </w:tcBorders>
          </w:tcPr>
          <w:p w14:paraId="155C4BE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35" w:type="dxa"/>
            <w:gridSpan w:val="2"/>
            <w:tcBorders>
              <w:top w:val="nil"/>
              <w:bottom w:val="nil"/>
            </w:tcBorders>
            <w:vAlign w:val="center"/>
          </w:tcPr>
          <w:p w14:paraId="10D9311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671,601,167</w:t>
            </w:r>
          </w:p>
        </w:tc>
        <w:tc>
          <w:tcPr>
            <w:tcW w:w="955" w:type="dxa"/>
            <w:tcBorders>
              <w:top w:val="nil"/>
              <w:bottom w:val="nil"/>
            </w:tcBorders>
            <w:vAlign w:val="center"/>
          </w:tcPr>
          <w:p w14:paraId="773E0EF5"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33.58</w:t>
            </w:r>
          </w:p>
        </w:tc>
      </w:tr>
      <w:tr w:rsidR="009C72AA" w:rsidRPr="00B84B0C" w14:paraId="50E04306" w14:textId="77777777" w:rsidTr="009C72AA">
        <w:trPr>
          <w:trHeight w:hRule="exact" w:val="258"/>
        </w:trPr>
        <w:tc>
          <w:tcPr>
            <w:cnfStyle w:val="001000000000" w:firstRow="0" w:lastRow="0" w:firstColumn="1" w:lastColumn="0" w:oddVBand="0" w:evenVBand="0" w:oddHBand="0" w:evenHBand="0" w:firstRowFirstColumn="0" w:firstRowLastColumn="0" w:lastRowFirstColumn="0" w:lastRowLastColumn="0"/>
            <w:tcW w:w="4735" w:type="dxa"/>
            <w:tcBorders>
              <w:top w:val="nil"/>
              <w:bottom w:val="nil"/>
            </w:tcBorders>
          </w:tcPr>
          <w:p w14:paraId="3CE1F8A8" w14:textId="77777777" w:rsidR="009C72AA" w:rsidRPr="00B84B0C" w:rsidRDefault="009C72AA" w:rsidP="009C72AA">
            <w:pPr>
              <w:pStyle w:val="08-Tabelageral"/>
              <w:jc w:val="left"/>
              <w:rPr>
                <w:rFonts w:cs="Arial"/>
                <w:b w:val="0"/>
                <w:bCs w:val="0"/>
                <w:color w:val="auto"/>
                <w:szCs w:val="14"/>
              </w:rPr>
            </w:pPr>
            <w:proofErr w:type="spellStart"/>
            <w:r w:rsidRPr="00B84B0C">
              <w:rPr>
                <w:rFonts w:cs="Arial"/>
                <w:b w:val="0"/>
                <w:bCs w:val="0"/>
                <w:color w:val="auto"/>
                <w:szCs w:val="14"/>
              </w:rPr>
              <w:t>Treasury</w:t>
            </w:r>
            <w:proofErr w:type="spellEnd"/>
            <w:r w:rsidRPr="00B84B0C">
              <w:rPr>
                <w:rFonts w:cs="Arial"/>
                <w:b w:val="0"/>
                <w:bCs w:val="0"/>
                <w:color w:val="auto"/>
                <w:szCs w:val="14"/>
              </w:rPr>
              <w:t xml:space="preserve"> </w:t>
            </w:r>
            <w:proofErr w:type="spellStart"/>
            <w:r w:rsidRPr="00B84B0C">
              <w:rPr>
                <w:rFonts w:cs="Arial"/>
                <w:b w:val="0"/>
                <w:bCs w:val="0"/>
                <w:color w:val="auto"/>
                <w:szCs w:val="14"/>
              </w:rPr>
              <w:t>shares</w:t>
            </w:r>
            <w:proofErr w:type="spellEnd"/>
          </w:p>
        </w:tc>
        <w:tc>
          <w:tcPr>
            <w:tcW w:w="1365" w:type="dxa"/>
            <w:tcBorders>
              <w:top w:val="nil"/>
              <w:bottom w:val="nil"/>
            </w:tcBorders>
            <w:vAlign w:val="center"/>
          </w:tcPr>
          <w:p w14:paraId="440D2264"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3,376,583</w:t>
            </w:r>
          </w:p>
        </w:tc>
        <w:tc>
          <w:tcPr>
            <w:tcW w:w="707" w:type="dxa"/>
            <w:tcBorders>
              <w:top w:val="nil"/>
              <w:bottom w:val="nil"/>
            </w:tcBorders>
            <w:vAlign w:val="center"/>
          </w:tcPr>
          <w:p w14:paraId="46ED3C9B"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0.17</w:t>
            </w:r>
          </w:p>
        </w:tc>
        <w:tc>
          <w:tcPr>
            <w:tcW w:w="270" w:type="dxa"/>
            <w:tcBorders>
              <w:top w:val="nil"/>
              <w:bottom w:val="nil"/>
            </w:tcBorders>
            <w:vAlign w:val="center"/>
          </w:tcPr>
          <w:p w14:paraId="163ADDD4"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372" w:type="dxa"/>
            <w:gridSpan w:val="2"/>
            <w:tcBorders>
              <w:top w:val="nil"/>
              <w:bottom w:val="nil"/>
            </w:tcBorders>
          </w:tcPr>
          <w:p w14:paraId="6B5CC77C"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1235" w:type="dxa"/>
            <w:gridSpan w:val="2"/>
            <w:tcBorders>
              <w:top w:val="nil"/>
              <w:bottom w:val="nil"/>
            </w:tcBorders>
            <w:vAlign w:val="center"/>
          </w:tcPr>
          <w:p w14:paraId="615DC619"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3,398,833</w:t>
            </w:r>
          </w:p>
        </w:tc>
        <w:tc>
          <w:tcPr>
            <w:tcW w:w="955" w:type="dxa"/>
            <w:tcBorders>
              <w:top w:val="nil"/>
              <w:bottom w:val="nil"/>
            </w:tcBorders>
            <w:vAlign w:val="center"/>
          </w:tcPr>
          <w:p w14:paraId="65859634"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0.17</w:t>
            </w:r>
          </w:p>
        </w:tc>
      </w:tr>
      <w:tr w:rsidR="009C72AA" w:rsidRPr="00B84B0C" w14:paraId="2B50E760" w14:textId="77777777" w:rsidTr="009C72AA">
        <w:trPr>
          <w:cnfStyle w:val="000000100000" w:firstRow="0" w:lastRow="0" w:firstColumn="0" w:lastColumn="0" w:oddVBand="0" w:evenVBand="0" w:oddHBand="1" w:evenHBand="0" w:firstRowFirstColumn="0" w:firstRowLastColumn="0" w:lastRowFirstColumn="0" w:lastRowLastColumn="0"/>
          <w:trHeight w:hRule="exact" w:val="258"/>
        </w:trPr>
        <w:tc>
          <w:tcPr>
            <w:cnfStyle w:val="001000000000" w:firstRow="0" w:lastRow="0" w:firstColumn="1" w:lastColumn="0" w:oddVBand="0" w:evenVBand="0" w:oddHBand="0" w:evenHBand="0" w:firstRowFirstColumn="0" w:firstRowLastColumn="0" w:lastRowFirstColumn="0" w:lastRowLastColumn="0"/>
            <w:tcW w:w="4735" w:type="dxa"/>
            <w:tcBorders>
              <w:top w:val="nil"/>
              <w:bottom w:val="nil"/>
            </w:tcBorders>
          </w:tcPr>
          <w:p w14:paraId="467819DE" w14:textId="77777777" w:rsidR="009C72AA" w:rsidRPr="00B84B0C" w:rsidRDefault="009C72AA" w:rsidP="009C72AA">
            <w:pPr>
              <w:pStyle w:val="08-Tabelageral"/>
              <w:jc w:val="left"/>
              <w:rPr>
                <w:rFonts w:cs="Arial"/>
                <w:bCs w:val="0"/>
                <w:color w:val="auto"/>
                <w:szCs w:val="14"/>
              </w:rPr>
            </w:pPr>
            <w:r w:rsidRPr="00B84B0C">
              <w:rPr>
                <w:rFonts w:cs="Arial"/>
                <w:bCs w:val="0"/>
                <w:color w:val="auto"/>
                <w:szCs w:val="14"/>
              </w:rPr>
              <w:t>Total</w:t>
            </w:r>
          </w:p>
        </w:tc>
        <w:tc>
          <w:tcPr>
            <w:tcW w:w="1365" w:type="dxa"/>
            <w:tcBorders>
              <w:top w:val="nil"/>
              <w:bottom w:val="nil"/>
            </w:tcBorders>
            <w:vAlign w:val="center"/>
          </w:tcPr>
          <w:p w14:paraId="0885279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2,000,000,000</w:t>
            </w:r>
          </w:p>
        </w:tc>
        <w:tc>
          <w:tcPr>
            <w:tcW w:w="707" w:type="dxa"/>
            <w:tcBorders>
              <w:top w:val="nil"/>
              <w:bottom w:val="nil"/>
            </w:tcBorders>
            <w:vAlign w:val="center"/>
          </w:tcPr>
          <w:p w14:paraId="774C08A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bCs/>
              </w:rPr>
              <w:t>100</w:t>
            </w:r>
          </w:p>
        </w:tc>
        <w:tc>
          <w:tcPr>
            <w:tcW w:w="270" w:type="dxa"/>
            <w:tcBorders>
              <w:top w:val="nil"/>
              <w:bottom w:val="nil"/>
            </w:tcBorders>
            <w:vAlign w:val="center"/>
          </w:tcPr>
          <w:p w14:paraId="3AF47E6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372" w:type="dxa"/>
            <w:gridSpan w:val="2"/>
            <w:tcBorders>
              <w:top w:val="nil"/>
              <w:bottom w:val="nil"/>
            </w:tcBorders>
          </w:tcPr>
          <w:p w14:paraId="50A214F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35" w:type="dxa"/>
            <w:gridSpan w:val="2"/>
            <w:tcBorders>
              <w:top w:val="nil"/>
              <w:bottom w:val="nil"/>
            </w:tcBorders>
            <w:vAlign w:val="center"/>
          </w:tcPr>
          <w:p w14:paraId="750A9ED1"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2,000,000,000</w:t>
            </w:r>
          </w:p>
        </w:tc>
        <w:tc>
          <w:tcPr>
            <w:tcW w:w="955" w:type="dxa"/>
            <w:tcBorders>
              <w:top w:val="nil"/>
              <w:bottom w:val="nil"/>
            </w:tcBorders>
            <w:vAlign w:val="center"/>
          </w:tcPr>
          <w:p w14:paraId="337BB163"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rPr>
              <w:t>100</w:t>
            </w:r>
          </w:p>
        </w:tc>
      </w:tr>
      <w:tr w:rsidR="009C72AA" w:rsidRPr="00B84B0C" w14:paraId="1F1CD7CD" w14:textId="77777777" w:rsidTr="009C72AA">
        <w:trPr>
          <w:trHeight w:hRule="exact" w:val="258"/>
        </w:trPr>
        <w:tc>
          <w:tcPr>
            <w:cnfStyle w:val="001000000000" w:firstRow="0" w:lastRow="0" w:firstColumn="1" w:lastColumn="0" w:oddVBand="0" w:evenVBand="0" w:oddHBand="0" w:evenHBand="0" w:firstRowFirstColumn="0" w:firstRowLastColumn="0" w:lastRowFirstColumn="0" w:lastRowLastColumn="0"/>
            <w:tcW w:w="4735" w:type="dxa"/>
            <w:tcBorders>
              <w:top w:val="nil"/>
              <w:bottom w:val="nil"/>
            </w:tcBorders>
          </w:tcPr>
          <w:p w14:paraId="59C9217E" w14:textId="77777777" w:rsidR="009C72AA" w:rsidRPr="00B84B0C" w:rsidRDefault="009C72AA" w:rsidP="009C72AA">
            <w:pPr>
              <w:pStyle w:val="08-Tabelageral"/>
              <w:jc w:val="left"/>
              <w:rPr>
                <w:rFonts w:cs="Arial"/>
                <w:b w:val="0"/>
                <w:bCs w:val="0"/>
                <w:color w:val="auto"/>
                <w:szCs w:val="14"/>
              </w:rPr>
            </w:pPr>
            <w:proofErr w:type="spellStart"/>
            <w:r w:rsidRPr="00B84B0C">
              <w:rPr>
                <w:rFonts w:cs="Arial"/>
                <w:b w:val="0"/>
                <w:bCs w:val="0"/>
                <w:color w:val="auto"/>
                <w:szCs w:val="14"/>
              </w:rPr>
              <w:t>Locals</w:t>
            </w:r>
            <w:proofErr w:type="spellEnd"/>
          </w:p>
        </w:tc>
        <w:tc>
          <w:tcPr>
            <w:tcW w:w="1365" w:type="dxa"/>
            <w:tcBorders>
              <w:top w:val="nil"/>
              <w:bottom w:val="nil"/>
            </w:tcBorders>
            <w:vAlign w:val="center"/>
          </w:tcPr>
          <w:p w14:paraId="1416D3E4"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1,444,944,332</w:t>
            </w:r>
          </w:p>
        </w:tc>
        <w:tc>
          <w:tcPr>
            <w:tcW w:w="707" w:type="dxa"/>
            <w:tcBorders>
              <w:top w:val="nil"/>
              <w:bottom w:val="nil"/>
            </w:tcBorders>
            <w:vAlign w:val="center"/>
          </w:tcPr>
          <w:p w14:paraId="4ACB81A2"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72.25</w:t>
            </w:r>
          </w:p>
        </w:tc>
        <w:tc>
          <w:tcPr>
            <w:tcW w:w="270" w:type="dxa"/>
            <w:tcBorders>
              <w:top w:val="nil"/>
              <w:bottom w:val="nil"/>
            </w:tcBorders>
            <w:vAlign w:val="center"/>
          </w:tcPr>
          <w:p w14:paraId="7C38F957"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372" w:type="dxa"/>
            <w:gridSpan w:val="2"/>
            <w:tcBorders>
              <w:top w:val="nil"/>
              <w:bottom w:val="nil"/>
            </w:tcBorders>
          </w:tcPr>
          <w:p w14:paraId="30C2887A"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1235" w:type="dxa"/>
            <w:gridSpan w:val="2"/>
            <w:tcBorders>
              <w:top w:val="nil"/>
              <w:bottom w:val="nil"/>
            </w:tcBorders>
            <w:vAlign w:val="center"/>
          </w:tcPr>
          <w:p w14:paraId="31FA6C30"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1,427,384,006</w:t>
            </w:r>
          </w:p>
        </w:tc>
        <w:tc>
          <w:tcPr>
            <w:tcW w:w="955" w:type="dxa"/>
            <w:tcBorders>
              <w:top w:val="nil"/>
              <w:bottom w:val="nil"/>
            </w:tcBorders>
            <w:vAlign w:val="center"/>
          </w:tcPr>
          <w:p w14:paraId="6F154C4B"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rPr>
              <w:t>71.37</w:t>
            </w:r>
          </w:p>
        </w:tc>
      </w:tr>
      <w:tr w:rsidR="009C72AA" w:rsidRPr="00B84B0C" w14:paraId="0FB77B33" w14:textId="77777777" w:rsidTr="009C72AA">
        <w:trPr>
          <w:cnfStyle w:val="000000100000" w:firstRow="0" w:lastRow="0" w:firstColumn="0" w:lastColumn="0" w:oddVBand="0" w:evenVBand="0" w:oddHBand="1" w:evenHBand="0" w:firstRowFirstColumn="0" w:firstRowLastColumn="0" w:lastRowFirstColumn="0" w:lastRowLastColumn="0"/>
          <w:trHeight w:hRule="exact" w:val="258"/>
        </w:trPr>
        <w:tc>
          <w:tcPr>
            <w:cnfStyle w:val="001000000000" w:firstRow="0" w:lastRow="0" w:firstColumn="1" w:lastColumn="0" w:oddVBand="0" w:evenVBand="0" w:oddHBand="0" w:evenHBand="0" w:firstRowFirstColumn="0" w:firstRowLastColumn="0" w:lastRowFirstColumn="0" w:lastRowLastColumn="0"/>
            <w:tcW w:w="4735" w:type="dxa"/>
            <w:tcBorders>
              <w:top w:val="nil"/>
              <w:bottom w:val="single" w:sz="2" w:space="0" w:color="8EAADB" w:themeColor="accent5" w:themeTint="99"/>
            </w:tcBorders>
          </w:tcPr>
          <w:p w14:paraId="308FA55F" w14:textId="77777777" w:rsidR="009C72AA" w:rsidRPr="00B84B0C" w:rsidRDefault="009C72AA" w:rsidP="009C72AA">
            <w:pPr>
              <w:pStyle w:val="08-Tabelageral"/>
              <w:jc w:val="left"/>
              <w:rPr>
                <w:rFonts w:cs="Arial"/>
                <w:b w:val="0"/>
                <w:bCs w:val="0"/>
                <w:color w:val="auto"/>
                <w:szCs w:val="14"/>
              </w:rPr>
            </w:pPr>
            <w:proofErr w:type="spellStart"/>
            <w:r w:rsidRPr="00B84B0C">
              <w:rPr>
                <w:rFonts w:cs="Arial"/>
                <w:b w:val="0"/>
                <w:bCs w:val="0"/>
                <w:color w:val="auto"/>
                <w:szCs w:val="14"/>
              </w:rPr>
              <w:t>Foreign</w:t>
            </w:r>
            <w:proofErr w:type="spellEnd"/>
          </w:p>
        </w:tc>
        <w:tc>
          <w:tcPr>
            <w:tcW w:w="1365" w:type="dxa"/>
            <w:tcBorders>
              <w:top w:val="nil"/>
              <w:bottom w:val="single" w:sz="2" w:space="0" w:color="8EAADB" w:themeColor="accent5" w:themeTint="99"/>
            </w:tcBorders>
            <w:vAlign w:val="center"/>
          </w:tcPr>
          <w:p w14:paraId="11C7F572"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555,055,668</w:t>
            </w:r>
          </w:p>
        </w:tc>
        <w:tc>
          <w:tcPr>
            <w:tcW w:w="707" w:type="dxa"/>
            <w:tcBorders>
              <w:top w:val="nil"/>
              <w:bottom w:val="single" w:sz="2" w:space="0" w:color="8EAADB" w:themeColor="accent5" w:themeTint="99"/>
            </w:tcBorders>
            <w:vAlign w:val="center"/>
          </w:tcPr>
          <w:p w14:paraId="3F1FD84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27.75</w:t>
            </w:r>
          </w:p>
        </w:tc>
        <w:tc>
          <w:tcPr>
            <w:tcW w:w="270" w:type="dxa"/>
            <w:tcBorders>
              <w:top w:val="nil"/>
              <w:bottom w:val="single" w:sz="2" w:space="0" w:color="8EAADB" w:themeColor="accent5" w:themeTint="99"/>
            </w:tcBorders>
            <w:vAlign w:val="center"/>
          </w:tcPr>
          <w:p w14:paraId="43B8E8A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372" w:type="dxa"/>
            <w:gridSpan w:val="2"/>
            <w:tcBorders>
              <w:top w:val="nil"/>
              <w:bottom w:val="single" w:sz="2" w:space="0" w:color="8EAADB" w:themeColor="accent5" w:themeTint="99"/>
            </w:tcBorders>
          </w:tcPr>
          <w:p w14:paraId="27C2CFE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35" w:type="dxa"/>
            <w:gridSpan w:val="2"/>
            <w:tcBorders>
              <w:top w:val="nil"/>
              <w:bottom w:val="single" w:sz="2" w:space="0" w:color="8EAADB" w:themeColor="accent5" w:themeTint="99"/>
            </w:tcBorders>
            <w:vAlign w:val="center"/>
          </w:tcPr>
          <w:p w14:paraId="77AE73FB"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572,615,994</w:t>
            </w:r>
          </w:p>
        </w:tc>
        <w:tc>
          <w:tcPr>
            <w:tcW w:w="955" w:type="dxa"/>
            <w:tcBorders>
              <w:top w:val="nil"/>
              <w:bottom w:val="single" w:sz="2" w:space="0" w:color="8EAADB" w:themeColor="accent5" w:themeTint="99"/>
            </w:tcBorders>
            <w:vAlign w:val="center"/>
          </w:tcPr>
          <w:p w14:paraId="7AA464AF"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rPr>
              <w:t>28.63</w:t>
            </w:r>
          </w:p>
        </w:tc>
      </w:tr>
    </w:tbl>
    <w:p w14:paraId="0CFDFD1E" w14:textId="77777777" w:rsidR="009C72AA" w:rsidRPr="00B84B0C" w:rsidRDefault="009C72AA" w:rsidP="009C72AA">
      <w:pPr>
        <w:pStyle w:val="01-TtulodeNota"/>
        <w:rPr>
          <w:rFonts w:cs="Arial"/>
          <w:color w:val="1F4E79" w:themeColor="accent1" w:themeShade="80"/>
        </w:rPr>
      </w:pPr>
      <w:r w:rsidRPr="00B84B0C">
        <w:rPr>
          <w:rFonts w:cs="Arial"/>
          <w:color w:val="1F4E79" w:themeColor="accent1" w:themeShade="80"/>
        </w:rPr>
        <w:t xml:space="preserve">g) </w:t>
      </w:r>
      <w:proofErr w:type="spellStart"/>
      <w:r w:rsidRPr="00B84B0C">
        <w:rPr>
          <w:rFonts w:cs="Arial"/>
          <w:color w:val="1F4E79" w:themeColor="accent1" w:themeShade="80"/>
        </w:rPr>
        <w:t>Treasury</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shares</w:t>
      </w:r>
      <w:proofErr w:type="spellEnd"/>
      <w:r w:rsidRPr="00B84B0C">
        <w:rPr>
          <w:rFonts w:cs="Arial"/>
          <w:color w:val="1F4E79" w:themeColor="accent1" w:themeShade="80"/>
        </w:rPr>
        <w:t xml:space="preserve"> </w:t>
      </w:r>
    </w:p>
    <w:p w14:paraId="06E4141C" w14:textId="77777777" w:rsidR="009C72AA" w:rsidRPr="00B84B0C" w:rsidRDefault="009C72AA" w:rsidP="009C72AA">
      <w:pPr>
        <w:pStyle w:val="01-TtulodeNota"/>
        <w:rPr>
          <w:rFonts w:cs="Arial"/>
          <w:color w:val="1F4E79" w:themeColor="accent1" w:themeShade="80"/>
        </w:rPr>
      </w:pPr>
      <w:r w:rsidRPr="00B84B0C">
        <w:rPr>
          <w:rFonts w:cs="Arial"/>
          <w:color w:val="1F4E79" w:themeColor="accent1" w:themeShade="80"/>
        </w:rPr>
        <w:t xml:space="preserve">g.1) </w:t>
      </w:r>
      <w:proofErr w:type="spellStart"/>
      <w:r w:rsidRPr="00B84B0C">
        <w:rPr>
          <w:rFonts w:cs="Arial"/>
          <w:color w:val="1F4E79" w:themeColor="accent1" w:themeShade="80"/>
        </w:rPr>
        <w:t>Share-Based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Payment</w:t>
      </w:r>
      <w:proofErr w:type="spellEnd"/>
      <w:r w:rsidRPr="00B84B0C">
        <w:rPr>
          <w:rFonts w:cs="Arial"/>
          <w:color w:val="1F4E79" w:themeColor="accent1" w:themeShade="80"/>
        </w:rPr>
        <w:t xml:space="preserve"> – </w:t>
      </w:r>
      <w:proofErr w:type="spellStart"/>
      <w:r w:rsidRPr="00B84B0C">
        <w:rPr>
          <w:rFonts w:cs="Arial"/>
          <w:color w:val="1F4E79" w:themeColor="accent1" w:themeShade="80"/>
        </w:rPr>
        <w:t>Variable</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Wage</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Program</w:t>
      </w:r>
      <w:proofErr w:type="spellEnd"/>
      <w:r w:rsidRPr="00B84B0C">
        <w:rPr>
          <w:rFonts w:cs="Arial"/>
          <w:color w:val="1F4E79" w:themeColor="accent1" w:themeShade="80"/>
        </w:rPr>
        <w:t xml:space="preserve"> </w:t>
      </w:r>
    </w:p>
    <w:p w14:paraId="76E43017" w14:textId="77777777" w:rsidR="009C72AA" w:rsidRPr="00B84B0C" w:rsidRDefault="009C72AA" w:rsidP="009C72AA">
      <w:pPr>
        <w:pStyle w:val="05-Textonormal"/>
        <w:rPr>
          <w:rFonts w:cs="Arial"/>
          <w:lang w:val="en-US"/>
        </w:rPr>
      </w:pPr>
      <w:r w:rsidRPr="00B84B0C">
        <w:rPr>
          <w:rFonts w:cs="Arial"/>
          <w:lang w:val="en-US"/>
        </w:rPr>
        <w:t xml:space="preserve">The Variable Wage Program Board of BB </w:t>
      </w:r>
      <w:proofErr w:type="spellStart"/>
      <w:r w:rsidRPr="00B84B0C">
        <w:rPr>
          <w:rFonts w:cs="Arial"/>
          <w:lang w:val="en-US"/>
        </w:rPr>
        <w:t>Seguridade</w:t>
      </w:r>
      <w:proofErr w:type="spellEnd"/>
      <w:r w:rsidRPr="00B84B0C">
        <w:rPr>
          <w:rFonts w:cs="Arial"/>
          <w:lang w:val="en-US"/>
        </w:rPr>
        <w:t xml:space="preserve"> determined that, of the total amount allocated to the payment of variable compensation, 50% will be made in shares of BB </w:t>
      </w:r>
      <w:proofErr w:type="spellStart"/>
      <w:r w:rsidRPr="00B84B0C">
        <w:rPr>
          <w:rFonts w:cs="Arial"/>
          <w:lang w:val="en-US"/>
        </w:rPr>
        <w:t>Seguridade</w:t>
      </w:r>
      <w:proofErr w:type="spellEnd"/>
      <w:r w:rsidRPr="00B84B0C">
        <w:rPr>
          <w:rFonts w:cs="Arial"/>
          <w:lang w:val="en-US"/>
        </w:rPr>
        <w:t xml:space="preserve"> (BBSE3). From the total paid in shares, 20% will be immediately transferred to the beneficiary ownership and 80% will be deferred for a period of four years.</w:t>
      </w:r>
    </w:p>
    <w:p w14:paraId="2B15CBDB" w14:textId="77777777" w:rsidR="009C72AA" w:rsidRPr="00B84B0C" w:rsidRDefault="009C72AA" w:rsidP="009C72AA">
      <w:pPr>
        <w:pStyle w:val="05-Textonormal"/>
        <w:rPr>
          <w:rFonts w:cs="Arial"/>
          <w:lang w:val="en-US"/>
        </w:rPr>
      </w:pPr>
      <w:r w:rsidRPr="00B84B0C">
        <w:rPr>
          <w:rFonts w:cs="Arial"/>
          <w:lang w:val="en-US"/>
        </w:rPr>
        <w:t xml:space="preserve">On November 13, 2014, the Brazilian Securities and Exchange Commission (CVM) authorized BB </w:t>
      </w:r>
      <w:proofErr w:type="spellStart"/>
      <w:r w:rsidRPr="00B84B0C">
        <w:rPr>
          <w:rFonts w:cs="Arial"/>
          <w:lang w:val="en-US"/>
        </w:rPr>
        <w:t>Seguridade</w:t>
      </w:r>
      <w:proofErr w:type="spellEnd"/>
      <w:r w:rsidRPr="00B84B0C">
        <w:rPr>
          <w:rFonts w:cs="Arial"/>
          <w:lang w:val="en-US"/>
        </w:rPr>
        <w:t xml:space="preserve"> to make annually the private trading of its own shares, </w:t>
      </w:r>
      <w:proofErr w:type="gramStart"/>
      <w:r w:rsidRPr="00B84B0C">
        <w:rPr>
          <w:rFonts w:cs="Arial"/>
          <w:lang w:val="en-US"/>
        </w:rPr>
        <w:t>in order to</w:t>
      </w:r>
      <w:proofErr w:type="gramEnd"/>
      <w:r w:rsidRPr="00B84B0C">
        <w:rPr>
          <w:rFonts w:cs="Arial"/>
          <w:lang w:val="en-US"/>
        </w:rPr>
        <w:t xml:space="preserve"> fund, through these shares, part of the payment of the variable remuneration compensation of its Executive Board members, without the need to submit, every year, that commission new requests, in the case therefore of permanent authorization.</w:t>
      </w:r>
    </w:p>
    <w:p w14:paraId="7E3A60CE" w14:textId="77777777" w:rsidR="009C72AA" w:rsidRPr="00B84B0C" w:rsidRDefault="009C72AA" w:rsidP="009C72AA">
      <w:pPr>
        <w:pStyle w:val="05-Textonormal"/>
        <w:keepNext/>
        <w:rPr>
          <w:rFonts w:cs="Arial"/>
          <w:lang w:val="en-US"/>
        </w:rPr>
      </w:pPr>
      <w:r w:rsidRPr="00B84B0C">
        <w:rPr>
          <w:rFonts w:cs="Arial"/>
          <w:lang w:val="en-US"/>
        </w:rPr>
        <w:lastRenderedPageBreak/>
        <w:t xml:space="preserve">We present the statement of acquired shares, its </w:t>
      </w:r>
      <w:proofErr w:type="gramStart"/>
      <w:r w:rsidRPr="00B84B0C">
        <w:rPr>
          <w:rFonts w:cs="Arial"/>
          <w:lang w:val="en-US"/>
        </w:rPr>
        <w:t>distribution</w:t>
      </w:r>
      <w:proofErr w:type="gramEnd"/>
      <w:r w:rsidRPr="00B84B0C">
        <w:rPr>
          <w:rFonts w:cs="Arial"/>
          <w:lang w:val="en-US"/>
        </w:rPr>
        <w:t xml:space="preserve"> and its transfer schedule:</w:t>
      </w:r>
    </w:p>
    <w:tbl>
      <w:tblPr>
        <w:tblStyle w:val="TabeladeLista6Colorida-nfase510"/>
        <w:tblW w:w="9639" w:type="dxa"/>
        <w:jc w:val="center"/>
        <w:tblInd w:w="0" w:type="dxa"/>
        <w:tblLook w:val="04A0" w:firstRow="1" w:lastRow="0" w:firstColumn="1" w:lastColumn="0" w:noHBand="0" w:noVBand="1"/>
      </w:tblPr>
      <w:tblGrid>
        <w:gridCol w:w="2694"/>
        <w:gridCol w:w="1239"/>
        <w:gridCol w:w="858"/>
        <w:gridCol w:w="840"/>
        <w:gridCol w:w="864"/>
        <w:gridCol w:w="1037"/>
        <w:gridCol w:w="881"/>
        <w:gridCol w:w="1226"/>
      </w:tblGrid>
      <w:tr w:rsidR="009C72AA" w:rsidRPr="00B84B0C" w14:paraId="3CEBF57A" w14:textId="77777777" w:rsidTr="009C72AA">
        <w:trPr>
          <w:cnfStyle w:val="100000000000" w:firstRow="1" w:lastRow="0" w:firstColumn="0" w:lastColumn="0" w:oddVBand="0" w:evenVBand="0" w:oddHBand="0" w:evenHBand="0" w:firstRowFirstColumn="0" w:firstRowLastColumn="0" w:lastRowFirstColumn="0" w:lastRowLastColumn="0"/>
          <w:trHeight w:hRule="exact" w:val="522"/>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8EAADB" w:themeColor="accent5" w:themeTint="99"/>
              <w:bottom w:val="single" w:sz="2" w:space="0" w:color="8EAADB" w:themeColor="accent5" w:themeTint="99"/>
            </w:tcBorders>
            <w:vAlign w:val="center"/>
          </w:tcPr>
          <w:p w14:paraId="20A0AD48" w14:textId="77777777" w:rsidR="009C72AA" w:rsidRPr="00B84B0C" w:rsidRDefault="009C72AA" w:rsidP="009C72AA">
            <w:pPr>
              <w:pStyle w:val="08-Tabelageral"/>
              <w:rPr>
                <w:rFonts w:cs="Arial"/>
              </w:rPr>
            </w:pPr>
            <w:r w:rsidRPr="00B84B0C">
              <w:rPr>
                <w:rFonts w:cs="Arial"/>
                <w:color w:val="1F4E79" w:themeColor="accent1" w:themeShade="80"/>
              </w:rPr>
              <w:tab/>
            </w:r>
            <w:r w:rsidRPr="00B84B0C">
              <w:rPr>
                <w:rFonts w:cs="Arial"/>
                <w:color w:val="1F4E79" w:themeColor="accent1" w:themeShade="80"/>
              </w:rPr>
              <w:tab/>
            </w:r>
            <w:r w:rsidRPr="00B84B0C">
              <w:rPr>
                <w:rFonts w:cs="Arial"/>
                <w:color w:val="1F4E79" w:themeColor="accent1" w:themeShade="80"/>
              </w:rPr>
              <w:tab/>
            </w:r>
            <w:r w:rsidRPr="00B84B0C">
              <w:rPr>
                <w:rFonts w:cs="Arial"/>
                <w:color w:val="1F4E79" w:themeColor="accent1" w:themeShade="80"/>
              </w:rPr>
              <w:tab/>
            </w:r>
            <w:r w:rsidRPr="00B84B0C">
              <w:rPr>
                <w:rFonts w:cs="Arial"/>
                <w:color w:val="1F4E79" w:themeColor="accent1" w:themeShade="80"/>
              </w:rPr>
              <w:tab/>
            </w:r>
            <w:r w:rsidRPr="00B84B0C">
              <w:rPr>
                <w:rFonts w:cs="Arial"/>
                <w:b w:val="0"/>
                <w:sz w:val="12"/>
                <w:szCs w:val="12"/>
              </w:rPr>
              <w:tab/>
            </w:r>
            <w:r w:rsidRPr="00B84B0C">
              <w:rPr>
                <w:rFonts w:cs="Arial"/>
                <w:sz w:val="12"/>
                <w:szCs w:val="12"/>
              </w:rPr>
              <w:t xml:space="preserve">           </w:t>
            </w: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r>
            <w:r w:rsidRPr="00B84B0C">
              <w:rPr>
                <w:rFonts w:cs="Arial"/>
                <w:sz w:val="12"/>
                <w:szCs w:val="12"/>
              </w:rPr>
              <w:tab/>
            </w:r>
          </w:p>
        </w:tc>
        <w:tc>
          <w:tcPr>
            <w:tcW w:w="1239" w:type="dxa"/>
            <w:tcBorders>
              <w:top w:val="single" w:sz="2" w:space="0" w:color="8EAADB" w:themeColor="accent5" w:themeTint="99"/>
              <w:bottom w:val="single" w:sz="2" w:space="0" w:color="8EAADB" w:themeColor="accent5" w:themeTint="99"/>
            </w:tcBorders>
            <w:vAlign w:val="center"/>
          </w:tcPr>
          <w:p w14:paraId="4F24731B" w14:textId="77777777" w:rsidR="009C72AA" w:rsidRPr="00B84B0C" w:rsidRDefault="009C72AA" w:rsidP="009C72AA">
            <w:pPr>
              <w:pStyle w:val="070-TabelaPadro"/>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rPr>
            </w:pPr>
            <w:r w:rsidRPr="00B84B0C">
              <w:rPr>
                <w:rFonts w:cs="Arial"/>
              </w:rPr>
              <w:t xml:space="preserve">Total </w:t>
            </w:r>
            <w:proofErr w:type="spellStart"/>
            <w:r w:rsidRPr="00B84B0C">
              <w:rPr>
                <w:rFonts w:cs="Arial"/>
              </w:rPr>
              <w:t>Program</w:t>
            </w:r>
            <w:proofErr w:type="spellEnd"/>
            <w:r w:rsidRPr="00B84B0C">
              <w:rPr>
                <w:rFonts w:cs="Arial"/>
              </w:rPr>
              <w:t xml:space="preserve"> </w:t>
            </w:r>
            <w:proofErr w:type="spellStart"/>
            <w:r w:rsidRPr="00B84B0C">
              <w:rPr>
                <w:rFonts w:cs="Arial"/>
              </w:rPr>
              <w:t>Shares</w:t>
            </w:r>
            <w:proofErr w:type="spellEnd"/>
          </w:p>
        </w:tc>
        <w:tc>
          <w:tcPr>
            <w:tcW w:w="858" w:type="dxa"/>
            <w:tcBorders>
              <w:top w:val="single" w:sz="2" w:space="0" w:color="8EAADB" w:themeColor="accent5" w:themeTint="99"/>
              <w:bottom w:val="single" w:sz="2" w:space="0" w:color="8EAADB" w:themeColor="accent5" w:themeTint="99"/>
            </w:tcBorders>
            <w:vAlign w:val="center"/>
          </w:tcPr>
          <w:p w14:paraId="4460A561"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Minimum</w:t>
            </w:r>
            <w:proofErr w:type="spellEnd"/>
            <w:r w:rsidRPr="00B84B0C">
              <w:rPr>
                <w:rFonts w:cs="Arial"/>
              </w:rPr>
              <w:t xml:space="preserve"> </w:t>
            </w:r>
            <w:proofErr w:type="spellStart"/>
            <w:r w:rsidRPr="00B84B0C">
              <w:rPr>
                <w:rFonts w:cs="Arial"/>
              </w:rPr>
              <w:t>cost</w:t>
            </w:r>
            <w:proofErr w:type="spellEnd"/>
          </w:p>
        </w:tc>
        <w:tc>
          <w:tcPr>
            <w:tcW w:w="840" w:type="dxa"/>
            <w:tcBorders>
              <w:top w:val="single" w:sz="2" w:space="0" w:color="8EAADB" w:themeColor="accent5" w:themeTint="99"/>
              <w:bottom w:val="single" w:sz="2" w:space="0" w:color="8EAADB" w:themeColor="accent5" w:themeTint="99"/>
            </w:tcBorders>
            <w:vAlign w:val="center"/>
          </w:tcPr>
          <w:p w14:paraId="4AB55A85"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Averege</w:t>
            </w:r>
            <w:proofErr w:type="spellEnd"/>
            <w:r w:rsidRPr="00B84B0C">
              <w:rPr>
                <w:rFonts w:cs="Arial"/>
              </w:rPr>
              <w:t xml:space="preserve"> </w:t>
            </w:r>
            <w:proofErr w:type="spellStart"/>
            <w:r w:rsidRPr="00B84B0C">
              <w:rPr>
                <w:rFonts w:cs="Arial"/>
              </w:rPr>
              <w:t>cost</w:t>
            </w:r>
            <w:proofErr w:type="spellEnd"/>
          </w:p>
        </w:tc>
        <w:tc>
          <w:tcPr>
            <w:tcW w:w="864" w:type="dxa"/>
            <w:tcBorders>
              <w:top w:val="single" w:sz="2" w:space="0" w:color="8EAADB" w:themeColor="accent5" w:themeTint="99"/>
              <w:bottom w:val="single" w:sz="2" w:space="0" w:color="8EAADB" w:themeColor="accent5" w:themeTint="99"/>
            </w:tcBorders>
            <w:vAlign w:val="center"/>
          </w:tcPr>
          <w:p w14:paraId="2A5E89D1"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Maximum</w:t>
            </w:r>
            <w:proofErr w:type="spellEnd"/>
            <w:r w:rsidRPr="00B84B0C">
              <w:rPr>
                <w:rFonts w:cs="Arial"/>
              </w:rPr>
              <w:t xml:space="preserve"> </w:t>
            </w:r>
            <w:proofErr w:type="spellStart"/>
            <w:r w:rsidRPr="00B84B0C">
              <w:rPr>
                <w:rFonts w:cs="Arial"/>
              </w:rPr>
              <w:t>cost</w:t>
            </w:r>
            <w:proofErr w:type="spellEnd"/>
          </w:p>
        </w:tc>
        <w:tc>
          <w:tcPr>
            <w:tcW w:w="1037" w:type="dxa"/>
            <w:tcBorders>
              <w:top w:val="single" w:sz="2" w:space="0" w:color="8EAADB" w:themeColor="accent5" w:themeTint="99"/>
              <w:bottom w:val="single" w:sz="2" w:space="0" w:color="8EAADB" w:themeColor="accent5" w:themeTint="99"/>
            </w:tcBorders>
            <w:vAlign w:val="center"/>
          </w:tcPr>
          <w:p w14:paraId="07D9E72E"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Shares</w:t>
            </w:r>
            <w:proofErr w:type="spellEnd"/>
            <w:r w:rsidRPr="00B84B0C">
              <w:rPr>
                <w:rFonts w:cs="Arial"/>
              </w:rPr>
              <w:t xml:space="preserve"> </w:t>
            </w:r>
            <w:proofErr w:type="spellStart"/>
            <w:r w:rsidRPr="00B84B0C">
              <w:rPr>
                <w:rFonts w:cs="Arial"/>
              </w:rPr>
              <w:t>Distributed</w:t>
            </w:r>
            <w:proofErr w:type="spellEnd"/>
          </w:p>
        </w:tc>
        <w:tc>
          <w:tcPr>
            <w:tcW w:w="881" w:type="dxa"/>
            <w:tcBorders>
              <w:top w:val="single" w:sz="2" w:space="0" w:color="8EAADB" w:themeColor="accent5" w:themeTint="99"/>
              <w:bottom w:val="single" w:sz="2" w:space="0" w:color="8EAADB" w:themeColor="accent5" w:themeTint="99"/>
            </w:tcBorders>
            <w:vAlign w:val="center"/>
          </w:tcPr>
          <w:p w14:paraId="4D86716E"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Shares</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Distribute</w:t>
            </w:r>
            <w:proofErr w:type="spellEnd"/>
          </w:p>
        </w:tc>
        <w:tc>
          <w:tcPr>
            <w:tcW w:w="1226" w:type="dxa"/>
            <w:tcBorders>
              <w:top w:val="single" w:sz="2" w:space="0" w:color="8EAADB" w:themeColor="accent5" w:themeTint="99"/>
              <w:bottom w:val="single" w:sz="2" w:space="0" w:color="8EAADB" w:themeColor="accent5" w:themeTint="99"/>
            </w:tcBorders>
            <w:vAlign w:val="center"/>
          </w:tcPr>
          <w:p w14:paraId="39BA58C3"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Estimated</w:t>
            </w:r>
            <w:proofErr w:type="spellEnd"/>
            <w:r w:rsidRPr="00B84B0C">
              <w:rPr>
                <w:rFonts w:cs="Arial"/>
              </w:rPr>
              <w:t xml:space="preserve"> Schedule </w:t>
            </w:r>
            <w:proofErr w:type="spellStart"/>
            <w:r w:rsidRPr="00B84B0C">
              <w:rPr>
                <w:rFonts w:cs="Arial"/>
              </w:rPr>
              <w:t>Transfers</w:t>
            </w:r>
            <w:proofErr w:type="spellEnd"/>
          </w:p>
        </w:tc>
      </w:tr>
      <w:tr w:rsidR="009C72AA" w:rsidRPr="00B84B0C" w14:paraId="2C743DBC"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2" w:space="0" w:color="8EAADB" w:themeColor="accent5" w:themeTint="99"/>
              <w:bottom w:val="nil"/>
            </w:tcBorders>
            <w:vAlign w:val="center"/>
          </w:tcPr>
          <w:p w14:paraId="43350B7B" w14:textId="77777777" w:rsidR="009C72AA" w:rsidRPr="00B84B0C" w:rsidRDefault="009C72AA" w:rsidP="009C72AA">
            <w:pPr>
              <w:pStyle w:val="070-TabelaPadro"/>
              <w:spacing w:line="276" w:lineRule="auto"/>
              <w:jc w:val="left"/>
              <w:rPr>
                <w:rFonts w:cs="Arial"/>
              </w:rPr>
            </w:pPr>
            <w:r w:rsidRPr="00B84B0C">
              <w:rPr>
                <w:rFonts w:cs="Arial"/>
              </w:rPr>
              <w:t xml:space="preserve">2016 </w:t>
            </w:r>
            <w:proofErr w:type="spellStart"/>
            <w:r w:rsidRPr="00B84B0C">
              <w:rPr>
                <w:rFonts w:cs="Arial"/>
              </w:rPr>
              <w:t>Program</w:t>
            </w:r>
            <w:proofErr w:type="spellEnd"/>
          </w:p>
        </w:tc>
        <w:tc>
          <w:tcPr>
            <w:tcW w:w="1239" w:type="dxa"/>
            <w:tcBorders>
              <w:top w:val="single" w:sz="2" w:space="0" w:color="8EAADB" w:themeColor="accent5" w:themeTint="99"/>
              <w:bottom w:val="nil"/>
            </w:tcBorders>
            <w:vAlign w:val="center"/>
          </w:tcPr>
          <w:p w14:paraId="6506566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25,703</w:t>
            </w:r>
          </w:p>
        </w:tc>
        <w:tc>
          <w:tcPr>
            <w:tcW w:w="858" w:type="dxa"/>
            <w:tcBorders>
              <w:top w:val="single" w:sz="2" w:space="0" w:color="8EAADB" w:themeColor="accent5" w:themeTint="99"/>
              <w:bottom w:val="nil"/>
            </w:tcBorders>
            <w:vAlign w:val="center"/>
          </w:tcPr>
          <w:p w14:paraId="3F2EB79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28.59</w:t>
            </w:r>
          </w:p>
        </w:tc>
        <w:tc>
          <w:tcPr>
            <w:tcW w:w="840" w:type="dxa"/>
            <w:tcBorders>
              <w:top w:val="single" w:sz="2" w:space="0" w:color="8EAADB" w:themeColor="accent5" w:themeTint="99"/>
              <w:bottom w:val="nil"/>
            </w:tcBorders>
            <w:vAlign w:val="center"/>
          </w:tcPr>
          <w:p w14:paraId="7E46F353"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28.70</w:t>
            </w:r>
          </w:p>
        </w:tc>
        <w:tc>
          <w:tcPr>
            <w:tcW w:w="864" w:type="dxa"/>
            <w:tcBorders>
              <w:top w:val="single" w:sz="2" w:space="0" w:color="8EAADB" w:themeColor="accent5" w:themeTint="99"/>
              <w:bottom w:val="nil"/>
            </w:tcBorders>
            <w:vAlign w:val="center"/>
          </w:tcPr>
          <w:p w14:paraId="02F1A992"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28.99</w:t>
            </w:r>
          </w:p>
        </w:tc>
        <w:tc>
          <w:tcPr>
            <w:tcW w:w="1037" w:type="dxa"/>
            <w:tcBorders>
              <w:top w:val="single" w:sz="2" w:space="0" w:color="8EAADB" w:themeColor="accent5" w:themeTint="99"/>
              <w:bottom w:val="nil"/>
            </w:tcBorders>
            <w:vAlign w:val="center"/>
          </w:tcPr>
          <w:p w14:paraId="0C03079B"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20,565</w:t>
            </w:r>
          </w:p>
        </w:tc>
        <w:tc>
          <w:tcPr>
            <w:tcW w:w="881" w:type="dxa"/>
            <w:tcBorders>
              <w:top w:val="single" w:sz="2" w:space="0" w:color="8EAADB" w:themeColor="accent5" w:themeTint="99"/>
              <w:bottom w:val="nil"/>
            </w:tcBorders>
            <w:vAlign w:val="center"/>
          </w:tcPr>
          <w:p w14:paraId="6B477650"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5,138</w:t>
            </w:r>
          </w:p>
        </w:tc>
        <w:tc>
          <w:tcPr>
            <w:tcW w:w="1226" w:type="dxa"/>
            <w:tcBorders>
              <w:top w:val="single" w:sz="2" w:space="0" w:color="8EAADB" w:themeColor="accent5" w:themeTint="99"/>
              <w:bottom w:val="nil"/>
            </w:tcBorders>
            <w:vAlign w:val="center"/>
          </w:tcPr>
          <w:p w14:paraId="2F92C3F4"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roofErr w:type="spellStart"/>
            <w:r w:rsidRPr="00B84B0C">
              <w:rPr>
                <w:rFonts w:cs="Arial"/>
              </w:rPr>
              <w:t>March</w:t>
            </w:r>
            <w:proofErr w:type="spellEnd"/>
            <w:r w:rsidRPr="00B84B0C">
              <w:rPr>
                <w:rFonts w:cs="Arial"/>
              </w:rPr>
              <w:t xml:space="preserve"> 2021</w:t>
            </w:r>
          </w:p>
        </w:tc>
      </w:tr>
      <w:tr w:rsidR="009C72AA" w:rsidRPr="00B84B0C" w14:paraId="0CB86E75" w14:textId="77777777" w:rsidTr="009C72A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27123D3" w14:textId="77777777" w:rsidR="009C72AA" w:rsidRPr="00B84B0C" w:rsidRDefault="009C72AA" w:rsidP="009C72AA">
            <w:pPr>
              <w:pStyle w:val="070-TabelaPadro"/>
              <w:spacing w:line="276" w:lineRule="auto"/>
              <w:jc w:val="left"/>
              <w:rPr>
                <w:rFonts w:cs="Arial"/>
              </w:rPr>
            </w:pPr>
            <w:r w:rsidRPr="00B84B0C">
              <w:rPr>
                <w:rFonts w:cs="Arial"/>
              </w:rPr>
              <w:t xml:space="preserve">Total </w:t>
            </w:r>
            <w:proofErr w:type="spellStart"/>
            <w:r w:rsidRPr="00B84B0C">
              <w:rPr>
                <w:rFonts w:cs="Arial"/>
              </w:rPr>
              <w:t>shares</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be</w:t>
            </w:r>
            <w:proofErr w:type="spellEnd"/>
            <w:r w:rsidRPr="00B84B0C">
              <w:rPr>
                <w:rFonts w:cs="Arial"/>
              </w:rPr>
              <w:t xml:space="preserve"> </w:t>
            </w:r>
            <w:proofErr w:type="spellStart"/>
            <w:r w:rsidRPr="00B84B0C">
              <w:rPr>
                <w:rFonts w:cs="Arial"/>
              </w:rPr>
              <w:t>distributed</w:t>
            </w:r>
            <w:proofErr w:type="spellEnd"/>
          </w:p>
        </w:tc>
        <w:tc>
          <w:tcPr>
            <w:tcW w:w="1239" w:type="dxa"/>
            <w:tcBorders>
              <w:top w:val="nil"/>
              <w:bottom w:val="nil"/>
            </w:tcBorders>
            <w:vAlign w:val="center"/>
          </w:tcPr>
          <w:p w14:paraId="497816EA"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58" w:type="dxa"/>
            <w:tcBorders>
              <w:top w:val="nil"/>
              <w:bottom w:val="nil"/>
            </w:tcBorders>
            <w:vAlign w:val="center"/>
          </w:tcPr>
          <w:p w14:paraId="1F13F0DE"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40" w:type="dxa"/>
            <w:tcBorders>
              <w:top w:val="nil"/>
              <w:bottom w:val="nil"/>
            </w:tcBorders>
            <w:vAlign w:val="center"/>
          </w:tcPr>
          <w:p w14:paraId="5B0C47AB"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64" w:type="dxa"/>
            <w:tcBorders>
              <w:top w:val="nil"/>
              <w:bottom w:val="nil"/>
            </w:tcBorders>
            <w:vAlign w:val="center"/>
          </w:tcPr>
          <w:p w14:paraId="01264EDB"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037" w:type="dxa"/>
            <w:tcBorders>
              <w:top w:val="nil"/>
              <w:bottom w:val="nil"/>
            </w:tcBorders>
            <w:vAlign w:val="center"/>
          </w:tcPr>
          <w:p w14:paraId="35ABD1F8"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81" w:type="dxa"/>
            <w:tcBorders>
              <w:top w:val="nil"/>
              <w:bottom w:val="nil"/>
            </w:tcBorders>
            <w:vAlign w:val="center"/>
          </w:tcPr>
          <w:p w14:paraId="1BA2E998"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5,138</w:t>
            </w:r>
          </w:p>
        </w:tc>
        <w:tc>
          <w:tcPr>
            <w:tcW w:w="1226" w:type="dxa"/>
            <w:tcBorders>
              <w:top w:val="nil"/>
              <w:bottom w:val="nil"/>
            </w:tcBorders>
            <w:vAlign w:val="center"/>
          </w:tcPr>
          <w:p w14:paraId="53E82AA2"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r>
      <w:tr w:rsidR="009C72AA" w:rsidRPr="00B84B0C" w14:paraId="6473D785"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A723DAC" w14:textId="77777777" w:rsidR="009C72AA" w:rsidRPr="00B84B0C" w:rsidRDefault="009C72AA" w:rsidP="009C72AA">
            <w:pPr>
              <w:pStyle w:val="070-TabelaPadro"/>
              <w:spacing w:line="276" w:lineRule="auto"/>
              <w:jc w:val="left"/>
              <w:rPr>
                <w:rFonts w:cs="Arial"/>
              </w:rPr>
            </w:pPr>
          </w:p>
        </w:tc>
        <w:tc>
          <w:tcPr>
            <w:tcW w:w="1239" w:type="dxa"/>
            <w:tcBorders>
              <w:top w:val="nil"/>
              <w:bottom w:val="nil"/>
            </w:tcBorders>
            <w:vAlign w:val="center"/>
          </w:tcPr>
          <w:p w14:paraId="2BB4A7AF"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58" w:type="dxa"/>
            <w:tcBorders>
              <w:top w:val="nil"/>
              <w:bottom w:val="nil"/>
            </w:tcBorders>
            <w:vAlign w:val="center"/>
          </w:tcPr>
          <w:p w14:paraId="4C91A0E4"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40" w:type="dxa"/>
            <w:tcBorders>
              <w:top w:val="nil"/>
              <w:bottom w:val="nil"/>
            </w:tcBorders>
            <w:vAlign w:val="center"/>
          </w:tcPr>
          <w:p w14:paraId="09D62D23"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64" w:type="dxa"/>
            <w:tcBorders>
              <w:top w:val="nil"/>
              <w:bottom w:val="nil"/>
            </w:tcBorders>
            <w:vAlign w:val="center"/>
          </w:tcPr>
          <w:p w14:paraId="788E572D"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37" w:type="dxa"/>
            <w:tcBorders>
              <w:top w:val="nil"/>
              <w:bottom w:val="nil"/>
            </w:tcBorders>
            <w:vAlign w:val="center"/>
          </w:tcPr>
          <w:p w14:paraId="07B353C9"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81" w:type="dxa"/>
            <w:tcBorders>
              <w:top w:val="nil"/>
              <w:bottom w:val="nil"/>
            </w:tcBorders>
            <w:vAlign w:val="center"/>
          </w:tcPr>
          <w:p w14:paraId="05A1F202"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226" w:type="dxa"/>
            <w:tcBorders>
              <w:top w:val="nil"/>
              <w:bottom w:val="nil"/>
            </w:tcBorders>
            <w:vAlign w:val="center"/>
          </w:tcPr>
          <w:p w14:paraId="30CDDBB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r>
      <w:tr w:rsidR="009C72AA" w:rsidRPr="00B84B0C" w14:paraId="03919BFC" w14:textId="77777777" w:rsidTr="009C72A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4B1FFECE" w14:textId="77777777" w:rsidR="009C72AA" w:rsidRPr="00B84B0C" w:rsidRDefault="009C72AA" w:rsidP="009C72AA">
            <w:pPr>
              <w:pStyle w:val="070-TabelaPadro"/>
              <w:spacing w:line="276" w:lineRule="auto"/>
              <w:jc w:val="left"/>
              <w:rPr>
                <w:rFonts w:cs="Arial"/>
              </w:rPr>
            </w:pPr>
            <w:r w:rsidRPr="00B84B0C">
              <w:rPr>
                <w:rFonts w:cs="Arial"/>
              </w:rPr>
              <w:t xml:space="preserve">2017 </w:t>
            </w:r>
            <w:proofErr w:type="spellStart"/>
            <w:r w:rsidRPr="00B84B0C">
              <w:rPr>
                <w:rFonts w:cs="Arial"/>
              </w:rPr>
              <w:t>Program</w:t>
            </w:r>
            <w:proofErr w:type="spellEnd"/>
          </w:p>
        </w:tc>
        <w:tc>
          <w:tcPr>
            <w:tcW w:w="1239" w:type="dxa"/>
            <w:tcBorders>
              <w:top w:val="nil"/>
              <w:bottom w:val="nil"/>
            </w:tcBorders>
            <w:vAlign w:val="center"/>
          </w:tcPr>
          <w:p w14:paraId="257EF77C"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19,359</w:t>
            </w:r>
          </w:p>
        </w:tc>
        <w:tc>
          <w:tcPr>
            <w:tcW w:w="858" w:type="dxa"/>
            <w:tcBorders>
              <w:top w:val="nil"/>
              <w:bottom w:val="nil"/>
            </w:tcBorders>
            <w:vAlign w:val="center"/>
          </w:tcPr>
          <w:p w14:paraId="12E910F0"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28.92</w:t>
            </w:r>
          </w:p>
        </w:tc>
        <w:tc>
          <w:tcPr>
            <w:tcW w:w="840" w:type="dxa"/>
            <w:tcBorders>
              <w:top w:val="nil"/>
              <w:bottom w:val="nil"/>
            </w:tcBorders>
            <w:vAlign w:val="center"/>
          </w:tcPr>
          <w:p w14:paraId="123B8635"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29.02</w:t>
            </w:r>
          </w:p>
        </w:tc>
        <w:tc>
          <w:tcPr>
            <w:tcW w:w="864" w:type="dxa"/>
            <w:tcBorders>
              <w:top w:val="nil"/>
              <w:bottom w:val="nil"/>
            </w:tcBorders>
            <w:vAlign w:val="center"/>
          </w:tcPr>
          <w:p w14:paraId="10984984"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29.15</w:t>
            </w:r>
          </w:p>
        </w:tc>
        <w:tc>
          <w:tcPr>
            <w:tcW w:w="1037" w:type="dxa"/>
            <w:tcBorders>
              <w:top w:val="nil"/>
              <w:bottom w:val="nil"/>
            </w:tcBorders>
            <w:vAlign w:val="center"/>
          </w:tcPr>
          <w:p w14:paraId="3D491183"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11,619</w:t>
            </w:r>
          </w:p>
        </w:tc>
        <w:tc>
          <w:tcPr>
            <w:tcW w:w="881" w:type="dxa"/>
            <w:tcBorders>
              <w:top w:val="nil"/>
              <w:bottom w:val="nil"/>
            </w:tcBorders>
            <w:vAlign w:val="center"/>
          </w:tcPr>
          <w:p w14:paraId="3731B026"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3,870</w:t>
            </w:r>
          </w:p>
        </w:tc>
        <w:tc>
          <w:tcPr>
            <w:tcW w:w="1226" w:type="dxa"/>
            <w:tcBorders>
              <w:top w:val="nil"/>
              <w:bottom w:val="nil"/>
            </w:tcBorders>
          </w:tcPr>
          <w:p w14:paraId="083F6851"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2021</w:t>
            </w:r>
          </w:p>
        </w:tc>
      </w:tr>
      <w:tr w:rsidR="009C72AA" w:rsidRPr="00B84B0C" w14:paraId="5C42ECED"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419BAA3" w14:textId="77777777" w:rsidR="009C72AA" w:rsidRPr="00B84B0C" w:rsidRDefault="009C72AA" w:rsidP="009C72AA">
            <w:pPr>
              <w:pStyle w:val="070-TabelaPadro"/>
              <w:spacing w:line="276" w:lineRule="auto"/>
              <w:jc w:val="left"/>
              <w:rPr>
                <w:rFonts w:cs="Arial"/>
              </w:rPr>
            </w:pPr>
          </w:p>
        </w:tc>
        <w:tc>
          <w:tcPr>
            <w:tcW w:w="1239" w:type="dxa"/>
            <w:tcBorders>
              <w:top w:val="nil"/>
              <w:bottom w:val="nil"/>
            </w:tcBorders>
            <w:vAlign w:val="center"/>
          </w:tcPr>
          <w:p w14:paraId="6A19B982"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58" w:type="dxa"/>
            <w:tcBorders>
              <w:top w:val="nil"/>
              <w:bottom w:val="nil"/>
            </w:tcBorders>
            <w:vAlign w:val="center"/>
          </w:tcPr>
          <w:p w14:paraId="77EE9633"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40" w:type="dxa"/>
            <w:tcBorders>
              <w:top w:val="nil"/>
              <w:bottom w:val="nil"/>
            </w:tcBorders>
            <w:vAlign w:val="center"/>
          </w:tcPr>
          <w:p w14:paraId="17052AE6"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64" w:type="dxa"/>
            <w:tcBorders>
              <w:top w:val="nil"/>
              <w:bottom w:val="nil"/>
            </w:tcBorders>
            <w:vAlign w:val="center"/>
          </w:tcPr>
          <w:p w14:paraId="3C4B8382"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37" w:type="dxa"/>
            <w:tcBorders>
              <w:top w:val="nil"/>
              <w:bottom w:val="nil"/>
            </w:tcBorders>
            <w:vAlign w:val="center"/>
          </w:tcPr>
          <w:p w14:paraId="3800F6C8"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81" w:type="dxa"/>
            <w:tcBorders>
              <w:top w:val="nil"/>
              <w:bottom w:val="nil"/>
            </w:tcBorders>
            <w:vAlign w:val="center"/>
          </w:tcPr>
          <w:p w14:paraId="1808275B"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3,870</w:t>
            </w:r>
          </w:p>
        </w:tc>
        <w:tc>
          <w:tcPr>
            <w:tcW w:w="1226" w:type="dxa"/>
            <w:tcBorders>
              <w:top w:val="nil"/>
              <w:bottom w:val="nil"/>
            </w:tcBorders>
          </w:tcPr>
          <w:p w14:paraId="0BDA9997"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2022</w:t>
            </w:r>
          </w:p>
        </w:tc>
      </w:tr>
      <w:tr w:rsidR="009C72AA" w:rsidRPr="00B84B0C" w14:paraId="21F21214" w14:textId="77777777" w:rsidTr="009C72A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E882D59" w14:textId="77777777" w:rsidR="009C72AA" w:rsidRPr="00B84B0C" w:rsidRDefault="009C72AA" w:rsidP="009C72AA">
            <w:pPr>
              <w:pStyle w:val="070-TabelaPadro"/>
              <w:spacing w:line="276" w:lineRule="auto"/>
              <w:jc w:val="left"/>
              <w:rPr>
                <w:rFonts w:cs="Arial"/>
              </w:rPr>
            </w:pPr>
            <w:r w:rsidRPr="00B84B0C">
              <w:rPr>
                <w:rFonts w:cs="Arial"/>
              </w:rPr>
              <w:t xml:space="preserve">Total </w:t>
            </w:r>
            <w:proofErr w:type="spellStart"/>
            <w:r w:rsidRPr="00B84B0C">
              <w:rPr>
                <w:rFonts w:cs="Arial"/>
              </w:rPr>
              <w:t>shares</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be</w:t>
            </w:r>
            <w:proofErr w:type="spellEnd"/>
            <w:r w:rsidRPr="00B84B0C">
              <w:rPr>
                <w:rFonts w:cs="Arial"/>
              </w:rPr>
              <w:t xml:space="preserve"> </w:t>
            </w:r>
            <w:proofErr w:type="spellStart"/>
            <w:r w:rsidRPr="00B84B0C">
              <w:rPr>
                <w:rFonts w:cs="Arial"/>
              </w:rPr>
              <w:t>distributed</w:t>
            </w:r>
            <w:proofErr w:type="spellEnd"/>
          </w:p>
        </w:tc>
        <w:tc>
          <w:tcPr>
            <w:tcW w:w="1239" w:type="dxa"/>
            <w:tcBorders>
              <w:top w:val="nil"/>
              <w:bottom w:val="nil"/>
            </w:tcBorders>
            <w:vAlign w:val="center"/>
          </w:tcPr>
          <w:p w14:paraId="19405C5E"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58" w:type="dxa"/>
            <w:tcBorders>
              <w:top w:val="nil"/>
              <w:bottom w:val="nil"/>
            </w:tcBorders>
            <w:vAlign w:val="center"/>
          </w:tcPr>
          <w:p w14:paraId="55243BFE"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40" w:type="dxa"/>
            <w:tcBorders>
              <w:top w:val="nil"/>
              <w:bottom w:val="nil"/>
            </w:tcBorders>
            <w:vAlign w:val="center"/>
          </w:tcPr>
          <w:p w14:paraId="6A1E61CD"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64" w:type="dxa"/>
            <w:tcBorders>
              <w:top w:val="nil"/>
              <w:bottom w:val="nil"/>
            </w:tcBorders>
            <w:vAlign w:val="center"/>
          </w:tcPr>
          <w:p w14:paraId="2A9AF035"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037" w:type="dxa"/>
            <w:tcBorders>
              <w:top w:val="nil"/>
              <w:bottom w:val="nil"/>
            </w:tcBorders>
            <w:vAlign w:val="center"/>
          </w:tcPr>
          <w:p w14:paraId="14FDE8F7"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81" w:type="dxa"/>
            <w:tcBorders>
              <w:top w:val="nil"/>
              <w:bottom w:val="nil"/>
            </w:tcBorders>
            <w:vAlign w:val="center"/>
          </w:tcPr>
          <w:p w14:paraId="6BDEF8AF"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7,740</w:t>
            </w:r>
          </w:p>
        </w:tc>
        <w:tc>
          <w:tcPr>
            <w:tcW w:w="1226" w:type="dxa"/>
            <w:tcBorders>
              <w:top w:val="nil"/>
              <w:bottom w:val="nil"/>
            </w:tcBorders>
            <w:vAlign w:val="center"/>
          </w:tcPr>
          <w:p w14:paraId="63F7512D"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r>
      <w:tr w:rsidR="009C72AA" w:rsidRPr="00B84B0C" w14:paraId="591CBEE2"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5EAC3DDD" w14:textId="77777777" w:rsidR="009C72AA" w:rsidRPr="00B84B0C" w:rsidRDefault="009C72AA" w:rsidP="009C72AA">
            <w:pPr>
              <w:pStyle w:val="070-TabelaPadro"/>
              <w:spacing w:line="276" w:lineRule="auto"/>
              <w:jc w:val="left"/>
              <w:rPr>
                <w:rFonts w:cs="Arial"/>
              </w:rPr>
            </w:pPr>
          </w:p>
        </w:tc>
        <w:tc>
          <w:tcPr>
            <w:tcW w:w="1239" w:type="dxa"/>
            <w:tcBorders>
              <w:top w:val="nil"/>
              <w:bottom w:val="nil"/>
            </w:tcBorders>
            <w:vAlign w:val="center"/>
          </w:tcPr>
          <w:p w14:paraId="10CE34C2"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58" w:type="dxa"/>
            <w:tcBorders>
              <w:top w:val="nil"/>
              <w:bottom w:val="nil"/>
            </w:tcBorders>
            <w:vAlign w:val="center"/>
          </w:tcPr>
          <w:p w14:paraId="51CAB86A"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40" w:type="dxa"/>
            <w:tcBorders>
              <w:top w:val="nil"/>
              <w:bottom w:val="nil"/>
            </w:tcBorders>
            <w:vAlign w:val="center"/>
          </w:tcPr>
          <w:p w14:paraId="69118E5A"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64" w:type="dxa"/>
            <w:tcBorders>
              <w:top w:val="nil"/>
              <w:bottom w:val="nil"/>
            </w:tcBorders>
            <w:vAlign w:val="center"/>
          </w:tcPr>
          <w:p w14:paraId="618EF659"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37" w:type="dxa"/>
            <w:tcBorders>
              <w:top w:val="nil"/>
              <w:bottom w:val="nil"/>
            </w:tcBorders>
            <w:vAlign w:val="center"/>
          </w:tcPr>
          <w:p w14:paraId="448DA480"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81" w:type="dxa"/>
            <w:tcBorders>
              <w:top w:val="nil"/>
              <w:bottom w:val="nil"/>
            </w:tcBorders>
            <w:vAlign w:val="center"/>
          </w:tcPr>
          <w:p w14:paraId="08EC991F"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226" w:type="dxa"/>
            <w:tcBorders>
              <w:top w:val="nil"/>
              <w:bottom w:val="nil"/>
            </w:tcBorders>
            <w:vAlign w:val="center"/>
          </w:tcPr>
          <w:p w14:paraId="77BAECD6"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r>
      <w:tr w:rsidR="009C72AA" w:rsidRPr="00B84B0C" w14:paraId="0582D3E2" w14:textId="77777777" w:rsidTr="009C72A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3ED3C8BB" w14:textId="77777777" w:rsidR="009C72AA" w:rsidRPr="00B84B0C" w:rsidRDefault="009C72AA" w:rsidP="009C72AA">
            <w:pPr>
              <w:pStyle w:val="070-TabelaPadro"/>
              <w:spacing w:line="276" w:lineRule="auto"/>
              <w:jc w:val="left"/>
              <w:rPr>
                <w:rFonts w:cs="Arial"/>
              </w:rPr>
            </w:pPr>
            <w:r w:rsidRPr="00B84B0C">
              <w:rPr>
                <w:rFonts w:cs="Arial"/>
              </w:rPr>
              <w:t xml:space="preserve">2018 </w:t>
            </w:r>
            <w:proofErr w:type="spellStart"/>
            <w:r w:rsidRPr="00B84B0C">
              <w:rPr>
                <w:rFonts w:cs="Arial"/>
              </w:rPr>
              <w:t>Program</w:t>
            </w:r>
            <w:proofErr w:type="spellEnd"/>
          </w:p>
        </w:tc>
        <w:tc>
          <w:tcPr>
            <w:tcW w:w="1239" w:type="dxa"/>
            <w:tcBorders>
              <w:top w:val="nil"/>
              <w:bottom w:val="nil"/>
            </w:tcBorders>
            <w:vAlign w:val="center"/>
          </w:tcPr>
          <w:p w14:paraId="5DC88599"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16,393</w:t>
            </w:r>
          </w:p>
        </w:tc>
        <w:tc>
          <w:tcPr>
            <w:tcW w:w="858" w:type="dxa"/>
            <w:tcBorders>
              <w:top w:val="nil"/>
              <w:bottom w:val="nil"/>
            </w:tcBorders>
            <w:vAlign w:val="center"/>
          </w:tcPr>
          <w:p w14:paraId="70BA2C59"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27.78</w:t>
            </w:r>
          </w:p>
        </w:tc>
        <w:tc>
          <w:tcPr>
            <w:tcW w:w="840" w:type="dxa"/>
            <w:tcBorders>
              <w:top w:val="nil"/>
              <w:bottom w:val="nil"/>
            </w:tcBorders>
            <w:vAlign w:val="center"/>
          </w:tcPr>
          <w:p w14:paraId="31445682"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27.78</w:t>
            </w:r>
          </w:p>
        </w:tc>
        <w:tc>
          <w:tcPr>
            <w:tcW w:w="864" w:type="dxa"/>
            <w:tcBorders>
              <w:top w:val="nil"/>
              <w:bottom w:val="nil"/>
            </w:tcBorders>
            <w:vAlign w:val="center"/>
          </w:tcPr>
          <w:p w14:paraId="25B77C97"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27.80</w:t>
            </w:r>
          </w:p>
        </w:tc>
        <w:tc>
          <w:tcPr>
            <w:tcW w:w="1037" w:type="dxa"/>
            <w:tcBorders>
              <w:top w:val="nil"/>
              <w:bottom w:val="nil"/>
            </w:tcBorders>
            <w:vAlign w:val="center"/>
          </w:tcPr>
          <w:p w14:paraId="0B336BA6"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6,565</w:t>
            </w:r>
          </w:p>
        </w:tc>
        <w:tc>
          <w:tcPr>
            <w:tcW w:w="881" w:type="dxa"/>
            <w:tcBorders>
              <w:top w:val="nil"/>
              <w:bottom w:val="nil"/>
            </w:tcBorders>
            <w:vAlign w:val="center"/>
          </w:tcPr>
          <w:p w14:paraId="4EB57B06"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3,276</w:t>
            </w:r>
          </w:p>
        </w:tc>
        <w:tc>
          <w:tcPr>
            <w:tcW w:w="1226" w:type="dxa"/>
            <w:tcBorders>
              <w:top w:val="nil"/>
              <w:bottom w:val="nil"/>
            </w:tcBorders>
          </w:tcPr>
          <w:p w14:paraId="233D661B"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2021</w:t>
            </w:r>
          </w:p>
        </w:tc>
      </w:tr>
      <w:tr w:rsidR="009C72AA" w:rsidRPr="00B84B0C" w14:paraId="54979D0C"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7072FD1" w14:textId="77777777" w:rsidR="009C72AA" w:rsidRPr="00B84B0C" w:rsidRDefault="009C72AA" w:rsidP="009C72AA">
            <w:pPr>
              <w:pStyle w:val="070-TabelaPadro"/>
              <w:spacing w:line="276" w:lineRule="auto"/>
              <w:jc w:val="left"/>
              <w:rPr>
                <w:rFonts w:cs="Arial"/>
              </w:rPr>
            </w:pPr>
          </w:p>
        </w:tc>
        <w:tc>
          <w:tcPr>
            <w:tcW w:w="1239" w:type="dxa"/>
            <w:tcBorders>
              <w:top w:val="nil"/>
              <w:bottom w:val="nil"/>
            </w:tcBorders>
            <w:vAlign w:val="center"/>
          </w:tcPr>
          <w:p w14:paraId="39C20692"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58" w:type="dxa"/>
            <w:tcBorders>
              <w:top w:val="nil"/>
              <w:bottom w:val="nil"/>
            </w:tcBorders>
            <w:vAlign w:val="center"/>
          </w:tcPr>
          <w:p w14:paraId="6382D7D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40" w:type="dxa"/>
            <w:tcBorders>
              <w:top w:val="nil"/>
              <w:bottom w:val="nil"/>
            </w:tcBorders>
            <w:vAlign w:val="center"/>
          </w:tcPr>
          <w:p w14:paraId="2DA04EC5"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64" w:type="dxa"/>
            <w:tcBorders>
              <w:top w:val="nil"/>
              <w:bottom w:val="nil"/>
            </w:tcBorders>
            <w:vAlign w:val="center"/>
          </w:tcPr>
          <w:p w14:paraId="79FA9D5A"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37" w:type="dxa"/>
            <w:tcBorders>
              <w:top w:val="nil"/>
              <w:bottom w:val="nil"/>
            </w:tcBorders>
            <w:vAlign w:val="center"/>
          </w:tcPr>
          <w:p w14:paraId="1E7371F8"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81" w:type="dxa"/>
            <w:tcBorders>
              <w:top w:val="nil"/>
              <w:bottom w:val="nil"/>
            </w:tcBorders>
            <w:vAlign w:val="center"/>
          </w:tcPr>
          <w:p w14:paraId="4DE7FCB4"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3,276</w:t>
            </w:r>
          </w:p>
        </w:tc>
        <w:tc>
          <w:tcPr>
            <w:tcW w:w="1226" w:type="dxa"/>
            <w:tcBorders>
              <w:top w:val="nil"/>
              <w:bottom w:val="nil"/>
            </w:tcBorders>
          </w:tcPr>
          <w:p w14:paraId="57D6556A"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2022</w:t>
            </w:r>
          </w:p>
        </w:tc>
      </w:tr>
      <w:tr w:rsidR="009C72AA" w:rsidRPr="00B84B0C" w14:paraId="76FD391E" w14:textId="77777777" w:rsidTr="009C72A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5770B185" w14:textId="77777777" w:rsidR="009C72AA" w:rsidRPr="00B84B0C" w:rsidRDefault="009C72AA" w:rsidP="009C72AA">
            <w:pPr>
              <w:pStyle w:val="070-TabelaPadro"/>
              <w:spacing w:line="276" w:lineRule="auto"/>
              <w:jc w:val="left"/>
              <w:rPr>
                <w:rFonts w:cs="Arial"/>
              </w:rPr>
            </w:pPr>
          </w:p>
        </w:tc>
        <w:tc>
          <w:tcPr>
            <w:tcW w:w="1239" w:type="dxa"/>
            <w:tcBorders>
              <w:top w:val="nil"/>
              <w:bottom w:val="nil"/>
            </w:tcBorders>
            <w:vAlign w:val="center"/>
          </w:tcPr>
          <w:p w14:paraId="19572531"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58" w:type="dxa"/>
            <w:tcBorders>
              <w:top w:val="nil"/>
              <w:bottom w:val="nil"/>
            </w:tcBorders>
            <w:vAlign w:val="center"/>
          </w:tcPr>
          <w:p w14:paraId="3F3A9587"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40" w:type="dxa"/>
            <w:tcBorders>
              <w:top w:val="nil"/>
              <w:bottom w:val="nil"/>
            </w:tcBorders>
            <w:vAlign w:val="center"/>
          </w:tcPr>
          <w:p w14:paraId="458735E2"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64" w:type="dxa"/>
            <w:tcBorders>
              <w:top w:val="nil"/>
              <w:bottom w:val="nil"/>
            </w:tcBorders>
            <w:vAlign w:val="center"/>
          </w:tcPr>
          <w:p w14:paraId="6F2AF0C5"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037" w:type="dxa"/>
            <w:tcBorders>
              <w:top w:val="nil"/>
              <w:bottom w:val="nil"/>
            </w:tcBorders>
            <w:vAlign w:val="center"/>
          </w:tcPr>
          <w:p w14:paraId="5D63B551"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81" w:type="dxa"/>
            <w:tcBorders>
              <w:top w:val="nil"/>
              <w:bottom w:val="nil"/>
            </w:tcBorders>
            <w:vAlign w:val="center"/>
          </w:tcPr>
          <w:p w14:paraId="552FD917"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3,276</w:t>
            </w:r>
          </w:p>
        </w:tc>
        <w:tc>
          <w:tcPr>
            <w:tcW w:w="1226" w:type="dxa"/>
            <w:tcBorders>
              <w:top w:val="nil"/>
              <w:bottom w:val="nil"/>
            </w:tcBorders>
          </w:tcPr>
          <w:p w14:paraId="27A81A14"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2023</w:t>
            </w:r>
          </w:p>
        </w:tc>
      </w:tr>
      <w:tr w:rsidR="009C72AA" w:rsidRPr="00B84B0C" w14:paraId="7957B3AA"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6B853B84" w14:textId="77777777" w:rsidR="009C72AA" w:rsidRPr="00B84B0C" w:rsidRDefault="009C72AA" w:rsidP="009C72AA">
            <w:pPr>
              <w:pStyle w:val="070-TabelaPadro"/>
              <w:spacing w:line="276" w:lineRule="auto"/>
              <w:jc w:val="left"/>
              <w:rPr>
                <w:rFonts w:cs="Arial"/>
              </w:rPr>
            </w:pPr>
            <w:r w:rsidRPr="00B84B0C">
              <w:rPr>
                <w:rFonts w:cs="Arial"/>
              </w:rPr>
              <w:t xml:space="preserve">Total </w:t>
            </w:r>
            <w:proofErr w:type="spellStart"/>
            <w:r w:rsidRPr="00B84B0C">
              <w:rPr>
                <w:rFonts w:cs="Arial"/>
              </w:rPr>
              <w:t>shares</w:t>
            </w:r>
            <w:proofErr w:type="spellEnd"/>
            <w:r w:rsidRPr="00B84B0C">
              <w:rPr>
                <w:rFonts w:cs="Arial"/>
              </w:rPr>
              <w:t xml:space="preserve"> </w:t>
            </w:r>
            <w:proofErr w:type="spellStart"/>
            <w:r w:rsidRPr="00B84B0C">
              <w:rPr>
                <w:rFonts w:cs="Arial"/>
              </w:rPr>
              <w:t>to</w:t>
            </w:r>
            <w:proofErr w:type="spellEnd"/>
            <w:r w:rsidRPr="00B84B0C">
              <w:rPr>
                <w:rFonts w:cs="Arial"/>
              </w:rPr>
              <w:t xml:space="preserve"> </w:t>
            </w:r>
            <w:proofErr w:type="spellStart"/>
            <w:r w:rsidRPr="00B84B0C">
              <w:rPr>
                <w:rFonts w:cs="Arial"/>
              </w:rPr>
              <w:t>be</w:t>
            </w:r>
            <w:proofErr w:type="spellEnd"/>
            <w:r w:rsidRPr="00B84B0C">
              <w:rPr>
                <w:rFonts w:cs="Arial"/>
              </w:rPr>
              <w:t xml:space="preserve"> </w:t>
            </w:r>
            <w:proofErr w:type="spellStart"/>
            <w:r w:rsidRPr="00B84B0C">
              <w:rPr>
                <w:rFonts w:cs="Arial"/>
              </w:rPr>
              <w:t>distributed</w:t>
            </w:r>
            <w:proofErr w:type="spellEnd"/>
          </w:p>
        </w:tc>
        <w:tc>
          <w:tcPr>
            <w:tcW w:w="1239" w:type="dxa"/>
            <w:tcBorders>
              <w:top w:val="nil"/>
              <w:bottom w:val="nil"/>
            </w:tcBorders>
            <w:vAlign w:val="center"/>
          </w:tcPr>
          <w:p w14:paraId="71492E76"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58" w:type="dxa"/>
            <w:tcBorders>
              <w:top w:val="nil"/>
              <w:bottom w:val="nil"/>
            </w:tcBorders>
            <w:vAlign w:val="center"/>
          </w:tcPr>
          <w:p w14:paraId="1F885A48"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40" w:type="dxa"/>
            <w:tcBorders>
              <w:top w:val="nil"/>
              <w:bottom w:val="nil"/>
            </w:tcBorders>
            <w:vAlign w:val="center"/>
          </w:tcPr>
          <w:p w14:paraId="4CFC47E9"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64" w:type="dxa"/>
            <w:tcBorders>
              <w:top w:val="nil"/>
              <w:bottom w:val="nil"/>
            </w:tcBorders>
            <w:vAlign w:val="center"/>
          </w:tcPr>
          <w:p w14:paraId="055F81A0"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37" w:type="dxa"/>
            <w:tcBorders>
              <w:top w:val="nil"/>
              <w:bottom w:val="nil"/>
            </w:tcBorders>
            <w:vAlign w:val="center"/>
          </w:tcPr>
          <w:p w14:paraId="3BFC91A5"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81" w:type="dxa"/>
            <w:tcBorders>
              <w:top w:val="nil"/>
              <w:bottom w:val="nil"/>
            </w:tcBorders>
            <w:vAlign w:val="center"/>
          </w:tcPr>
          <w:p w14:paraId="636C3B75"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9,828</w:t>
            </w:r>
          </w:p>
        </w:tc>
        <w:tc>
          <w:tcPr>
            <w:tcW w:w="1226" w:type="dxa"/>
            <w:tcBorders>
              <w:top w:val="nil"/>
              <w:bottom w:val="nil"/>
            </w:tcBorders>
            <w:vAlign w:val="center"/>
          </w:tcPr>
          <w:p w14:paraId="4A31F383"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r>
      <w:tr w:rsidR="009C72AA" w:rsidRPr="00B84B0C" w14:paraId="678EE7A7" w14:textId="77777777" w:rsidTr="009C72A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3494811C" w14:textId="77777777" w:rsidR="009C72AA" w:rsidRPr="00B84B0C" w:rsidRDefault="009C72AA" w:rsidP="009C72AA">
            <w:pPr>
              <w:pStyle w:val="070-TabelaPadro"/>
              <w:spacing w:line="276" w:lineRule="auto"/>
              <w:jc w:val="left"/>
              <w:rPr>
                <w:rFonts w:cs="Arial"/>
              </w:rPr>
            </w:pPr>
          </w:p>
        </w:tc>
        <w:tc>
          <w:tcPr>
            <w:tcW w:w="1239" w:type="dxa"/>
            <w:tcBorders>
              <w:top w:val="nil"/>
              <w:bottom w:val="nil"/>
            </w:tcBorders>
            <w:vAlign w:val="center"/>
          </w:tcPr>
          <w:p w14:paraId="4029EEDB"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58" w:type="dxa"/>
            <w:tcBorders>
              <w:top w:val="nil"/>
              <w:bottom w:val="nil"/>
            </w:tcBorders>
            <w:vAlign w:val="center"/>
          </w:tcPr>
          <w:p w14:paraId="23BD1FAD"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40" w:type="dxa"/>
            <w:tcBorders>
              <w:top w:val="nil"/>
              <w:bottom w:val="nil"/>
            </w:tcBorders>
            <w:vAlign w:val="center"/>
          </w:tcPr>
          <w:p w14:paraId="2974FAB4"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64" w:type="dxa"/>
            <w:tcBorders>
              <w:top w:val="nil"/>
              <w:bottom w:val="nil"/>
            </w:tcBorders>
            <w:vAlign w:val="center"/>
          </w:tcPr>
          <w:p w14:paraId="07C2907A"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037" w:type="dxa"/>
            <w:tcBorders>
              <w:top w:val="nil"/>
              <w:bottom w:val="nil"/>
            </w:tcBorders>
            <w:vAlign w:val="center"/>
          </w:tcPr>
          <w:p w14:paraId="4E2D5DEE"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81" w:type="dxa"/>
            <w:tcBorders>
              <w:top w:val="nil"/>
              <w:bottom w:val="nil"/>
            </w:tcBorders>
            <w:vAlign w:val="center"/>
          </w:tcPr>
          <w:p w14:paraId="3D79437C"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226" w:type="dxa"/>
            <w:tcBorders>
              <w:top w:val="nil"/>
              <w:bottom w:val="nil"/>
            </w:tcBorders>
            <w:vAlign w:val="center"/>
          </w:tcPr>
          <w:p w14:paraId="701EC595"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 xml:space="preserve"> </w:t>
            </w:r>
          </w:p>
        </w:tc>
      </w:tr>
      <w:tr w:rsidR="009C72AA" w:rsidRPr="00B84B0C" w14:paraId="5CF6D5D2"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7059DBB0" w14:textId="77777777" w:rsidR="009C72AA" w:rsidRPr="00B84B0C" w:rsidRDefault="009C72AA" w:rsidP="009C72AA">
            <w:pPr>
              <w:pStyle w:val="070-TabelaPadro"/>
              <w:spacing w:line="276" w:lineRule="auto"/>
              <w:jc w:val="left"/>
              <w:rPr>
                <w:rFonts w:cs="Arial"/>
              </w:rPr>
            </w:pPr>
            <w:r w:rsidRPr="00B84B0C">
              <w:rPr>
                <w:rFonts w:cs="Arial"/>
              </w:rPr>
              <w:t xml:space="preserve">2019 </w:t>
            </w:r>
            <w:proofErr w:type="spellStart"/>
            <w:r w:rsidRPr="00B84B0C">
              <w:rPr>
                <w:rFonts w:cs="Arial"/>
              </w:rPr>
              <w:t>Program</w:t>
            </w:r>
            <w:proofErr w:type="spellEnd"/>
          </w:p>
        </w:tc>
        <w:tc>
          <w:tcPr>
            <w:tcW w:w="1239" w:type="dxa"/>
            <w:tcBorders>
              <w:top w:val="nil"/>
              <w:bottom w:val="nil"/>
            </w:tcBorders>
            <w:vAlign w:val="center"/>
          </w:tcPr>
          <w:p w14:paraId="424DEFF7"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28,333</w:t>
            </w:r>
          </w:p>
        </w:tc>
        <w:tc>
          <w:tcPr>
            <w:tcW w:w="858" w:type="dxa"/>
            <w:tcBorders>
              <w:top w:val="nil"/>
              <w:bottom w:val="nil"/>
            </w:tcBorders>
            <w:vAlign w:val="center"/>
          </w:tcPr>
          <w:p w14:paraId="42FBA87A"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31.93</w:t>
            </w:r>
          </w:p>
        </w:tc>
        <w:tc>
          <w:tcPr>
            <w:tcW w:w="840" w:type="dxa"/>
            <w:tcBorders>
              <w:top w:val="nil"/>
              <w:bottom w:val="nil"/>
            </w:tcBorders>
            <w:vAlign w:val="center"/>
          </w:tcPr>
          <w:p w14:paraId="4B7B30AD"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31.93</w:t>
            </w:r>
          </w:p>
        </w:tc>
        <w:tc>
          <w:tcPr>
            <w:tcW w:w="864" w:type="dxa"/>
            <w:tcBorders>
              <w:top w:val="nil"/>
              <w:bottom w:val="nil"/>
            </w:tcBorders>
            <w:vAlign w:val="center"/>
          </w:tcPr>
          <w:p w14:paraId="50074D50"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31.93</w:t>
            </w:r>
          </w:p>
        </w:tc>
        <w:tc>
          <w:tcPr>
            <w:tcW w:w="1037" w:type="dxa"/>
            <w:tcBorders>
              <w:top w:val="nil"/>
              <w:bottom w:val="nil"/>
            </w:tcBorders>
            <w:vAlign w:val="center"/>
          </w:tcPr>
          <w:p w14:paraId="432DE88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5,673</w:t>
            </w:r>
          </w:p>
        </w:tc>
        <w:tc>
          <w:tcPr>
            <w:tcW w:w="881" w:type="dxa"/>
            <w:tcBorders>
              <w:top w:val="nil"/>
              <w:bottom w:val="nil"/>
            </w:tcBorders>
            <w:vAlign w:val="center"/>
          </w:tcPr>
          <w:p w14:paraId="533F580A"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5,665</w:t>
            </w:r>
          </w:p>
        </w:tc>
        <w:tc>
          <w:tcPr>
            <w:tcW w:w="1226" w:type="dxa"/>
            <w:tcBorders>
              <w:top w:val="nil"/>
              <w:bottom w:val="nil"/>
            </w:tcBorders>
          </w:tcPr>
          <w:p w14:paraId="40216A46"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2021</w:t>
            </w:r>
          </w:p>
        </w:tc>
      </w:tr>
      <w:tr w:rsidR="009C72AA" w:rsidRPr="00B84B0C" w14:paraId="58DFA57F" w14:textId="77777777" w:rsidTr="009C72A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0475C3B1" w14:textId="77777777" w:rsidR="009C72AA" w:rsidRPr="00B84B0C" w:rsidRDefault="009C72AA" w:rsidP="009C72AA">
            <w:pPr>
              <w:pStyle w:val="070-TabelaPadro"/>
              <w:spacing w:line="276" w:lineRule="auto"/>
              <w:jc w:val="left"/>
              <w:rPr>
                <w:rFonts w:cs="Arial"/>
                <w:b w:val="0"/>
              </w:rPr>
            </w:pPr>
          </w:p>
        </w:tc>
        <w:tc>
          <w:tcPr>
            <w:tcW w:w="1239" w:type="dxa"/>
            <w:tcBorders>
              <w:top w:val="nil"/>
              <w:bottom w:val="nil"/>
            </w:tcBorders>
            <w:vAlign w:val="center"/>
          </w:tcPr>
          <w:p w14:paraId="34E10E15"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58" w:type="dxa"/>
            <w:tcBorders>
              <w:top w:val="nil"/>
              <w:bottom w:val="nil"/>
            </w:tcBorders>
            <w:vAlign w:val="center"/>
          </w:tcPr>
          <w:p w14:paraId="38E5F89F"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40" w:type="dxa"/>
            <w:tcBorders>
              <w:top w:val="nil"/>
              <w:bottom w:val="nil"/>
            </w:tcBorders>
            <w:vAlign w:val="center"/>
          </w:tcPr>
          <w:p w14:paraId="697FC00E"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64" w:type="dxa"/>
            <w:tcBorders>
              <w:top w:val="nil"/>
              <w:bottom w:val="nil"/>
            </w:tcBorders>
            <w:vAlign w:val="center"/>
          </w:tcPr>
          <w:p w14:paraId="64F7C02F"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037" w:type="dxa"/>
            <w:tcBorders>
              <w:top w:val="nil"/>
              <w:bottom w:val="nil"/>
            </w:tcBorders>
            <w:vAlign w:val="center"/>
          </w:tcPr>
          <w:p w14:paraId="0F94C8E2"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81" w:type="dxa"/>
            <w:tcBorders>
              <w:top w:val="nil"/>
              <w:bottom w:val="nil"/>
            </w:tcBorders>
            <w:vAlign w:val="center"/>
          </w:tcPr>
          <w:p w14:paraId="59EB389A"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5,665</w:t>
            </w:r>
          </w:p>
        </w:tc>
        <w:tc>
          <w:tcPr>
            <w:tcW w:w="1226" w:type="dxa"/>
            <w:tcBorders>
              <w:top w:val="nil"/>
              <w:bottom w:val="nil"/>
            </w:tcBorders>
          </w:tcPr>
          <w:p w14:paraId="2FE7561F"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2022</w:t>
            </w:r>
          </w:p>
        </w:tc>
      </w:tr>
      <w:tr w:rsidR="009C72AA" w:rsidRPr="00B84B0C" w14:paraId="665B5465"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16DCE8DC" w14:textId="77777777" w:rsidR="009C72AA" w:rsidRPr="00B84B0C" w:rsidRDefault="009C72AA" w:rsidP="009C72AA">
            <w:pPr>
              <w:pStyle w:val="070-TabelaPadro"/>
              <w:spacing w:line="276" w:lineRule="auto"/>
              <w:jc w:val="left"/>
              <w:rPr>
                <w:rFonts w:cs="Arial"/>
                <w:b w:val="0"/>
              </w:rPr>
            </w:pPr>
          </w:p>
        </w:tc>
        <w:tc>
          <w:tcPr>
            <w:tcW w:w="1239" w:type="dxa"/>
            <w:tcBorders>
              <w:top w:val="nil"/>
              <w:bottom w:val="nil"/>
            </w:tcBorders>
            <w:vAlign w:val="center"/>
          </w:tcPr>
          <w:p w14:paraId="33DDECBB"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58" w:type="dxa"/>
            <w:tcBorders>
              <w:top w:val="nil"/>
              <w:bottom w:val="nil"/>
            </w:tcBorders>
            <w:vAlign w:val="center"/>
          </w:tcPr>
          <w:p w14:paraId="63CF8D3C"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40" w:type="dxa"/>
            <w:tcBorders>
              <w:top w:val="nil"/>
              <w:bottom w:val="nil"/>
            </w:tcBorders>
            <w:vAlign w:val="center"/>
          </w:tcPr>
          <w:p w14:paraId="2C6A25B1"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64" w:type="dxa"/>
            <w:tcBorders>
              <w:top w:val="nil"/>
              <w:bottom w:val="nil"/>
            </w:tcBorders>
            <w:vAlign w:val="center"/>
          </w:tcPr>
          <w:p w14:paraId="7F34CA8B"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37" w:type="dxa"/>
            <w:tcBorders>
              <w:top w:val="nil"/>
              <w:bottom w:val="nil"/>
            </w:tcBorders>
            <w:vAlign w:val="center"/>
          </w:tcPr>
          <w:p w14:paraId="274B2F22"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81" w:type="dxa"/>
            <w:tcBorders>
              <w:top w:val="nil"/>
              <w:bottom w:val="nil"/>
            </w:tcBorders>
            <w:vAlign w:val="center"/>
          </w:tcPr>
          <w:p w14:paraId="0A5BEFEA"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5,665</w:t>
            </w:r>
          </w:p>
        </w:tc>
        <w:tc>
          <w:tcPr>
            <w:tcW w:w="1226" w:type="dxa"/>
            <w:tcBorders>
              <w:top w:val="nil"/>
              <w:bottom w:val="nil"/>
            </w:tcBorders>
          </w:tcPr>
          <w:p w14:paraId="040F9F35"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2023</w:t>
            </w:r>
          </w:p>
        </w:tc>
      </w:tr>
      <w:tr w:rsidR="009C72AA" w:rsidRPr="00B84B0C" w14:paraId="2F1BF054" w14:textId="77777777" w:rsidTr="009C72A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vAlign w:val="center"/>
          </w:tcPr>
          <w:p w14:paraId="58C1A3F8" w14:textId="77777777" w:rsidR="009C72AA" w:rsidRPr="00B84B0C" w:rsidRDefault="009C72AA" w:rsidP="009C72AA">
            <w:pPr>
              <w:pStyle w:val="070-TabelaPadro"/>
              <w:spacing w:line="276" w:lineRule="auto"/>
              <w:jc w:val="left"/>
              <w:rPr>
                <w:rFonts w:cs="Arial"/>
                <w:b w:val="0"/>
              </w:rPr>
            </w:pPr>
          </w:p>
        </w:tc>
        <w:tc>
          <w:tcPr>
            <w:tcW w:w="1239" w:type="dxa"/>
            <w:tcBorders>
              <w:top w:val="nil"/>
              <w:bottom w:val="nil"/>
            </w:tcBorders>
            <w:vAlign w:val="center"/>
          </w:tcPr>
          <w:p w14:paraId="17BC55E9"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58" w:type="dxa"/>
            <w:tcBorders>
              <w:top w:val="nil"/>
              <w:bottom w:val="nil"/>
            </w:tcBorders>
            <w:vAlign w:val="center"/>
          </w:tcPr>
          <w:p w14:paraId="2F3885F1"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40" w:type="dxa"/>
            <w:tcBorders>
              <w:top w:val="nil"/>
              <w:bottom w:val="nil"/>
            </w:tcBorders>
            <w:vAlign w:val="center"/>
          </w:tcPr>
          <w:p w14:paraId="26772E2B"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64" w:type="dxa"/>
            <w:tcBorders>
              <w:top w:val="nil"/>
              <w:bottom w:val="nil"/>
            </w:tcBorders>
            <w:vAlign w:val="center"/>
          </w:tcPr>
          <w:p w14:paraId="4532E344"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1037" w:type="dxa"/>
            <w:tcBorders>
              <w:top w:val="nil"/>
              <w:bottom w:val="nil"/>
            </w:tcBorders>
            <w:vAlign w:val="center"/>
          </w:tcPr>
          <w:p w14:paraId="4C4571A8"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p>
        </w:tc>
        <w:tc>
          <w:tcPr>
            <w:tcW w:w="881" w:type="dxa"/>
            <w:tcBorders>
              <w:top w:val="nil"/>
              <w:bottom w:val="nil"/>
            </w:tcBorders>
            <w:vAlign w:val="center"/>
          </w:tcPr>
          <w:p w14:paraId="1F261E96"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5,665</w:t>
            </w:r>
          </w:p>
        </w:tc>
        <w:tc>
          <w:tcPr>
            <w:tcW w:w="1226" w:type="dxa"/>
            <w:tcBorders>
              <w:top w:val="nil"/>
              <w:bottom w:val="nil"/>
            </w:tcBorders>
          </w:tcPr>
          <w:p w14:paraId="14703131" w14:textId="77777777" w:rsidR="009C72AA" w:rsidRPr="00B84B0C" w:rsidRDefault="009C72AA" w:rsidP="009C72AA">
            <w:pPr>
              <w:pStyle w:val="08-Tabelageral"/>
              <w:ind w:left="113"/>
              <w:cnfStyle w:val="000000010000" w:firstRow="0" w:lastRow="0" w:firstColumn="0" w:lastColumn="0" w:oddVBand="0" w:evenVBand="0" w:oddHBand="0" w:evenHBand="1" w:firstRowFirstColumn="0" w:firstRowLastColumn="0" w:lastRowFirstColumn="0" w:lastRowLastColumn="0"/>
              <w:rPr>
                <w:rFonts w:cs="Arial"/>
              </w:rPr>
            </w:pPr>
            <w:proofErr w:type="spellStart"/>
            <w:r w:rsidRPr="00B84B0C">
              <w:rPr>
                <w:rFonts w:cs="Arial"/>
              </w:rPr>
              <w:t>March</w:t>
            </w:r>
            <w:proofErr w:type="spellEnd"/>
            <w:r w:rsidRPr="00B84B0C">
              <w:rPr>
                <w:rFonts w:cs="Arial"/>
              </w:rPr>
              <w:t xml:space="preserve"> 2024</w:t>
            </w:r>
          </w:p>
        </w:tc>
      </w:tr>
      <w:tr w:rsidR="009C72AA" w:rsidRPr="00B84B0C" w14:paraId="0055CC3C"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single" w:sz="2" w:space="0" w:color="8EAADB" w:themeColor="accent5" w:themeTint="99"/>
            </w:tcBorders>
            <w:vAlign w:val="center"/>
          </w:tcPr>
          <w:p w14:paraId="5DDFA3F3" w14:textId="77777777" w:rsidR="009C72AA" w:rsidRPr="00B84B0C" w:rsidRDefault="009C72AA" w:rsidP="009C72AA">
            <w:pPr>
              <w:pStyle w:val="070-TabelaPadro"/>
              <w:spacing w:line="276" w:lineRule="auto"/>
              <w:jc w:val="left"/>
              <w:rPr>
                <w:rFonts w:cs="Arial"/>
                <w:b w:val="0"/>
              </w:rPr>
            </w:pPr>
            <w:r w:rsidRPr="00B84B0C">
              <w:rPr>
                <w:rFonts w:cs="Arial"/>
                <w:lang w:val="en-US"/>
              </w:rPr>
              <w:t>Total shares to be distributed</w:t>
            </w:r>
          </w:p>
        </w:tc>
        <w:tc>
          <w:tcPr>
            <w:tcW w:w="1239" w:type="dxa"/>
            <w:tcBorders>
              <w:top w:val="nil"/>
              <w:bottom w:val="single" w:sz="2" w:space="0" w:color="8EAADB" w:themeColor="accent5" w:themeTint="99"/>
            </w:tcBorders>
            <w:vAlign w:val="center"/>
          </w:tcPr>
          <w:p w14:paraId="67A18E8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858" w:type="dxa"/>
            <w:tcBorders>
              <w:top w:val="nil"/>
              <w:bottom w:val="single" w:sz="2" w:space="0" w:color="8EAADB" w:themeColor="accent5" w:themeTint="99"/>
            </w:tcBorders>
            <w:vAlign w:val="center"/>
          </w:tcPr>
          <w:p w14:paraId="3BE57E13"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40" w:type="dxa"/>
            <w:tcBorders>
              <w:top w:val="nil"/>
              <w:bottom w:val="single" w:sz="2" w:space="0" w:color="8EAADB" w:themeColor="accent5" w:themeTint="99"/>
            </w:tcBorders>
            <w:vAlign w:val="center"/>
          </w:tcPr>
          <w:p w14:paraId="6E227F1C"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64" w:type="dxa"/>
            <w:tcBorders>
              <w:top w:val="nil"/>
              <w:bottom w:val="single" w:sz="2" w:space="0" w:color="8EAADB" w:themeColor="accent5" w:themeTint="99"/>
            </w:tcBorders>
            <w:vAlign w:val="center"/>
          </w:tcPr>
          <w:p w14:paraId="3C7337B4"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37" w:type="dxa"/>
            <w:tcBorders>
              <w:top w:val="nil"/>
              <w:bottom w:val="single" w:sz="2" w:space="0" w:color="8EAADB" w:themeColor="accent5" w:themeTint="99"/>
            </w:tcBorders>
            <w:vAlign w:val="center"/>
          </w:tcPr>
          <w:p w14:paraId="2B2CC8D6"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881" w:type="dxa"/>
            <w:tcBorders>
              <w:top w:val="nil"/>
              <w:bottom w:val="single" w:sz="2" w:space="0" w:color="8EAADB" w:themeColor="accent5" w:themeTint="99"/>
            </w:tcBorders>
            <w:vAlign w:val="center"/>
          </w:tcPr>
          <w:p w14:paraId="7021886A"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22,660</w:t>
            </w:r>
          </w:p>
        </w:tc>
        <w:tc>
          <w:tcPr>
            <w:tcW w:w="1226" w:type="dxa"/>
            <w:tcBorders>
              <w:top w:val="nil"/>
              <w:bottom w:val="single" w:sz="2" w:space="0" w:color="8EAADB" w:themeColor="accent5" w:themeTint="99"/>
            </w:tcBorders>
          </w:tcPr>
          <w:p w14:paraId="517B4012"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p>
        </w:tc>
      </w:tr>
    </w:tbl>
    <w:p w14:paraId="7688B72A" w14:textId="77777777" w:rsidR="009C72AA" w:rsidRPr="00B84B0C" w:rsidRDefault="009C72AA" w:rsidP="009C72AA">
      <w:pPr>
        <w:pStyle w:val="01-TtulodeNota"/>
        <w:rPr>
          <w:rFonts w:cs="Arial"/>
          <w:color w:val="1F4E79" w:themeColor="accent1" w:themeShade="80"/>
        </w:rPr>
      </w:pPr>
      <w:r w:rsidRPr="00B84B0C">
        <w:rPr>
          <w:rFonts w:cs="Arial"/>
          <w:color w:val="1F4E79" w:themeColor="accent1" w:themeShade="80"/>
        </w:rPr>
        <w:t>g.2) Programa de Recompra</w:t>
      </w:r>
    </w:p>
    <w:p w14:paraId="75E7CE40" w14:textId="77777777" w:rsidR="009C72AA" w:rsidRPr="00B84B0C" w:rsidRDefault="009C72AA" w:rsidP="009C72AA">
      <w:pPr>
        <w:pStyle w:val="05-Textonormal"/>
        <w:rPr>
          <w:rFonts w:cs="Arial"/>
          <w:lang w:val="en-US"/>
        </w:rPr>
      </w:pPr>
      <w:r w:rsidRPr="00B84B0C">
        <w:rPr>
          <w:rFonts w:cs="Arial"/>
          <w:lang w:val="en-US"/>
        </w:rPr>
        <w:t>On October 15, 2015, the Board of Directors approved the Repurchase Program of up to 10,000,000 shares the company itself issued for staying in treasury and subsequent disposal of or cancellation. The period of valid for up to 365 days from that date in accordance with the limit set forth by CVM Instruction 567. This program was in effect until October 14, 2016, and 3,360,000 shares were acquired, amounting to R$ 82,201 thousand, minimum, average and maximum cost per share are respectively R$ 21.09, R$ 24.46 e R$ 27.76.</w:t>
      </w:r>
    </w:p>
    <w:p w14:paraId="58E06F8D" w14:textId="77777777" w:rsidR="009C72AA" w:rsidRPr="00B84B0C" w:rsidRDefault="009C72AA" w:rsidP="009C72AA">
      <w:pPr>
        <w:pStyle w:val="05-Textonormal"/>
        <w:rPr>
          <w:rFonts w:cs="Arial"/>
          <w:lang w:val="en-US"/>
        </w:rPr>
      </w:pPr>
      <w:r w:rsidRPr="00B84B0C">
        <w:rPr>
          <w:rFonts w:cs="Arial"/>
          <w:lang w:val="en-US"/>
        </w:rPr>
        <w:t xml:space="preserve">On October 27, 2016, the Board of Directors approved the second Repurchase Program of up to 10,000,000 shares the company itself issued for staying in treasury and subsequent disposal of or cancellation. The period of valid for up to 365 days from that date of approval. This program was concluded on October 26, </w:t>
      </w:r>
      <w:proofErr w:type="gramStart"/>
      <w:r w:rsidRPr="00B84B0C">
        <w:rPr>
          <w:rFonts w:cs="Arial"/>
          <w:lang w:val="en-US"/>
        </w:rPr>
        <w:t>2017</w:t>
      </w:r>
      <w:proofErr w:type="gramEnd"/>
      <w:r w:rsidRPr="00B84B0C">
        <w:rPr>
          <w:rFonts w:cs="Arial"/>
          <w:lang w:val="en-US"/>
        </w:rPr>
        <w:t xml:space="preserve"> and there was no acquisition of shares by said Program.</w:t>
      </w:r>
    </w:p>
    <w:p w14:paraId="0C970125" w14:textId="77777777" w:rsidR="00E72E05" w:rsidRDefault="009C72AA" w:rsidP="00E72E05">
      <w:pPr>
        <w:pStyle w:val="05-Textonormal"/>
        <w:rPr>
          <w:rFonts w:cs="Arial"/>
          <w:lang w:val="en-US"/>
        </w:rPr>
      </w:pPr>
      <w:r w:rsidRPr="00B84B0C">
        <w:rPr>
          <w:rFonts w:cs="Arial"/>
          <w:lang w:val="en-US"/>
        </w:rPr>
        <w:t xml:space="preserve">On October 26, 2017, the Board of Directors approved the third Repurchase Program of up to 10,000,000 shares the company itself issued for staying in treasury and subsequent disposal of or cancellation. The period of valid for up to 365 days from that date of approval. This program was concluded on October 25, </w:t>
      </w:r>
      <w:proofErr w:type="gramStart"/>
      <w:r w:rsidRPr="00B84B0C">
        <w:rPr>
          <w:rFonts w:cs="Arial"/>
          <w:lang w:val="en-US"/>
        </w:rPr>
        <w:t>2018</w:t>
      </w:r>
      <w:proofErr w:type="gramEnd"/>
      <w:r w:rsidRPr="00B84B0C">
        <w:rPr>
          <w:rFonts w:cs="Arial"/>
          <w:lang w:val="en-US"/>
        </w:rPr>
        <w:t xml:space="preserve"> and there was no acquisition of shares by said Program.</w:t>
      </w:r>
    </w:p>
    <w:p w14:paraId="4C1B95C3" w14:textId="633F406A" w:rsidR="009C72AA" w:rsidRPr="00B84B0C" w:rsidRDefault="009C72AA" w:rsidP="00E72E05">
      <w:pPr>
        <w:pStyle w:val="05-Textonormal"/>
        <w:rPr>
          <w:rFonts w:cs="Arial"/>
          <w:lang w:val="en-US"/>
        </w:rPr>
      </w:pPr>
      <w:r w:rsidRPr="00B84B0C">
        <w:rPr>
          <w:rFonts w:cs="Arial"/>
          <w:lang w:val="en-US"/>
        </w:rPr>
        <w:t>On November 1, 2018, the Board of Directors approved the fourth Buyback Program of up to 10,000,000 shares issued by the company to be held in treasury and subsequently sold or canceled. The term of validity is up to 365 days from the date of approval, and there was no acquisition of shares on behalf of the fourth Program until its closure on October 31, 2019. The Company, to date, has not approved a new Repurchase Program.</w:t>
      </w:r>
    </w:p>
    <w:p w14:paraId="594D2E6F" w14:textId="77777777" w:rsidR="009C72AA" w:rsidRPr="00B84B0C" w:rsidRDefault="009C72AA" w:rsidP="009C72AA">
      <w:pPr>
        <w:pStyle w:val="05-Textonormal"/>
        <w:rPr>
          <w:rFonts w:cs="Arial"/>
          <w:lang w:val="en-US"/>
        </w:rPr>
      </w:pPr>
      <w:r w:rsidRPr="00B84B0C">
        <w:rPr>
          <w:rFonts w:cs="Arial"/>
          <w:lang w:val="en-US"/>
        </w:rPr>
        <w:t xml:space="preserve">On December 21, 2018, 450 treasury shares from the 2015 Repurchase Program, were distributed to all active employees of BB </w:t>
      </w:r>
      <w:proofErr w:type="spellStart"/>
      <w:r w:rsidRPr="00B84B0C">
        <w:rPr>
          <w:rFonts w:cs="Arial"/>
          <w:lang w:val="en-US"/>
        </w:rPr>
        <w:t>Seguridade</w:t>
      </w:r>
      <w:proofErr w:type="spellEnd"/>
      <w:r w:rsidRPr="00B84B0C">
        <w:rPr>
          <w:rFonts w:cs="Arial"/>
          <w:lang w:val="en-US"/>
        </w:rPr>
        <w:t xml:space="preserve"> (disregarding statutory), the awarding title, regardless of the hierarchical level, being that each employee received three common </w:t>
      </w:r>
      <w:proofErr w:type="spellStart"/>
      <w:r w:rsidRPr="00B84B0C">
        <w:rPr>
          <w:rFonts w:cs="Arial"/>
          <w:lang w:val="en-US"/>
        </w:rPr>
        <w:t>shares.The</w:t>
      </w:r>
      <w:proofErr w:type="spellEnd"/>
      <w:r w:rsidRPr="00B84B0C">
        <w:rPr>
          <w:rFonts w:cs="Arial"/>
          <w:lang w:val="en-US"/>
        </w:rPr>
        <w:t xml:space="preserve"> securities are held in the Banco do </w:t>
      </w:r>
      <w:proofErr w:type="spellStart"/>
      <w:r w:rsidRPr="00B84B0C">
        <w:rPr>
          <w:rFonts w:cs="Arial"/>
          <w:lang w:val="en-US"/>
        </w:rPr>
        <w:t>Brasil</w:t>
      </w:r>
      <w:proofErr w:type="spellEnd"/>
      <w:r w:rsidRPr="00B84B0C">
        <w:rPr>
          <w:rFonts w:cs="Arial"/>
          <w:lang w:val="en-US"/>
        </w:rPr>
        <w:t xml:space="preserve"> and may only be marketed by the employee after the termination of the relationship maintained with BB </w:t>
      </w:r>
      <w:proofErr w:type="spellStart"/>
      <w:r w:rsidRPr="00B84B0C">
        <w:rPr>
          <w:rFonts w:cs="Arial"/>
          <w:lang w:val="en-US"/>
        </w:rPr>
        <w:t>Seguridade</w:t>
      </w:r>
      <w:proofErr w:type="spellEnd"/>
      <w:r w:rsidRPr="00B84B0C">
        <w:rPr>
          <w:rFonts w:cs="Arial"/>
          <w:lang w:val="en-US"/>
        </w:rPr>
        <w:t xml:space="preserve"> (end of the assignment resulting from the Availability Agreement signed between Banco do </w:t>
      </w:r>
      <w:proofErr w:type="spellStart"/>
      <w:r w:rsidRPr="00B84B0C">
        <w:rPr>
          <w:rFonts w:cs="Arial"/>
          <w:lang w:val="en-US"/>
        </w:rPr>
        <w:t>Brasil</w:t>
      </w:r>
      <w:proofErr w:type="spellEnd"/>
      <w:r w:rsidRPr="00B84B0C">
        <w:rPr>
          <w:rFonts w:cs="Arial"/>
          <w:lang w:val="en-US"/>
        </w:rPr>
        <w:t xml:space="preserve"> and BB </w:t>
      </w:r>
      <w:proofErr w:type="spellStart"/>
      <w:r w:rsidRPr="00B84B0C">
        <w:rPr>
          <w:rFonts w:cs="Arial"/>
          <w:lang w:val="en-US"/>
        </w:rPr>
        <w:t>Seguridade</w:t>
      </w:r>
      <w:proofErr w:type="spellEnd"/>
      <w:r w:rsidRPr="00B84B0C">
        <w:rPr>
          <w:rFonts w:cs="Arial"/>
          <w:lang w:val="en-US"/>
        </w:rPr>
        <w:t>).The transferred shares totaled R$ 12 thousand. For the attribution of its price, it was adopted the criterion of the average price of the week prior to the payment.</w:t>
      </w:r>
    </w:p>
    <w:p w14:paraId="00FB34F1" w14:textId="77777777" w:rsidR="009C72AA" w:rsidRPr="00B84B0C" w:rsidRDefault="009C72AA" w:rsidP="009C72AA">
      <w:pPr>
        <w:pStyle w:val="05-Textonormal"/>
        <w:rPr>
          <w:rFonts w:cs="Arial"/>
          <w:lang w:val="en-US"/>
        </w:rPr>
      </w:pPr>
      <w:r w:rsidRPr="00B84B0C">
        <w:rPr>
          <w:rFonts w:cs="Arial"/>
          <w:lang w:val="en-US"/>
        </w:rPr>
        <w:t xml:space="preserve">On October 30, 2019, the General Shareholders' Meeting authorized the trading of shares issued by BB </w:t>
      </w:r>
      <w:proofErr w:type="spellStart"/>
      <w:r w:rsidRPr="00B84B0C">
        <w:rPr>
          <w:rFonts w:cs="Arial"/>
          <w:lang w:val="en-US"/>
        </w:rPr>
        <w:t>Seguridade</w:t>
      </w:r>
      <w:proofErr w:type="spellEnd"/>
      <w:r w:rsidRPr="00B84B0C">
        <w:rPr>
          <w:rFonts w:cs="Arial"/>
          <w:lang w:val="en-US"/>
        </w:rPr>
        <w:t xml:space="preserve"> held in treasury, specifically for the award of employees and the variable remuneration of the Company's officers, up to the limit of 3,359,550 shares, and authorized the Board of Directors to define and implement the best way and the moment to carry out the referred negotiation. Accordingly, in March, 28,333 shares were transferred from the Share Buyback Program to the Variable Remuneration Program for the 2019 financial year.</w:t>
      </w:r>
    </w:p>
    <w:p w14:paraId="402AA225" w14:textId="77777777" w:rsidR="009C72AA" w:rsidRPr="00B84B0C" w:rsidRDefault="009C72AA" w:rsidP="00E72E05">
      <w:pPr>
        <w:pStyle w:val="01-TtulodeNota"/>
        <w:keepNext/>
        <w:keepLines/>
        <w:pageBreakBefore/>
        <w:rPr>
          <w:rFonts w:cs="Arial"/>
          <w:color w:val="1F4E79" w:themeColor="accent1" w:themeShade="80"/>
        </w:rPr>
      </w:pPr>
      <w:r w:rsidRPr="00B84B0C">
        <w:rPr>
          <w:rFonts w:cs="Arial"/>
          <w:color w:val="1F4E79" w:themeColor="accent1" w:themeShade="80"/>
        </w:rPr>
        <w:lastRenderedPageBreak/>
        <w:t xml:space="preserve">g.3) </w:t>
      </w:r>
      <w:proofErr w:type="spellStart"/>
      <w:r w:rsidRPr="00B84B0C">
        <w:rPr>
          <w:rFonts w:cs="Arial"/>
          <w:color w:val="1F4E79" w:themeColor="accent1" w:themeShade="80"/>
        </w:rPr>
        <w:t>Number</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of</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Treasury</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Shares</w:t>
      </w:r>
      <w:proofErr w:type="spellEnd"/>
      <w:r w:rsidRPr="00B84B0C">
        <w:rPr>
          <w:rFonts w:cs="Arial"/>
          <w:color w:val="1F4E79" w:themeColor="accent1" w:themeShade="80"/>
        </w:rPr>
        <w:t xml:space="preserve"> </w:t>
      </w:r>
    </w:p>
    <w:p w14:paraId="3E9B3FCE" w14:textId="77777777" w:rsidR="009C72AA" w:rsidRPr="00B84B0C" w:rsidRDefault="009C72AA" w:rsidP="009C72AA">
      <w:pPr>
        <w:spacing w:after="0"/>
        <w:jc w:val="right"/>
        <w:rPr>
          <w:rFonts w:cs="Arial"/>
          <w:b/>
          <w:sz w:val="14"/>
          <w:lang w:eastAsia="pt-BR"/>
        </w:rPr>
      </w:pPr>
    </w:p>
    <w:tbl>
      <w:tblPr>
        <w:tblStyle w:val="TabeladeLista6Colorida-nfase53"/>
        <w:tblW w:w="9639" w:type="dxa"/>
        <w:tblInd w:w="108" w:type="dxa"/>
        <w:tblLook w:val="04A0" w:firstRow="1" w:lastRow="0" w:firstColumn="1" w:lastColumn="0" w:noHBand="0" w:noVBand="1"/>
      </w:tblPr>
      <w:tblGrid>
        <w:gridCol w:w="6980"/>
        <w:gridCol w:w="1276"/>
        <w:gridCol w:w="1383"/>
      </w:tblGrid>
      <w:tr w:rsidR="009C72AA" w:rsidRPr="00B84B0C" w14:paraId="602932B2" w14:textId="77777777" w:rsidTr="009C72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6980" w:type="dxa"/>
            <w:vMerge w:val="restart"/>
            <w:tcBorders>
              <w:top w:val="single" w:sz="2" w:space="0" w:color="8EAADB" w:themeColor="accent5" w:themeTint="99"/>
            </w:tcBorders>
            <w:shd w:val="clear" w:color="auto" w:fill="D9E2F3" w:themeFill="accent5" w:themeFillTint="33"/>
            <w:vAlign w:val="center"/>
          </w:tcPr>
          <w:p w14:paraId="64EBA963" w14:textId="77777777" w:rsidR="009C72AA" w:rsidRPr="00B84B0C" w:rsidRDefault="009C72AA" w:rsidP="009C72AA">
            <w:pPr>
              <w:rPr>
                <w:rFonts w:cs="Arial"/>
                <w:b w:val="0"/>
                <w:sz w:val="14"/>
                <w:szCs w:val="14"/>
              </w:rPr>
            </w:pPr>
            <w:r w:rsidRPr="00B84B0C">
              <w:rPr>
                <w:rFonts w:cs="Arial"/>
                <w:kern w:val="2"/>
                <w:sz w:val="14"/>
                <w:szCs w:val="14"/>
              </w:rPr>
              <w:t>Descrição</w:t>
            </w:r>
          </w:p>
        </w:tc>
        <w:tc>
          <w:tcPr>
            <w:tcW w:w="2659"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FCE15DA" w14:textId="77777777" w:rsidR="009C72AA" w:rsidRPr="00B84B0C" w:rsidRDefault="009C72AA" w:rsidP="009C72AA">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B84B0C">
              <w:rPr>
                <w:rFonts w:cs="Arial"/>
                <w:sz w:val="14"/>
                <w:szCs w:val="18"/>
              </w:rPr>
              <w:t>Controlador e Consolidado</w:t>
            </w:r>
          </w:p>
        </w:tc>
      </w:tr>
      <w:tr w:rsidR="009C72AA" w:rsidRPr="00B84B0C" w14:paraId="2E082868"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80" w:type="dxa"/>
            <w:vMerge/>
            <w:tcBorders>
              <w:bottom w:val="single" w:sz="2" w:space="0" w:color="8EAADB" w:themeColor="accent5" w:themeTint="99"/>
            </w:tcBorders>
          </w:tcPr>
          <w:p w14:paraId="278AC316" w14:textId="77777777" w:rsidR="009C72AA" w:rsidRPr="00B84B0C" w:rsidRDefault="009C72AA" w:rsidP="009C72AA">
            <w:pPr>
              <w:pStyle w:val="08-Tabelageral"/>
              <w:rPr>
                <w:rFonts w:cs="Arial"/>
                <w:b w:val="0"/>
              </w:rPr>
            </w:pPr>
          </w:p>
        </w:tc>
        <w:tc>
          <w:tcPr>
            <w:tcW w:w="1276" w:type="dxa"/>
            <w:tcBorders>
              <w:top w:val="single" w:sz="2" w:space="0" w:color="8EAADB" w:themeColor="accent5" w:themeTint="99"/>
              <w:bottom w:val="single" w:sz="2" w:space="0" w:color="8EAADB" w:themeColor="accent5" w:themeTint="99"/>
            </w:tcBorders>
            <w:vAlign w:val="center"/>
          </w:tcPr>
          <w:p w14:paraId="116AF67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Mar 31, 2020</w:t>
            </w:r>
          </w:p>
        </w:tc>
        <w:tc>
          <w:tcPr>
            <w:tcW w:w="1383" w:type="dxa"/>
            <w:tcBorders>
              <w:top w:val="single" w:sz="2" w:space="0" w:color="8EAADB" w:themeColor="accent5" w:themeTint="99"/>
              <w:bottom w:val="single" w:sz="2" w:space="0" w:color="8EAADB" w:themeColor="accent5" w:themeTint="99"/>
            </w:tcBorders>
            <w:vAlign w:val="center"/>
          </w:tcPr>
          <w:p w14:paraId="4F7DF40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B84B0C">
              <w:rPr>
                <w:rFonts w:cs="Arial"/>
                <w:b/>
                <w:bCs/>
                <w:szCs w:val="14"/>
                <w:lang w:val="en-US"/>
              </w:rPr>
              <w:t>Dec 31, 2019</w:t>
            </w:r>
          </w:p>
        </w:tc>
      </w:tr>
      <w:tr w:rsidR="009C72AA" w:rsidRPr="00B84B0C" w14:paraId="0577FBEC"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6980" w:type="dxa"/>
            <w:tcBorders>
              <w:top w:val="nil"/>
              <w:bottom w:val="nil"/>
            </w:tcBorders>
          </w:tcPr>
          <w:p w14:paraId="0A02F287" w14:textId="77777777" w:rsidR="009C72AA" w:rsidRPr="00B84B0C" w:rsidRDefault="009C72AA" w:rsidP="009C72AA">
            <w:pPr>
              <w:pStyle w:val="08-Tabelageral"/>
              <w:jc w:val="left"/>
              <w:rPr>
                <w:rFonts w:cs="Arial"/>
                <w:b w:val="0"/>
                <w:bCs w:val="0"/>
                <w:color w:val="auto"/>
                <w:szCs w:val="14"/>
              </w:rPr>
            </w:pPr>
            <w:proofErr w:type="spellStart"/>
            <w:r w:rsidRPr="00B84B0C">
              <w:rPr>
                <w:rFonts w:cs="Arial"/>
                <w:b w:val="0"/>
                <w:bCs w:val="0"/>
                <w:color w:val="auto"/>
                <w:szCs w:val="14"/>
              </w:rPr>
              <w:t>Variable</w:t>
            </w:r>
            <w:proofErr w:type="spellEnd"/>
            <w:r w:rsidRPr="00B84B0C">
              <w:rPr>
                <w:rFonts w:cs="Arial"/>
                <w:b w:val="0"/>
                <w:bCs w:val="0"/>
                <w:color w:val="auto"/>
                <w:szCs w:val="14"/>
              </w:rPr>
              <w:t xml:space="preserve"> </w:t>
            </w:r>
            <w:proofErr w:type="spellStart"/>
            <w:r w:rsidRPr="00B84B0C">
              <w:rPr>
                <w:rFonts w:cs="Arial"/>
                <w:b w:val="0"/>
                <w:bCs w:val="0"/>
                <w:color w:val="auto"/>
                <w:szCs w:val="14"/>
              </w:rPr>
              <w:t>Wage</w:t>
            </w:r>
            <w:proofErr w:type="spellEnd"/>
            <w:r w:rsidRPr="00B84B0C">
              <w:rPr>
                <w:rFonts w:cs="Arial"/>
                <w:b w:val="0"/>
                <w:bCs w:val="0"/>
                <w:color w:val="auto"/>
                <w:szCs w:val="14"/>
              </w:rPr>
              <w:t xml:space="preserve"> </w:t>
            </w:r>
            <w:proofErr w:type="spellStart"/>
            <w:r w:rsidRPr="00B84B0C">
              <w:rPr>
                <w:rFonts w:cs="Arial"/>
                <w:b w:val="0"/>
                <w:bCs w:val="0"/>
                <w:color w:val="auto"/>
                <w:szCs w:val="14"/>
              </w:rPr>
              <w:t>Program</w:t>
            </w:r>
            <w:proofErr w:type="spellEnd"/>
          </w:p>
        </w:tc>
        <w:tc>
          <w:tcPr>
            <w:tcW w:w="1276" w:type="dxa"/>
            <w:tcBorders>
              <w:top w:val="nil"/>
              <w:bottom w:val="nil"/>
            </w:tcBorders>
          </w:tcPr>
          <w:p w14:paraId="2E1EE93B"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45,366</w:t>
            </w:r>
          </w:p>
        </w:tc>
        <w:tc>
          <w:tcPr>
            <w:tcW w:w="1383" w:type="dxa"/>
            <w:tcBorders>
              <w:top w:val="nil"/>
              <w:bottom w:val="nil"/>
            </w:tcBorders>
          </w:tcPr>
          <w:p w14:paraId="72E63B25"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84B0C">
              <w:rPr>
                <w:rFonts w:cs="Arial"/>
                <w:szCs w:val="14"/>
              </w:rPr>
              <w:t>39,283</w:t>
            </w:r>
          </w:p>
        </w:tc>
      </w:tr>
      <w:tr w:rsidR="009C72AA" w:rsidRPr="00B84B0C" w14:paraId="6CEE9FAD"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6980" w:type="dxa"/>
            <w:tcBorders>
              <w:top w:val="nil"/>
              <w:bottom w:val="nil"/>
            </w:tcBorders>
          </w:tcPr>
          <w:p w14:paraId="67083B6A" w14:textId="77777777" w:rsidR="009C72AA" w:rsidRPr="00B84B0C" w:rsidRDefault="009C72AA" w:rsidP="009C72AA">
            <w:pPr>
              <w:pStyle w:val="08-Tabelageral"/>
              <w:jc w:val="left"/>
              <w:rPr>
                <w:rFonts w:cs="Arial"/>
                <w:b w:val="0"/>
                <w:bCs w:val="0"/>
                <w:color w:val="auto"/>
                <w:szCs w:val="14"/>
              </w:rPr>
            </w:pPr>
            <w:proofErr w:type="spellStart"/>
            <w:r w:rsidRPr="00B84B0C">
              <w:rPr>
                <w:rFonts w:cs="Arial"/>
                <w:b w:val="0"/>
                <w:bCs w:val="0"/>
                <w:color w:val="auto"/>
                <w:szCs w:val="14"/>
              </w:rPr>
              <w:t>Repurcharse</w:t>
            </w:r>
            <w:proofErr w:type="spellEnd"/>
            <w:r w:rsidRPr="00B84B0C">
              <w:rPr>
                <w:rFonts w:cs="Arial"/>
                <w:b w:val="0"/>
                <w:bCs w:val="0"/>
                <w:color w:val="auto"/>
                <w:szCs w:val="14"/>
              </w:rPr>
              <w:t xml:space="preserve"> </w:t>
            </w:r>
            <w:proofErr w:type="spellStart"/>
            <w:r w:rsidRPr="00B84B0C">
              <w:rPr>
                <w:rFonts w:cs="Arial"/>
                <w:b w:val="0"/>
                <w:bCs w:val="0"/>
                <w:color w:val="auto"/>
                <w:szCs w:val="14"/>
              </w:rPr>
              <w:t>Program</w:t>
            </w:r>
            <w:proofErr w:type="spellEnd"/>
          </w:p>
        </w:tc>
        <w:tc>
          <w:tcPr>
            <w:tcW w:w="1276" w:type="dxa"/>
            <w:tcBorders>
              <w:top w:val="nil"/>
              <w:bottom w:val="nil"/>
            </w:tcBorders>
          </w:tcPr>
          <w:p w14:paraId="41DC3191"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3,331,217</w:t>
            </w:r>
          </w:p>
        </w:tc>
        <w:tc>
          <w:tcPr>
            <w:tcW w:w="1383" w:type="dxa"/>
            <w:tcBorders>
              <w:top w:val="nil"/>
              <w:bottom w:val="nil"/>
            </w:tcBorders>
          </w:tcPr>
          <w:p w14:paraId="37665C45"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3,359,550</w:t>
            </w:r>
          </w:p>
        </w:tc>
      </w:tr>
      <w:tr w:rsidR="009C72AA" w:rsidRPr="00B84B0C" w14:paraId="44C94AA6"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6980" w:type="dxa"/>
            <w:tcBorders>
              <w:top w:val="nil"/>
              <w:bottom w:val="single" w:sz="2" w:space="0" w:color="8EAADB" w:themeColor="accent5" w:themeTint="99"/>
            </w:tcBorders>
          </w:tcPr>
          <w:p w14:paraId="19709D2C" w14:textId="77777777" w:rsidR="009C72AA" w:rsidRPr="00B84B0C" w:rsidRDefault="009C72AA" w:rsidP="009C72AA">
            <w:pPr>
              <w:pStyle w:val="08-Tabelageral"/>
              <w:jc w:val="left"/>
              <w:rPr>
                <w:rFonts w:cs="Arial"/>
                <w:b w:val="0"/>
                <w:bCs w:val="0"/>
                <w:color w:val="auto"/>
                <w:szCs w:val="14"/>
              </w:rPr>
            </w:pPr>
            <w:r w:rsidRPr="00B84B0C">
              <w:rPr>
                <w:rFonts w:cs="Arial"/>
                <w:b w:val="0"/>
                <w:bCs w:val="0"/>
                <w:color w:val="auto"/>
                <w:szCs w:val="14"/>
              </w:rPr>
              <w:t>Total</w:t>
            </w:r>
          </w:p>
        </w:tc>
        <w:tc>
          <w:tcPr>
            <w:tcW w:w="1276" w:type="dxa"/>
            <w:tcBorders>
              <w:top w:val="nil"/>
              <w:bottom w:val="single" w:sz="2" w:space="0" w:color="8EAADB" w:themeColor="accent5" w:themeTint="99"/>
            </w:tcBorders>
          </w:tcPr>
          <w:p w14:paraId="104A5510"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3,376,583</w:t>
            </w:r>
          </w:p>
        </w:tc>
        <w:tc>
          <w:tcPr>
            <w:tcW w:w="1383" w:type="dxa"/>
            <w:tcBorders>
              <w:top w:val="nil"/>
              <w:bottom w:val="single" w:sz="2" w:space="0" w:color="8EAADB" w:themeColor="accent5" w:themeTint="99"/>
            </w:tcBorders>
          </w:tcPr>
          <w:p w14:paraId="0EAE0382" w14:textId="77777777" w:rsidR="009C72AA" w:rsidRPr="00B84B0C" w:rsidRDefault="009C72AA" w:rsidP="009C72AA">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B84B0C">
              <w:rPr>
                <w:rFonts w:cs="Arial"/>
                <w:b/>
                <w:szCs w:val="14"/>
              </w:rPr>
              <w:t>3,398,833</w:t>
            </w:r>
          </w:p>
        </w:tc>
      </w:tr>
    </w:tbl>
    <w:p w14:paraId="79419386" w14:textId="77777777" w:rsidR="009C72AA" w:rsidRPr="00B84B0C" w:rsidRDefault="009C72AA" w:rsidP="009C72AA">
      <w:pPr>
        <w:pStyle w:val="04-TtuloNegrito"/>
        <w:keepNext/>
        <w:rPr>
          <w:rFonts w:cs="Arial"/>
          <w:b w:val="0"/>
          <w:sz w:val="18"/>
          <w:szCs w:val="18"/>
          <w:lang w:val="en-US"/>
        </w:rPr>
      </w:pPr>
      <w:r w:rsidRPr="00B84B0C">
        <w:rPr>
          <w:rFonts w:cs="Arial"/>
          <w:b w:val="0"/>
          <w:sz w:val="18"/>
          <w:szCs w:val="18"/>
          <w:lang w:val="en-US"/>
        </w:rPr>
        <w:t>The cost value of treasury shares is R$ 82,886 thousand and the exchange price on 03.31.2020 is R$ 83,908 thousand.</w:t>
      </w:r>
    </w:p>
    <w:p w14:paraId="014B702B" w14:textId="6909209F" w:rsidR="00D01F17" w:rsidRPr="00B84B0C" w:rsidRDefault="00D01F17" w:rsidP="00D01F17">
      <w:pPr>
        <w:pStyle w:val="01-TtulodeNota"/>
        <w:rPr>
          <w:rFonts w:cs="Arial"/>
          <w:b w:val="0"/>
        </w:rPr>
      </w:pPr>
    </w:p>
    <w:p w14:paraId="2FF69DA6" w14:textId="43427ED9" w:rsidR="009C72AA" w:rsidRPr="00B84B0C" w:rsidRDefault="009C72AA" w:rsidP="009C72AA">
      <w:pPr>
        <w:pStyle w:val="02-TtulodeNota"/>
        <w:rPr>
          <w:rFonts w:cs="Arial"/>
        </w:rPr>
      </w:pPr>
      <w:bookmarkStart w:id="34" w:name="_Toc39131504"/>
      <w:r w:rsidRPr="00B84B0C">
        <w:rPr>
          <w:rFonts w:cs="Arial"/>
          <w:color w:val="1F4E79" w:themeColor="accent1" w:themeShade="80"/>
        </w:rPr>
        <w:t>20 – FINANCIAL RESULT</w:t>
      </w:r>
      <w:bookmarkEnd w:id="34"/>
    </w:p>
    <w:p w14:paraId="230AA493" w14:textId="77777777" w:rsidR="009C72AA" w:rsidRPr="00B84B0C" w:rsidRDefault="009C72AA" w:rsidP="009C72AA">
      <w:pPr>
        <w:spacing w:after="0"/>
        <w:jc w:val="right"/>
        <w:rPr>
          <w:rFonts w:cs="Arial"/>
          <w:b/>
          <w:sz w:val="14"/>
          <w:lang w:eastAsia="pt-BR"/>
        </w:rPr>
      </w:pPr>
      <w:r w:rsidRPr="00B84B0C">
        <w:rPr>
          <w:rFonts w:cs="Arial"/>
          <w:b/>
          <w:sz w:val="14"/>
          <w:lang w:eastAsia="pt-BR"/>
        </w:rPr>
        <w:t xml:space="preserve">R$ </w:t>
      </w:r>
      <w:proofErr w:type="spellStart"/>
      <w:r w:rsidRPr="00B84B0C">
        <w:rPr>
          <w:rFonts w:cs="Arial"/>
          <w:b/>
          <w:sz w:val="14"/>
          <w:lang w:eastAsia="pt-BR"/>
        </w:rPr>
        <w:t>thousand</w:t>
      </w:r>
      <w:proofErr w:type="spellEnd"/>
    </w:p>
    <w:tbl>
      <w:tblPr>
        <w:tblStyle w:val="TabeladeLista6Colorida-nfase53"/>
        <w:tblW w:w="9639" w:type="dxa"/>
        <w:tblInd w:w="108" w:type="dxa"/>
        <w:tblLook w:val="04A0" w:firstRow="1" w:lastRow="0" w:firstColumn="1" w:lastColumn="0" w:noHBand="0" w:noVBand="1"/>
      </w:tblPr>
      <w:tblGrid>
        <w:gridCol w:w="2986"/>
        <w:gridCol w:w="604"/>
        <w:gridCol w:w="1411"/>
        <w:gridCol w:w="1412"/>
        <w:gridCol w:w="283"/>
        <w:gridCol w:w="1417"/>
        <w:gridCol w:w="1526"/>
      </w:tblGrid>
      <w:tr w:rsidR="009C72AA" w:rsidRPr="00B84B0C" w14:paraId="0B94E7FE" w14:textId="77777777" w:rsidTr="009C72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shd w:val="clear" w:color="auto" w:fill="D9E2F3" w:themeFill="accent5" w:themeFillTint="33"/>
            <w:vAlign w:val="center"/>
          </w:tcPr>
          <w:p w14:paraId="6A5868E0" w14:textId="77777777" w:rsidR="009C72AA" w:rsidRPr="00B84B0C" w:rsidRDefault="009C72AA" w:rsidP="009C72AA">
            <w:pPr>
              <w:pStyle w:val="08-Tabelageral"/>
              <w:rPr>
                <w:rFonts w:cs="Arial"/>
              </w:rPr>
            </w:pPr>
          </w:p>
        </w:tc>
        <w:tc>
          <w:tcPr>
            <w:tcW w:w="604" w:type="dxa"/>
            <w:tcBorders>
              <w:top w:val="single" w:sz="2" w:space="0" w:color="8EAADB" w:themeColor="accent5" w:themeTint="99"/>
              <w:bottom w:val="nil"/>
            </w:tcBorders>
            <w:shd w:val="clear" w:color="auto" w:fill="D9E2F3" w:themeFill="accent5" w:themeFillTint="33"/>
          </w:tcPr>
          <w:p w14:paraId="5CBC5288" w14:textId="77777777" w:rsidR="009C72AA" w:rsidRPr="00B84B0C" w:rsidRDefault="009C72AA" w:rsidP="009C72AA">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282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3FB72098"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Parent</w:t>
            </w:r>
            <w:proofErr w:type="spellEnd"/>
          </w:p>
        </w:tc>
        <w:tc>
          <w:tcPr>
            <w:tcW w:w="283" w:type="dxa"/>
            <w:tcBorders>
              <w:top w:val="single" w:sz="2" w:space="0" w:color="8EAADB" w:themeColor="accent5" w:themeTint="99"/>
              <w:bottom w:val="nil"/>
            </w:tcBorders>
            <w:shd w:val="clear" w:color="auto" w:fill="D9E2F3" w:themeFill="accent5" w:themeFillTint="33"/>
          </w:tcPr>
          <w:p w14:paraId="6F6A445A" w14:textId="77777777" w:rsidR="009C72AA" w:rsidRPr="00B84B0C" w:rsidRDefault="009C72AA" w:rsidP="009C72AA">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2943" w:type="dxa"/>
            <w:gridSpan w:val="2"/>
            <w:tcBorders>
              <w:top w:val="single" w:sz="2" w:space="0" w:color="8EAADB" w:themeColor="accent5" w:themeTint="99"/>
              <w:bottom w:val="single" w:sz="2" w:space="0" w:color="8EAADB" w:themeColor="accent5" w:themeTint="99"/>
            </w:tcBorders>
            <w:shd w:val="clear" w:color="auto" w:fill="D9E2F3" w:themeFill="accent5" w:themeFillTint="33"/>
            <w:vAlign w:val="center"/>
          </w:tcPr>
          <w:p w14:paraId="5ACD286E"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Consolidated</w:t>
            </w:r>
            <w:proofErr w:type="spellEnd"/>
          </w:p>
        </w:tc>
      </w:tr>
      <w:tr w:rsidR="009C72AA" w:rsidRPr="00B84B0C" w14:paraId="326E4EDB"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tcPr>
          <w:p w14:paraId="6A94C18E" w14:textId="77777777" w:rsidR="009C72AA" w:rsidRPr="00B84B0C" w:rsidRDefault="009C72AA" w:rsidP="009C72AA">
            <w:pPr>
              <w:pStyle w:val="08-Tabelageral"/>
              <w:rPr>
                <w:rFonts w:cs="Arial"/>
              </w:rPr>
            </w:pPr>
          </w:p>
        </w:tc>
        <w:tc>
          <w:tcPr>
            <w:tcW w:w="604" w:type="dxa"/>
            <w:tcBorders>
              <w:top w:val="nil"/>
              <w:bottom w:val="single" w:sz="2" w:space="0" w:color="8EAADB" w:themeColor="accent5" w:themeTint="99"/>
            </w:tcBorders>
          </w:tcPr>
          <w:p w14:paraId="67D24CF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single" w:sz="2" w:space="0" w:color="8EAADB" w:themeColor="accent5" w:themeTint="99"/>
              <w:bottom w:val="single" w:sz="2" w:space="0" w:color="8EAADB" w:themeColor="accent5" w:themeTint="99"/>
            </w:tcBorders>
            <w:vAlign w:val="bottom"/>
          </w:tcPr>
          <w:p w14:paraId="09DF542F"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412" w:type="dxa"/>
            <w:tcBorders>
              <w:top w:val="single" w:sz="2" w:space="0" w:color="8EAADB" w:themeColor="accent5" w:themeTint="99"/>
              <w:bottom w:val="single" w:sz="2" w:space="0" w:color="8EAADB" w:themeColor="accent5" w:themeTint="99"/>
            </w:tcBorders>
            <w:vAlign w:val="bottom"/>
          </w:tcPr>
          <w:p w14:paraId="57AD483E"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c>
          <w:tcPr>
            <w:tcW w:w="283" w:type="dxa"/>
            <w:tcBorders>
              <w:top w:val="nil"/>
              <w:bottom w:val="single" w:sz="2" w:space="0" w:color="8EAADB" w:themeColor="accent5" w:themeTint="99"/>
            </w:tcBorders>
            <w:vAlign w:val="center"/>
          </w:tcPr>
          <w:p w14:paraId="2DB9631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themeColor="accent5" w:themeTint="99"/>
              <w:bottom w:val="single" w:sz="2" w:space="0" w:color="8EAADB" w:themeColor="accent5" w:themeTint="99"/>
            </w:tcBorders>
            <w:vAlign w:val="bottom"/>
          </w:tcPr>
          <w:p w14:paraId="3C1A5646"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2020</w:t>
            </w:r>
          </w:p>
        </w:tc>
        <w:tc>
          <w:tcPr>
            <w:tcW w:w="1526" w:type="dxa"/>
            <w:tcBorders>
              <w:top w:val="single" w:sz="2" w:space="0" w:color="8EAADB" w:themeColor="accent5" w:themeTint="99"/>
              <w:bottom w:val="single" w:sz="2" w:space="0" w:color="8EAADB" w:themeColor="accent5" w:themeTint="99"/>
            </w:tcBorders>
            <w:vAlign w:val="bottom"/>
          </w:tcPr>
          <w:p w14:paraId="596C7FC3" w14:textId="77777777" w:rsidR="009C72AA" w:rsidRPr="00B84B0C" w:rsidRDefault="009C72AA" w:rsidP="009C72AA">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 xml:space="preserve">1st </w:t>
            </w:r>
            <w:proofErr w:type="spellStart"/>
            <w:r w:rsidRPr="00B84B0C">
              <w:rPr>
                <w:rFonts w:cs="Arial"/>
                <w:b/>
              </w:rPr>
              <w:t>Quarter</w:t>
            </w:r>
            <w:proofErr w:type="spellEnd"/>
            <w:r w:rsidRPr="00B84B0C">
              <w:rPr>
                <w:rFonts w:cs="Arial"/>
                <w:b/>
              </w:rPr>
              <w:t xml:space="preserve"> 2019</w:t>
            </w:r>
          </w:p>
        </w:tc>
      </w:tr>
      <w:tr w:rsidR="009C72AA" w:rsidRPr="00B84B0C" w14:paraId="5810F2EC"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themeColor="accent5" w:themeTint="99"/>
              <w:bottom w:val="nil"/>
            </w:tcBorders>
            <w:vAlign w:val="center"/>
          </w:tcPr>
          <w:p w14:paraId="4CD3FA6E" w14:textId="77777777" w:rsidR="009C72AA" w:rsidRPr="00B84B0C" w:rsidRDefault="009C72AA" w:rsidP="009C72AA">
            <w:pPr>
              <w:pStyle w:val="08-Tabelageral"/>
              <w:jc w:val="left"/>
              <w:rPr>
                <w:rFonts w:cs="Arial"/>
              </w:rPr>
            </w:pPr>
            <w:r w:rsidRPr="00B84B0C">
              <w:rPr>
                <w:rFonts w:cs="Arial"/>
              </w:rPr>
              <w:t>Financial Income</w:t>
            </w:r>
          </w:p>
        </w:tc>
        <w:tc>
          <w:tcPr>
            <w:tcW w:w="604" w:type="dxa"/>
            <w:tcBorders>
              <w:top w:val="single" w:sz="2" w:space="0" w:color="8EAADB" w:themeColor="accent5" w:themeTint="99"/>
              <w:bottom w:val="nil"/>
            </w:tcBorders>
            <w:vAlign w:val="center"/>
          </w:tcPr>
          <w:p w14:paraId="7B3B23C0"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single" w:sz="2" w:space="0" w:color="8EAADB" w:themeColor="accent5" w:themeTint="99"/>
              <w:bottom w:val="nil"/>
            </w:tcBorders>
            <w:shd w:val="clear" w:color="auto" w:fill="auto"/>
            <w:vAlign w:val="center"/>
          </w:tcPr>
          <w:p w14:paraId="26D77C21"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49,575</w:t>
            </w:r>
          </w:p>
        </w:tc>
        <w:tc>
          <w:tcPr>
            <w:tcW w:w="1412" w:type="dxa"/>
            <w:tcBorders>
              <w:top w:val="single" w:sz="2" w:space="0" w:color="8EAADB" w:themeColor="accent5" w:themeTint="99"/>
              <w:bottom w:val="nil"/>
            </w:tcBorders>
            <w:shd w:val="clear" w:color="auto" w:fill="auto"/>
            <w:vAlign w:val="center"/>
          </w:tcPr>
          <w:p w14:paraId="33C1CFBC"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33,828</w:t>
            </w:r>
          </w:p>
        </w:tc>
        <w:tc>
          <w:tcPr>
            <w:tcW w:w="283" w:type="dxa"/>
            <w:tcBorders>
              <w:top w:val="single" w:sz="2" w:space="0" w:color="8EAADB" w:themeColor="accent5" w:themeTint="99"/>
              <w:bottom w:val="nil"/>
            </w:tcBorders>
            <w:vAlign w:val="center"/>
          </w:tcPr>
          <w:p w14:paraId="2D4B3FA8"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Borders>
              <w:top w:val="single" w:sz="2" w:space="0" w:color="8EAADB" w:themeColor="accent5" w:themeTint="99"/>
              <w:bottom w:val="nil"/>
            </w:tcBorders>
            <w:shd w:val="clear" w:color="auto" w:fill="auto"/>
            <w:vAlign w:val="center"/>
          </w:tcPr>
          <w:p w14:paraId="3AD5DA23"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73,223</w:t>
            </w:r>
          </w:p>
        </w:tc>
        <w:tc>
          <w:tcPr>
            <w:tcW w:w="1526" w:type="dxa"/>
            <w:tcBorders>
              <w:top w:val="single" w:sz="2" w:space="0" w:color="8EAADB" w:themeColor="accent5" w:themeTint="99"/>
              <w:bottom w:val="nil"/>
            </w:tcBorders>
            <w:shd w:val="clear" w:color="auto" w:fill="auto"/>
            <w:vAlign w:val="center"/>
          </w:tcPr>
          <w:p w14:paraId="391E3CD8"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64,547</w:t>
            </w:r>
          </w:p>
        </w:tc>
      </w:tr>
      <w:tr w:rsidR="009C72AA" w:rsidRPr="00B84B0C" w14:paraId="0534B4CC"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left w:val="nil"/>
              <w:bottom w:val="nil"/>
              <w:right w:val="nil"/>
            </w:tcBorders>
            <w:vAlign w:val="center"/>
          </w:tcPr>
          <w:p w14:paraId="1D443A61" w14:textId="77777777" w:rsidR="009C72AA" w:rsidRPr="00B84B0C" w:rsidRDefault="009C72AA" w:rsidP="009C72AA">
            <w:pPr>
              <w:pStyle w:val="08-Tabelageral"/>
              <w:tabs>
                <w:tab w:val="left" w:pos="275"/>
              </w:tabs>
              <w:jc w:val="left"/>
              <w:rPr>
                <w:rFonts w:cs="Arial"/>
                <w:b w:val="0"/>
              </w:rPr>
            </w:pPr>
            <w:r w:rsidRPr="00B84B0C">
              <w:rPr>
                <w:rFonts w:cs="Arial"/>
                <w:b w:val="0"/>
              </w:rPr>
              <w:t xml:space="preserve">  </w:t>
            </w:r>
            <w:proofErr w:type="spellStart"/>
            <w:r w:rsidRPr="00B84B0C">
              <w:rPr>
                <w:rFonts w:cs="Arial"/>
                <w:b w:val="0"/>
              </w:rPr>
              <w:t>Yield</w:t>
            </w:r>
            <w:proofErr w:type="spellEnd"/>
            <w:r w:rsidRPr="00B84B0C">
              <w:rPr>
                <w:rFonts w:cs="Arial"/>
                <w:b w:val="0"/>
              </w:rPr>
              <w:t xml:space="preserve"> </w:t>
            </w:r>
            <w:proofErr w:type="spellStart"/>
            <w:r w:rsidRPr="00B84B0C">
              <w:rPr>
                <w:rFonts w:cs="Arial"/>
                <w:b w:val="0"/>
              </w:rPr>
              <w:t>from</w:t>
            </w:r>
            <w:proofErr w:type="spellEnd"/>
            <w:r w:rsidRPr="00B84B0C">
              <w:rPr>
                <w:rFonts w:cs="Arial"/>
                <w:b w:val="0"/>
              </w:rPr>
              <w:t xml:space="preserve"> financial </w:t>
            </w:r>
            <w:proofErr w:type="spellStart"/>
            <w:r w:rsidRPr="00B84B0C">
              <w:rPr>
                <w:rFonts w:cs="Arial"/>
                <w:b w:val="0"/>
              </w:rPr>
              <w:t>investments</w:t>
            </w:r>
            <w:proofErr w:type="spellEnd"/>
          </w:p>
        </w:tc>
        <w:tc>
          <w:tcPr>
            <w:tcW w:w="604" w:type="dxa"/>
            <w:tcBorders>
              <w:top w:val="nil"/>
              <w:bottom w:val="nil"/>
            </w:tcBorders>
            <w:vAlign w:val="center"/>
          </w:tcPr>
          <w:p w14:paraId="5D804B4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1DD45A1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37,764</w:t>
            </w:r>
          </w:p>
        </w:tc>
        <w:tc>
          <w:tcPr>
            <w:tcW w:w="1412" w:type="dxa"/>
            <w:tcBorders>
              <w:top w:val="nil"/>
              <w:bottom w:val="nil"/>
            </w:tcBorders>
            <w:vAlign w:val="center"/>
          </w:tcPr>
          <w:p w14:paraId="76916E9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27,606</w:t>
            </w:r>
          </w:p>
        </w:tc>
        <w:tc>
          <w:tcPr>
            <w:tcW w:w="283" w:type="dxa"/>
            <w:tcBorders>
              <w:top w:val="nil"/>
              <w:bottom w:val="nil"/>
            </w:tcBorders>
            <w:vAlign w:val="center"/>
          </w:tcPr>
          <w:p w14:paraId="444C53D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3F39804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71,510</w:t>
            </w:r>
          </w:p>
        </w:tc>
        <w:tc>
          <w:tcPr>
            <w:tcW w:w="1526" w:type="dxa"/>
            <w:tcBorders>
              <w:top w:val="nil"/>
              <w:bottom w:val="nil"/>
            </w:tcBorders>
            <w:vAlign w:val="center"/>
          </w:tcPr>
          <w:p w14:paraId="1BFAF27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62,037</w:t>
            </w:r>
          </w:p>
        </w:tc>
      </w:tr>
      <w:tr w:rsidR="009C72AA" w:rsidRPr="00B84B0C" w14:paraId="30CC59F1"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left w:val="nil"/>
              <w:bottom w:val="nil"/>
              <w:right w:val="nil"/>
            </w:tcBorders>
            <w:shd w:val="clear" w:color="auto" w:fill="auto"/>
            <w:vAlign w:val="center"/>
          </w:tcPr>
          <w:p w14:paraId="5208A95C" w14:textId="77777777" w:rsidR="009C72AA" w:rsidRPr="00B84B0C" w:rsidRDefault="009C72AA" w:rsidP="009C72AA">
            <w:pPr>
              <w:pStyle w:val="08-Tabelageral"/>
              <w:tabs>
                <w:tab w:val="left" w:pos="283"/>
              </w:tabs>
              <w:jc w:val="left"/>
              <w:rPr>
                <w:rFonts w:cs="Arial"/>
                <w:b w:val="0"/>
                <w:lang w:val="en-US"/>
              </w:rPr>
            </w:pPr>
            <w:r w:rsidRPr="00B84B0C">
              <w:rPr>
                <w:rFonts w:cs="Arial"/>
                <w:b w:val="0"/>
                <w:lang w:val="en-US"/>
              </w:rPr>
              <w:t xml:space="preserve">  Monetary adjustment of judicial deposits</w:t>
            </w:r>
          </w:p>
        </w:tc>
        <w:tc>
          <w:tcPr>
            <w:tcW w:w="604" w:type="dxa"/>
            <w:tcBorders>
              <w:top w:val="nil"/>
              <w:bottom w:val="nil"/>
            </w:tcBorders>
            <w:vAlign w:val="center"/>
          </w:tcPr>
          <w:p w14:paraId="3156118E"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shd w:val="clear" w:color="auto" w:fill="auto"/>
            <w:vAlign w:val="center"/>
          </w:tcPr>
          <w:p w14:paraId="4DEC33FA"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412" w:type="dxa"/>
            <w:tcBorders>
              <w:top w:val="nil"/>
              <w:bottom w:val="nil"/>
            </w:tcBorders>
            <w:shd w:val="clear" w:color="auto" w:fill="auto"/>
            <w:vAlign w:val="center"/>
          </w:tcPr>
          <w:p w14:paraId="7992CAEB"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0F7F960E"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2CAC5427"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1,131</w:t>
            </w:r>
          </w:p>
        </w:tc>
        <w:tc>
          <w:tcPr>
            <w:tcW w:w="1526" w:type="dxa"/>
            <w:tcBorders>
              <w:top w:val="nil"/>
              <w:bottom w:val="nil"/>
            </w:tcBorders>
            <w:shd w:val="clear" w:color="auto" w:fill="auto"/>
            <w:vAlign w:val="center"/>
          </w:tcPr>
          <w:p w14:paraId="6A25376E"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1,771</w:t>
            </w:r>
          </w:p>
        </w:tc>
      </w:tr>
      <w:tr w:rsidR="009C72AA" w:rsidRPr="00B84B0C" w14:paraId="094110D7"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left w:val="nil"/>
              <w:bottom w:val="nil"/>
              <w:right w:val="nil"/>
            </w:tcBorders>
            <w:vAlign w:val="center"/>
          </w:tcPr>
          <w:p w14:paraId="2AA34A5E" w14:textId="77777777" w:rsidR="009C72AA" w:rsidRPr="00B84B0C" w:rsidRDefault="009C72AA" w:rsidP="009C72AA">
            <w:pPr>
              <w:pStyle w:val="08-Tabelageral"/>
              <w:jc w:val="left"/>
              <w:rPr>
                <w:rFonts w:cs="Arial"/>
                <w:b w:val="0"/>
                <w:lang w:val="en-US"/>
              </w:rPr>
            </w:pPr>
            <w:r w:rsidRPr="00B84B0C">
              <w:rPr>
                <w:rFonts w:cs="Arial"/>
                <w:b w:val="0"/>
                <w:lang w:val="en-US"/>
              </w:rPr>
              <w:t xml:space="preserve">  Monetary adjustment of taxes</w:t>
            </w:r>
          </w:p>
        </w:tc>
        <w:tc>
          <w:tcPr>
            <w:tcW w:w="604" w:type="dxa"/>
            <w:tcBorders>
              <w:top w:val="nil"/>
              <w:bottom w:val="nil"/>
            </w:tcBorders>
            <w:vAlign w:val="center"/>
          </w:tcPr>
          <w:p w14:paraId="5568CD7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30A0305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580</w:t>
            </w:r>
          </w:p>
        </w:tc>
        <w:tc>
          <w:tcPr>
            <w:tcW w:w="1412" w:type="dxa"/>
            <w:tcBorders>
              <w:top w:val="nil"/>
              <w:bottom w:val="nil"/>
            </w:tcBorders>
            <w:vAlign w:val="center"/>
          </w:tcPr>
          <w:p w14:paraId="0C6B641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727</w:t>
            </w:r>
          </w:p>
        </w:tc>
        <w:tc>
          <w:tcPr>
            <w:tcW w:w="283" w:type="dxa"/>
            <w:tcBorders>
              <w:top w:val="nil"/>
              <w:bottom w:val="nil"/>
            </w:tcBorders>
            <w:vAlign w:val="center"/>
          </w:tcPr>
          <w:p w14:paraId="0EEB316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6FD20F1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580</w:t>
            </w:r>
          </w:p>
        </w:tc>
        <w:tc>
          <w:tcPr>
            <w:tcW w:w="1526" w:type="dxa"/>
            <w:tcBorders>
              <w:top w:val="nil"/>
              <w:bottom w:val="nil"/>
            </w:tcBorders>
            <w:vAlign w:val="center"/>
          </w:tcPr>
          <w:p w14:paraId="689A79D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731</w:t>
            </w:r>
          </w:p>
        </w:tc>
      </w:tr>
      <w:tr w:rsidR="009C72AA" w:rsidRPr="00B84B0C" w14:paraId="65D4CFEE" w14:textId="77777777" w:rsidTr="009C72AA">
        <w:trPr>
          <w:trHeight w:hRule="exact" w:val="363"/>
        </w:trPr>
        <w:tc>
          <w:tcPr>
            <w:cnfStyle w:val="001000000000" w:firstRow="0" w:lastRow="0" w:firstColumn="1" w:lastColumn="0" w:oddVBand="0" w:evenVBand="0" w:oddHBand="0" w:evenHBand="0" w:firstRowFirstColumn="0" w:firstRowLastColumn="0" w:lastRowFirstColumn="0" w:lastRowLastColumn="0"/>
            <w:tcW w:w="2986" w:type="dxa"/>
            <w:tcBorders>
              <w:top w:val="nil"/>
              <w:left w:val="nil"/>
              <w:bottom w:val="nil"/>
              <w:right w:val="nil"/>
            </w:tcBorders>
            <w:shd w:val="clear" w:color="auto" w:fill="auto"/>
            <w:vAlign w:val="center"/>
          </w:tcPr>
          <w:p w14:paraId="202FB284" w14:textId="77777777" w:rsidR="009C72AA" w:rsidRPr="00B84B0C" w:rsidRDefault="009C72AA" w:rsidP="009C72AA">
            <w:pPr>
              <w:pStyle w:val="08-Tabelageral"/>
              <w:ind w:left="34" w:hanging="34"/>
              <w:jc w:val="left"/>
              <w:rPr>
                <w:rFonts w:cs="Arial"/>
                <w:b w:val="0"/>
                <w:lang w:val="en-US"/>
              </w:rPr>
            </w:pPr>
            <w:r w:rsidRPr="00B84B0C">
              <w:rPr>
                <w:rFonts w:cs="Arial"/>
                <w:b w:val="0"/>
                <w:lang w:val="en-US"/>
              </w:rPr>
              <w:t xml:space="preserve">  Monetary adjustment of dividends and interest on equity capital</w:t>
            </w:r>
          </w:p>
        </w:tc>
        <w:tc>
          <w:tcPr>
            <w:tcW w:w="604" w:type="dxa"/>
            <w:tcBorders>
              <w:top w:val="nil"/>
              <w:bottom w:val="nil"/>
            </w:tcBorders>
            <w:vAlign w:val="center"/>
          </w:tcPr>
          <w:p w14:paraId="60E04473"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shd w:val="clear" w:color="auto" w:fill="auto"/>
            <w:vAlign w:val="center"/>
          </w:tcPr>
          <w:p w14:paraId="16AEC918"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11,229</w:t>
            </w:r>
          </w:p>
        </w:tc>
        <w:tc>
          <w:tcPr>
            <w:tcW w:w="1412" w:type="dxa"/>
            <w:tcBorders>
              <w:top w:val="nil"/>
              <w:bottom w:val="nil"/>
            </w:tcBorders>
            <w:shd w:val="clear" w:color="auto" w:fill="auto"/>
            <w:vAlign w:val="center"/>
          </w:tcPr>
          <w:p w14:paraId="4A6564FA"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5,487</w:t>
            </w:r>
          </w:p>
        </w:tc>
        <w:tc>
          <w:tcPr>
            <w:tcW w:w="283" w:type="dxa"/>
            <w:tcBorders>
              <w:top w:val="nil"/>
              <w:bottom w:val="nil"/>
            </w:tcBorders>
            <w:vAlign w:val="center"/>
          </w:tcPr>
          <w:p w14:paraId="2EDF9AB2"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533E6A44"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526" w:type="dxa"/>
            <w:tcBorders>
              <w:top w:val="nil"/>
              <w:bottom w:val="nil"/>
            </w:tcBorders>
            <w:shd w:val="clear" w:color="auto" w:fill="auto"/>
            <w:vAlign w:val="center"/>
          </w:tcPr>
          <w:p w14:paraId="1C7F971C"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r>
      <w:tr w:rsidR="009C72AA" w:rsidRPr="00B84B0C" w14:paraId="79211B94"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left w:val="nil"/>
              <w:bottom w:val="nil"/>
              <w:right w:val="nil"/>
            </w:tcBorders>
            <w:vAlign w:val="center"/>
          </w:tcPr>
          <w:p w14:paraId="3039D798" w14:textId="77777777" w:rsidR="009C72AA" w:rsidRPr="00B84B0C" w:rsidRDefault="009C72AA" w:rsidP="009C72AA">
            <w:pPr>
              <w:pStyle w:val="08-Tabelageral"/>
              <w:jc w:val="left"/>
              <w:rPr>
                <w:rFonts w:cs="Arial"/>
                <w:b w:val="0"/>
              </w:rPr>
            </w:pPr>
            <w:r w:rsidRPr="00B84B0C">
              <w:rPr>
                <w:rFonts w:cs="Arial"/>
                <w:b w:val="0"/>
              </w:rPr>
              <w:t xml:space="preserve">  Other</w:t>
            </w:r>
          </w:p>
        </w:tc>
        <w:tc>
          <w:tcPr>
            <w:tcW w:w="604" w:type="dxa"/>
            <w:tcBorders>
              <w:top w:val="nil"/>
              <w:bottom w:val="nil"/>
            </w:tcBorders>
            <w:vAlign w:val="center"/>
          </w:tcPr>
          <w:p w14:paraId="3610BEE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3B78983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w:t>
            </w:r>
          </w:p>
        </w:tc>
        <w:tc>
          <w:tcPr>
            <w:tcW w:w="1412" w:type="dxa"/>
            <w:tcBorders>
              <w:top w:val="nil"/>
              <w:bottom w:val="nil"/>
            </w:tcBorders>
            <w:vAlign w:val="center"/>
          </w:tcPr>
          <w:p w14:paraId="1C73FF8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w:t>
            </w:r>
          </w:p>
        </w:tc>
        <w:tc>
          <w:tcPr>
            <w:tcW w:w="283" w:type="dxa"/>
            <w:tcBorders>
              <w:top w:val="nil"/>
              <w:bottom w:val="nil"/>
            </w:tcBorders>
            <w:vAlign w:val="center"/>
          </w:tcPr>
          <w:p w14:paraId="291D879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6CE7D7F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w:t>
            </w:r>
          </w:p>
        </w:tc>
        <w:tc>
          <w:tcPr>
            <w:tcW w:w="1526" w:type="dxa"/>
            <w:tcBorders>
              <w:top w:val="nil"/>
              <w:bottom w:val="nil"/>
            </w:tcBorders>
            <w:vAlign w:val="center"/>
          </w:tcPr>
          <w:p w14:paraId="1555015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w:t>
            </w:r>
          </w:p>
        </w:tc>
      </w:tr>
      <w:tr w:rsidR="009C72AA" w:rsidRPr="00B84B0C" w14:paraId="039657E7"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vAlign w:val="center"/>
          </w:tcPr>
          <w:p w14:paraId="062BE6B8" w14:textId="77777777" w:rsidR="009C72AA" w:rsidRPr="00B84B0C" w:rsidRDefault="009C72AA" w:rsidP="009C72AA">
            <w:pPr>
              <w:pStyle w:val="08-Tabelageral"/>
              <w:jc w:val="left"/>
              <w:rPr>
                <w:rFonts w:cs="Arial"/>
              </w:rPr>
            </w:pPr>
            <w:r w:rsidRPr="00B84B0C">
              <w:rPr>
                <w:rFonts w:cs="Arial"/>
              </w:rPr>
              <w:t xml:space="preserve">Financial </w:t>
            </w:r>
            <w:proofErr w:type="spellStart"/>
            <w:r w:rsidRPr="00B84B0C">
              <w:rPr>
                <w:rFonts w:cs="Arial"/>
              </w:rPr>
              <w:t>Expenses</w:t>
            </w:r>
            <w:proofErr w:type="spellEnd"/>
          </w:p>
        </w:tc>
        <w:tc>
          <w:tcPr>
            <w:tcW w:w="604" w:type="dxa"/>
            <w:tcBorders>
              <w:top w:val="nil"/>
              <w:bottom w:val="nil"/>
            </w:tcBorders>
            <w:vAlign w:val="center"/>
          </w:tcPr>
          <w:p w14:paraId="5D3ECE53"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11" w:type="dxa"/>
            <w:tcBorders>
              <w:top w:val="nil"/>
              <w:bottom w:val="nil"/>
            </w:tcBorders>
            <w:shd w:val="clear" w:color="auto" w:fill="auto"/>
            <w:vAlign w:val="center"/>
          </w:tcPr>
          <w:p w14:paraId="4D7E29CE"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(25,207)</w:t>
            </w:r>
          </w:p>
        </w:tc>
        <w:tc>
          <w:tcPr>
            <w:tcW w:w="1412" w:type="dxa"/>
            <w:tcBorders>
              <w:top w:val="nil"/>
              <w:bottom w:val="nil"/>
            </w:tcBorders>
            <w:shd w:val="clear" w:color="auto" w:fill="auto"/>
            <w:vAlign w:val="center"/>
          </w:tcPr>
          <w:p w14:paraId="7C16B400"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(13,784)</w:t>
            </w:r>
          </w:p>
        </w:tc>
        <w:tc>
          <w:tcPr>
            <w:tcW w:w="283" w:type="dxa"/>
            <w:tcBorders>
              <w:top w:val="nil"/>
              <w:bottom w:val="nil"/>
            </w:tcBorders>
            <w:vAlign w:val="center"/>
          </w:tcPr>
          <w:p w14:paraId="0E0460FC"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417" w:type="dxa"/>
            <w:tcBorders>
              <w:top w:val="nil"/>
              <w:bottom w:val="nil"/>
            </w:tcBorders>
            <w:shd w:val="clear" w:color="auto" w:fill="auto"/>
            <w:vAlign w:val="center"/>
          </w:tcPr>
          <w:p w14:paraId="5909561F"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(26,513)</w:t>
            </w:r>
          </w:p>
        </w:tc>
        <w:tc>
          <w:tcPr>
            <w:tcW w:w="1526" w:type="dxa"/>
            <w:tcBorders>
              <w:top w:val="nil"/>
              <w:bottom w:val="nil"/>
            </w:tcBorders>
            <w:shd w:val="clear" w:color="auto" w:fill="auto"/>
            <w:vAlign w:val="center"/>
          </w:tcPr>
          <w:p w14:paraId="5639D467"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B84B0C">
              <w:rPr>
                <w:rFonts w:cs="Arial"/>
                <w:b/>
              </w:rPr>
              <w:t>(13,856)</w:t>
            </w:r>
          </w:p>
        </w:tc>
      </w:tr>
      <w:tr w:rsidR="009C72AA" w:rsidRPr="00B84B0C" w14:paraId="6186D26D" w14:textId="77777777" w:rsidTr="009C72AA">
        <w:trPr>
          <w:cnfStyle w:val="000000100000" w:firstRow="0" w:lastRow="0" w:firstColumn="0" w:lastColumn="0" w:oddVBand="0" w:evenVBand="0" w:oddHBand="1" w:evenHBand="0" w:firstRowFirstColumn="0" w:firstRowLastColumn="0" w:lastRowFirstColumn="0" w:lastRowLastColumn="0"/>
          <w:trHeight w:hRule="exact" w:val="363"/>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vAlign w:val="center"/>
          </w:tcPr>
          <w:p w14:paraId="39B6DC49" w14:textId="77777777" w:rsidR="009C72AA" w:rsidRPr="00B84B0C" w:rsidRDefault="009C72AA" w:rsidP="009C72AA">
            <w:pPr>
              <w:pStyle w:val="08-Tabelageral"/>
              <w:ind w:left="34" w:hanging="34"/>
              <w:jc w:val="left"/>
              <w:rPr>
                <w:rFonts w:cs="Arial"/>
                <w:b w:val="0"/>
              </w:rPr>
            </w:pPr>
            <w:r w:rsidRPr="00B84B0C">
              <w:rPr>
                <w:rFonts w:cs="Arial"/>
                <w:b w:val="0"/>
              </w:rPr>
              <w:t xml:space="preserve">  </w:t>
            </w:r>
            <w:r w:rsidRPr="00B84B0C">
              <w:rPr>
                <w:rFonts w:cs="Arial"/>
                <w:b w:val="0"/>
                <w:lang w:val="en-US"/>
              </w:rPr>
              <w:t>Monetary adjustment of dividends and interest on equity capital</w:t>
            </w:r>
          </w:p>
        </w:tc>
        <w:tc>
          <w:tcPr>
            <w:tcW w:w="604" w:type="dxa"/>
            <w:tcBorders>
              <w:top w:val="nil"/>
              <w:bottom w:val="nil"/>
            </w:tcBorders>
            <w:vAlign w:val="center"/>
          </w:tcPr>
          <w:p w14:paraId="372DAC2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6E32CAA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(24,871)</w:t>
            </w:r>
          </w:p>
        </w:tc>
        <w:tc>
          <w:tcPr>
            <w:tcW w:w="1412" w:type="dxa"/>
            <w:tcBorders>
              <w:top w:val="nil"/>
              <w:bottom w:val="nil"/>
            </w:tcBorders>
            <w:vAlign w:val="center"/>
          </w:tcPr>
          <w:p w14:paraId="2D9665F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(13,379)</w:t>
            </w:r>
          </w:p>
        </w:tc>
        <w:tc>
          <w:tcPr>
            <w:tcW w:w="283" w:type="dxa"/>
            <w:tcBorders>
              <w:top w:val="nil"/>
              <w:bottom w:val="nil"/>
            </w:tcBorders>
            <w:vAlign w:val="center"/>
          </w:tcPr>
          <w:p w14:paraId="7DD30FE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nil"/>
              <w:bottom w:val="nil"/>
            </w:tcBorders>
            <w:vAlign w:val="center"/>
          </w:tcPr>
          <w:p w14:paraId="2515A97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(24,871)</w:t>
            </w:r>
          </w:p>
        </w:tc>
        <w:tc>
          <w:tcPr>
            <w:tcW w:w="1526" w:type="dxa"/>
            <w:tcBorders>
              <w:top w:val="nil"/>
              <w:bottom w:val="nil"/>
            </w:tcBorders>
            <w:vAlign w:val="center"/>
          </w:tcPr>
          <w:p w14:paraId="4B1436C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(13,379)</w:t>
            </w:r>
          </w:p>
        </w:tc>
      </w:tr>
      <w:tr w:rsidR="009C72AA" w:rsidRPr="00B84B0C" w14:paraId="11F2E623" w14:textId="77777777" w:rsidTr="009C72AA">
        <w:trPr>
          <w:trHeight w:hRule="exact" w:val="215"/>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vAlign w:val="center"/>
          </w:tcPr>
          <w:p w14:paraId="0C4380C8" w14:textId="77777777" w:rsidR="009C72AA" w:rsidRPr="00B84B0C" w:rsidRDefault="009C72AA" w:rsidP="009C72AA">
            <w:pPr>
              <w:pStyle w:val="08-Tabelageral"/>
              <w:jc w:val="left"/>
              <w:rPr>
                <w:rFonts w:cs="Arial"/>
                <w:b w:val="0"/>
              </w:rPr>
            </w:pPr>
            <w:r w:rsidRPr="00B84B0C">
              <w:rPr>
                <w:rFonts w:cs="Arial"/>
                <w:b w:val="0"/>
              </w:rPr>
              <w:t xml:space="preserve">  </w:t>
            </w:r>
            <w:proofErr w:type="spellStart"/>
            <w:r w:rsidRPr="00B84B0C">
              <w:rPr>
                <w:rFonts w:cs="Arial"/>
                <w:b w:val="0"/>
              </w:rPr>
              <w:t>Loss</w:t>
            </w:r>
            <w:proofErr w:type="spellEnd"/>
            <w:r w:rsidRPr="00B84B0C">
              <w:rPr>
                <w:rFonts w:cs="Arial"/>
                <w:b w:val="0"/>
              </w:rPr>
              <w:t xml:space="preserve"> </w:t>
            </w:r>
            <w:proofErr w:type="spellStart"/>
            <w:r w:rsidRPr="00B84B0C">
              <w:rPr>
                <w:rFonts w:cs="Arial"/>
                <w:b w:val="0"/>
              </w:rPr>
              <w:t>on</w:t>
            </w:r>
            <w:proofErr w:type="spellEnd"/>
            <w:r w:rsidRPr="00B84B0C">
              <w:rPr>
                <w:rFonts w:cs="Arial"/>
                <w:b w:val="0"/>
              </w:rPr>
              <w:t xml:space="preserve"> financial </w:t>
            </w:r>
            <w:proofErr w:type="spellStart"/>
            <w:r w:rsidRPr="00B84B0C">
              <w:rPr>
                <w:rFonts w:cs="Arial"/>
                <w:b w:val="0"/>
              </w:rPr>
              <w:t>investments</w:t>
            </w:r>
            <w:proofErr w:type="spellEnd"/>
          </w:p>
        </w:tc>
        <w:tc>
          <w:tcPr>
            <w:tcW w:w="604" w:type="dxa"/>
            <w:tcBorders>
              <w:top w:val="nil"/>
              <w:bottom w:val="nil"/>
            </w:tcBorders>
            <w:vAlign w:val="center"/>
          </w:tcPr>
          <w:p w14:paraId="14B042B0"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shd w:val="clear" w:color="auto" w:fill="auto"/>
            <w:vAlign w:val="center"/>
          </w:tcPr>
          <w:p w14:paraId="48FB1F19"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(18)</w:t>
            </w:r>
          </w:p>
        </w:tc>
        <w:tc>
          <w:tcPr>
            <w:tcW w:w="1412" w:type="dxa"/>
            <w:tcBorders>
              <w:top w:val="nil"/>
              <w:bottom w:val="nil"/>
            </w:tcBorders>
            <w:shd w:val="clear" w:color="auto" w:fill="auto"/>
            <w:vAlign w:val="center"/>
          </w:tcPr>
          <w:p w14:paraId="64E4CEA8"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(18)</w:t>
            </w:r>
          </w:p>
        </w:tc>
        <w:tc>
          <w:tcPr>
            <w:tcW w:w="283" w:type="dxa"/>
            <w:tcBorders>
              <w:top w:val="nil"/>
              <w:bottom w:val="nil"/>
            </w:tcBorders>
            <w:vAlign w:val="center"/>
          </w:tcPr>
          <w:p w14:paraId="38D8F54C"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76473E85"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(1,240)</w:t>
            </w:r>
          </w:p>
        </w:tc>
        <w:tc>
          <w:tcPr>
            <w:tcW w:w="1526" w:type="dxa"/>
            <w:tcBorders>
              <w:top w:val="nil"/>
              <w:bottom w:val="nil"/>
            </w:tcBorders>
            <w:shd w:val="clear" w:color="auto" w:fill="auto"/>
            <w:vAlign w:val="center"/>
          </w:tcPr>
          <w:p w14:paraId="26367352"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(18)</w:t>
            </w:r>
          </w:p>
        </w:tc>
      </w:tr>
      <w:tr w:rsidR="009C72AA" w:rsidRPr="00B84B0C" w14:paraId="08FB4FD0"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vAlign w:val="center"/>
          </w:tcPr>
          <w:p w14:paraId="2E737BEC" w14:textId="77777777" w:rsidR="009C72AA" w:rsidRPr="00B84B0C" w:rsidRDefault="009C72AA" w:rsidP="009C72AA">
            <w:pPr>
              <w:pStyle w:val="08-Tabelageral"/>
              <w:jc w:val="left"/>
              <w:rPr>
                <w:rFonts w:cs="Arial"/>
                <w:b w:val="0"/>
              </w:rPr>
            </w:pPr>
            <w:r w:rsidRPr="00B84B0C">
              <w:rPr>
                <w:rFonts w:cs="Arial"/>
                <w:b w:val="0"/>
              </w:rPr>
              <w:t xml:space="preserve">  Financial system </w:t>
            </w:r>
            <w:proofErr w:type="spellStart"/>
            <w:r w:rsidRPr="00B84B0C">
              <w:rPr>
                <w:rFonts w:cs="Arial"/>
                <w:b w:val="0"/>
              </w:rPr>
              <w:t>services</w:t>
            </w:r>
            <w:proofErr w:type="spellEnd"/>
          </w:p>
        </w:tc>
        <w:tc>
          <w:tcPr>
            <w:tcW w:w="604" w:type="dxa"/>
            <w:tcBorders>
              <w:top w:val="nil"/>
              <w:bottom w:val="nil"/>
            </w:tcBorders>
            <w:vAlign w:val="center"/>
          </w:tcPr>
          <w:p w14:paraId="1F65D0D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vAlign w:val="center"/>
          </w:tcPr>
          <w:p w14:paraId="2009CC9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(318)</w:t>
            </w:r>
          </w:p>
        </w:tc>
        <w:tc>
          <w:tcPr>
            <w:tcW w:w="1412" w:type="dxa"/>
            <w:tcBorders>
              <w:top w:val="nil"/>
              <w:bottom w:val="nil"/>
            </w:tcBorders>
            <w:vAlign w:val="center"/>
          </w:tcPr>
          <w:p w14:paraId="32FA290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(387)</w:t>
            </w:r>
          </w:p>
        </w:tc>
        <w:tc>
          <w:tcPr>
            <w:tcW w:w="283" w:type="dxa"/>
            <w:tcBorders>
              <w:top w:val="nil"/>
              <w:bottom w:val="nil"/>
            </w:tcBorders>
            <w:vAlign w:val="center"/>
          </w:tcPr>
          <w:p w14:paraId="4203B9A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23F6B8B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(399)</w:t>
            </w:r>
          </w:p>
        </w:tc>
        <w:tc>
          <w:tcPr>
            <w:tcW w:w="1526" w:type="dxa"/>
            <w:tcBorders>
              <w:top w:val="nil"/>
              <w:bottom w:val="nil"/>
            </w:tcBorders>
            <w:vAlign w:val="center"/>
          </w:tcPr>
          <w:p w14:paraId="4B18943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(452)</w:t>
            </w:r>
          </w:p>
        </w:tc>
      </w:tr>
      <w:tr w:rsidR="009C72AA" w:rsidRPr="00B84B0C" w14:paraId="6C59D27A" w14:textId="77777777" w:rsidTr="009C72AA">
        <w:trPr>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vAlign w:val="center"/>
          </w:tcPr>
          <w:p w14:paraId="2C3190C4" w14:textId="77777777" w:rsidR="009C72AA" w:rsidRPr="00B84B0C" w:rsidRDefault="009C72AA" w:rsidP="009C72AA">
            <w:pPr>
              <w:pStyle w:val="08-Tabelageral"/>
              <w:jc w:val="left"/>
              <w:rPr>
                <w:rFonts w:cs="Arial"/>
                <w:b w:val="0"/>
              </w:rPr>
            </w:pPr>
            <w:r w:rsidRPr="00B84B0C">
              <w:rPr>
                <w:rFonts w:cs="Arial"/>
                <w:b w:val="0"/>
              </w:rPr>
              <w:t xml:space="preserve">  Other</w:t>
            </w:r>
          </w:p>
        </w:tc>
        <w:tc>
          <w:tcPr>
            <w:tcW w:w="604" w:type="dxa"/>
            <w:tcBorders>
              <w:top w:val="nil"/>
              <w:bottom w:val="nil"/>
            </w:tcBorders>
            <w:vAlign w:val="center"/>
          </w:tcPr>
          <w:p w14:paraId="048B7D82"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11" w:type="dxa"/>
            <w:tcBorders>
              <w:top w:val="nil"/>
              <w:bottom w:val="nil"/>
            </w:tcBorders>
            <w:shd w:val="clear" w:color="auto" w:fill="auto"/>
            <w:vAlign w:val="center"/>
          </w:tcPr>
          <w:p w14:paraId="765A9095"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1412" w:type="dxa"/>
            <w:tcBorders>
              <w:top w:val="nil"/>
              <w:bottom w:val="nil"/>
            </w:tcBorders>
            <w:shd w:val="clear" w:color="auto" w:fill="auto"/>
            <w:vAlign w:val="center"/>
          </w:tcPr>
          <w:p w14:paraId="0B69925A"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w:t>
            </w:r>
          </w:p>
        </w:tc>
        <w:tc>
          <w:tcPr>
            <w:tcW w:w="283" w:type="dxa"/>
            <w:tcBorders>
              <w:top w:val="nil"/>
              <w:bottom w:val="nil"/>
            </w:tcBorders>
            <w:vAlign w:val="center"/>
          </w:tcPr>
          <w:p w14:paraId="6C2041A9"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p>
        </w:tc>
        <w:tc>
          <w:tcPr>
            <w:tcW w:w="1417" w:type="dxa"/>
            <w:tcBorders>
              <w:top w:val="nil"/>
              <w:bottom w:val="nil"/>
            </w:tcBorders>
            <w:shd w:val="clear" w:color="auto" w:fill="auto"/>
            <w:vAlign w:val="center"/>
          </w:tcPr>
          <w:p w14:paraId="2C83EEBA"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(3)</w:t>
            </w:r>
          </w:p>
        </w:tc>
        <w:tc>
          <w:tcPr>
            <w:tcW w:w="1526" w:type="dxa"/>
            <w:tcBorders>
              <w:top w:val="nil"/>
              <w:bottom w:val="nil"/>
            </w:tcBorders>
            <w:shd w:val="clear" w:color="auto" w:fill="auto"/>
            <w:vAlign w:val="center"/>
          </w:tcPr>
          <w:p w14:paraId="5C6A12A3" w14:textId="77777777" w:rsidR="009C72AA" w:rsidRPr="00B84B0C" w:rsidRDefault="009C72AA" w:rsidP="009C72AA">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B84B0C">
              <w:rPr>
                <w:rFonts w:cs="Arial"/>
              </w:rPr>
              <w:t>(7)</w:t>
            </w:r>
          </w:p>
        </w:tc>
      </w:tr>
      <w:tr w:rsidR="009C72AA" w:rsidRPr="00B84B0C" w14:paraId="04C2DC8C"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hemeColor="accent5" w:themeTint="99"/>
            </w:tcBorders>
            <w:vAlign w:val="center"/>
          </w:tcPr>
          <w:p w14:paraId="4CEC754D" w14:textId="77777777" w:rsidR="009C72AA" w:rsidRPr="00B84B0C" w:rsidRDefault="009C72AA" w:rsidP="009C72AA">
            <w:pPr>
              <w:pStyle w:val="08-Tabelageral"/>
              <w:jc w:val="left"/>
              <w:rPr>
                <w:rFonts w:cs="Arial"/>
                <w:szCs w:val="14"/>
              </w:rPr>
            </w:pPr>
            <w:r w:rsidRPr="00B84B0C">
              <w:rPr>
                <w:rFonts w:cs="Arial"/>
              </w:rPr>
              <w:t xml:space="preserve">Financial </w:t>
            </w:r>
            <w:proofErr w:type="spellStart"/>
            <w:r w:rsidRPr="00B84B0C">
              <w:rPr>
                <w:rFonts w:cs="Arial"/>
              </w:rPr>
              <w:t>Result</w:t>
            </w:r>
            <w:proofErr w:type="spellEnd"/>
          </w:p>
        </w:tc>
        <w:tc>
          <w:tcPr>
            <w:tcW w:w="604" w:type="dxa"/>
            <w:tcBorders>
              <w:top w:val="nil"/>
              <w:bottom w:val="single" w:sz="2" w:space="0" w:color="8EAADB" w:themeColor="accent5" w:themeTint="99"/>
            </w:tcBorders>
            <w:vAlign w:val="center"/>
          </w:tcPr>
          <w:p w14:paraId="265CE2D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single" w:sz="2" w:space="0" w:color="8EAADB" w:themeColor="accent5" w:themeTint="99"/>
            </w:tcBorders>
            <w:vAlign w:val="center"/>
          </w:tcPr>
          <w:p w14:paraId="5478149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24,368</w:t>
            </w:r>
          </w:p>
        </w:tc>
        <w:tc>
          <w:tcPr>
            <w:tcW w:w="1412" w:type="dxa"/>
            <w:tcBorders>
              <w:top w:val="nil"/>
              <w:bottom w:val="single" w:sz="2" w:space="0" w:color="8EAADB" w:themeColor="accent5" w:themeTint="99"/>
            </w:tcBorders>
            <w:vAlign w:val="center"/>
          </w:tcPr>
          <w:p w14:paraId="1DBB030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20,044</w:t>
            </w:r>
          </w:p>
        </w:tc>
        <w:tc>
          <w:tcPr>
            <w:tcW w:w="283" w:type="dxa"/>
            <w:tcBorders>
              <w:top w:val="nil"/>
              <w:bottom w:val="single" w:sz="2" w:space="0" w:color="8EAADB" w:themeColor="accent5" w:themeTint="99"/>
            </w:tcBorders>
            <w:vAlign w:val="center"/>
          </w:tcPr>
          <w:p w14:paraId="2A700E6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nil"/>
              <w:bottom w:val="single" w:sz="2" w:space="0" w:color="8EAADB" w:themeColor="accent5" w:themeTint="99"/>
            </w:tcBorders>
            <w:vAlign w:val="center"/>
          </w:tcPr>
          <w:p w14:paraId="27E4ECE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46,710</w:t>
            </w:r>
          </w:p>
        </w:tc>
        <w:tc>
          <w:tcPr>
            <w:tcW w:w="1526" w:type="dxa"/>
            <w:tcBorders>
              <w:top w:val="nil"/>
              <w:bottom w:val="single" w:sz="2" w:space="0" w:color="8EAADB" w:themeColor="accent5" w:themeTint="99"/>
            </w:tcBorders>
            <w:vAlign w:val="center"/>
          </w:tcPr>
          <w:p w14:paraId="1461BE0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50,691</w:t>
            </w:r>
          </w:p>
        </w:tc>
      </w:tr>
    </w:tbl>
    <w:p w14:paraId="6B2CEC0F" w14:textId="058E6843" w:rsidR="00D01F17" w:rsidRPr="00B84B0C" w:rsidRDefault="00D01F17" w:rsidP="00D01F17">
      <w:pPr>
        <w:pStyle w:val="07-Legenda"/>
        <w:shd w:val="clear" w:color="auto" w:fill="FFFFFF" w:themeFill="background1"/>
        <w:tabs>
          <w:tab w:val="clear" w:pos="284"/>
          <w:tab w:val="left" w:pos="0"/>
          <w:tab w:val="left" w:pos="3686"/>
        </w:tabs>
        <w:rPr>
          <w:rFonts w:cs="Arial"/>
          <w:sz w:val="20"/>
          <w:szCs w:val="20"/>
        </w:rPr>
      </w:pPr>
    </w:p>
    <w:p w14:paraId="54EF9673" w14:textId="5599BA56" w:rsidR="009C72AA" w:rsidRPr="00E72E05" w:rsidRDefault="009C72AA" w:rsidP="00E72E05">
      <w:pPr>
        <w:pStyle w:val="02-TtulodeNota"/>
        <w:rPr>
          <w:color w:val="1F4E79" w:themeColor="accent1" w:themeShade="80"/>
        </w:rPr>
      </w:pPr>
      <w:bookmarkStart w:id="35" w:name="_Toc39131505"/>
      <w:r w:rsidRPr="00E72E05">
        <w:rPr>
          <w:color w:val="1F4E79" w:themeColor="accent1" w:themeShade="80"/>
        </w:rPr>
        <w:t>21 – PERSONNEL EXPENSES</w:t>
      </w:r>
      <w:bookmarkEnd w:id="35"/>
    </w:p>
    <w:p w14:paraId="066B9CC3" w14:textId="77777777" w:rsidR="009C72AA" w:rsidRPr="00B84B0C" w:rsidRDefault="009C72AA" w:rsidP="009C72AA">
      <w:pPr>
        <w:pStyle w:val="01-TtulodeNota"/>
        <w:spacing w:before="0" w:after="0"/>
        <w:jc w:val="right"/>
        <w:rPr>
          <w:rFonts w:cs="Arial"/>
          <w:sz w:val="12"/>
          <w:szCs w:val="12"/>
        </w:rPr>
      </w:pPr>
      <w:r w:rsidRPr="00B84B0C">
        <w:rPr>
          <w:rFonts w:cs="Arial"/>
          <w:sz w:val="12"/>
          <w:szCs w:val="12"/>
        </w:rPr>
        <w:t xml:space="preserve">R$ </w:t>
      </w:r>
      <w:proofErr w:type="spellStart"/>
      <w:r w:rsidRPr="00B84B0C">
        <w:rPr>
          <w:rFonts w:cs="Arial"/>
          <w:sz w:val="12"/>
          <w:szCs w:val="12"/>
        </w:rPr>
        <w:t>thousand</w:t>
      </w:r>
      <w:proofErr w:type="spellEnd"/>
    </w:p>
    <w:tbl>
      <w:tblPr>
        <w:tblStyle w:val="TabeladeLista6Colorida-nfase510"/>
        <w:tblW w:w="9639" w:type="dxa"/>
        <w:tblInd w:w="108" w:type="dxa"/>
        <w:tblLook w:val="04A0" w:firstRow="1" w:lastRow="0" w:firstColumn="1" w:lastColumn="0" w:noHBand="0" w:noVBand="1"/>
      </w:tblPr>
      <w:tblGrid>
        <w:gridCol w:w="850"/>
        <w:gridCol w:w="2244"/>
        <w:gridCol w:w="604"/>
        <w:gridCol w:w="1411"/>
        <w:gridCol w:w="1412"/>
        <w:gridCol w:w="283"/>
        <w:gridCol w:w="1417"/>
        <w:gridCol w:w="1418"/>
      </w:tblGrid>
      <w:tr w:rsidR="009C72AA" w:rsidRPr="00B84B0C" w14:paraId="753E6584" w14:textId="77777777" w:rsidTr="009C72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8EAADB"/>
              <w:bottom w:val="nil"/>
            </w:tcBorders>
            <w:shd w:val="clear" w:color="auto" w:fill="D9E2F3"/>
          </w:tcPr>
          <w:p w14:paraId="6969964A" w14:textId="77777777" w:rsidR="009C72AA" w:rsidRPr="00B84B0C" w:rsidRDefault="009C72AA" w:rsidP="009C72AA">
            <w:pPr>
              <w:pStyle w:val="08-Tabelageral"/>
              <w:jc w:val="center"/>
              <w:rPr>
                <w:rFonts w:cs="Arial"/>
              </w:rPr>
            </w:pPr>
          </w:p>
        </w:tc>
        <w:tc>
          <w:tcPr>
            <w:tcW w:w="2848" w:type="dxa"/>
            <w:gridSpan w:val="2"/>
            <w:tcBorders>
              <w:top w:val="single" w:sz="2" w:space="0" w:color="8EAADB"/>
              <w:bottom w:val="nil"/>
            </w:tcBorders>
            <w:shd w:val="clear" w:color="auto" w:fill="D9E2F3"/>
          </w:tcPr>
          <w:p w14:paraId="12B79098"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
        </w:tc>
        <w:tc>
          <w:tcPr>
            <w:tcW w:w="2823" w:type="dxa"/>
            <w:gridSpan w:val="2"/>
            <w:tcBorders>
              <w:top w:val="single" w:sz="2" w:space="0" w:color="8EAADB"/>
              <w:bottom w:val="single" w:sz="2" w:space="0" w:color="8EAADB"/>
            </w:tcBorders>
            <w:shd w:val="clear" w:color="auto" w:fill="D9E2F3"/>
          </w:tcPr>
          <w:p w14:paraId="2732C66D"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Parent</w:t>
            </w:r>
            <w:proofErr w:type="spellEnd"/>
          </w:p>
        </w:tc>
        <w:tc>
          <w:tcPr>
            <w:tcW w:w="283" w:type="dxa"/>
            <w:tcBorders>
              <w:top w:val="single" w:sz="2" w:space="0" w:color="8EAADB"/>
              <w:bottom w:val="nil"/>
            </w:tcBorders>
            <w:shd w:val="clear" w:color="auto" w:fill="D9E2F3"/>
          </w:tcPr>
          <w:p w14:paraId="61F307B5"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
        </w:tc>
        <w:tc>
          <w:tcPr>
            <w:tcW w:w="2835" w:type="dxa"/>
            <w:gridSpan w:val="2"/>
            <w:tcBorders>
              <w:top w:val="single" w:sz="2" w:space="0" w:color="8EAADB"/>
              <w:bottom w:val="nil"/>
            </w:tcBorders>
            <w:shd w:val="clear" w:color="auto" w:fill="D9E2F3"/>
          </w:tcPr>
          <w:p w14:paraId="437B88DD"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Consolidated</w:t>
            </w:r>
            <w:proofErr w:type="spellEnd"/>
          </w:p>
        </w:tc>
      </w:tr>
      <w:tr w:rsidR="009C72AA" w:rsidRPr="00B84B0C" w14:paraId="2F309D49"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tcPr>
          <w:p w14:paraId="75C973FC" w14:textId="77777777" w:rsidR="009C72AA" w:rsidRPr="00B84B0C" w:rsidRDefault="009C72AA" w:rsidP="009C72AA">
            <w:pPr>
              <w:keepNext/>
              <w:keepLines/>
              <w:spacing w:before="40" w:after="40"/>
              <w:rPr>
                <w:rFonts w:cs="Arial"/>
                <w:spacing w:val="-2"/>
                <w:sz w:val="14"/>
                <w:szCs w:val="18"/>
              </w:rPr>
            </w:pPr>
          </w:p>
        </w:tc>
        <w:tc>
          <w:tcPr>
            <w:tcW w:w="604" w:type="dxa"/>
            <w:tcBorders>
              <w:top w:val="nil"/>
              <w:bottom w:val="single" w:sz="2" w:space="0" w:color="8EAADB"/>
            </w:tcBorders>
          </w:tcPr>
          <w:p w14:paraId="4C736E47" w14:textId="77777777" w:rsidR="009C72AA" w:rsidRPr="00B84B0C" w:rsidRDefault="009C72AA" w:rsidP="009C72AA">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p>
        </w:tc>
        <w:tc>
          <w:tcPr>
            <w:tcW w:w="1411" w:type="dxa"/>
            <w:tcBorders>
              <w:top w:val="single" w:sz="2" w:space="0" w:color="8EAADB"/>
              <w:bottom w:val="single" w:sz="2" w:space="0" w:color="8EAADB"/>
            </w:tcBorders>
            <w:vAlign w:val="center"/>
          </w:tcPr>
          <w:p w14:paraId="035A6AA5" w14:textId="77777777" w:rsidR="009C72AA" w:rsidRPr="00B84B0C" w:rsidRDefault="009C72AA" w:rsidP="009C72A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r w:rsidRPr="00B84B0C">
              <w:rPr>
                <w:rFonts w:cs="Arial"/>
                <w:b/>
                <w:spacing w:val="-2"/>
                <w:sz w:val="14"/>
                <w:szCs w:val="18"/>
              </w:rPr>
              <w:t xml:space="preserve">1st </w:t>
            </w:r>
            <w:proofErr w:type="spellStart"/>
            <w:r w:rsidRPr="00B84B0C">
              <w:rPr>
                <w:rFonts w:cs="Arial"/>
                <w:b/>
                <w:spacing w:val="-2"/>
                <w:sz w:val="14"/>
                <w:szCs w:val="18"/>
              </w:rPr>
              <w:t>Quarter</w:t>
            </w:r>
            <w:proofErr w:type="spellEnd"/>
            <w:r w:rsidRPr="00B84B0C">
              <w:rPr>
                <w:rFonts w:cs="Arial"/>
                <w:b/>
                <w:spacing w:val="-2"/>
                <w:sz w:val="14"/>
                <w:szCs w:val="18"/>
              </w:rPr>
              <w:t>/2020</w:t>
            </w:r>
          </w:p>
        </w:tc>
        <w:tc>
          <w:tcPr>
            <w:tcW w:w="1412" w:type="dxa"/>
            <w:tcBorders>
              <w:top w:val="single" w:sz="2" w:space="0" w:color="8EAADB"/>
              <w:bottom w:val="single" w:sz="2" w:space="0" w:color="8EAADB"/>
            </w:tcBorders>
            <w:vAlign w:val="center"/>
          </w:tcPr>
          <w:p w14:paraId="3EB9EF0B" w14:textId="77777777" w:rsidR="009C72AA" w:rsidRPr="00B84B0C" w:rsidRDefault="009C72AA" w:rsidP="009C72A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r w:rsidRPr="00B84B0C">
              <w:rPr>
                <w:rFonts w:cs="Arial"/>
                <w:b/>
                <w:spacing w:val="-2"/>
                <w:sz w:val="14"/>
                <w:szCs w:val="18"/>
              </w:rPr>
              <w:t xml:space="preserve">1st </w:t>
            </w:r>
            <w:proofErr w:type="spellStart"/>
            <w:r w:rsidRPr="00B84B0C">
              <w:rPr>
                <w:rFonts w:cs="Arial"/>
                <w:b/>
                <w:spacing w:val="-2"/>
                <w:sz w:val="14"/>
                <w:szCs w:val="18"/>
              </w:rPr>
              <w:t>Quarter</w:t>
            </w:r>
            <w:proofErr w:type="spellEnd"/>
            <w:r w:rsidRPr="00B84B0C">
              <w:rPr>
                <w:rFonts w:cs="Arial"/>
                <w:b/>
                <w:spacing w:val="-2"/>
                <w:sz w:val="14"/>
                <w:szCs w:val="18"/>
              </w:rPr>
              <w:t>/2019</w:t>
            </w:r>
          </w:p>
        </w:tc>
        <w:tc>
          <w:tcPr>
            <w:tcW w:w="283" w:type="dxa"/>
            <w:tcBorders>
              <w:top w:val="nil"/>
              <w:bottom w:val="single" w:sz="2" w:space="0" w:color="8EAADB"/>
            </w:tcBorders>
            <w:vAlign w:val="center"/>
          </w:tcPr>
          <w:p w14:paraId="7E144E30" w14:textId="77777777" w:rsidR="009C72AA" w:rsidRPr="00B84B0C" w:rsidRDefault="009C72AA" w:rsidP="009C72A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p>
        </w:tc>
        <w:tc>
          <w:tcPr>
            <w:tcW w:w="1417" w:type="dxa"/>
            <w:tcBorders>
              <w:top w:val="single" w:sz="2" w:space="0" w:color="8EAADB"/>
              <w:bottom w:val="single" w:sz="2" w:space="0" w:color="8EAADB"/>
            </w:tcBorders>
            <w:vAlign w:val="center"/>
          </w:tcPr>
          <w:p w14:paraId="6C08756E" w14:textId="77777777" w:rsidR="009C72AA" w:rsidRPr="00B84B0C" w:rsidRDefault="009C72AA" w:rsidP="009C72A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r w:rsidRPr="00B84B0C">
              <w:rPr>
                <w:rFonts w:cs="Arial"/>
                <w:b/>
                <w:spacing w:val="-2"/>
                <w:sz w:val="14"/>
                <w:szCs w:val="18"/>
              </w:rPr>
              <w:t xml:space="preserve">1st </w:t>
            </w:r>
            <w:proofErr w:type="spellStart"/>
            <w:r w:rsidRPr="00B84B0C">
              <w:rPr>
                <w:rFonts w:cs="Arial"/>
                <w:b/>
                <w:spacing w:val="-2"/>
                <w:sz w:val="14"/>
                <w:szCs w:val="18"/>
              </w:rPr>
              <w:t>Quarter</w:t>
            </w:r>
            <w:proofErr w:type="spellEnd"/>
            <w:r w:rsidRPr="00B84B0C">
              <w:rPr>
                <w:rFonts w:cs="Arial"/>
                <w:b/>
                <w:spacing w:val="-2"/>
                <w:sz w:val="14"/>
                <w:szCs w:val="18"/>
              </w:rPr>
              <w:t>/2020</w:t>
            </w:r>
          </w:p>
        </w:tc>
        <w:tc>
          <w:tcPr>
            <w:tcW w:w="1418" w:type="dxa"/>
            <w:tcBorders>
              <w:top w:val="single" w:sz="2" w:space="0" w:color="8EAADB"/>
              <w:bottom w:val="single" w:sz="2" w:space="0" w:color="8EAADB"/>
            </w:tcBorders>
            <w:vAlign w:val="center"/>
          </w:tcPr>
          <w:p w14:paraId="1B8DEFAE" w14:textId="77777777" w:rsidR="009C72AA" w:rsidRPr="00B84B0C" w:rsidRDefault="009C72AA" w:rsidP="009C72A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r w:rsidRPr="00B84B0C">
              <w:rPr>
                <w:rFonts w:cs="Arial"/>
                <w:b/>
                <w:spacing w:val="-2"/>
                <w:sz w:val="14"/>
                <w:szCs w:val="18"/>
              </w:rPr>
              <w:t xml:space="preserve">1st </w:t>
            </w:r>
            <w:proofErr w:type="spellStart"/>
            <w:r w:rsidRPr="00B84B0C">
              <w:rPr>
                <w:rFonts w:cs="Arial"/>
                <w:b/>
                <w:spacing w:val="-2"/>
                <w:sz w:val="14"/>
                <w:szCs w:val="18"/>
              </w:rPr>
              <w:t>Quarter</w:t>
            </w:r>
            <w:proofErr w:type="spellEnd"/>
            <w:r w:rsidRPr="00B84B0C">
              <w:rPr>
                <w:rFonts w:cs="Arial"/>
                <w:b/>
                <w:spacing w:val="-2"/>
                <w:sz w:val="14"/>
                <w:szCs w:val="18"/>
              </w:rPr>
              <w:t>/2019</w:t>
            </w:r>
          </w:p>
        </w:tc>
      </w:tr>
      <w:tr w:rsidR="009C72AA" w:rsidRPr="00B84B0C" w14:paraId="370111AE"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single" w:sz="2" w:space="0" w:color="8EAADB"/>
              <w:bottom w:val="nil"/>
            </w:tcBorders>
          </w:tcPr>
          <w:p w14:paraId="770EC066" w14:textId="77777777" w:rsidR="009C72AA" w:rsidRPr="00B84B0C" w:rsidRDefault="009C72AA" w:rsidP="009C72AA">
            <w:pPr>
              <w:pStyle w:val="08-Tabelageral"/>
              <w:jc w:val="left"/>
              <w:rPr>
                <w:rFonts w:cs="Arial"/>
                <w:b w:val="0"/>
              </w:rPr>
            </w:pPr>
            <w:r w:rsidRPr="00B84B0C">
              <w:rPr>
                <w:rFonts w:cs="Arial"/>
                <w:b w:val="0"/>
              </w:rPr>
              <w:t xml:space="preserve">Salaries </w:t>
            </w:r>
          </w:p>
        </w:tc>
        <w:tc>
          <w:tcPr>
            <w:tcW w:w="604" w:type="dxa"/>
            <w:tcBorders>
              <w:top w:val="single" w:sz="2" w:space="0" w:color="8EAADB"/>
              <w:bottom w:val="nil"/>
            </w:tcBorders>
            <w:vAlign w:val="center"/>
          </w:tcPr>
          <w:p w14:paraId="0BF802D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Borders>
              <w:top w:val="single" w:sz="2" w:space="0" w:color="8EAADB"/>
              <w:bottom w:val="nil"/>
            </w:tcBorders>
            <w:vAlign w:val="center"/>
          </w:tcPr>
          <w:p w14:paraId="4490C5D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(1,422)</w:t>
            </w:r>
          </w:p>
        </w:tc>
        <w:tc>
          <w:tcPr>
            <w:tcW w:w="1412" w:type="dxa"/>
            <w:tcBorders>
              <w:top w:val="single" w:sz="2" w:space="0" w:color="8EAADB"/>
              <w:bottom w:val="nil"/>
            </w:tcBorders>
            <w:vAlign w:val="center"/>
          </w:tcPr>
          <w:p w14:paraId="0102D8F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(1,377)</w:t>
            </w:r>
          </w:p>
        </w:tc>
        <w:tc>
          <w:tcPr>
            <w:tcW w:w="283" w:type="dxa"/>
            <w:tcBorders>
              <w:top w:val="single" w:sz="2" w:space="0" w:color="8EAADB"/>
              <w:bottom w:val="nil"/>
            </w:tcBorders>
            <w:vAlign w:val="center"/>
          </w:tcPr>
          <w:p w14:paraId="654A7257"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single" w:sz="2" w:space="0" w:color="8EAADB"/>
              <w:bottom w:val="nil"/>
            </w:tcBorders>
            <w:vAlign w:val="center"/>
          </w:tcPr>
          <w:p w14:paraId="7411620C"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(8,317)</w:t>
            </w:r>
          </w:p>
        </w:tc>
        <w:tc>
          <w:tcPr>
            <w:tcW w:w="1418" w:type="dxa"/>
            <w:tcBorders>
              <w:top w:val="single" w:sz="2" w:space="0" w:color="8EAADB"/>
              <w:bottom w:val="nil"/>
            </w:tcBorders>
            <w:vAlign w:val="center"/>
          </w:tcPr>
          <w:p w14:paraId="59EB67FC"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(7,480)</w:t>
            </w:r>
          </w:p>
        </w:tc>
      </w:tr>
      <w:tr w:rsidR="009C72AA" w:rsidRPr="00B84B0C" w14:paraId="1931C17D"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3F0FFF9A" w14:textId="77777777" w:rsidR="009C72AA" w:rsidRPr="00B84B0C" w:rsidRDefault="009C72AA" w:rsidP="009C72AA">
            <w:pPr>
              <w:pStyle w:val="08-Tabelageral"/>
              <w:jc w:val="left"/>
              <w:rPr>
                <w:rFonts w:cs="Arial"/>
                <w:b w:val="0"/>
              </w:rPr>
            </w:pPr>
            <w:r w:rsidRPr="00B84B0C">
              <w:rPr>
                <w:rFonts w:cs="Arial"/>
                <w:b w:val="0"/>
              </w:rPr>
              <w:t xml:space="preserve">Social </w:t>
            </w:r>
            <w:proofErr w:type="spellStart"/>
            <w:r w:rsidRPr="00B84B0C">
              <w:rPr>
                <w:rFonts w:cs="Arial"/>
                <w:b w:val="0"/>
              </w:rPr>
              <w:t>security</w:t>
            </w:r>
            <w:proofErr w:type="spellEnd"/>
            <w:r w:rsidRPr="00B84B0C">
              <w:rPr>
                <w:rFonts w:cs="Arial"/>
                <w:b w:val="0"/>
              </w:rPr>
              <w:t xml:space="preserve"> </w:t>
            </w:r>
            <w:proofErr w:type="spellStart"/>
            <w:r w:rsidRPr="00B84B0C">
              <w:rPr>
                <w:rFonts w:cs="Arial"/>
                <w:b w:val="0"/>
              </w:rPr>
              <w:t>costs</w:t>
            </w:r>
            <w:proofErr w:type="spellEnd"/>
          </w:p>
        </w:tc>
        <w:tc>
          <w:tcPr>
            <w:tcW w:w="604" w:type="dxa"/>
            <w:tcBorders>
              <w:top w:val="nil"/>
              <w:bottom w:val="nil"/>
            </w:tcBorders>
            <w:vAlign w:val="center"/>
          </w:tcPr>
          <w:p w14:paraId="63CD840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1" w:type="dxa"/>
            <w:tcBorders>
              <w:top w:val="nil"/>
              <w:bottom w:val="nil"/>
            </w:tcBorders>
            <w:vAlign w:val="center"/>
          </w:tcPr>
          <w:p w14:paraId="5E4F96A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(812)</w:t>
            </w:r>
          </w:p>
        </w:tc>
        <w:tc>
          <w:tcPr>
            <w:tcW w:w="1412" w:type="dxa"/>
            <w:tcBorders>
              <w:top w:val="nil"/>
              <w:bottom w:val="nil"/>
            </w:tcBorders>
            <w:vAlign w:val="center"/>
          </w:tcPr>
          <w:p w14:paraId="2E544E4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(693)</w:t>
            </w:r>
          </w:p>
        </w:tc>
        <w:tc>
          <w:tcPr>
            <w:tcW w:w="283" w:type="dxa"/>
            <w:tcBorders>
              <w:top w:val="nil"/>
              <w:bottom w:val="nil"/>
            </w:tcBorders>
            <w:vAlign w:val="center"/>
          </w:tcPr>
          <w:p w14:paraId="734BD50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3F395D1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(4,610)</w:t>
            </w:r>
          </w:p>
        </w:tc>
        <w:tc>
          <w:tcPr>
            <w:tcW w:w="1418" w:type="dxa"/>
            <w:tcBorders>
              <w:top w:val="nil"/>
              <w:bottom w:val="nil"/>
            </w:tcBorders>
            <w:vAlign w:val="center"/>
          </w:tcPr>
          <w:p w14:paraId="16B42D12"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(3,704)</w:t>
            </w:r>
          </w:p>
        </w:tc>
      </w:tr>
      <w:tr w:rsidR="009C72AA" w:rsidRPr="00B84B0C" w14:paraId="47DCE545"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24D8A9DC" w14:textId="77777777" w:rsidR="009C72AA" w:rsidRPr="00B84B0C" w:rsidRDefault="009C72AA" w:rsidP="009C72AA">
            <w:pPr>
              <w:pStyle w:val="08-Tabelageral"/>
              <w:jc w:val="left"/>
              <w:rPr>
                <w:rFonts w:cs="Arial"/>
                <w:b w:val="0"/>
              </w:rPr>
            </w:pPr>
            <w:proofErr w:type="spellStart"/>
            <w:r w:rsidRPr="00B84B0C">
              <w:rPr>
                <w:rFonts w:cs="Arial"/>
                <w:b w:val="0"/>
              </w:rPr>
              <w:t>Fees</w:t>
            </w:r>
            <w:proofErr w:type="spellEnd"/>
          </w:p>
        </w:tc>
        <w:tc>
          <w:tcPr>
            <w:tcW w:w="604" w:type="dxa"/>
            <w:tcBorders>
              <w:top w:val="nil"/>
              <w:bottom w:val="nil"/>
            </w:tcBorders>
            <w:vAlign w:val="center"/>
          </w:tcPr>
          <w:p w14:paraId="26F9216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Borders>
              <w:top w:val="nil"/>
              <w:bottom w:val="nil"/>
            </w:tcBorders>
            <w:vAlign w:val="center"/>
          </w:tcPr>
          <w:p w14:paraId="3E836D5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(291)</w:t>
            </w:r>
          </w:p>
        </w:tc>
        <w:tc>
          <w:tcPr>
            <w:tcW w:w="1412" w:type="dxa"/>
            <w:tcBorders>
              <w:top w:val="nil"/>
              <w:bottom w:val="nil"/>
            </w:tcBorders>
            <w:vAlign w:val="center"/>
          </w:tcPr>
          <w:p w14:paraId="5307A02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(220)</w:t>
            </w:r>
          </w:p>
        </w:tc>
        <w:tc>
          <w:tcPr>
            <w:tcW w:w="283" w:type="dxa"/>
            <w:tcBorders>
              <w:top w:val="nil"/>
              <w:bottom w:val="nil"/>
            </w:tcBorders>
            <w:vAlign w:val="center"/>
          </w:tcPr>
          <w:p w14:paraId="66975B9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vAlign w:val="center"/>
          </w:tcPr>
          <w:p w14:paraId="57A2B4B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(959)</w:t>
            </w:r>
          </w:p>
        </w:tc>
        <w:tc>
          <w:tcPr>
            <w:tcW w:w="1418" w:type="dxa"/>
            <w:tcBorders>
              <w:top w:val="nil"/>
              <w:bottom w:val="nil"/>
            </w:tcBorders>
            <w:vAlign w:val="center"/>
          </w:tcPr>
          <w:p w14:paraId="17FC5F3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(901)</w:t>
            </w:r>
          </w:p>
        </w:tc>
      </w:tr>
      <w:tr w:rsidR="009C72AA" w:rsidRPr="00B84B0C" w14:paraId="3D7098F2"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00545552" w14:textId="77777777" w:rsidR="009C72AA" w:rsidRPr="00B84B0C" w:rsidRDefault="009C72AA" w:rsidP="009C72AA">
            <w:pPr>
              <w:pStyle w:val="08-Tabelageral"/>
              <w:jc w:val="left"/>
              <w:rPr>
                <w:rFonts w:cs="Arial"/>
                <w:b w:val="0"/>
              </w:rPr>
            </w:pPr>
            <w:proofErr w:type="spellStart"/>
            <w:r w:rsidRPr="00B84B0C">
              <w:rPr>
                <w:rFonts w:cs="Arial"/>
                <w:b w:val="0"/>
              </w:rPr>
              <w:t>Benefits</w:t>
            </w:r>
            <w:proofErr w:type="spellEnd"/>
          </w:p>
        </w:tc>
        <w:tc>
          <w:tcPr>
            <w:tcW w:w="604" w:type="dxa"/>
            <w:tcBorders>
              <w:top w:val="nil"/>
              <w:bottom w:val="nil"/>
            </w:tcBorders>
            <w:vAlign w:val="center"/>
          </w:tcPr>
          <w:p w14:paraId="3E59E8A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1" w:type="dxa"/>
            <w:tcBorders>
              <w:top w:val="nil"/>
              <w:bottom w:val="nil"/>
            </w:tcBorders>
            <w:vAlign w:val="center"/>
          </w:tcPr>
          <w:p w14:paraId="1A40366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(222)</w:t>
            </w:r>
          </w:p>
        </w:tc>
        <w:tc>
          <w:tcPr>
            <w:tcW w:w="1412" w:type="dxa"/>
            <w:tcBorders>
              <w:top w:val="nil"/>
              <w:bottom w:val="nil"/>
            </w:tcBorders>
            <w:vAlign w:val="center"/>
          </w:tcPr>
          <w:p w14:paraId="2C73D17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(172)</w:t>
            </w:r>
          </w:p>
        </w:tc>
        <w:tc>
          <w:tcPr>
            <w:tcW w:w="283" w:type="dxa"/>
            <w:tcBorders>
              <w:top w:val="nil"/>
              <w:bottom w:val="nil"/>
            </w:tcBorders>
            <w:vAlign w:val="center"/>
          </w:tcPr>
          <w:p w14:paraId="7237264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Borders>
              <w:top w:val="nil"/>
              <w:bottom w:val="nil"/>
            </w:tcBorders>
            <w:vAlign w:val="center"/>
          </w:tcPr>
          <w:p w14:paraId="48C47B8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(1,334)</w:t>
            </w:r>
          </w:p>
        </w:tc>
        <w:tc>
          <w:tcPr>
            <w:tcW w:w="1418" w:type="dxa"/>
            <w:tcBorders>
              <w:top w:val="nil"/>
              <w:bottom w:val="nil"/>
            </w:tcBorders>
            <w:vAlign w:val="center"/>
          </w:tcPr>
          <w:p w14:paraId="34C3250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(943)</w:t>
            </w:r>
          </w:p>
        </w:tc>
      </w:tr>
      <w:tr w:rsidR="009C72AA" w:rsidRPr="00B84B0C" w14:paraId="4E4D23EB"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nil"/>
            </w:tcBorders>
          </w:tcPr>
          <w:p w14:paraId="23A84B1E" w14:textId="77777777" w:rsidR="009C72AA" w:rsidRPr="00B84B0C" w:rsidRDefault="009C72AA" w:rsidP="009C72AA">
            <w:pPr>
              <w:pStyle w:val="08-Tabelageral"/>
              <w:jc w:val="left"/>
              <w:rPr>
                <w:rFonts w:cs="Arial"/>
                <w:b w:val="0"/>
              </w:rPr>
            </w:pPr>
            <w:r w:rsidRPr="00B84B0C">
              <w:rPr>
                <w:rFonts w:cs="Arial"/>
                <w:b w:val="0"/>
              </w:rPr>
              <w:t>Training</w:t>
            </w:r>
          </w:p>
        </w:tc>
        <w:tc>
          <w:tcPr>
            <w:tcW w:w="604" w:type="dxa"/>
            <w:tcBorders>
              <w:top w:val="nil"/>
              <w:bottom w:val="nil"/>
            </w:tcBorders>
            <w:vAlign w:val="center"/>
          </w:tcPr>
          <w:p w14:paraId="0A567127"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Borders>
              <w:top w:val="nil"/>
              <w:bottom w:val="nil"/>
            </w:tcBorders>
            <w:vAlign w:val="center"/>
          </w:tcPr>
          <w:p w14:paraId="313FA1F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(25)</w:t>
            </w:r>
          </w:p>
        </w:tc>
        <w:tc>
          <w:tcPr>
            <w:tcW w:w="1412" w:type="dxa"/>
            <w:tcBorders>
              <w:top w:val="nil"/>
              <w:bottom w:val="nil"/>
            </w:tcBorders>
            <w:vAlign w:val="center"/>
          </w:tcPr>
          <w:p w14:paraId="7134339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(19)</w:t>
            </w:r>
          </w:p>
        </w:tc>
        <w:tc>
          <w:tcPr>
            <w:tcW w:w="283" w:type="dxa"/>
            <w:tcBorders>
              <w:top w:val="nil"/>
              <w:bottom w:val="nil"/>
            </w:tcBorders>
            <w:vAlign w:val="center"/>
          </w:tcPr>
          <w:p w14:paraId="7AAB81D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Borders>
              <w:top w:val="nil"/>
              <w:bottom w:val="nil"/>
            </w:tcBorders>
            <w:vAlign w:val="center"/>
          </w:tcPr>
          <w:p w14:paraId="20A1F80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(215)</w:t>
            </w:r>
          </w:p>
        </w:tc>
        <w:tc>
          <w:tcPr>
            <w:tcW w:w="1418" w:type="dxa"/>
            <w:tcBorders>
              <w:top w:val="nil"/>
              <w:bottom w:val="nil"/>
            </w:tcBorders>
            <w:vAlign w:val="center"/>
          </w:tcPr>
          <w:p w14:paraId="00B5821C"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(100)</w:t>
            </w:r>
          </w:p>
        </w:tc>
      </w:tr>
      <w:tr w:rsidR="009C72AA" w:rsidRPr="00B84B0C" w14:paraId="4EAD44C7"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tcPr>
          <w:p w14:paraId="0067CD9C" w14:textId="77777777" w:rsidR="009C72AA" w:rsidRPr="00B84B0C" w:rsidRDefault="009C72AA" w:rsidP="009C72AA">
            <w:pPr>
              <w:pStyle w:val="08-Tabelageral"/>
              <w:jc w:val="left"/>
              <w:rPr>
                <w:rFonts w:cs="Arial"/>
                <w:b w:val="0"/>
              </w:rPr>
            </w:pPr>
            <w:r w:rsidRPr="00B84B0C">
              <w:rPr>
                <w:rFonts w:cs="Arial"/>
                <w:b w:val="0"/>
              </w:rPr>
              <w:t>Total</w:t>
            </w:r>
          </w:p>
        </w:tc>
        <w:tc>
          <w:tcPr>
            <w:tcW w:w="604" w:type="dxa"/>
            <w:tcBorders>
              <w:top w:val="nil"/>
              <w:bottom w:val="single" w:sz="2" w:space="0" w:color="8EAADB"/>
            </w:tcBorders>
            <w:vAlign w:val="center"/>
          </w:tcPr>
          <w:p w14:paraId="2947937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single" w:sz="2" w:space="0" w:color="8EAADB"/>
            </w:tcBorders>
            <w:vAlign w:val="center"/>
          </w:tcPr>
          <w:p w14:paraId="39F0319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(2,772)</w:t>
            </w:r>
          </w:p>
        </w:tc>
        <w:tc>
          <w:tcPr>
            <w:tcW w:w="1412" w:type="dxa"/>
            <w:tcBorders>
              <w:top w:val="nil"/>
              <w:bottom w:val="single" w:sz="2" w:space="0" w:color="8EAADB"/>
            </w:tcBorders>
            <w:vAlign w:val="center"/>
          </w:tcPr>
          <w:p w14:paraId="4EAC3AE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(2,481)</w:t>
            </w:r>
          </w:p>
        </w:tc>
        <w:tc>
          <w:tcPr>
            <w:tcW w:w="283" w:type="dxa"/>
            <w:tcBorders>
              <w:top w:val="nil"/>
              <w:bottom w:val="single" w:sz="2" w:space="0" w:color="8EAADB"/>
            </w:tcBorders>
            <w:vAlign w:val="center"/>
          </w:tcPr>
          <w:p w14:paraId="405CE58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single" w:sz="2" w:space="0" w:color="8EAADB"/>
            </w:tcBorders>
            <w:vAlign w:val="center"/>
          </w:tcPr>
          <w:p w14:paraId="46DEEAB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(15,435)</w:t>
            </w:r>
          </w:p>
        </w:tc>
        <w:tc>
          <w:tcPr>
            <w:tcW w:w="1418" w:type="dxa"/>
            <w:tcBorders>
              <w:top w:val="nil"/>
              <w:bottom w:val="single" w:sz="2" w:space="0" w:color="8EAADB"/>
            </w:tcBorders>
            <w:vAlign w:val="center"/>
          </w:tcPr>
          <w:p w14:paraId="70DFA44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(13,128)</w:t>
            </w:r>
          </w:p>
        </w:tc>
      </w:tr>
    </w:tbl>
    <w:p w14:paraId="6834672C" w14:textId="77777777" w:rsidR="009C72AA" w:rsidRPr="00B84B0C" w:rsidRDefault="009C72AA" w:rsidP="009C72AA">
      <w:pPr>
        <w:pStyle w:val="01-TtulodeNota"/>
        <w:jc w:val="left"/>
        <w:rPr>
          <w:rFonts w:cs="Arial"/>
          <w:color w:val="1F4E79" w:themeColor="accent1" w:themeShade="80"/>
        </w:rPr>
      </w:pPr>
    </w:p>
    <w:p w14:paraId="3D66FDDE" w14:textId="77777777" w:rsidR="009C72AA" w:rsidRPr="00B84B0C" w:rsidRDefault="009C72AA" w:rsidP="009C72AA">
      <w:pPr>
        <w:pStyle w:val="01-TtulodeNota"/>
        <w:jc w:val="left"/>
        <w:rPr>
          <w:rFonts w:cs="Arial"/>
          <w:color w:val="1F4E79" w:themeColor="accent1" w:themeShade="80"/>
        </w:rPr>
      </w:pPr>
    </w:p>
    <w:p w14:paraId="6CA30ED0" w14:textId="7CD36A16" w:rsidR="004009F1" w:rsidRPr="00B84B0C" w:rsidRDefault="004009F1" w:rsidP="00E72E05">
      <w:pPr>
        <w:pStyle w:val="02-TtulodeNota"/>
        <w:keepNext/>
        <w:keepLines/>
        <w:pageBreakBefore/>
        <w:rPr>
          <w:rFonts w:cs="Arial"/>
          <w:color w:val="1F4E79" w:themeColor="accent1" w:themeShade="80"/>
        </w:rPr>
      </w:pPr>
      <w:bookmarkStart w:id="36" w:name="_Toc39131506"/>
      <w:r w:rsidRPr="00B84B0C">
        <w:rPr>
          <w:rFonts w:cs="Arial"/>
          <w:color w:val="1F4E79" w:themeColor="accent1" w:themeShade="80"/>
        </w:rPr>
        <w:lastRenderedPageBreak/>
        <w:t>22 – ADMINISTRATIVE EXPENSES AND SALES</w:t>
      </w:r>
      <w:bookmarkEnd w:id="36"/>
    </w:p>
    <w:p w14:paraId="467C25E4" w14:textId="77777777" w:rsidR="004009F1" w:rsidRPr="00B84B0C" w:rsidRDefault="004009F1" w:rsidP="004009F1">
      <w:pPr>
        <w:pStyle w:val="06-Rmil"/>
        <w:rPr>
          <w:rFonts w:cs="Arial"/>
          <w:sz w:val="12"/>
          <w:szCs w:val="12"/>
        </w:rPr>
      </w:pPr>
      <w:r w:rsidRPr="00B84B0C">
        <w:rPr>
          <w:rFonts w:cs="Arial"/>
          <w:sz w:val="12"/>
          <w:szCs w:val="12"/>
        </w:rPr>
        <w:t xml:space="preserve">R$ </w:t>
      </w:r>
      <w:proofErr w:type="spellStart"/>
      <w:r w:rsidRPr="00B84B0C">
        <w:rPr>
          <w:rFonts w:cs="Arial"/>
          <w:sz w:val="12"/>
          <w:szCs w:val="12"/>
        </w:rPr>
        <w:t>thousand</w:t>
      </w:r>
      <w:proofErr w:type="spellEnd"/>
    </w:p>
    <w:tbl>
      <w:tblPr>
        <w:tblStyle w:val="TabeladeLista6Colorida-nfase510"/>
        <w:tblW w:w="9639" w:type="dxa"/>
        <w:tblInd w:w="108" w:type="dxa"/>
        <w:shd w:val="clear" w:color="auto" w:fill="D9E2F3"/>
        <w:tblLook w:val="04A0" w:firstRow="1" w:lastRow="0" w:firstColumn="1" w:lastColumn="0" w:noHBand="0" w:noVBand="1"/>
      </w:tblPr>
      <w:tblGrid>
        <w:gridCol w:w="634"/>
        <w:gridCol w:w="2244"/>
        <w:gridCol w:w="604"/>
        <w:gridCol w:w="1411"/>
        <w:gridCol w:w="1412"/>
        <w:gridCol w:w="283"/>
        <w:gridCol w:w="1417"/>
        <w:gridCol w:w="1634"/>
      </w:tblGrid>
      <w:tr w:rsidR="004009F1" w:rsidRPr="00B84B0C" w14:paraId="4C77BDD6" w14:textId="77777777" w:rsidTr="009C72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634" w:type="dxa"/>
            <w:tcBorders>
              <w:top w:val="single" w:sz="2" w:space="0" w:color="8EAADB"/>
              <w:bottom w:val="nil"/>
            </w:tcBorders>
            <w:shd w:val="clear" w:color="auto" w:fill="D9E2F3"/>
          </w:tcPr>
          <w:p w14:paraId="23C67E10" w14:textId="77777777" w:rsidR="004009F1" w:rsidRPr="00B84B0C" w:rsidRDefault="004009F1" w:rsidP="004009F1">
            <w:pPr>
              <w:keepNext/>
              <w:keepLines/>
              <w:spacing w:before="40" w:after="40"/>
              <w:jc w:val="center"/>
              <w:rPr>
                <w:rFonts w:cs="Arial"/>
                <w:b w:val="0"/>
                <w:bCs w:val="0"/>
                <w:spacing w:val="-2"/>
                <w:sz w:val="14"/>
                <w:szCs w:val="14"/>
              </w:rPr>
            </w:pPr>
          </w:p>
        </w:tc>
        <w:tc>
          <w:tcPr>
            <w:tcW w:w="2848" w:type="dxa"/>
            <w:gridSpan w:val="2"/>
            <w:tcBorders>
              <w:top w:val="single" w:sz="2" w:space="0" w:color="8EAADB"/>
              <w:bottom w:val="nil"/>
            </w:tcBorders>
            <w:shd w:val="clear" w:color="auto" w:fill="D9E2F3"/>
          </w:tcPr>
          <w:p w14:paraId="10DEE450" w14:textId="77777777" w:rsidR="004009F1" w:rsidRPr="00B84B0C" w:rsidRDefault="004009F1" w:rsidP="004009F1">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rPr>
            </w:pPr>
          </w:p>
        </w:tc>
        <w:tc>
          <w:tcPr>
            <w:tcW w:w="2823" w:type="dxa"/>
            <w:gridSpan w:val="2"/>
            <w:tcBorders>
              <w:top w:val="single" w:sz="2" w:space="0" w:color="8EAADB"/>
              <w:bottom w:val="single" w:sz="2" w:space="0" w:color="8EAADB"/>
            </w:tcBorders>
            <w:shd w:val="clear" w:color="auto" w:fill="D9E2F3"/>
          </w:tcPr>
          <w:p w14:paraId="51E982E4" w14:textId="77777777" w:rsidR="004009F1" w:rsidRPr="00B84B0C" w:rsidRDefault="004009F1" w:rsidP="004009F1">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rPr>
            </w:pPr>
            <w:proofErr w:type="spellStart"/>
            <w:r w:rsidRPr="00B84B0C">
              <w:rPr>
                <w:rFonts w:cs="Arial"/>
                <w:spacing w:val="-2"/>
                <w:sz w:val="14"/>
                <w:szCs w:val="14"/>
              </w:rPr>
              <w:t>Parent</w:t>
            </w:r>
            <w:proofErr w:type="spellEnd"/>
          </w:p>
        </w:tc>
        <w:tc>
          <w:tcPr>
            <w:tcW w:w="283" w:type="dxa"/>
            <w:tcBorders>
              <w:top w:val="single" w:sz="2" w:space="0" w:color="8EAADB"/>
              <w:bottom w:val="nil"/>
            </w:tcBorders>
            <w:shd w:val="clear" w:color="auto" w:fill="D9E2F3"/>
          </w:tcPr>
          <w:p w14:paraId="064F36A7" w14:textId="77777777" w:rsidR="004009F1" w:rsidRPr="00B84B0C" w:rsidRDefault="004009F1" w:rsidP="004009F1">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pacing w:val="-2"/>
                <w:sz w:val="14"/>
                <w:szCs w:val="14"/>
              </w:rPr>
            </w:pPr>
          </w:p>
        </w:tc>
        <w:tc>
          <w:tcPr>
            <w:tcW w:w="3051" w:type="dxa"/>
            <w:gridSpan w:val="2"/>
            <w:tcBorders>
              <w:top w:val="single" w:sz="2" w:space="0" w:color="8EAADB"/>
              <w:bottom w:val="nil"/>
            </w:tcBorders>
            <w:shd w:val="clear" w:color="auto" w:fill="D9E2F3"/>
          </w:tcPr>
          <w:p w14:paraId="27F065A2" w14:textId="77777777" w:rsidR="004009F1" w:rsidRPr="00B84B0C" w:rsidRDefault="004009F1" w:rsidP="004009F1">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rPr>
            </w:pPr>
            <w:proofErr w:type="spellStart"/>
            <w:r w:rsidRPr="00B84B0C">
              <w:rPr>
                <w:rFonts w:cs="Arial"/>
                <w:spacing w:val="-2"/>
                <w:sz w:val="14"/>
                <w:szCs w:val="14"/>
              </w:rPr>
              <w:t>Consolidated</w:t>
            </w:r>
            <w:proofErr w:type="spellEnd"/>
          </w:p>
        </w:tc>
      </w:tr>
      <w:tr w:rsidR="004009F1" w:rsidRPr="00B84B0C" w14:paraId="3BB21C51"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single" w:sz="2" w:space="0" w:color="8EAADB"/>
            </w:tcBorders>
            <w:shd w:val="clear" w:color="auto" w:fill="D9E2F3"/>
          </w:tcPr>
          <w:p w14:paraId="28BA873F" w14:textId="77777777" w:rsidR="004009F1" w:rsidRPr="00B84B0C" w:rsidRDefault="004009F1" w:rsidP="004009F1">
            <w:pPr>
              <w:keepNext/>
              <w:keepLines/>
              <w:spacing w:before="40" w:after="40"/>
              <w:rPr>
                <w:rFonts w:cs="Arial"/>
                <w:spacing w:val="-2"/>
                <w:sz w:val="14"/>
                <w:szCs w:val="14"/>
              </w:rPr>
            </w:pPr>
          </w:p>
        </w:tc>
        <w:tc>
          <w:tcPr>
            <w:tcW w:w="604" w:type="dxa"/>
            <w:tcBorders>
              <w:top w:val="nil"/>
              <w:bottom w:val="single" w:sz="2" w:space="0" w:color="8EAADB"/>
            </w:tcBorders>
            <w:shd w:val="clear" w:color="auto" w:fill="D9E2F3"/>
          </w:tcPr>
          <w:p w14:paraId="16E340D3" w14:textId="77777777" w:rsidR="004009F1" w:rsidRPr="00B84B0C" w:rsidRDefault="004009F1" w:rsidP="004009F1">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top w:val="single" w:sz="2" w:space="0" w:color="8EAADB"/>
              <w:bottom w:val="single" w:sz="2" w:space="0" w:color="8EAADB"/>
            </w:tcBorders>
            <w:shd w:val="clear" w:color="auto" w:fill="D9E2F3"/>
            <w:vAlign w:val="center"/>
          </w:tcPr>
          <w:p w14:paraId="273A9653" w14:textId="77777777" w:rsidR="004009F1" w:rsidRPr="00B84B0C" w:rsidRDefault="004009F1" w:rsidP="004009F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r w:rsidRPr="00B84B0C">
              <w:rPr>
                <w:rFonts w:cs="Arial"/>
                <w:b/>
                <w:spacing w:val="-2"/>
                <w:sz w:val="14"/>
                <w:szCs w:val="18"/>
              </w:rPr>
              <w:t xml:space="preserve">1st </w:t>
            </w:r>
            <w:proofErr w:type="spellStart"/>
            <w:r w:rsidRPr="00B84B0C">
              <w:rPr>
                <w:rFonts w:cs="Arial"/>
                <w:b/>
                <w:spacing w:val="-2"/>
                <w:sz w:val="14"/>
                <w:szCs w:val="18"/>
              </w:rPr>
              <w:t>Quarter</w:t>
            </w:r>
            <w:proofErr w:type="spellEnd"/>
            <w:r w:rsidRPr="00B84B0C">
              <w:rPr>
                <w:rFonts w:cs="Arial"/>
                <w:b/>
                <w:spacing w:val="-2"/>
                <w:sz w:val="14"/>
                <w:szCs w:val="18"/>
              </w:rPr>
              <w:t>/2020</w:t>
            </w:r>
          </w:p>
        </w:tc>
        <w:tc>
          <w:tcPr>
            <w:tcW w:w="1412" w:type="dxa"/>
            <w:tcBorders>
              <w:top w:val="single" w:sz="2" w:space="0" w:color="8EAADB"/>
              <w:bottom w:val="single" w:sz="2" w:space="0" w:color="8EAADB"/>
            </w:tcBorders>
            <w:shd w:val="clear" w:color="auto" w:fill="D9E2F3"/>
            <w:vAlign w:val="center"/>
          </w:tcPr>
          <w:p w14:paraId="0DA5C66C" w14:textId="77777777" w:rsidR="004009F1" w:rsidRPr="00B84B0C" w:rsidRDefault="004009F1" w:rsidP="004009F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r w:rsidRPr="00B84B0C">
              <w:rPr>
                <w:rFonts w:cs="Arial"/>
                <w:b/>
                <w:spacing w:val="-2"/>
                <w:sz w:val="14"/>
                <w:szCs w:val="18"/>
              </w:rPr>
              <w:t xml:space="preserve">1st </w:t>
            </w:r>
            <w:proofErr w:type="spellStart"/>
            <w:r w:rsidRPr="00B84B0C">
              <w:rPr>
                <w:rFonts w:cs="Arial"/>
                <w:b/>
                <w:spacing w:val="-2"/>
                <w:sz w:val="14"/>
                <w:szCs w:val="18"/>
              </w:rPr>
              <w:t>Quarter</w:t>
            </w:r>
            <w:proofErr w:type="spellEnd"/>
            <w:r w:rsidRPr="00B84B0C">
              <w:rPr>
                <w:rFonts w:cs="Arial"/>
                <w:b/>
                <w:spacing w:val="-2"/>
                <w:sz w:val="14"/>
                <w:szCs w:val="18"/>
              </w:rPr>
              <w:t>/2019</w:t>
            </w:r>
          </w:p>
        </w:tc>
        <w:tc>
          <w:tcPr>
            <w:tcW w:w="283" w:type="dxa"/>
            <w:tcBorders>
              <w:top w:val="nil"/>
              <w:bottom w:val="single" w:sz="2" w:space="0" w:color="8EAADB"/>
            </w:tcBorders>
            <w:shd w:val="clear" w:color="auto" w:fill="D9E2F3"/>
            <w:vAlign w:val="center"/>
          </w:tcPr>
          <w:p w14:paraId="2BB9CFAA" w14:textId="77777777" w:rsidR="004009F1" w:rsidRPr="00B84B0C" w:rsidRDefault="004009F1" w:rsidP="004009F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p>
        </w:tc>
        <w:tc>
          <w:tcPr>
            <w:tcW w:w="1417" w:type="dxa"/>
            <w:tcBorders>
              <w:top w:val="single" w:sz="2" w:space="0" w:color="8EAADB"/>
              <w:bottom w:val="single" w:sz="2" w:space="0" w:color="8EAADB"/>
            </w:tcBorders>
            <w:shd w:val="clear" w:color="auto" w:fill="D9E2F3"/>
            <w:vAlign w:val="center"/>
          </w:tcPr>
          <w:p w14:paraId="1260699A" w14:textId="77777777" w:rsidR="004009F1" w:rsidRPr="00B84B0C" w:rsidRDefault="004009F1" w:rsidP="004009F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r w:rsidRPr="00B84B0C">
              <w:rPr>
                <w:rFonts w:cs="Arial"/>
                <w:b/>
                <w:spacing w:val="-2"/>
                <w:sz w:val="14"/>
                <w:szCs w:val="18"/>
              </w:rPr>
              <w:t xml:space="preserve">1st </w:t>
            </w:r>
            <w:proofErr w:type="spellStart"/>
            <w:r w:rsidRPr="00B84B0C">
              <w:rPr>
                <w:rFonts w:cs="Arial"/>
                <w:b/>
                <w:spacing w:val="-2"/>
                <w:sz w:val="14"/>
                <w:szCs w:val="18"/>
              </w:rPr>
              <w:t>Quarter</w:t>
            </w:r>
            <w:proofErr w:type="spellEnd"/>
            <w:r w:rsidRPr="00B84B0C">
              <w:rPr>
                <w:rFonts w:cs="Arial"/>
                <w:b/>
                <w:spacing w:val="-2"/>
                <w:sz w:val="14"/>
                <w:szCs w:val="18"/>
              </w:rPr>
              <w:t>/2020</w:t>
            </w:r>
          </w:p>
        </w:tc>
        <w:tc>
          <w:tcPr>
            <w:tcW w:w="1634" w:type="dxa"/>
            <w:tcBorders>
              <w:top w:val="single" w:sz="2" w:space="0" w:color="8EAADB"/>
              <w:bottom w:val="single" w:sz="2" w:space="0" w:color="8EAADB"/>
            </w:tcBorders>
            <w:shd w:val="clear" w:color="auto" w:fill="D9E2F3"/>
            <w:vAlign w:val="center"/>
          </w:tcPr>
          <w:p w14:paraId="17BFFF4E" w14:textId="77777777" w:rsidR="004009F1" w:rsidRPr="00B84B0C" w:rsidRDefault="004009F1" w:rsidP="004009F1">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8"/>
              </w:rPr>
            </w:pPr>
            <w:r w:rsidRPr="00B84B0C">
              <w:rPr>
                <w:rFonts w:cs="Arial"/>
                <w:b/>
                <w:spacing w:val="-2"/>
                <w:sz w:val="14"/>
                <w:szCs w:val="18"/>
              </w:rPr>
              <w:t xml:space="preserve">1st </w:t>
            </w:r>
            <w:proofErr w:type="spellStart"/>
            <w:r w:rsidRPr="00B84B0C">
              <w:rPr>
                <w:rFonts w:cs="Arial"/>
                <w:b/>
                <w:spacing w:val="-2"/>
                <w:sz w:val="14"/>
                <w:szCs w:val="18"/>
              </w:rPr>
              <w:t>Quarter</w:t>
            </w:r>
            <w:proofErr w:type="spellEnd"/>
            <w:r w:rsidRPr="00B84B0C">
              <w:rPr>
                <w:rFonts w:cs="Arial"/>
                <w:b/>
                <w:spacing w:val="-2"/>
                <w:sz w:val="14"/>
                <w:szCs w:val="18"/>
              </w:rPr>
              <w:t>/2019</w:t>
            </w:r>
          </w:p>
        </w:tc>
      </w:tr>
      <w:tr w:rsidR="004009F1" w:rsidRPr="00B84B0C" w14:paraId="0D362D4B"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FFFFFF" w:themeFill="background1"/>
          </w:tcPr>
          <w:p w14:paraId="3AF5261E" w14:textId="77777777" w:rsidR="004009F1" w:rsidRPr="00B84B0C" w:rsidRDefault="004009F1" w:rsidP="004009F1">
            <w:pPr>
              <w:pStyle w:val="08-Tabelageral"/>
              <w:jc w:val="left"/>
              <w:rPr>
                <w:rFonts w:cs="Arial"/>
                <w:szCs w:val="14"/>
              </w:rPr>
            </w:pPr>
            <w:r w:rsidRPr="00B84B0C">
              <w:rPr>
                <w:rFonts w:cs="Arial"/>
                <w:b w:val="0"/>
                <w:szCs w:val="14"/>
              </w:rPr>
              <w:t xml:space="preserve">Data </w:t>
            </w:r>
            <w:proofErr w:type="spellStart"/>
            <w:r w:rsidRPr="00B84B0C">
              <w:rPr>
                <w:rFonts w:cs="Arial"/>
                <w:b w:val="0"/>
                <w:szCs w:val="14"/>
              </w:rPr>
              <w:t>processing</w:t>
            </w:r>
            <w:proofErr w:type="spellEnd"/>
          </w:p>
        </w:tc>
        <w:tc>
          <w:tcPr>
            <w:tcW w:w="604" w:type="dxa"/>
            <w:tcBorders>
              <w:top w:val="nil"/>
              <w:bottom w:val="nil"/>
            </w:tcBorders>
            <w:shd w:val="clear" w:color="auto" w:fill="FFFFFF" w:themeFill="background1"/>
            <w:vAlign w:val="center"/>
          </w:tcPr>
          <w:p w14:paraId="69C42CCE"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nil"/>
            </w:tcBorders>
            <w:shd w:val="clear" w:color="auto" w:fill="FFFFFF" w:themeFill="background1"/>
            <w:vAlign w:val="center"/>
          </w:tcPr>
          <w:p w14:paraId="25F7C7DC"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(294)</w:t>
            </w:r>
          </w:p>
        </w:tc>
        <w:tc>
          <w:tcPr>
            <w:tcW w:w="1412" w:type="dxa"/>
            <w:tcBorders>
              <w:top w:val="nil"/>
              <w:bottom w:val="nil"/>
            </w:tcBorders>
            <w:shd w:val="clear" w:color="auto" w:fill="FFFFFF" w:themeFill="background1"/>
            <w:vAlign w:val="center"/>
          </w:tcPr>
          <w:p w14:paraId="2DBB016A"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(136)</w:t>
            </w:r>
          </w:p>
        </w:tc>
        <w:tc>
          <w:tcPr>
            <w:tcW w:w="283" w:type="dxa"/>
            <w:tcBorders>
              <w:top w:val="nil"/>
              <w:bottom w:val="nil"/>
            </w:tcBorders>
            <w:shd w:val="clear" w:color="auto" w:fill="FFFFFF" w:themeFill="background1"/>
            <w:vAlign w:val="center"/>
          </w:tcPr>
          <w:p w14:paraId="7A3205B6"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6C121EE3"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(1,462)</w:t>
            </w:r>
          </w:p>
        </w:tc>
        <w:tc>
          <w:tcPr>
            <w:tcW w:w="1634" w:type="dxa"/>
            <w:tcBorders>
              <w:top w:val="nil"/>
              <w:bottom w:val="nil"/>
            </w:tcBorders>
            <w:shd w:val="clear" w:color="auto" w:fill="FFFFFF" w:themeFill="background1"/>
            <w:vAlign w:val="center"/>
          </w:tcPr>
          <w:p w14:paraId="0E37C967"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(616)</w:t>
            </w:r>
          </w:p>
        </w:tc>
      </w:tr>
      <w:tr w:rsidR="004009F1" w:rsidRPr="00B84B0C" w14:paraId="231D6921"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D9E2F3"/>
          </w:tcPr>
          <w:p w14:paraId="7274448D" w14:textId="77777777" w:rsidR="004009F1" w:rsidRPr="00B84B0C" w:rsidRDefault="004009F1" w:rsidP="004009F1">
            <w:pPr>
              <w:pStyle w:val="08-Tabelageral"/>
              <w:jc w:val="left"/>
              <w:rPr>
                <w:rFonts w:cs="Arial"/>
                <w:szCs w:val="14"/>
              </w:rPr>
            </w:pPr>
            <w:proofErr w:type="spellStart"/>
            <w:r w:rsidRPr="00B84B0C">
              <w:rPr>
                <w:rFonts w:cs="Arial"/>
                <w:b w:val="0"/>
                <w:szCs w:val="14"/>
              </w:rPr>
              <w:t>Rent</w:t>
            </w:r>
            <w:proofErr w:type="spellEnd"/>
            <w:r w:rsidRPr="00B84B0C">
              <w:rPr>
                <w:rFonts w:cs="Arial"/>
                <w:b w:val="0"/>
                <w:szCs w:val="14"/>
              </w:rPr>
              <w:t xml:space="preserve"> </w:t>
            </w:r>
            <w:proofErr w:type="spellStart"/>
            <w:r w:rsidRPr="00B84B0C">
              <w:rPr>
                <w:rFonts w:cs="Arial"/>
                <w:b w:val="0"/>
                <w:szCs w:val="14"/>
              </w:rPr>
              <w:t>expenses</w:t>
            </w:r>
            <w:proofErr w:type="spellEnd"/>
            <w:r w:rsidRPr="00B84B0C">
              <w:rPr>
                <w:rFonts w:cs="Arial"/>
                <w:b w:val="0"/>
                <w:szCs w:val="14"/>
              </w:rPr>
              <w:t xml:space="preserve"> </w:t>
            </w:r>
            <w:proofErr w:type="spellStart"/>
            <w:r w:rsidRPr="00B84B0C">
              <w:rPr>
                <w:rFonts w:cs="Arial"/>
                <w:b w:val="0"/>
                <w:szCs w:val="14"/>
              </w:rPr>
              <w:t>and</w:t>
            </w:r>
            <w:proofErr w:type="spellEnd"/>
            <w:r w:rsidRPr="00B84B0C">
              <w:rPr>
                <w:rFonts w:cs="Arial"/>
                <w:b w:val="0"/>
                <w:szCs w:val="14"/>
              </w:rPr>
              <w:t xml:space="preserve"> </w:t>
            </w:r>
            <w:proofErr w:type="spellStart"/>
            <w:r w:rsidRPr="00B84B0C">
              <w:rPr>
                <w:rFonts w:cs="Arial"/>
                <w:b w:val="0"/>
                <w:szCs w:val="14"/>
              </w:rPr>
              <w:t>Condominium</w:t>
            </w:r>
            <w:proofErr w:type="spellEnd"/>
            <w:r w:rsidRPr="00B84B0C">
              <w:rPr>
                <w:rFonts w:cs="Arial"/>
                <w:b w:val="0"/>
                <w:szCs w:val="14"/>
              </w:rPr>
              <w:t xml:space="preserve"> </w:t>
            </w:r>
            <w:proofErr w:type="spellStart"/>
            <w:r w:rsidRPr="00B84B0C">
              <w:rPr>
                <w:rFonts w:cs="Arial"/>
                <w:b w:val="0"/>
                <w:szCs w:val="14"/>
              </w:rPr>
              <w:t>fee</w:t>
            </w:r>
            <w:proofErr w:type="spellEnd"/>
          </w:p>
        </w:tc>
        <w:tc>
          <w:tcPr>
            <w:tcW w:w="604" w:type="dxa"/>
            <w:tcBorders>
              <w:top w:val="nil"/>
              <w:bottom w:val="nil"/>
            </w:tcBorders>
            <w:shd w:val="clear" w:color="auto" w:fill="D9E2F3"/>
            <w:vAlign w:val="center"/>
          </w:tcPr>
          <w:p w14:paraId="7176B8CD"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shd w:val="clear" w:color="auto" w:fill="D9E2F3"/>
            <w:vAlign w:val="center"/>
          </w:tcPr>
          <w:p w14:paraId="729C79BF"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(245)</w:t>
            </w:r>
          </w:p>
        </w:tc>
        <w:tc>
          <w:tcPr>
            <w:tcW w:w="1412" w:type="dxa"/>
            <w:tcBorders>
              <w:top w:val="nil"/>
              <w:bottom w:val="nil"/>
            </w:tcBorders>
            <w:shd w:val="clear" w:color="auto" w:fill="D9E2F3"/>
            <w:vAlign w:val="center"/>
          </w:tcPr>
          <w:p w14:paraId="77F7762A"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(225)</w:t>
            </w:r>
          </w:p>
        </w:tc>
        <w:tc>
          <w:tcPr>
            <w:tcW w:w="283" w:type="dxa"/>
            <w:tcBorders>
              <w:top w:val="nil"/>
              <w:bottom w:val="nil"/>
            </w:tcBorders>
            <w:shd w:val="clear" w:color="auto" w:fill="D9E2F3"/>
            <w:vAlign w:val="center"/>
          </w:tcPr>
          <w:p w14:paraId="6B7D2B1B"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3BEBA2C5"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(1,185)</w:t>
            </w:r>
          </w:p>
        </w:tc>
        <w:tc>
          <w:tcPr>
            <w:tcW w:w="1634" w:type="dxa"/>
            <w:tcBorders>
              <w:top w:val="nil"/>
              <w:bottom w:val="nil"/>
            </w:tcBorders>
            <w:shd w:val="clear" w:color="auto" w:fill="D9E2F3"/>
            <w:vAlign w:val="center"/>
          </w:tcPr>
          <w:p w14:paraId="59D03210"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(1,120)</w:t>
            </w:r>
          </w:p>
        </w:tc>
      </w:tr>
      <w:tr w:rsidR="004009F1" w:rsidRPr="00B84B0C" w14:paraId="1E33D5DF"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FFFFFF" w:themeFill="background1"/>
          </w:tcPr>
          <w:p w14:paraId="3A56DE3F" w14:textId="77777777" w:rsidR="004009F1" w:rsidRPr="00B84B0C" w:rsidRDefault="004009F1" w:rsidP="004009F1">
            <w:pPr>
              <w:pStyle w:val="08-Tabelageral"/>
              <w:jc w:val="left"/>
              <w:rPr>
                <w:rFonts w:cs="Arial"/>
                <w:szCs w:val="14"/>
              </w:rPr>
            </w:pPr>
            <w:r w:rsidRPr="00B84B0C">
              <w:rPr>
                <w:rFonts w:cs="Arial"/>
                <w:b w:val="0"/>
                <w:szCs w:val="14"/>
              </w:rPr>
              <w:t xml:space="preserve">Service </w:t>
            </w:r>
            <w:proofErr w:type="spellStart"/>
            <w:r w:rsidRPr="00B84B0C">
              <w:rPr>
                <w:rFonts w:cs="Arial"/>
                <w:b w:val="0"/>
                <w:szCs w:val="14"/>
              </w:rPr>
              <w:t>Travel</w:t>
            </w:r>
            <w:proofErr w:type="spellEnd"/>
          </w:p>
        </w:tc>
        <w:tc>
          <w:tcPr>
            <w:tcW w:w="604" w:type="dxa"/>
            <w:tcBorders>
              <w:top w:val="nil"/>
              <w:bottom w:val="nil"/>
            </w:tcBorders>
            <w:shd w:val="clear" w:color="auto" w:fill="FFFFFF" w:themeFill="background1"/>
            <w:vAlign w:val="center"/>
          </w:tcPr>
          <w:p w14:paraId="3198E6C3"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nil"/>
            </w:tcBorders>
            <w:shd w:val="clear" w:color="auto" w:fill="FFFFFF" w:themeFill="background1"/>
            <w:vAlign w:val="center"/>
          </w:tcPr>
          <w:p w14:paraId="51D99271"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(154)</w:t>
            </w:r>
          </w:p>
        </w:tc>
        <w:tc>
          <w:tcPr>
            <w:tcW w:w="1412" w:type="dxa"/>
            <w:tcBorders>
              <w:top w:val="nil"/>
              <w:bottom w:val="nil"/>
            </w:tcBorders>
            <w:shd w:val="clear" w:color="auto" w:fill="FFFFFF" w:themeFill="background1"/>
            <w:vAlign w:val="center"/>
          </w:tcPr>
          <w:p w14:paraId="22D3DD75"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(62)</w:t>
            </w:r>
          </w:p>
        </w:tc>
        <w:tc>
          <w:tcPr>
            <w:tcW w:w="283" w:type="dxa"/>
            <w:tcBorders>
              <w:top w:val="nil"/>
              <w:bottom w:val="nil"/>
            </w:tcBorders>
            <w:shd w:val="clear" w:color="auto" w:fill="FFFFFF" w:themeFill="background1"/>
            <w:vAlign w:val="center"/>
          </w:tcPr>
          <w:p w14:paraId="34E39444"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19BBC87A"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(980)</w:t>
            </w:r>
          </w:p>
        </w:tc>
        <w:tc>
          <w:tcPr>
            <w:tcW w:w="1634" w:type="dxa"/>
            <w:tcBorders>
              <w:top w:val="nil"/>
              <w:bottom w:val="nil"/>
            </w:tcBorders>
            <w:shd w:val="clear" w:color="auto" w:fill="FFFFFF" w:themeFill="background1"/>
            <w:vAlign w:val="center"/>
          </w:tcPr>
          <w:p w14:paraId="5406A6A4"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(278)</w:t>
            </w:r>
          </w:p>
        </w:tc>
      </w:tr>
      <w:tr w:rsidR="004009F1" w:rsidRPr="00B84B0C" w14:paraId="4801C95A"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D9E2F3"/>
          </w:tcPr>
          <w:p w14:paraId="45A07BE4" w14:textId="77777777" w:rsidR="004009F1" w:rsidRPr="00B84B0C" w:rsidRDefault="004009F1" w:rsidP="004009F1">
            <w:pPr>
              <w:pStyle w:val="08-Tabelageral"/>
              <w:jc w:val="left"/>
              <w:rPr>
                <w:rFonts w:cs="Arial"/>
                <w:szCs w:val="14"/>
              </w:rPr>
            </w:pPr>
            <w:proofErr w:type="spellStart"/>
            <w:r w:rsidRPr="00B84B0C">
              <w:rPr>
                <w:rFonts w:cs="Arial"/>
                <w:b w:val="0"/>
                <w:szCs w:val="14"/>
              </w:rPr>
              <w:t>Specialized</w:t>
            </w:r>
            <w:proofErr w:type="spellEnd"/>
            <w:r w:rsidRPr="00B84B0C">
              <w:rPr>
                <w:rFonts w:cs="Arial"/>
                <w:b w:val="0"/>
                <w:szCs w:val="14"/>
              </w:rPr>
              <w:t xml:space="preserve"> </w:t>
            </w:r>
            <w:proofErr w:type="spellStart"/>
            <w:r w:rsidRPr="00B84B0C">
              <w:rPr>
                <w:rFonts w:cs="Arial"/>
                <w:b w:val="0"/>
                <w:szCs w:val="14"/>
              </w:rPr>
              <w:t>technical</w:t>
            </w:r>
            <w:proofErr w:type="spellEnd"/>
            <w:r w:rsidRPr="00B84B0C">
              <w:rPr>
                <w:rFonts w:cs="Arial"/>
                <w:b w:val="0"/>
                <w:szCs w:val="14"/>
              </w:rPr>
              <w:t xml:space="preserve"> </w:t>
            </w:r>
            <w:proofErr w:type="spellStart"/>
            <w:r w:rsidRPr="00B84B0C">
              <w:rPr>
                <w:rFonts w:cs="Arial"/>
                <w:b w:val="0"/>
                <w:szCs w:val="14"/>
              </w:rPr>
              <w:t>services</w:t>
            </w:r>
            <w:proofErr w:type="spellEnd"/>
          </w:p>
        </w:tc>
        <w:tc>
          <w:tcPr>
            <w:tcW w:w="604" w:type="dxa"/>
            <w:tcBorders>
              <w:top w:val="nil"/>
              <w:bottom w:val="nil"/>
            </w:tcBorders>
            <w:shd w:val="clear" w:color="auto" w:fill="D9E2F3"/>
            <w:vAlign w:val="center"/>
          </w:tcPr>
          <w:p w14:paraId="38BDB64A"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shd w:val="clear" w:color="auto" w:fill="D9E2F3"/>
            <w:vAlign w:val="center"/>
          </w:tcPr>
          <w:p w14:paraId="61071444"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(60)</w:t>
            </w:r>
          </w:p>
        </w:tc>
        <w:tc>
          <w:tcPr>
            <w:tcW w:w="1412" w:type="dxa"/>
            <w:tcBorders>
              <w:top w:val="nil"/>
              <w:bottom w:val="nil"/>
            </w:tcBorders>
            <w:shd w:val="clear" w:color="auto" w:fill="D9E2F3"/>
            <w:vAlign w:val="center"/>
          </w:tcPr>
          <w:p w14:paraId="67A1574F"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(62)</w:t>
            </w:r>
          </w:p>
        </w:tc>
        <w:tc>
          <w:tcPr>
            <w:tcW w:w="283" w:type="dxa"/>
            <w:tcBorders>
              <w:top w:val="nil"/>
              <w:bottom w:val="nil"/>
            </w:tcBorders>
            <w:shd w:val="clear" w:color="auto" w:fill="D9E2F3"/>
            <w:vAlign w:val="center"/>
          </w:tcPr>
          <w:p w14:paraId="339F4D0A"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015B3C39"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(509)</w:t>
            </w:r>
          </w:p>
        </w:tc>
        <w:tc>
          <w:tcPr>
            <w:tcW w:w="1634" w:type="dxa"/>
            <w:tcBorders>
              <w:top w:val="nil"/>
              <w:bottom w:val="nil"/>
            </w:tcBorders>
            <w:shd w:val="clear" w:color="auto" w:fill="D9E2F3"/>
            <w:vAlign w:val="center"/>
          </w:tcPr>
          <w:p w14:paraId="2422040A"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(509)</w:t>
            </w:r>
          </w:p>
        </w:tc>
      </w:tr>
      <w:tr w:rsidR="004009F1" w:rsidRPr="00B84B0C" w14:paraId="045DB04F"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FFFFFF" w:themeFill="background1"/>
          </w:tcPr>
          <w:p w14:paraId="07965F3F" w14:textId="77777777" w:rsidR="004009F1" w:rsidRPr="00B84B0C" w:rsidRDefault="004009F1" w:rsidP="004009F1">
            <w:pPr>
              <w:pStyle w:val="08-Tabelageral"/>
              <w:jc w:val="left"/>
              <w:rPr>
                <w:rFonts w:cs="Arial"/>
                <w:szCs w:val="14"/>
              </w:rPr>
            </w:pPr>
            <w:proofErr w:type="spellStart"/>
            <w:r w:rsidRPr="00B84B0C">
              <w:rPr>
                <w:rFonts w:cs="Arial"/>
                <w:b w:val="0"/>
                <w:szCs w:val="14"/>
              </w:rPr>
              <w:t>Donation</w:t>
            </w:r>
            <w:proofErr w:type="spellEnd"/>
            <w:r w:rsidRPr="00B84B0C">
              <w:rPr>
                <w:rFonts w:cs="Arial"/>
                <w:b w:val="0"/>
                <w:szCs w:val="14"/>
              </w:rPr>
              <w:t xml:space="preserve"> </w:t>
            </w:r>
            <w:proofErr w:type="spellStart"/>
            <w:r w:rsidRPr="00B84B0C">
              <w:rPr>
                <w:rFonts w:cs="Arial"/>
                <w:b w:val="0"/>
                <w:szCs w:val="14"/>
              </w:rPr>
              <w:t>and</w:t>
            </w:r>
            <w:proofErr w:type="spellEnd"/>
            <w:r w:rsidRPr="00B84B0C">
              <w:rPr>
                <w:rFonts w:cs="Arial"/>
                <w:b w:val="0"/>
                <w:szCs w:val="14"/>
              </w:rPr>
              <w:t xml:space="preserve"> </w:t>
            </w:r>
            <w:proofErr w:type="spellStart"/>
            <w:r w:rsidRPr="00B84B0C">
              <w:rPr>
                <w:rFonts w:cs="Arial"/>
                <w:b w:val="0"/>
                <w:szCs w:val="14"/>
              </w:rPr>
              <w:t>sponsorship</w:t>
            </w:r>
            <w:proofErr w:type="spellEnd"/>
            <w:r w:rsidRPr="00B84B0C">
              <w:rPr>
                <w:rFonts w:cs="Arial"/>
                <w:b w:val="0"/>
                <w:szCs w:val="14"/>
              </w:rPr>
              <w:t xml:space="preserve"> </w:t>
            </w:r>
            <w:proofErr w:type="spellStart"/>
            <w:r w:rsidRPr="00B84B0C">
              <w:rPr>
                <w:rFonts w:cs="Arial"/>
                <w:b w:val="0"/>
                <w:szCs w:val="14"/>
              </w:rPr>
              <w:t>expenses</w:t>
            </w:r>
            <w:proofErr w:type="spellEnd"/>
          </w:p>
        </w:tc>
        <w:tc>
          <w:tcPr>
            <w:tcW w:w="604" w:type="dxa"/>
            <w:tcBorders>
              <w:top w:val="nil"/>
              <w:bottom w:val="nil"/>
            </w:tcBorders>
            <w:shd w:val="clear" w:color="auto" w:fill="FFFFFF" w:themeFill="background1"/>
            <w:vAlign w:val="center"/>
          </w:tcPr>
          <w:p w14:paraId="2ED0B214"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nil"/>
            </w:tcBorders>
            <w:shd w:val="clear" w:color="auto" w:fill="FFFFFF" w:themeFill="background1"/>
            <w:vAlign w:val="center"/>
          </w:tcPr>
          <w:p w14:paraId="174C79F7"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shd w:val="clear" w:color="auto" w:fill="FFFFFF" w:themeFill="background1"/>
            <w:vAlign w:val="center"/>
          </w:tcPr>
          <w:p w14:paraId="6BEFC441"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283" w:type="dxa"/>
            <w:tcBorders>
              <w:top w:val="nil"/>
              <w:bottom w:val="nil"/>
            </w:tcBorders>
            <w:shd w:val="clear" w:color="auto" w:fill="FFFFFF" w:themeFill="background1"/>
            <w:vAlign w:val="center"/>
          </w:tcPr>
          <w:p w14:paraId="6848F569"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51FBAA77"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(400)</w:t>
            </w:r>
          </w:p>
        </w:tc>
        <w:tc>
          <w:tcPr>
            <w:tcW w:w="1634" w:type="dxa"/>
            <w:tcBorders>
              <w:top w:val="nil"/>
              <w:bottom w:val="nil"/>
            </w:tcBorders>
            <w:shd w:val="clear" w:color="auto" w:fill="FFFFFF" w:themeFill="background1"/>
            <w:vAlign w:val="center"/>
          </w:tcPr>
          <w:p w14:paraId="3EC77198"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(2,000)</w:t>
            </w:r>
          </w:p>
        </w:tc>
      </w:tr>
      <w:tr w:rsidR="004009F1" w:rsidRPr="00B84B0C" w14:paraId="6A0AB3F8"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D9E2F3"/>
          </w:tcPr>
          <w:p w14:paraId="1941833E" w14:textId="77777777" w:rsidR="004009F1" w:rsidRPr="00B84B0C" w:rsidRDefault="004009F1" w:rsidP="004009F1">
            <w:pPr>
              <w:pStyle w:val="08-Tabelageral"/>
              <w:jc w:val="left"/>
              <w:rPr>
                <w:rFonts w:cs="Arial"/>
                <w:b w:val="0"/>
                <w:szCs w:val="14"/>
              </w:rPr>
            </w:pPr>
            <w:proofErr w:type="spellStart"/>
            <w:r w:rsidRPr="00B84B0C">
              <w:rPr>
                <w:rFonts w:cs="Arial"/>
                <w:b w:val="0"/>
                <w:szCs w:val="14"/>
              </w:rPr>
              <w:t>Costs</w:t>
            </w:r>
            <w:proofErr w:type="spellEnd"/>
            <w:r w:rsidRPr="00B84B0C">
              <w:rPr>
                <w:rFonts w:cs="Arial"/>
                <w:b w:val="0"/>
                <w:szCs w:val="14"/>
              </w:rPr>
              <w:t xml:space="preserve"> </w:t>
            </w:r>
            <w:proofErr w:type="spellStart"/>
            <w:r w:rsidRPr="00B84B0C">
              <w:rPr>
                <w:rFonts w:cs="Arial"/>
                <w:b w:val="0"/>
                <w:szCs w:val="14"/>
              </w:rPr>
              <w:t>communicating</w:t>
            </w:r>
            <w:proofErr w:type="spellEnd"/>
          </w:p>
        </w:tc>
        <w:tc>
          <w:tcPr>
            <w:tcW w:w="604" w:type="dxa"/>
            <w:tcBorders>
              <w:top w:val="nil"/>
              <w:bottom w:val="nil"/>
            </w:tcBorders>
            <w:shd w:val="clear" w:color="auto" w:fill="D9E2F3"/>
            <w:vAlign w:val="center"/>
          </w:tcPr>
          <w:p w14:paraId="0154B260"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shd w:val="clear" w:color="auto" w:fill="D9E2F3"/>
            <w:vAlign w:val="center"/>
          </w:tcPr>
          <w:p w14:paraId="294BBFFA"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(50)</w:t>
            </w:r>
          </w:p>
        </w:tc>
        <w:tc>
          <w:tcPr>
            <w:tcW w:w="1412" w:type="dxa"/>
            <w:tcBorders>
              <w:top w:val="nil"/>
              <w:bottom w:val="nil"/>
            </w:tcBorders>
            <w:shd w:val="clear" w:color="auto" w:fill="D9E2F3"/>
            <w:vAlign w:val="center"/>
          </w:tcPr>
          <w:p w14:paraId="5A10AF04"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(31)</w:t>
            </w:r>
          </w:p>
        </w:tc>
        <w:tc>
          <w:tcPr>
            <w:tcW w:w="283" w:type="dxa"/>
            <w:tcBorders>
              <w:top w:val="nil"/>
              <w:bottom w:val="nil"/>
            </w:tcBorders>
            <w:shd w:val="clear" w:color="auto" w:fill="D9E2F3"/>
            <w:vAlign w:val="center"/>
          </w:tcPr>
          <w:p w14:paraId="4D16FF96"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0657F875"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(332)</w:t>
            </w:r>
          </w:p>
        </w:tc>
        <w:tc>
          <w:tcPr>
            <w:tcW w:w="1634" w:type="dxa"/>
            <w:tcBorders>
              <w:top w:val="nil"/>
              <w:bottom w:val="nil"/>
            </w:tcBorders>
            <w:shd w:val="clear" w:color="auto" w:fill="D9E2F3"/>
            <w:vAlign w:val="center"/>
          </w:tcPr>
          <w:p w14:paraId="77E3679C"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(215)</w:t>
            </w:r>
          </w:p>
        </w:tc>
      </w:tr>
      <w:tr w:rsidR="004009F1" w:rsidRPr="00B84B0C" w14:paraId="5FF7A2CA"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FFFFFF" w:themeFill="background1"/>
          </w:tcPr>
          <w:p w14:paraId="37A72B4D" w14:textId="77777777" w:rsidR="004009F1" w:rsidRPr="00B84B0C" w:rsidRDefault="004009F1" w:rsidP="004009F1">
            <w:pPr>
              <w:pStyle w:val="08-Tabelageral"/>
              <w:jc w:val="left"/>
              <w:rPr>
                <w:rFonts w:cs="Arial"/>
                <w:b w:val="0"/>
                <w:szCs w:val="14"/>
              </w:rPr>
            </w:pPr>
            <w:r w:rsidRPr="00B84B0C">
              <w:rPr>
                <w:rFonts w:cs="Arial"/>
                <w:b w:val="0"/>
                <w:szCs w:val="14"/>
              </w:rPr>
              <w:t xml:space="preserve">Services </w:t>
            </w:r>
            <w:proofErr w:type="spellStart"/>
            <w:r w:rsidRPr="00B84B0C">
              <w:rPr>
                <w:rFonts w:cs="Arial"/>
                <w:b w:val="0"/>
                <w:szCs w:val="14"/>
              </w:rPr>
              <w:t>contracted</w:t>
            </w:r>
            <w:proofErr w:type="spellEnd"/>
            <w:r w:rsidRPr="00B84B0C">
              <w:rPr>
                <w:rFonts w:cs="Arial"/>
                <w:b w:val="0"/>
                <w:szCs w:val="14"/>
              </w:rPr>
              <w:t xml:space="preserve"> </w:t>
            </w:r>
            <w:proofErr w:type="spellStart"/>
            <w:r w:rsidRPr="00B84B0C">
              <w:rPr>
                <w:rFonts w:cs="Arial"/>
                <w:b w:val="0"/>
                <w:szCs w:val="14"/>
              </w:rPr>
              <w:t>from</w:t>
            </w:r>
            <w:proofErr w:type="spellEnd"/>
            <w:r w:rsidRPr="00B84B0C">
              <w:rPr>
                <w:rFonts w:cs="Arial"/>
                <w:b w:val="0"/>
                <w:szCs w:val="14"/>
              </w:rPr>
              <w:t xml:space="preserve"> </w:t>
            </w:r>
            <w:proofErr w:type="spellStart"/>
            <w:r w:rsidRPr="00B84B0C">
              <w:rPr>
                <w:rFonts w:cs="Arial"/>
                <w:b w:val="0"/>
                <w:szCs w:val="14"/>
              </w:rPr>
              <w:t>third</w:t>
            </w:r>
            <w:proofErr w:type="spellEnd"/>
            <w:r w:rsidRPr="00B84B0C">
              <w:rPr>
                <w:rFonts w:cs="Arial"/>
                <w:b w:val="0"/>
                <w:szCs w:val="14"/>
              </w:rPr>
              <w:t xml:space="preserve"> </w:t>
            </w:r>
            <w:proofErr w:type="spellStart"/>
            <w:r w:rsidRPr="00B84B0C">
              <w:rPr>
                <w:rFonts w:cs="Arial"/>
                <w:b w:val="0"/>
                <w:szCs w:val="14"/>
              </w:rPr>
              <w:t>parties</w:t>
            </w:r>
            <w:proofErr w:type="spellEnd"/>
          </w:p>
        </w:tc>
        <w:tc>
          <w:tcPr>
            <w:tcW w:w="604" w:type="dxa"/>
            <w:tcBorders>
              <w:top w:val="nil"/>
              <w:bottom w:val="nil"/>
            </w:tcBorders>
            <w:shd w:val="clear" w:color="auto" w:fill="FFFFFF" w:themeFill="background1"/>
            <w:vAlign w:val="center"/>
          </w:tcPr>
          <w:p w14:paraId="23350CA1"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nil"/>
            </w:tcBorders>
            <w:shd w:val="clear" w:color="auto" w:fill="FFFFFF" w:themeFill="background1"/>
            <w:vAlign w:val="center"/>
          </w:tcPr>
          <w:p w14:paraId="4532464B"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(9)</w:t>
            </w:r>
          </w:p>
        </w:tc>
        <w:tc>
          <w:tcPr>
            <w:tcW w:w="1412" w:type="dxa"/>
            <w:tcBorders>
              <w:top w:val="nil"/>
              <w:bottom w:val="nil"/>
            </w:tcBorders>
            <w:shd w:val="clear" w:color="auto" w:fill="FFFFFF" w:themeFill="background1"/>
            <w:vAlign w:val="center"/>
          </w:tcPr>
          <w:p w14:paraId="34BF81DD"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(6)</w:t>
            </w:r>
          </w:p>
        </w:tc>
        <w:tc>
          <w:tcPr>
            <w:tcW w:w="283" w:type="dxa"/>
            <w:tcBorders>
              <w:top w:val="nil"/>
              <w:bottom w:val="nil"/>
            </w:tcBorders>
            <w:shd w:val="clear" w:color="auto" w:fill="FFFFFF" w:themeFill="background1"/>
            <w:vAlign w:val="center"/>
          </w:tcPr>
          <w:p w14:paraId="31E5D43A"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590B7FD9"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(52)</w:t>
            </w:r>
          </w:p>
        </w:tc>
        <w:tc>
          <w:tcPr>
            <w:tcW w:w="1634" w:type="dxa"/>
            <w:tcBorders>
              <w:top w:val="nil"/>
              <w:bottom w:val="nil"/>
            </w:tcBorders>
            <w:shd w:val="clear" w:color="auto" w:fill="FFFFFF" w:themeFill="background1"/>
            <w:vAlign w:val="center"/>
          </w:tcPr>
          <w:p w14:paraId="29348C50"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(35)</w:t>
            </w:r>
          </w:p>
        </w:tc>
      </w:tr>
      <w:tr w:rsidR="004009F1" w:rsidRPr="00B84B0C" w14:paraId="03B0088B"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D9E2F3"/>
          </w:tcPr>
          <w:p w14:paraId="3A2D1565" w14:textId="77777777" w:rsidR="004009F1" w:rsidRPr="00B84B0C" w:rsidRDefault="004009F1" w:rsidP="004009F1">
            <w:pPr>
              <w:pStyle w:val="08-Tabelageral"/>
              <w:jc w:val="left"/>
              <w:rPr>
                <w:rFonts w:cs="Arial"/>
                <w:b w:val="0"/>
                <w:szCs w:val="14"/>
              </w:rPr>
            </w:pPr>
            <w:proofErr w:type="spellStart"/>
            <w:r w:rsidRPr="00B84B0C">
              <w:rPr>
                <w:rFonts w:cs="Arial"/>
                <w:b w:val="0"/>
                <w:szCs w:val="14"/>
              </w:rPr>
              <w:t>Promotions</w:t>
            </w:r>
            <w:proofErr w:type="spellEnd"/>
            <w:r w:rsidRPr="00B84B0C">
              <w:rPr>
                <w:rFonts w:cs="Arial"/>
                <w:b w:val="0"/>
                <w:szCs w:val="14"/>
              </w:rPr>
              <w:t xml:space="preserve"> </w:t>
            </w:r>
            <w:proofErr w:type="spellStart"/>
            <w:r w:rsidRPr="00B84B0C">
              <w:rPr>
                <w:rFonts w:cs="Arial"/>
                <w:b w:val="0"/>
                <w:szCs w:val="14"/>
              </w:rPr>
              <w:t>and</w:t>
            </w:r>
            <w:proofErr w:type="spellEnd"/>
            <w:r w:rsidRPr="00B84B0C">
              <w:rPr>
                <w:rFonts w:cs="Arial"/>
                <w:b w:val="0"/>
                <w:szCs w:val="14"/>
              </w:rPr>
              <w:t xml:space="preserve"> </w:t>
            </w:r>
            <w:proofErr w:type="spellStart"/>
            <w:r w:rsidRPr="00B84B0C">
              <w:rPr>
                <w:rFonts w:cs="Arial"/>
                <w:b w:val="0"/>
                <w:szCs w:val="14"/>
              </w:rPr>
              <w:t>public</w:t>
            </w:r>
            <w:proofErr w:type="spellEnd"/>
            <w:r w:rsidRPr="00B84B0C">
              <w:rPr>
                <w:rFonts w:cs="Arial"/>
                <w:b w:val="0"/>
                <w:szCs w:val="14"/>
              </w:rPr>
              <w:t xml:space="preserve"> </w:t>
            </w:r>
            <w:proofErr w:type="spellStart"/>
            <w:r w:rsidRPr="00B84B0C">
              <w:rPr>
                <w:rFonts w:cs="Arial"/>
                <w:b w:val="0"/>
                <w:szCs w:val="14"/>
              </w:rPr>
              <w:t>relations</w:t>
            </w:r>
            <w:proofErr w:type="spellEnd"/>
          </w:p>
        </w:tc>
        <w:tc>
          <w:tcPr>
            <w:tcW w:w="604" w:type="dxa"/>
            <w:tcBorders>
              <w:top w:val="nil"/>
              <w:bottom w:val="nil"/>
            </w:tcBorders>
            <w:shd w:val="clear" w:color="auto" w:fill="D9E2F3"/>
            <w:vAlign w:val="center"/>
          </w:tcPr>
          <w:p w14:paraId="6E9AA0C0"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shd w:val="clear" w:color="auto" w:fill="D9E2F3"/>
            <w:vAlign w:val="center"/>
          </w:tcPr>
          <w:p w14:paraId="3D15D685"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w:t>
            </w:r>
          </w:p>
        </w:tc>
        <w:tc>
          <w:tcPr>
            <w:tcW w:w="1412" w:type="dxa"/>
            <w:tcBorders>
              <w:top w:val="nil"/>
              <w:bottom w:val="nil"/>
            </w:tcBorders>
            <w:shd w:val="clear" w:color="auto" w:fill="D9E2F3"/>
            <w:vAlign w:val="center"/>
          </w:tcPr>
          <w:p w14:paraId="09D36E08"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w:t>
            </w:r>
          </w:p>
        </w:tc>
        <w:tc>
          <w:tcPr>
            <w:tcW w:w="283" w:type="dxa"/>
            <w:tcBorders>
              <w:top w:val="nil"/>
              <w:bottom w:val="nil"/>
            </w:tcBorders>
            <w:shd w:val="clear" w:color="auto" w:fill="D9E2F3"/>
            <w:vAlign w:val="center"/>
          </w:tcPr>
          <w:p w14:paraId="0F30E7D9"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623B397C"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(24)</w:t>
            </w:r>
          </w:p>
        </w:tc>
        <w:tc>
          <w:tcPr>
            <w:tcW w:w="1634" w:type="dxa"/>
            <w:tcBorders>
              <w:top w:val="nil"/>
              <w:bottom w:val="nil"/>
            </w:tcBorders>
            <w:shd w:val="clear" w:color="auto" w:fill="D9E2F3"/>
            <w:vAlign w:val="center"/>
          </w:tcPr>
          <w:p w14:paraId="15193918"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(13)</w:t>
            </w:r>
          </w:p>
        </w:tc>
      </w:tr>
      <w:tr w:rsidR="004009F1" w:rsidRPr="00B84B0C" w14:paraId="630B6038"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FFFFFF" w:themeFill="background1"/>
          </w:tcPr>
          <w:p w14:paraId="1344602A" w14:textId="77777777" w:rsidR="004009F1" w:rsidRPr="00B84B0C" w:rsidRDefault="004009F1" w:rsidP="004009F1">
            <w:pPr>
              <w:pStyle w:val="08-Tabelageral"/>
              <w:jc w:val="left"/>
              <w:rPr>
                <w:rFonts w:cs="Arial"/>
                <w:b w:val="0"/>
                <w:szCs w:val="14"/>
              </w:rPr>
            </w:pPr>
            <w:proofErr w:type="spellStart"/>
            <w:r w:rsidRPr="00B84B0C">
              <w:rPr>
                <w:rFonts w:cs="Arial"/>
                <w:b w:val="0"/>
                <w:szCs w:val="14"/>
              </w:rPr>
              <w:t>Publications</w:t>
            </w:r>
            <w:proofErr w:type="spellEnd"/>
          </w:p>
        </w:tc>
        <w:tc>
          <w:tcPr>
            <w:tcW w:w="604" w:type="dxa"/>
            <w:tcBorders>
              <w:top w:val="nil"/>
              <w:bottom w:val="nil"/>
            </w:tcBorders>
            <w:shd w:val="clear" w:color="auto" w:fill="FFFFFF" w:themeFill="background1"/>
            <w:vAlign w:val="center"/>
          </w:tcPr>
          <w:p w14:paraId="4129F06B"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nil"/>
            </w:tcBorders>
            <w:shd w:val="clear" w:color="auto" w:fill="FFFFFF" w:themeFill="background1"/>
            <w:vAlign w:val="center"/>
          </w:tcPr>
          <w:p w14:paraId="00F90574"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w:t>
            </w:r>
          </w:p>
        </w:tc>
        <w:tc>
          <w:tcPr>
            <w:tcW w:w="1412" w:type="dxa"/>
            <w:tcBorders>
              <w:top w:val="nil"/>
              <w:bottom w:val="nil"/>
            </w:tcBorders>
            <w:shd w:val="clear" w:color="auto" w:fill="FFFFFF" w:themeFill="background1"/>
            <w:vAlign w:val="center"/>
          </w:tcPr>
          <w:p w14:paraId="6C52D8AD"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w:t>
            </w:r>
          </w:p>
        </w:tc>
        <w:tc>
          <w:tcPr>
            <w:tcW w:w="283" w:type="dxa"/>
            <w:tcBorders>
              <w:top w:val="nil"/>
              <w:bottom w:val="nil"/>
            </w:tcBorders>
            <w:shd w:val="clear" w:color="auto" w:fill="FFFFFF" w:themeFill="background1"/>
            <w:vAlign w:val="center"/>
          </w:tcPr>
          <w:p w14:paraId="414F6520"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1DE760CE"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(17)</w:t>
            </w:r>
          </w:p>
        </w:tc>
        <w:tc>
          <w:tcPr>
            <w:tcW w:w="1634" w:type="dxa"/>
            <w:tcBorders>
              <w:top w:val="nil"/>
              <w:bottom w:val="nil"/>
            </w:tcBorders>
            <w:shd w:val="clear" w:color="auto" w:fill="FFFFFF" w:themeFill="background1"/>
            <w:vAlign w:val="center"/>
          </w:tcPr>
          <w:p w14:paraId="5079930E"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(18)</w:t>
            </w:r>
          </w:p>
        </w:tc>
      </w:tr>
      <w:tr w:rsidR="004009F1" w:rsidRPr="00B84B0C" w14:paraId="4440C170"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nil"/>
            </w:tcBorders>
            <w:shd w:val="clear" w:color="auto" w:fill="D9E2F3"/>
          </w:tcPr>
          <w:p w14:paraId="46771FE8" w14:textId="77777777" w:rsidR="004009F1" w:rsidRPr="00B84B0C" w:rsidRDefault="004009F1" w:rsidP="004009F1">
            <w:pPr>
              <w:pStyle w:val="08-Tabelageral"/>
              <w:jc w:val="left"/>
              <w:rPr>
                <w:rFonts w:cs="Arial"/>
                <w:b w:val="0"/>
                <w:szCs w:val="14"/>
              </w:rPr>
            </w:pPr>
            <w:r w:rsidRPr="00B84B0C">
              <w:rPr>
                <w:rFonts w:cs="Arial"/>
                <w:b w:val="0"/>
                <w:szCs w:val="14"/>
              </w:rPr>
              <w:t xml:space="preserve">Other </w:t>
            </w:r>
            <w:proofErr w:type="spellStart"/>
            <w:r w:rsidRPr="00B84B0C">
              <w:rPr>
                <w:rFonts w:cs="Arial"/>
                <w:b w:val="0"/>
                <w:szCs w:val="14"/>
              </w:rPr>
              <w:t>chargers</w:t>
            </w:r>
            <w:proofErr w:type="spellEnd"/>
          </w:p>
        </w:tc>
        <w:tc>
          <w:tcPr>
            <w:tcW w:w="604" w:type="dxa"/>
            <w:tcBorders>
              <w:top w:val="nil"/>
              <w:bottom w:val="nil"/>
            </w:tcBorders>
            <w:shd w:val="clear" w:color="auto" w:fill="D9E2F3"/>
            <w:vAlign w:val="center"/>
          </w:tcPr>
          <w:p w14:paraId="630FDFC5"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nil"/>
            </w:tcBorders>
            <w:shd w:val="clear" w:color="auto" w:fill="D9E2F3"/>
            <w:vAlign w:val="center"/>
          </w:tcPr>
          <w:p w14:paraId="73087642"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(55)</w:t>
            </w:r>
          </w:p>
        </w:tc>
        <w:tc>
          <w:tcPr>
            <w:tcW w:w="1412" w:type="dxa"/>
            <w:tcBorders>
              <w:top w:val="nil"/>
              <w:bottom w:val="nil"/>
            </w:tcBorders>
            <w:shd w:val="clear" w:color="auto" w:fill="D9E2F3"/>
            <w:vAlign w:val="center"/>
          </w:tcPr>
          <w:p w14:paraId="26ADBF2F"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(43)</w:t>
            </w:r>
          </w:p>
        </w:tc>
        <w:tc>
          <w:tcPr>
            <w:tcW w:w="283" w:type="dxa"/>
            <w:tcBorders>
              <w:top w:val="nil"/>
              <w:bottom w:val="nil"/>
            </w:tcBorders>
            <w:shd w:val="clear" w:color="auto" w:fill="D9E2F3"/>
            <w:vAlign w:val="center"/>
          </w:tcPr>
          <w:p w14:paraId="728C35A1"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07F24D3D"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(449)</w:t>
            </w:r>
          </w:p>
        </w:tc>
        <w:tc>
          <w:tcPr>
            <w:tcW w:w="1634" w:type="dxa"/>
            <w:tcBorders>
              <w:top w:val="nil"/>
              <w:bottom w:val="nil"/>
            </w:tcBorders>
            <w:shd w:val="clear" w:color="auto" w:fill="D9E2F3"/>
            <w:vAlign w:val="center"/>
          </w:tcPr>
          <w:p w14:paraId="7589D86D" w14:textId="77777777" w:rsidR="004009F1" w:rsidRPr="00B84B0C" w:rsidRDefault="004009F1" w:rsidP="004009F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(306)</w:t>
            </w:r>
          </w:p>
        </w:tc>
      </w:tr>
      <w:tr w:rsidR="004009F1" w:rsidRPr="00B84B0C" w14:paraId="3CDA8DB5"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878" w:type="dxa"/>
            <w:gridSpan w:val="2"/>
            <w:tcBorders>
              <w:top w:val="nil"/>
              <w:bottom w:val="single" w:sz="2" w:space="0" w:color="8EAADB"/>
            </w:tcBorders>
            <w:shd w:val="clear" w:color="auto" w:fill="FFFFFF" w:themeFill="background1"/>
          </w:tcPr>
          <w:p w14:paraId="0349B8A3" w14:textId="77777777" w:rsidR="004009F1" w:rsidRPr="00B84B0C" w:rsidRDefault="004009F1" w:rsidP="004009F1">
            <w:pPr>
              <w:pStyle w:val="08-Tabelageral"/>
              <w:jc w:val="left"/>
              <w:rPr>
                <w:rFonts w:cs="Arial"/>
                <w:szCs w:val="14"/>
              </w:rPr>
            </w:pPr>
            <w:r w:rsidRPr="00B84B0C">
              <w:rPr>
                <w:rFonts w:cs="Arial"/>
                <w:szCs w:val="14"/>
              </w:rPr>
              <w:t>Total</w:t>
            </w:r>
          </w:p>
        </w:tc>
        <w:tc>
          <w:tcPr>
            <w:tcW w:w="604" w:type="dxa"/>
            <w:tcBorders>
              <w:top w:val="nil"/>
              <w:bottom w:val="single" w:sz="2" w:space="0" w:color="8EAADB"/>
            </w:tcBorders>
            <w:shd w:val="clear" w:color="auto" w:fill="FFFFFF" w:themeFill="background1"/>
            <w:vAlign w:val="center"/>
          </w:tcPr>
          <w:p w14:paraId="3E3CFB9D"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Borders>
              <w:top w:val="nil"/>
              <w:bottom w:val="single" w:sz="2" w:space="0" w:color="8EAADB"/>
            </w:tcBorders>
            <w:shd w:val="clear" w:color="auto" w:fill="FFFFFF" w:themeFill="background1"/>
            <w:vAlign w:val="center"/>
          </w:tcPr>
          <w:p w14:paraId="448D8AEE"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(874)</w:t>
            </w:r>
          </w:p>
        </w:tc>
        <w:tc>
          <w:tcPr>
            <w:tcW w:w="1412" w:type="dxa"/>
            <w:tcBorders>
              <w:top w:val="nil"/>
              <w:bottom w:val="single" w:sz="2" w:space="0" w:color="8EAADB"/>
            </w:tcBorders>
            <w:shd w:val="clear" w:color="auto" w:fill="FFFFFF" w:themeFill="background1"/>
            <w:vAlign w:val="center"/>
          </w:tcPr>
          <w:p w14:paraId="0517B597"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(569)</w:t>
            </w:r>
          </w:p>
        </w:tc>
        <w:tc>
          <w:tcPr>
            <w:tcW w:w="283" w:type="dxa"/>
            <w:tcBorders>
              <w:top w:val="nil"/>
              <w:bottom w:val="single" w:sz="2" w:space="0" w:color="8EAADB"/>
            </w:tcBorders>
            <w:shd w:val="clear" w:color="auto" w:fill="FFFFFF" w:themeFill="background1"/>
            <w:vAlign w:val="center"/>
          </w:tcPr>
          <w:p w14:paraId="799E0F42"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Borders>
              <w:top w:val="nil"/>
              <w:bottom w:val="single" w:sz="2" w:space="0" w:color="8EAADB"/>
            </w:tcBorders>
            <w:shd w:val="clear" w:color="auto" w:fill="FFFFFF" w:themeFill="background1"/>
            <w:vAlign w:val="center"/>
          </w:tcPr>
          <w:p w14:paraId="3FBC5A07"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(5,410)</w:t>
            </w:r>
          </w:p>
        </w:tc>
        <w:tc>
          <w:tcPr>
            <w:tcW w:w="1634" w:type="dxa"/>
            <w:tcBorders>
              <w:top w:val="nil"/>
              <w:bottom w:val="single" w:sz="2" w:space="0" w:color="8EAADB"/>
            </w:tcBorders>
            <w:shd w:val="clear" w:color="auto" w:fill="FFFFFF" w:themeFill="background1"/>
            <w:vAlign w:val="center"/>
          </w:tcPr>
          <w:p w14:paraId="37D68C8B" w14:textId="77777777" w:rsidR="004009F1" w:rsidRPr="00B84B0C" w:rsidRDefault="004009F1" w:rsidP="004009F1">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(5,110)</w:t>
            </w:r>
          </w:p>
        </w:tc>
      </w:tr>
    </w:tbl>
    <w:p w14:paraId="4AAFE984" w14:textId="7D0A8941" w:rsidR="00D01F17" w:rsidRPr="00B84B0C" w:rsidRDefault="00D01F17" w:rsidP="004009F1">
      <w:pPr>
        <w:spacing w:before="120" w:after="120"/>
        <w:jc w:val="both"/>
        <w:rPr>
          <w:rFonts w:cs="Arial"/>
        </w:rPr>
      </w:pPr>
    </w:p>
    <w:p w14:paraId="4126ADF5" w14:textId="6F647C89" w:rsidR="009C72AA" w:rsidRPr="00B84B0C" w:rsidRDefault="009C72AA" w:rsidP="009C72AA">
      <w:pPr>
        <w:pStyle w:val="02-TtulodeNota"/>
        <w:rPr>
          <w:rFonts w:cs="Arial"/>
          <w:color w:val="1F4E79" w:themeColor="accent1" w:themeShade="80"/>
        </w:rPr>
      </w:pPr>
      <w:bookmarkStart w:id="37" w:name="_Toc39131507"/>
      <w:r w:rsidRPr="00B84B0C">
        <w:rPr>
          <w:rFonts w:cs="Arial"/>
          <w:color w:val="1F4E79" w:themeColor="accent1" w:themeShade="80"/>
        </w:rPr>
        <w:t>23 – COSTS OF SERVICES PROVIDED</w:t>
      </w:r>
      <w:bookmarkEnd w:id="37"/>
    </w:p>
    <w:p w14:paraId="03EC6A09" w14:textId="77777777" w:rsidR="009C72AA" w:rsidRPr="00B84B0C" w:rsidRDefault="009C72AA" w:rsidP="009C72AA">
      <w:pPr>
        <w:pStyle w:val="06-Rmil"/>
        <w:rPr>
          <w:rFonts w:cs="Arial"/>
          <w:sz w:val="12"/>
          <w:szCs w:val="12"/>
        </w:rPr>
      </w:pPr>
      <w:r w:rsidRPr="00B84B0C">
        <w:rPr>
          <w:rFonts w:cs="Arial"/>
          <w:sz w:val="12"/>
          <w:szCs w:val="12"/>
        </w:rPr>
        <w:t>R$ mil</w:t>
      </w:r>
    </w:p>
    <w:tbl>
      <w:tblPr>
        <w:tblStyle w:val="TabeladeLista6Colorida-nfase510"/>
        <w:tblW w:w="9639" w:type="dxa"/>
        <w:tblInd w:w="108" w:type="dxa"/>
        <w:shd w:val="clear" w:color="auto" w:fill="D9E2F3"/>
        <w:tblLook w:val="04A0" w:firstRow="1" w:lastRow="0" w:firstColumn="1" w:lastColumn="0" w:noHBand="0" w:noVBand="1"/>
      </w:tblPr>
      <w:tblGrid>
        <w:gridCol w:w="2986"/>
        <w:gridCol w:w="604"/>
        <w:gridCol w:w="1411"/>
        <w:gridCol w:w="1412"/>
        <w:gridCol w:w="283"/>
        <w:gridCol w:w="1417"/>
        <w:gridCol w:w="1526"/>
      </w:tblGrid>
      <w:tr w:rsidR="009C72AA" w:rsidRPr="00B84B0C" w14:paraId="0A9FA062" w14:textId="77777777" w:rsidTr="009C72AA">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6696" w:type="dxa"/>
            <w:gridSpan w:val="5"/>
            <w:tcBorders>
              <w:top w:val="single" w:sz="2" w:space="0" w:color="8EAADB"/>
              <w:bottom w:val="nil"/>
            </w:tcBorders>
            <w:shd w:val="clear" w:color="auto" w:fill="D9E2F3"/>
          </w:tcPr>
          <w:p w14:paraId="1FAC84C8" w14:textId="77777777" w:rsidR="009C72AA" w:rsidRPr="00B84B0C" w:rsidRDefault="009C72AA" w:rsidP="009C72AA">
            <w:pPr>
              <w:pStyle w:val="08-Tabelageral"/>
              <w:rPr>
                <w:rFonts w:cs="Arial"/>
              </w:rPr>
            </w:pPr>
          </w:p>
        </w:tc>
        <w:tc>
          <w:tcPr>
            <w:tcW w:w="2943" w:type="dxa"/>
            <w:gridSpan w:val="2"/>
            <w:tcBorders>
              <w:top w:val="single" w:sz="2" w:space="0" w:color="8EAADB"/>
              <w:bottom w:val="nil"/>
            </w:tcBorders>
            <w:shd w:val="clear" w:color="auto" w:fill="D9E2F3"/>
          </w:tcPr>
          <w:p w14:paraId="386EB842"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proofErr w:type="spellStart"/>
            <w:r w:rsidRPr="00B84B0C">
              <w:rPr>
                <w:rFonts w:cs="Arial"/>
              </w:rPr>
              <w:t>Consolidated</w:t>
            </w:r>
            <w:proofErr w:type="spellEnd"/>
          </w:p>
        </w:tc>
      </w:tr>
      <w:tr w:rsidR="009C72AA" w:rsidRPr="00B84B0C" w14:paraId="12A3E65D" w14:textId="77777777" w:rsidTr="009C72AA">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cBorders>
            <w:shd w:val="clear" w:color="auto" w:fill="D9E2F3"/>
          </w:tcPr>
          <w:p w14:paraId="28D8925D" w14:textId="77777777" w:rsidR="009C72AA" w:rsidRPr="00B84B0C" w:rsidRDefault="009C72AA" w:rsidP="009C72AA">
            <w:pPr>
              <w:pStyle w:val="08-Tabelageral"/>
              <w:rPr>
                <w:rFonts w:cs="Arial"/>
              </w:rPr>
            </w:pPr>
          </w:p>
        </w:tc>
        <w:tc>
          <w:tcPr>
            <w:tcW w:w="604" w:type="dxa"/>
            <w:tcBorders>
              <w:top w:val="nil"/>
              <w:bottom w:val="single" w:sz="2" w:space="0" w:color="8EAADB"/>
            </w:tcBorders>
            <w:shd w:val="clear" w:color="auto" w:fill="D9E2F3"/>
          </w:tcPr>
          <w:p w14:paraId="1773CD8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Borders>
              <w:top w:val="nil"/>
              <w:bottom w:val="single" w:sz="2" w:space="0" w:color="8EAADB"/>
            </w:tcBorders>
            <w:shd w:val="clear" w:color="auto" w:fill="D9E2F3"/>
            <w:vAlign w:val="center"/>
          </w:tcPr>
          <w:p w14:paraId="50A19D4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2" w:type="dxa"/>
            <w:tcBorders>
              <w:top w:val="nil"/>
              <w:bottom w:val="single" w:sz="2" w:space="0" w:color="8EAADB"/>
            </w:tcBorders>
            <w:shd w:val="clear" w:color="auto" w:fill="D9E2F3"/>
            <w:vAlign w:val="center"/>
          </w:tcPr>
          <w:p w14:paraId="631B545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3" w:type="dxa"/>
            <w:tcBorders>
              <w:top w:val="nil"/>
              <w:bottom w:val="single" w:sz="2" w:space="0" w:color="8EAADB"/>
            </w:tcBorders>
            <w:shd w:val="clear" w:color="auto" w:fill="D9E2F3"/>
            <w:vAlign w:val="center"/>
          </w:tcPr>
          <w:p w14:paraId="2A7FFD4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bottom w:val="single" w:sz="2" w:space="0" w:color="8EAADB"/>
            </w:tcBorders>
            <w:shd w:val="clear" w:color="auto" w:fill="D9E2F3"/>
          </w:tcPr>
          <w:p w14:paraId="0B254F7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526" w:type="dxa"/>
            <w:tcBorders>
              <w:top w:val="single" w:sz="2" w:space="0" w:color="8EAADB"/>
              <w:bottom w:val="single" w:sz="2" w:space="0" w:color="8EAADB"/>
            </w:tcBorders>
            <w:shd w:val="clear" w:color="auto" w:fill="D9E2F3"/>
          </w:tcPr>
          <w:p w14:paraId="316534B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
              </w:rPr>
              <w:t xml:space="preserve">1st </w:t>
            </w:r>
            <w:proofErr w:type="spellStart"/>
            <w:r w:rsidRPr="00B84B0C">
              <w:rPr>
                <w:rFonts w:cs="Arial"/>
                <w:b/>
              </w:rPr>
              <w:t>Quarter</w:t>
            </w:r>
            <w:proofErr w:type="spellEnd"/>
            <w:r w:rsidRPr="00B84B0C">
              <w:rPr>
                <w:rFonts w:cs="Arial"/>
                <w:b/>
              </w:rPr>
              <w:t>/2019</w:t>
            </w:r>
          </w:p>
        </w:tc>
      </w:tr>
      <w:tr w:rsidR="009C72AA" w:rsidRPr="00B84B0C" w14:paraId="7E5E675C"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986" w:type="dxa"/>
            <w:tcBorders>
              <w:top w:val="single" w:sz="2" w:space="0" w:color="8EAADB"/>
              <w:bottom w:val="nil"/>
            </w:tcBorders>
            <w:shd w:val="clear" w:color="auto" w:fill="FFFFFF" w:themeFill="background1"/>
          </w:tcPr>
          <w:p w14:paraId="34C932C3" w14:textId="77777777" w:rsidR="009C72AA" w:rsidRPr="00B84B0C" w:rsidRDefault="009C72AA" w:rsidP="009C72AA">
            <w:pPr>
              <w:pStyle w:val="08-Tabelageral"/>
              <w:jc w:val="left"/>
              <w:rPr>
                <w:rFonts w:cs="Arial"/>
                <w:b w:val="0"/>
              </w:rPr>
            </w:pPr>
            <w:proofErr w:type="spellStart"/>
            <w:r w:rsidRPr="00B84B0C">
              <w:rPr>
                <w:rFonts w:cs="Arial"/>
                <w:b w:val="0"/>
              </w:rPr>
              <w:t>Administrative</w:t>
            </w:r>
            <w:proofErr w:type="spellEnd"/>
            <w:r w:rsidRPr="00B84B0C">
              <w:rPr>
                <w:rFonts w:cs="Arial"/>
                <w:b w:val="0"/>
              </w:rPr>
              <w:t xml:space="preserve"> </w:t>
            </w:r>
            <w:proofErr w:type="spellStart"/>
            <w:r w:rsidRPr="00B84B0C">
              <w:rPr>
                <w:rFonts w:cs="Arial"/>
                <w:b w:val="0"/>
              </w:rPr>
              <w:t>cost</w:t>
            </w:r>
            <w:proofErr w:type="spellEnd"/>
            <w:r w:rsidRPr="00B84B0C">
              <w:rPr>
                <w:rFonts w:cs="Arial"/>
                <w:b w:val="0"/>
              </w:rPr>
              <w:t xml:space="preserve"> </w:t>
            </w:r>
            <w:proofErr w:type="spellStart"/>
            <w:r w:rsidRPr="00B84B0C">
              <w:rPr>
                <w:rFonts w:cs="Arial"/>
                <w:b w:val="0"/>
              </w:rPr>
              <w:t>products</w:t>
            </w:r>
            <w:proofErr w:type="spellEnd"/>
          </w:p>
        </w:tc>
        <w:tc>
          <w:tcPr>
            <w:tcW w:w="604" w:type="dxa"/>
            <w:tcBorders>
              <w:top w:val="single" w:sz="2" w:space="0" w:color="8EAADB"/>
              <w:bottom w:val="nil"/>
            </w:tcBorders>
            <w:shd w:val="clear" w:color="auto" w:fill="FFFFFF" w:themeFill="background1"/>
            <w:vAlign w:val="center"/>
          </w:tcPr>
          <w:p w14:paraId="25AD266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single" w:sz="2" w:space="0" w:color="8EAADB"/>
              <w:bottom w:val="nil"/>
            </w:tcBorders>
            <w:shd w:val="clear" w:color="auto" w:fill="FFFFFF" w:themeFill="background1"/>
            <w:vAlign w:val="center"/>
          </w:tcPr>
          <w:p w14:paraId="7EA7F74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2" w:type="dxa"/>
            <w:tcBorders>
              <w:top w:val="single" w:sz="2" w:space="0" w:color="8EAADB"/>
              <w:bottom w:val="nil"/>
            </w:tcBorders>
            <w:shd w:val="clear" w:color="auto" w:fill="FFFFFF" w:themeFill="background1"/>
            <w:vAlign w:val="center"/>
          </w:tcPr>
          <w:p w14:paraId="0CC6CDF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single" w:sz="2" w:space="0" w:color="8EAADB"/>
              <w:bottom w:val="nil"/>
            </w:tcBorders>
            <w:shd w:val="clear" w:color="auto" w:fill="FFFFFF" w:themeFill="background1"/>
            <w:vAlign w:val="center"/>
          </w:tcPr>
          <w:p w14:paraId="41D84EC7"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single" w:sz="2" w:space="0" w:color="8EAADB"/>
              <w:bottom w:val="nil"/>
            </w:tcBorders>
            <w:shd w:val="clear" w:color="auto" w:fill="FFFFFF" w:themeFill="background1"/>
            <w:vAlign w:val="center"/>
          </w:tcPr>
          <w:p w14:paraId="2252FE2A" w14:textId="77777777" w:rsidR="009C72AA" w:rsidRPr="00B84B0C" w:rsidRDefault="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B84B0C">
              <w:rPr>
                <w:rFonts w:cs="Arial"/>
                <w:szCs w:val="14"/>
                <w:lang w:eastAsia="en-US"/>
              </w:rPr>
              <w:t>(24,138)</w:t>
            </w:r>
          </w:p>
        </w:tc>
        <w:tc>
          <w:tcPr>
            <w:tcW w:w="1526" w:type="dxa"/>
            <w:tcBorders>
              <w:top w:val="single" w:sz="2" w:space="0" w:color="8EAADB"/>
              <w:bottom w:val="nil"/>
            </w:tcBorders>
            <w:shd w:val="clear" w:color="auto" w:fill="FFFFFF" w:themeFill="background1"/>
            <w:vAlign w:val="center"/>
          </w:tcPr>
          <w:p w14:paraId="64ED4AE0" w14:textId="77777777" w:rsidR="009C72AA" w:rsidRPr="00B84B0C" w:rsidRDefault="009C72AA">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B84B0C">
              <w:rPr>
                <w:rFonts w:cs="Arial"/>
                <w:lang w:eastAsia="en-US"/>
              </w:rPr>
              <w:t xml:space="preserve"> (19,633) </w:t>
            </w:r>
          </w:p>
        </w:tc>
      </w:tr>
      <w:tr w:rsidR="009C72AA" w:rsidRPr="00B84B0C" w14:paraId="2B58C39D"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shd w:val="clear" w:color="auto" w:fill="D9E2F3"/>
          </w:tcPr>
          <w:p w14:paraId="06B03B85" w14:textId="77777777" w:rsidR="009C72AA" w:rsidRPr="00B84B0C" w:rsidRDefault="009C72AA" w:rsidP="009C72AA">
            <w:pPr>
              <w:pStyle w:val="08-Tabelageral"/>
              <w:jc w:val="left"/>
              <w:rPr>
                <w:rFonts w:cs="Arial"/>
                <w:b w:val="0"/>
              </w:rPr>
            </w:pPr>
            <w:proofErr w:type="spellStart"/>
            <w:r w:rsidRPr="00B84B0C">
              <w:rPr>
                <w:rFonts w:cs="Arial"/>
                <w:b w:val="0"/>
              </w:rPr>
              <w:t>Operational</w:t>
            </w:r>
            <w:proofErr w:type="spellEnd"/>
            <w:r w:rsidRPr="00B84B0C">
              <w:rPr>
                <w:rFonts w:cs="Arial"/>
                <w:b w:val="0"/>
              </w:rPr>
              <w:t xml:space="preserve"> </w:t>
            </w:r>
            <w:proofErr w:type="spellStart"/>
            <w:r w:rsidRPr="00B84B0C">
              <w:rPr>
                <w:rFonts w:cs="Arial"/>
                <w:b w:val="0"/>
              </w:rPr>
              <w:t>support</w:t>
            </w:r>
            <w:proofErr w:type="spellEnd"/>
            <w:r w:rsidRPr="00B84B0C">
              <w:rPr>
                <w:rFonts w:cs="Arial"/>
                <w:b w:val="0"/>
              </w:rPr>
              <w:t xml:space="preserve"> </w:t>
            </w:r>
            <w:proofErr w:type="spellStart"/>
            <w:r w:rsidRPr="00B84B0C">
              <w:rPr>
                <w:rFonts w:cs="Arial"/>
                <w:b w:val="0"/>
              </w:rPr>
              <w:t>cost</w:t>
            </w:r>
            <w:proofErr w:type="spellEnd"/>
          </w:p>
        </w:tc>
        <w:tc>
          <w:tcPr>
            <w:tcW w:w="604" w:type="dxa"/>
            <w:tcBorders>
              <w:top w:val="nil"/>
              <w:bottom w:val="nil"/>
            </w:tcBorders>
            <w:shd w:val="clear" w:color="auto" w:fill="D9E2F3"/>
            <w:vAlign w:val="center"/>
          </w:tcPr>
          <w:p w14:paraId="31E823F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D9E2F3"/>
            <w:vAlign w:val="center"/>
          </w:tcPr>
          <w:p w14:paraId="31B8EC5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2" w:type="dxa"/>
            <w:tcBorders>
              <w:top w:val="nil"/>
              <w:bottom w:val="nil"/>
            </w:tcBorders>
            <w:shd w:val="clear" w:color="auto" w:fill="D9E2F3"/>
            <w:vAlign w:val="center"/>
          </w:tcPr>
          <w:p w14:paraId="1E4E7F4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83" w:type="dxa"/>
            <w:tcBorders>
              <w:top w:val="nil"/>
              <w:bottom w:val="nil"/>
            </w:tcBorders>
            <w:shd w:val="clear" w:color="auto" w:fill="D9E2F3"/>
            <w:vAlign w:val="center"/>
          </w:tcPr>
          <w:p w14:paraId="44755B7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65430FE4" w14:textId="77777777" w:rsidR="009C72AA" w:rsidRPr="00B84B0C" w:rsidRDefault="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B84B0C">
              <w:rPr>
                <w:rFonts w:cs="Arial"/>
                <w:szCs w:val="14"/>
                <w:lang w:eastAsia="en-US"/>
              </w:rPr>
              <w:t>(16,257)</w:t>
            </w:r>
          </w:p>
        </w:tc>
        <w:tc>
          <w:tcPr>
            <w:tcW w:w="1526" w:type="dxa"/>
            <w:tcBorders>
              <w:top w:val="nil"/>
              <w:bottom w:val="nil"/>
            </w:tcBorders>
            <w:shd w:val="clear" w:color="auto" w:fill="D9E2F3"/>
            <w:vAlign w:val="center"/>
          </w:tcPr>
          <w:p w14:paraId="58C57CFC" w14:textId="77777777" w:rsidR="009C72AA" w:rsidRPr="00B84B0C" w:rsidRDefault="009C72AA">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B84B0C">
              <w:rPr>
                <w:rFonts w:cs="Arial"/>
                <w:lang w:eastAsia="en-US"/>
              </w:rPr>
              <w:t>(19,184)</w:t>
            </w:r>
          </w:p>
        </w:tc>
      </w:tr>
      <w:tr w:rsidR="009C72AA" w:rsidRPr="00B84B0C" w14:paraId="2F2600ED" w14:textId="77777777" w:rsidTr="009C72AA">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986" w:type="dxa"/>
            <w:tcBorders>
              <w:top w:val="nil"/>
              <w:bottom w:val="nil"/>
            </w:tcBorders>
            <w:shd w:val="clear" w:color="auto" w:fill="FFFFFF" w:themeFill="background1"/>
          </w:tcPr>
          <w:p w14:paraId="07551F60" w14:textId="77777777" w:rsidR="009C72AA" w:rsidRPr="00B84B0C" w:rsidRDefault="009C72AA" w:rsidP="009C72AA">
            <w:pPr>
              <w:pStyle w:val="08-Tabelageral"/>
              <w:jc w:val="left"/>
              <w:rPr>
                <w:rFonts w:cs="Arial"/>
                <w:b w:val="0"/>
              </w:rPr>
            </w:pPr>
            <w:proofErr w:type="spellStart"/>
            <w:r w:rsidRPr="00B84B0C">
              <w:rPr>
                <w:rFonts w:cs="Arial"/>
                <w:b w:val="0"/>
              </w:rPr>
              <w:t>Cost</w:t>
            </w:r>
            <w:proofErr w:type="spellEnd"/>
            <w:r w:rsidRPr="00B84B0C">
              <w:rPr>
                <w:rFonts w:cs="Arial"/>
                <w:b w:val="0"/>
              </w:rPr>
              <w:t xml:space="preserve"> </w:t>
            </w:r>
            <w:proofErr w:type="spellStart"/>
            <w:r w:rsidRPr="00B84B0C">
              <w:rPr>
                <w:rFonts w:cs="Arial"/>
                <w:b w:val="0"/>
              </w:rPr>
              <w:t>of</w:t>
            </w:r>
            <w:proofErr w:type="spellEnd"/>
            <w:r w:rsidRPr="00B84B0C">
              <w:rPr>
                <w:rFonts w:cs="Arial"/>
                <w:b w:val="0"/>
              </w:rPr>
              <w:t xml:space="preserve"> data </w:t>
            </w:r>
            <w:proofErr w:type="spellStart"/>
            <w:r w:rsidRPr="00B84B0C">
              <w:rPr>
                <w:rFonts w:cs="Arial"/>
                <w:b w:val="0"/>
              </w:rPr>
              <w:t>processing</w:t>
            </w:r>
            <w:proofErr w:type="spellEnd"/>
          </w:p>
        </w:tc>
        <w:tc>
          <w:tcPr>
            <w:tcW w:w="604" w:type="dxa"/>
            <w:tcBorders>
              <w:top w:val="nil"/>
              <w:bottom w:val="nil"/>
            </w:tcBorders>
            <w:shd w:val="clear" w:color="auto" w:fill="FFFFFF" w:themeFill="background1"/>
            <w:vAlign w:val="center"/>
          </w:tcPr>
          <w:p w14:paraId="67A1685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shd w:val="clear" w:color="auto" w:fill="FFFFFF" w:themeFill="background1"/>
            <w:vAlign w:val="center"/>
          </w:tcPr>
          <w:p w14:paraId="362C898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2" w:type="dxa"/>
            <w:tcBorders>
              <w:top w:val="nil"/>
              <w:bottom w:val="nil"/>
            </w:tcBorders>
            <w:shd w:val="clear" w:color="auto" w:fill="FFFFFF" w:themeFill="background1"/>
            <w:vAlign w:val="center"/>
          </w:tcPr>
          <w:p w14:paraId="65A3E0A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83" w:type="dxa"/>
            <w:tcBorders>
              <w:top w:val="nil"/>
              <w:bottom w:val="nil"/>
            </w:tcBorders>
            <w:shd w:val="clear" w:color="auto" w:fill="FFFFFF" w:themeFill="background1"/>
            <w:vAlign w:val="center"/>
          </w:tcPr>
          <w:p w14:paraId="5AEEF2E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1BE9B8FA" w14:textId="77777777" w:rsidR="009C72AA" w:rsidRPr="00B84B0C" w:rsidRDefault="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B84B0C">
              <w:rPr>
                <w:rFonts w:cs="Arial"/>
                <w:szCs w:val="14"/>
                <w:lang w:eastAsia="en-US"/>
              </w:rPr>
              <w:t>(5,065)</w:t>
            </w:r>
          </w:p>
        </w:tc>
        <w:tc>
          <w:tcPr>
            <w:tcW w:w="1526" w:type="dxa"/>
            <w:tcBorders>
              <w:top w:val="nil"/>
              <w:bottom w:val="nil"/>
            </w:tcBorders>
            <w:shd w:val="clear" w:color="auto" w:fill="FFFFFF" w:themeFill="background1"/>
            <w:vAlign w:val="center"/>
          </w:tcPr>
          <w:p w14:paraId="706A0A9C" w14:textId="77777777" w:rsidR="009C72AA" w:rsidRPr="00B84B0C" w:rsidRDefault="009C72AA">
            <w:pPr>
              <w:pStyle w:val="08-Tabelageral"/>
              <w:cnfStyle w:val="000000010000" w:firstRow="0" w:lastRow="0" w:firstColumn="0" w:lastColumn="0" w:oddVBand="0" w:evenVBand="0" w:oddHBand="0" w:evenHBand="1" w:firstRowFirstColumn="0" w:firstRowLastColumn="0" w:lastRowFirstColumn="0" w:lastRowLastColumn="0"/>
              <w:rPr>
                <w:rFonts w:cs="Arial"/>
                <w:lang w:eastAsia="en-US"/>
              </w:rPr>
            </w:pPr>
            <w:r w:rsidRPr="00B84B0C">
              <w:rPr>
                <w:rFonts w:cs="Arial"/>
                <w:lang w:eastAsia="en-US"/>
              </w:rPr>
              <w:t>(4,850)</w:t>
            </w:r>
          </w:p>
        </w:tc>
      </w:tr>
      <w:tr w:rsidR="009C72AA" w:rsidRPr="00B84B0C" w14:paraId="1F7E49B4" w14:textId="77777777" w:rsidTr="009C72AA">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986" w:type="dxa"/>
            <w:tcBorders>
              <w:top w:val="nil"/>
              <w:bottom w:val="single" w:sz="2" w:space="0" w:color="8EAADB"/>
            </w:tcBorders>
            <w:shd w:val="clear" w:color="auto" w:fill="D9E2F3"/>
          </w:tcPr>
          <w:p w14:paraId="5FFE607C" w14:textId="77777777" w:rsidR="009C72AA" w:rsidRPr="00B84B0C" w:rsidRDefault="009C72AA" w:rsidP="009C72AA">
            <w:pPr>
              <w:keepNext/>
              <w:keepLines/>
              <w:spacing w:before="40" w:after="40"/>
              <w:rPr>
                <w:rFonts w:cs="Arial"/>
                <w:spacing w:val="-2"/>
                <w:sz w:val="14"/>
                <w:szCs w:val="14"/>
              </w:rPr>
            </w:pPr>
            <w:r w:rsidRPr="00B84B0C">
              <w:rPr>
                <w:rFonts w:cs="Arial"/>
                <w:spacing w:val="-2"/>
                <w:sz w:val="14"/>
                <w:szCs w:val="14"/>
              </w:rPr>
              <w:t>Total</w:t>
            </w:r>
          </w:p>
        </w:tc>
        <w:tc>
          <w:tcPr>
            <w:tcW w:w="604" w:type="dxa"/>
            <w:tcBorders>
              <w:top w:val="nil"/>
              <w:bottom w:val="single" w:sz="2" w:space="0" w:color="8EAADB"/>
            </w:tcBorders>
            <w:shd w:val="clear" w:color="auto" w:fill="D9E2F3"/>
            <w:vAlign w:val="center"/>
          </w:tcPr>
          <w:p w14:paraId="3CC84D76" w14:textId="77777777" w:rsidR="009C72AA" w:rsidRPr="00B84B0C" w:rsidRDefault="009C72AA" w:rsidP="009C72AA">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top w:val="nil"/>
              <w:bottom w:val="single" w:sz="2" w:space="0" w:color="8EAADB"/>
            </w:tcBorders>
            <w:shd w:val="clear" w:color="auto" w:fill="D9E2F3"/>
            <w:vAlign w:val="center"/>
          </w:tcPr>
          <w:p w14:paraId="6B508E97" w14:textId="77777777" w:rsidR="009C72AA" w:rsidRPr="00B84B0C" w:rsidRDefault="009C72AA" w:rsidP="009C72A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2" w:type="dxa"/>
            <w:tcBorders>
              <w:top w:val="nil"/>
              <w:bottom w:val="single" w:sz="2" w:space="0" w:color="8EAADB"/>
            </w:tcBorders>
            <w:shd w:val="clear" w:color="auto" w:fill="D9E2F3"/>
            <w:vAlign w:val="center"/>
          </w:tcPr>
          <w:p w14:paraId="0C7B382F" w14:textId="77777777" w:rsidR="009C72AA" w:rsidRPr="00B84B0C" w:rsidRDefault="009C72AA" w:rsidP="009C72A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283" w:type="dxa"/>
            <w:tcBorders>
              <w:top w:val="nil"/>
              <w:bottom w:val="single" w:sz="2" w:space="0" w:color="8EAADB"/>
            </w:tcBorders>
            <w:shd w:val="clear" w:color="auto" w:fill="D9E2F3"/>
            <w:vAlign w:val="center"/>
          </w:tcPr>
          <w:p w14:paraId="6E272A54" w14:textId="77777777" w:rsidR="009C72AA" w:rsidRPr="00B84B0C" w:rsidRDefault="009C72AA" w:rsidP="009C72A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7" w:type="dxa"/>
            <w:tcBorders>
              <w:top w:val="nil"/>
              <w:bottom w:val="single" w:sz="2" w:space="0" w:color="8EAADB"/>
            </w:tcBorders>
            <w:shd w:val="clear" w:color="auto" w:fill="D9E2F3"/>
            <w:vAlign w:val="center"/>
          </w:tcPr>
          <w:p w14:paraId="6F8FCEC0" w14:textId="77777777" w:rsidR="009C72AA" w:rsidRPr="00B84B0C" w:rsidRDefault="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B84B0C">
              <w:rPr>
                <w:rFonts w:cs="Arial"/>
                <w:b/>
                <w:szCs w:val="14"/>
                <w:lang w:eastAsia="en-US"/>
              </w:rPr>
              <w:t>(45,460)</w:t>
            </w:r>
          </w:p>
        </w:tc>
        <w:tc>
          <w:tcPr>
            <w:tcW w:w="1526" w:type="dxa"/>
            <w:tcBorders>
              <w:top w:val="nil"/>
              <w:bottom w:val="single" w:sz="2" w:space="0" w:color="8EAADB"/>
            </w:tcBorders>
            <w:shd w:val="clear" w:color="auto" w:fill="D9E2F3"/>
            <w:vAlign w:val="center"/>
          </w:tcPr>
          <w:p w14:paraId="7AFB8DDD" w14:textId="77777777" w:rsidR="009C72AA" w:rsidRPr="00B84B0C" w:rsidRDefault="009C72AA">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B84B0C">
              <w:rPr>
                <w:rFonts w:cs="Arial"/>
                <w:b/>
                <w:lang w:eastAsia="en-US"/>
              </w:rPr>
              <w:t xml:space="preserve"> (43,667) </w:t>
            </w:r>
          </w:p>
        </w:tc>
      </w:tr>
    </w:tbl>
    <w:p w14:paraId="4ADE3FF4" w14:textId="77777777" w:rsidR="009C72AA" w:rsidRPr="00B84B0C" w:rsidRDefault="009C72AA" w:rsidP="009C72AA">
      <w:pPr>
        <w:pStyle w:val="06-Rmil"/>
        <w:rPr>
          <w:rFonts w:cs="Arial"/>
        </w:rPr>
      </w:pPr>
    </w:p>
    <w:p w14:paraId="4B484B02" w14:textId="77777777" w:rsidR="009C72AA" w:rsidRPr="00B84B0C" w:rsidRDefault="009C72AA" w:rsidP="009C72AA">
      <w:pPr>
        <w:pStyle w:val="01-TtulodeNota"/>
        <w:jc w:val="left"/>
        <w:rPr>
          <w:rFonts w:cs="Arial"/>
          <w:color w:val="1F4E79" w:themeColor="accent1" w:themeShade="80"/>
        </w:rPr>
      </w:pPr>
      <w:proofErr w:type="spellStart"/>
      <w:r w:rsidRPr="00B84B0C">
        <w:rPr>
          <w:rFonts w:cs="Arial"/>
          <w:b w:val="0"/>
          <w:sz w:val="18"/>
          <w:szCs w:val="18"/>
        </w:rPr>
        <w:t>There</w:t>
      </w:r>
      <w:proofErr w:type="spellEnd"/>
      <w:r w:rsidRPr="00B84B0C">
        <w:rPr>
          <w:rFonts w:cs="Arial"/>
          <w:b w:val="0"/>
          <w:sz w:val="18"/>
          <w:szCs w:val="18"/>
        </w:rPr>
        <w:t xml:space="preserve"> are no </w:t>
      </w:r>
      <w:proofErr w:type="spellStart"/>
      <w:r w:rsidRPr="00B84B0C">
        <w:rPr>
          <w:rFonts w:cs="Arial"/>
          <w:b w:val="0"/>
          <w:sz w:val="18"/>
          <w:szCs w:val="18"/>
        </w:rPr>
        <w:t>service</w:t>
      </w:r>
      <w:proofErr w:type="spellEnd"/>
      <w:r w:rsidRPr="00B84B0C">
        <w:rPr>
          <w:rFonts w:cs="Arial"/>
          <w:b w:val="0"/>
          <w:sz w:val="18"/>
          <w:szCs w:val="18"/>
        </w:rPr>
        <w:t xml:space="preserve"> </w:t>
      </w:r>
      <w:proofErr w:type="spellStart"/>
      <w:r w:rsidRPr="00B84B0C">
        <w:rPr>
          <w:rFonts w:cs="Arial"/>
          <w:b w:val="0"/>
          <w:sz w:val="18"/>
          <w:szCs w:val="18"/>
        </w:rPr>
        <w:t>costs</w:t>
      </w:r>
      <w:proofErr w:type="spellEnd"/>
      <w:r w:rsidRPr="00B84B0C">
        <w:rPr>
          <w:rFonts w:cs="Arial"/>
          <w:b w:val="0"/>
          <w:sz w:val="18"/>
          <w:szCs w:val="18"/>
        </w:rPr>
        <w:t xml:space="preserve"> </w:t>
      </w:r>
      <w:proofErr w:type="spellStart"/>
      <w:r w:rsidRPr="00B84B0C">
        <w:rPr>
          <w:rFonts w:cs="Arial"/>
          <w:b w:val="0"/>
          <w:sz w:val="18"/>
          <w:szCs w:val="18"/>
        </w:rPr>
        <w:t>provided</w:t>
      </w:r>
      <w:proofErr w:type="spellEnd"/>
      <w:r w:rsidRPr="00B84B0C">
        <w:rPr>
          <w:rFonts w:cs="Arial"/>
          <w:b w:val="0"/>
          <w:sz w:val="18"/>
          <w:szCs w:val="18"/>
        </w:rPr>
        <w:t xml:space="preserve"> in </w:t>
      </w:r>
      <w:proofErr w:type="spellStart"/>
      <w:r w:rsidRPr="00B84B0C">
        <w:rPr>
          <w:rFonts w:cs="Arial"/>
          <w:b w:val="0"/>
          <w:sz w:val="18"/>
          <w:szCs w:val="18"/>
        </w:rPr>
        <w:t>Parent</w:t>
      </w:r>
      <w:proofErr w:type="spellEnd"/>
      <w:r w:rsidRPr="00B84B0C">
        <w:rPr>
          <w:rFonts w:cs="Arial"/>
          <w:b w:val="0"/>
          <w:sz w:val="18"/>
          <w:szCs w:val="18"/>
        </w:rPr>
        <w:t>.</w:t>
      </w:r>
    </w:p>
    <w:p w14:paraId="7B8893BD" w14:textId="3C143C92" w:rsidR="00D01F17" w:rsidRPr="00B84B0C" w:rsidRDefault="00D01F17" w:rsidP="00D01F17">
      <w:pPr>
        <w:pStyle w:val="07-Legenda"/>
        <w:shd w:val="clear" w:color="auto" w:fill="FFFFFF" w:themeFill="background1"/>
        <w:tabs>
          <w:tab w:val="clear" w:pos="284"/>
          <w:tab w:val="left" w:pos="0"/>
          <w:tab w:val="left" w:pos="3686"/>
        </w:tabs>
        <w:rPr>
          <w:rFonts w:cs="Arial"/>
        </w:rPr>
      </w:pPr>
    </w:p>
    <w:p w14:paraId="024C42B8" w14:textId="67E7A0E4" w:rsidR="009C72AA" w:rsidRPr="00B84B0C" w:rsidRDefault="009C72AA" w:rsidP="009C72AA">
      <w:pPr>
        <w:pStyle w:val="02-TtulodeNota"/>
        <w:rPr>
          <w:rFonts w:cs="Arial"/>
          <w:color w:val="1F4E79" w:themeColor="accent1" w:themeShade="80"/>
        </w:rPr>
      </w:pPr>
      <w:bookmarkStart w:id="38" w:name="_Toc39131508"/>
      <w:r w:rsidRPr="00B84B0C">
        <w:rPr>
          <w:rFonts w:cs="Arial"/>
          <w:color w:val="1F4E79" w:themeColor="accent1" w:themeShade="80"/>
        </w:rPr>
        <w:t>24 – OTHER INCOME AND EXPENSE</w:t>
      </w:r>
      <w:bookmarkEnd w:id="38"/>
    </w:p>
    <w:p w14:paraId="42A82B57" w14:textId="77777777" w:rsidR="009C72AA" w:rsidRPr="00B84B0C" w:rsidRDefault="009C72AA" w:rsidP="009C72AA">
      <w:pPr>
        <w:pStyle w:val="06-Rmil"/>
        <w:rPr>
          <w:rFonts w:cs="Arial"/>
          <w:sz w:val="12"/>
          <w:szCs w:val="12"/>
        </w:rPr>
      </w:pPr>
      <w:r w:rsidRPr="00B84B0C">
        <w:rPr>
          <w:rFonts w:cs="Arial"/>
          <w:szCs w:val="12"/>
        </w:rPr>
        <w:t xml:space="preserve">R$ </w:t>
      </w:r>
      <w:proofErr w:type="spellStart"/>
      <w:r w:rsidRPr="00B84B0C">
        <w:rPr>
          <w:rFonts w:cs="Arial"/>
          <w:szCs w:val="12"/>
        </w:rPr>
        <w:t>thousand</w:t>
      </w:r>
      <w:proofErr w:type="spellEnd"/>
    </w:p>
    <w:tbl>
      <w:tblPr>
        <w:tblStyle w:val="TabeladeLista6Colorida-nfase510"/>
        <w:tblW w:w="9639" w:type="dxa"/>
        <w:jc w:val="center"/>
        <w:tblInd w:w="0" w:type="dxa"/>
        <w:shd w:val="clear" w:color="auto" w:fill="D9E2F3"/>
        <w:tblLook w:val="04A0" w:firstRow="1" w:lastRow="0" w:firstColumn="1" w:lastColumn="0" w:noHBand="0" w:noVBand="1"/>
      </w:tblPr>
      <w:tblGrid>
        <w:gridCol w:w="850"/>
        <w:gridCol w:w="2244"/>
        <w:gridCol w:w="308"/>
        <w:gridCol w:w="296"/>
        <w:gridCol w:w="1411"/>
        <w:gridCol w:w="1412"/>
        <w:gridCol w:w="283"/>
        <w:gridCol w:w="1417"/>
        <w:gridCol w:w="1418"/>
      </w:tblGrid>
      <w:tr w:rsidR="009C72AA" w:rsidRPr="00B84B0C" w14:paraId="794E0B49" w14:textId="77777777" w:rsidTr="009C72AA">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850" w:type="dxa"/>
            <w:tcBorders>
              <w:top w:val="single" w:sz="2" w:space="0" w:color="8EAADB"/>
              <w:bottom w:val="nil"/>
            </w:tcBorders>
            <w:shd w:val="clear" w:color="auto" w:fill="D9E2F3"/>
          </w:tcPr>
          <w:p w14:paraId="48937FAD" w14:textId="77777777" w:rsidR="009C72AA" w:rsidRPr="00B84B0C" w:rsidRDefault="009C72AA" w:rsidP="009C72AA">
            <w:pPr>
              <w:keepNext/>
              <w:keepLines/>
              <w:spacing w:before="40" w:after="40"/>
              <w:jc w:val="center"/>
              <w:rPr>
                <w:rFonts w:cs="Arial"/>
                <w:b w:val="0"/>
                <w:bCs w:val="0"/>
                <w:spacing w:val="-2"/>
                <w:sz w:val="14"/>
                <w:szCs w:val="14"/>
              </w:rPr>
            </w:pPr>
          </w:p>
        </w:tc>
        <w:tc>
          <w:tcPr>
            <w:tcW w:w="2848" w:type="dxa"/>
            <w:gridSpan w:val="3"/>
            <w:tcBorders>
              <w:top w:val="single" w:sz="2" w:space="0" w:color="8EAADB"/>
              <w:bottom w:val="nil"/>
            </w:tcBorders>
            <w:shd w:val="clear" w:color="auto" w:fill="D9E2F3"/>
          </w:tcPr>
          <w:p w14:paraId="5D95DCDF" w14:textId="77777777" w:rsidR="009C72AA" w:rsidRPr="00B84B0C" w:rsidRDefault="009C72AA" w:rsidP="009C72AA">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rPr>
            </w:pPr>
          </w:p>
        </w:tc>
        <w:tc>
          <w:tcPr>
            <w:tcW w:w="2823" w:type="dxa"/>
            <w:gridSpan w:val="2"/>
            <w:tcBorders>
              <w:top w:val="single" w:sz="2" w:space="0" w:color="8EAADB"/>
              <w:bottom w:val="single" w:sz="2" w:space="0" w:color="8EAADB"/>
            </w:tcBorders>
            <w:shd w:val="clear" w:color="auto" w:fill="D9E2F3"/>
          </w:tcPr>
          <w:p w14:paraId="59474CB9" w14:textId="77777777" w:rsidR="009C72AA" w:rsidRPr="00B84B0C" w:rsidRDefault="009C72AA" w:rsidP="009C72AA">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rPr>
            </w:pPr>
            <w:proofErr w:type="spellStart"/>
            <w:r w:rsidRPr="00B84B0C">
              <w:rPr>
                <w:rFonts w:cs="Arial"/>
                <w:spacing w:val="-2"/>
                <w:sz w:val="14"/>
                <w:szCs w:val="14"/>
              </w:rPr>
              <w:t>Parent</w:t>
            </w:r>
            <w:proofErr w:type="spellEnd"/>
          </w:p>
        </w:tc>
        <w:tc>
          <w:tcPr>
            <w:tcW w:w="283" w:type="dxa"/>
            <w:tcBorders>
              <w:top w:val="single" w:sz="2" w:space="0" w:color="8EAADB"/>
              <w:bottom w:val="nil"/>
            </w:tcBorders>
            <w:shd w:val="clear" w:color="auto" w:fill="D9E2F3"/>
          </w:tcPr>
          <w:p w14:paraId="1F573CC3" w14:textId="77777777" w:rsidR="009C72AA" w:rsidRPr="00B84B0C" w:rsidRDefault="009C72AA" w:rsidP="009C72AA">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b w:val="0"/>
                <w:bCs w:val="0"/>
                <w:spacing w:val="-2"/>
                <w:sz w:val="14"/>
                <w:szCs w:val="14"/>
              </w:rPr>
            </w:pPr>
          </w:p>
        </w:tc>
        <w:tc>
          <w:tcPr>
            <w:tcW w:w="2835" w:type="dxa"/>
            <w:gridSpan w:val="2"/>
            <w:tcBorders>
              <w:top w:val="single" w:sz="2" w:space="0" w:color="8EAADB"/>
              <w:bottom w:val="nil"/>
            </w:tcBorders>
            <w:shd w:val="clear" w:color="auto" w:fill="D9E2F3"/>
          </w:tcPr>
          <w:p w14:paraId="70C2B95D" w14:textId="77777777" w:rsidR="009C72AA" w:rsidRPr="00B84B0C" w:rsidRDefault="009C72AA" w:rsidP="009C72AA">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cs="Arial"/>
                <w:spacing w:val="-2"/>
                <w:sz w:val="14"/>
                <w:szCs w:val="14"/>
              </w:rPr>
            </w:pPr>
            <w:proofErr w:type="spellStart"/>
            <w:r w:rsidRPr="00B84B0C">
              <w:rPr>
                <w:rFonts w:cs="Arial"/>
                <w:spacing w:val="-2"/>
                <w:sz w:val="14"/>
                <w:szCs w:val="14"/>
              </w:rPr>
              <w:t>Consolidated</w:t>
            </w:r>
            <w:proofErr w:type="spellEnd"/>
          </w:p>
        </w:tc>
      </w:tr>
      <w:tr w:rsidR="009C72AA" w:rsidRPr="00B84B0C" w14:paraId="7CFA3AFB" w14:textId="77777777" w:rsidTr="009C72A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094" w:type="dxa"/>
            <w:gridSpan w:val="2"/>
            <w:tcBorders>
              <w:top w:val="nil"/>
              <w:bottom w:val="single" w:sz="2" w:space="0" w:color="8EAADB"/>
            </w:tcBorders>
            <w:shd w:val="clear" w:color="auto" w:fill="D9E2F3"/>
          </w:tcPr>
          <w:p w14:paraId="4213DBF1" w14:textId="77777777" w:rsidR="009C72AA" w:rsidRPr="00B84B0C" w:rsidRDefault="009C72AA" w:rsidP="009C72AA">
            <w:pPr>
              <w:keepNext/>
              <w:keepLines/>
              <w:spacing w:before="40" w:after="40"/>
              <w:rPr>
                <w:rFonts w:cs="Arial"/>
                <w:spacing w:val="-2"/>
                <w:sz w:val="14"/>
                <w:szCs w:val="14"/>
              </w:rPr>
            </w:pPr>
          </w:p>
        </w:tc>
        <w:tc>
          <w:tcPr>
            <w:tcW w:w="604" w:type="dxa"/>
            <w:gridSpan w:val="2"/>
            <w:tcBorders>
              <w:top w:val="nil"/>
              <w:bottom w:val="single" w:sz="2" w:space="0" w:color="8EAADB"/>
            </w:tcBorders>
            <w:shd w:val="clear" w:color="auto" w:fill="D9E2F3"/>
          </w:tcPr>
          <w:p w14:paraId="0EE98019" w14:textId="77777777" w:rsidR="009C72AA" w:rsidRPr="00B84B0C" w:rsidRDefault="009C72AA" w:rsidP="009C72AA">
            <w:pPr>
              <w:keepNext/>
              <w:keepLines/>
              <w:spacing w:before="40" w:after="40"/>
              <w:cnfStyle w:val="000000100000" w:firstRow="0" w:lastRow="0" w:firstColumn="0" w:lastColumn="0" w:oddVBand="0" w:evenVBand="0" w:oddHBand="1" w:evenHBand="0" w:firstRowFirstColumn="0" w:firstRowLastColumn="0" w:lastRowFirstColumn="0" w:lastRowLastColumn="0"/>
              <w:rPr>
                <w:rFonts w:cs="Arial"/>
                <w:b/>
                <w:spacing w:val="-2"/>
                <w:sz w:val="14"/>
                <w:szCs w:val="14"/>
              </w:rPr>
            </w:pPr>
          </w:p>
        </w:tc>
        <w:tc>
          <w:tcPr>
            <w:tcW w:w="1411" w:type="dxa"/>
            <w:tcBorders>
              <w:top w:val="single" w:sz="2" w:space="0" w:color="8EAADB"/>
              <w:bottom w:val="single" w:sz="2" w:space="0" w:color="8EAADB"/>
            </w:tcBorders>
            <w:shd w:val="clear" w:color="auto" w:fill="D9E2F3"/>
          </w:tcPr>
          <w:p w14:paraId="2EE406D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412" w:type="dxa"/>
            <w:tcBorders>
              <w:top w:val="single" w:sz="2" w:space="0" w:color="8EAADB"/>
              <w:bottom w:val="single" w:sz="2" w:space="0" w:color="8EAADB"/>
            </w:tcBorders>
            <w:shd w:val="clear" w:color="auto" w:fill="D9E2F3"/>
          </w:tcPr>
          <w:p w14:paraId="7CE82692"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
              </w:rPr>
              <w:t xml:space="preserve">1st </w:t>
            </w:r>
            <w:proofErr w:type="spellStart"/>
            <w:r w:rsidRPr="00B84B0C">
              <w:rPr>
                <w:rFonts w:cs="Arial"/>
                <w:b/>
              </w:rPr>
              <w:t>Quarter</w:t>
            </w:r>
            <w:proofErr w:type="spellEnd"/>
            <w:r w:rsidRPr="00B84B0C">
              <w:rPr>
                <w:rFonts w:cs="Arial"/>
                <w:b/>
              </w:rPr>
              <w:t>/2019</w:t>
            </w:r>
          </w:p>
        </w:tc>
        <w:tc>
          <w:tcPr>
            <w:tcW w:w="283" w:type="dxa"/>
            <w:tcBorders>
              <w:top w:val="nil"/>
              <w:bottom w:val="single" w:sz="2" w:space="0" w:color="8EAADB"/>
            </w:tcBorders>
            <w:shd w:val="clear" w:color="auto" w:fill="D9E2F3"/>
            <w:vAlign w:val="center"/>
          </w:tcPr>
          <w:p w14:paraId="711CAA8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Borders>
              <w:top w:val="single" w:sz="2" w:space="0" w:color="8EAADB"/>
              <w:bottom w:val="single" w:sz="2" w:space="0" w:color="8EAADB"/>
            </w:tcBorders>
            <w:shd w:val="clear" w:color="auto" w:fill="D9E2F3"/>
          </w:tcPr>
          <w:p w14:paraId="73C6975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418" w:type="dxa"/>
            <w:tcBorders>
              <w:top w:val="single" w:sz="2" w:space="0" w:color="8EAADB"/>
              <w:bottom w:val="single" w:sz="2" w:space="0" w:color="8EAADB"/>
            </w:tcBorders>
            <w:shd w:val="clear" w:color="auto" w:fill="D9E2F3"/>
          </w:tcPr>
          <w:p w14:paraId="24A8DB8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b/>
              </w:rPr>
              <w:t xml:space="preserve">1st </w:t>
            </w:r>
            <w:proofErr w:type="spellStart"/>
            <w:r w:rsidRPr="00B84B0C">
              <w:rPr>
                <w:rFonts w:cs="Arial"/>
                <w:b/>
              </w:rPr>
              <w:t>Quarter</w:t>
            </w:r>
            <w:proofErr w:type="spellEnd"/>
            <w:r w:rsidRPr="00B84B0C">
              <w:rPr>
                <w:rFonts w:cs="Arial"/>
                <w:b/>
              </w:rPr>
              <w:t>/2019</w:t>
            </w:r>
          </w:p>
        </w:tc>
      </w:tr>
      <w:tr w:rsidR="009C72AA" w:rsidRPr="00B84B0C" w14:paraId="13A830C8" w14:textId="77777777" w:rsidTr="009C72AA">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402" w:type="dxa"/>
            <w:gridSpan w:val="3"/>
            <w:tcBorders>
              <w:top w:val="nil"/>
              <w:bottom w:val="nil"/>
            </w:tcBorders>
            <w:shd w:val="clear" w:color="auto" w:fill="FFFFFF" w:themeFill="background1"/>
          </w:tcPr>
          <w:p w14:paraId="26B59BD5" w14:textId="77777777" w:rsidR="009C72AA" w:rsidRPr="00B84B0C" w:rsidRDefault="009C72AA" w:rsidP="009C72AA">
            <w:pPr>
              <w:pStyle w:val="08-Tabelageral"/>
              <w:jc w:val="left"/>
              <w:rPr>
                <w:rFonts w:cs="Arial"/>
                <w:b w:val="0"/>
                <w:szCs w:val="14"/>
              </w:rPr>
            </w:pPr>
            <w:r w:rsidRPr="00B84B0C">
              <w:rPr>
                <w:rFonts w:cs="Arial"/>
                <w:b w:val="0"/>
                <w:szCs w:val="14"/>
              </w:rPr>
              <w:t xml:space="preserve">Income </w:t>
            </w:r>
            <w:proofErr w:type="spellStart"/>
            <w:r w:rsidRPr="00B84B0C">
              <w:rPr>
                <w:rFonts w:cs="Arial"/>
                <w:b w:val="0"/>
                <w:szCs w:val="14"/>
              </w:rPr>
              <w:t>of</w:t>
            </w:r>
            <w:proofErr w:type="spellEnd"/>
            <w:r w:rsidRPr="00B84B0C">
              <w:rPr>
                <w:rFonts w:cs="Arial"/>
                <w:b w:val="0"/>
                <w:szCs w:val="14"/>
              </w:rPr>
              <w:t xml:space="preserve"> </w:t>
            </w:r>
            <w:proofErr w:type="gramStart"/>
            <w:r w:rsidRPr="00B84B0C">
              <w:rPr>
                <w:rFonts w:cs="Arial"/>
                <w:b w:val="0"/>
                <w:szCs w:val="14"/>
              </w:rPr>
              <w:t>ADR</w:t>
            </w:r>
            <w:r w:rsidRPr="00B84B0C">
              <w:rPr>
                <w:rFonts w:cs="Arial"/>
                <w:b w:val="0"/>
                <w:szCs w:val="14"/>
                <w:vertAlign w:val="superscript"/>
              </w:rPr>
              <w:t>(</w:t>
            </w:r>
            <w:proofErr w:type="gramEnd"/>
            <w:r w:rsidRPr="00B84B0C">
              <w:rPr>
                <w:rFonts w:cs="Arial"/>
                <w:b w:val="0"/>
                <w:szCs w:val="14"/>
                <w:vertAlign w:val="superscript"/>
              </w:rPr>
              <w:t>1)</w:t>
            </w:r>
          </w:p>
        </w:tc>
        <w:tc>
          <w:tcPr>
            <w:tcW w:w="296" w:type="dxa"/>
            <w:tcBorders>
              <w:top w:val="nil"/>
              <w:bottom w:val="nil"/>
            </w:tcBorders>
            <w:shd w:val="clear" w:color="auto" w:fill="FFFFFF" w:themeFill="background1"/>
            <w:vAlign w:val="center"/>
          </w:tcPr>
          <w:p w14:paraId="2027FC8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shd w:val="clear" w:color="auto" w:fill="FFFFFF" w:themeFill="background1"/>
            <w:vAlign w:val="center"/>
          </w:tcPr>
          <w:p w14:paraId="391022E2"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4,147</w:t>
            </w:r>
          </w:p>
        </w:tc>
        <w:tc>
          <w:tcPr>
            <w:tcW w:w="1412" w:type="dxa"/>
            <w:tcBorders>
              <w:top w:val="nil"/>
              <w:bottom w:val="nil"/>
            </w:tcBorders>
            <w:shd w:val="clear" w:color="auto" w:fill="FFFFFF" w:themeFill="background1"/>
            <w:vAlign w:val="center"/>
          </w:tcPr>
          <w:p w14:paraId="3B170F65"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shd w:val="clear" w:color="auto" w:fill="FFFFFF" w:themeFill="background1"/>
            <w:vAlign w:val="center"/>
          </w:tcPr>
          <w:p w14:paraId="7EB6609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35A57FD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4,147</w:t>
            </w:r>
          </w:p>
        </w:tc>
        <w:tc>
          <w:tcPr>
            <w:tcW w:w="1418" w:type="dxa"/>
            <w:tcBorders>
              <w:top w:val="nil"/>
              <w:bottom w:val="nil"/>
            </w:tcBorders>
            <w:shd w:val="clear" w:color="auto" w:fill="FFFFFF" w:themeFill="background1"/>
            <w:vAlign w:val="center"/>
          </w:tcPr>
          <w:p w14:paraId="2925367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r>
      <w:tr w:rsidR="009C72AA" w:rsidRPr="00B84B0C" w14:paraId="29F000C1" w14:textId="77777777" w:rsidTr="009C72AA">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402" w:type="dxa"/>
            <w:gridSpan w:val="3"/>
            <w:tcBorders>
              <w:top w:val="nil"/>
              <w:bottom w:val="nil"/>
            </w:tcBorders>
            <w:shd w:val="clear" w:color="auto" w:fill="D9E2F3"/>
          </w:tcPr>
          <w:p w14:paraId="36641431" w14:textId="77777777" w:rsidR="009C72AA" w:rsidRPr="00B84B0C" w:rsidRDefault="009C72AA" w:rsidP="009C72AA">
            <w:pPr>
              <w:pStyle w:val="08-Tabelageral"/>
              <w:jc w:val="left"/>
              <w:rPr>
                <w:rFonts w:cs="Arial"/>
                <w:b w:val="0"/>
                <w:szCs w:val="14"/>
              </w:rPr>
            </w:pPr>
            <w:r w:rsidRPr="00B84B0C">
              <w:rPr>
                <w:rFonts w:cs="Arial"/>
                <w:b w:val="0"/>
                <w:szCs w:val="14"/>
              </w:rPr>
              <w:t>(</w:t>
            </w:r>
            <w:proofErr w:type="spellStart"/>
            <w:r w:rsidRPr="00B84B0C">
              <w:rPr>
                <w:rFonts w:cs="Arial"/>
                <w:b w:val="0"/>
                <w:szCs w:val="14"/>
              </w:rPr>
              <w:t>Addition</w:t>
            </w:r>
            <w:proofErr w:type="spellEnd"/>
            <w:r w:rsidRPr="00B84B0C">
              <w:rPr>
                <w:rFonts w:cs="Arial"/>
                <w:b w:val="0"/>
                <w:szCs w:val="14"/>
              </w:rPr>
              <w:t>)/</w:t>
            </w:r>
            <w:proofErr w:type="spellStart"/>
            <w:r w:rsidRPr="00B84B0C">
              <w:rPr>
                <w:rFonts w:cs="Arial"/>
                <w:b w:val="0"/>
                <w:szCs w:val="14"/>
              </w:rPr>
              <w:t>Reversal</w:t>
            </w:r>
            <w:proofErr w:type="spellEnd"/>
            <w:r w:rsidRPr="00B84B0C">
              <w:rPr>
                <w:rFonts w:cs="Arial"/>
                <w:b w:val="0"/>
                <w:szCs w:val="14"/>
              </w:rPr>
              <w:t xml:space="preserve"> </w:t>
            </w:r>
            <w:proofErr w:type="spellStart"/>
            <w:r w:rsidRPr="00B84B0C">
              <w:rPr>
                <w:rFonts w:cs="Arial"/>
                <w:b w:val="0"/>
                <w:szCs w:val="14"/>
              </w:rPr>
              <w:t>of</w:t>
            </w:r>
            <w:proofErr w:type="spellEnd"/>
            <w:r w:rsidRPr="00B84B0C">
              <w:rPr>
                <w:rFonts w:cs="Arial"/>
                <w:b w:val="0"/>
                <w:szCs w:val="14"/>
              </w:rPr>
              <w:t xml:space="preserve"> </w:t>
            </w:r>
            <w:proofErr w:type="spellStart"/>
            <w:r w:rsidRPr="00B84B0C">
              <w:rPr>
                <w:rFonts w:cs="Arial"/>
                <w:b w:val="0"/>
                <w:szCs w:val="14"/>
              </w:rPr>
              <w:t>provisions</w:t>
            </w:r>
            <w:proofErr w:type="spellEnd"/>
            <w:r w:rsidRPr="00B84B0C">
              <w:rPr>
                <w:rFonts w:cs="Arial"/>
                <w:b w:val="0"/>
                <w:szCs w:val="14"/>
              </w:rPr>
              <w:t xml:space="preserve"> for labor, </w:t>
            </w:r>
            <w:proofErr w:type="spellStart"/>
            <w:r w:rsidRPr="00B84B0C">
              <w:rPr>
                <w:rFonts w:cs="Arial"/>
                <w:b w:val="0"/>
                <w:szCs w:val="14"/>
              </w:rPr>
              <w:t>tax</w:t>
            </w:r>
            <w:proofErr w:type="spellEnd"/>
            <w:r w:rsidRPr="00B84B0C">
              <w:rPr>
                <w:rFonts w:cs="Arial"/>
                <w:b w:val="0"/>
                <w:szCs w:val="14"/>
              </w:rPr>
              <w:t xml:space="preserve"> </w:t>
            </w:r>
            <w:proofErr w:type="spellStart"/>
            <w:r w:rsidRPr="00B84B0C">
              <w:rPr>
                <w:rFonts w:cs="Arial"/>
                <w:b w:val="0"/>
                <w:szCs w:val="14"/>
              </w:rPr>
              <w:t>and</w:t>
            </w:r>
            <w:proofErr w:type="spellEnd"/>
            <w:r w:rsidRPr="00B84B0C">
              <w:rPr>
                <w:rFonts w:cs="Arial"/>
                <w:b w:val="0"/>
                <w:szCs w:val="14"/>
              </w:rPr>
              <w:t xml:space="preserve"> civil </w:t>
            </w:r>
            <w:proofErr w:type="spellStart"/>
            <w:r w:rsidRPr="00B84B0C">
              <w:rPr>
                <w:rFonts w:cs="Arial"/>
                <w:b w:val="0"/>
                <w:szCs w:val="14"/>
              </w:rPr>
              <w:t>lawsuits</w:t>
            </w:r>
            <w:proofErr w:type="spellEnd"/>
          </w:p>
        </w:tc>
        <w:tc>
          <w:tcPr>
            <w:tcW w:w="296" w:type="dxa"/>
            <w:tcBorders>
              <w:top w:val="nil"/>
              <w:bottom w:val="nil"/>
            </w:tcBorders>
            <w:shd w:val="clear" w:color="auto" w:fill="D9E2F3"/>
            <w:vAlign w:val="center"/>
          </w:tcPr>
          <w:p w14:paraId="386763B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D9E2F3"/>
            <w:vAlign w:val="center"/>
          </w:tcPr>
          <w:p w14:paraId="7169E52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(127)</w:t>
            </w:r>
          </w:p>
        </w:tc>
        <w:tc>
          <w:tcPr>
            <w:tcW w:w="1412" w:type="dxa"/>
            <w:tcBorders>
              <w:top w:val="nil"/>
              <w:bottom w:val="nil"/>
            </w:tcBorders>
            <w:shd w:val="clear" w:color="auto" w:fill="D9E2F3"/>
            <w:vAlign w:val="center"/>
          </w:tcPr>
          <w:p w14:paraId="068922C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shd w:val="clear" w:color="auto" w:fill="D9E2F3"/>
            <w:vAlign w:val="center"/>
          </w:tcPr>
          <w:p w14:paraId="5607C77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037D042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343</w:t>
            </w:r>
          </w:p>
        </w:tc>
        <w:tc>
          <w:tcPr>
            <w:tcW w:w="1418" w:type="dxa"/>
            <w:tcBorders>
              <w:top w:val="nil"/>
              <w:bottom w:val="nil"/>
            </w:tcBorders>
            <w:shd w:val="clear" w:color="auto" w:fill="D9E2F3"/>
            <w:vAlign w:val="center"/>
          </w:tcPr>
          <w:p w14:paraId="6E14AAF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(743)</w:t>
            </w:r>
          </w:p>
        </w:tc>
      </w:tr>
      <w:tr w:rsidR="009C72AA" w:rsidRPr="00B84B0C" w14:paraId="2A30B540" w14:textId="77777777" w:rsidTr="009C72AA">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402" w:type="dxa"/>
            <w:gridSpan w:val="3"/>
            <w:tcBorders>
              <w:top w:val="nil"/>
              <w:bottom w:val="nil"/>
            </w:tcBorders>
            <w:shd w:val="clear" w:color="auto" w:fill="FFFFFF" w:themeFill="background1"/>
          </w:tcPr>
          <w:p w14:paraId="7759ADF9" w14:textId="77777777" w:rsidR="009C72AA" w:rsidRPr="00B84B0C" w:rsidRDefault="009C72AA" w:rsidP="009C72AA">
            <w:pPr>
              <w:pStyle w:val="08-Tabelageral"/>
              <w:jc w:val="left"/>
              <w:rPr>
                <w:rFonts w:cs="Arial"/>
                <w:b w:val="0"/>
                <w:szCs w:val="14"/>
              </w:rPr>
            </w:pPr>
            <w:proofErr w:type="spellStart"/>
            <w:r w:rsidRPr="00B84B0C">
              <w:rPr>
                <w:rFonts w:cs="Arial"/>
                <w:b w:val="0"/>
                <w:szCs w:val="14"/>
              </w:rPr>
              <w:t>Depreciation</w:t>
            </w:r>
            <w:proofErr w:type="spellEnd"/>
            <w:r w:rsidRPr="00B84B0C">
              <w:rPr>
                <w:rFonts w:cs="Arial"/>
                <w:b w:val="0"/>
                <w:szCs w:val="14"/>
              </w:rPr>
              <w:t>/</w:t>
            </w:r>
            <w:proofErr w:type="spellStart"/>
            <w:r w:rsidRPr="00B84B0C">
              <w:rPr>
                <w:rFonts w:cs="Arial"/>
                <w:b w:val="0"/>
                <w:szCs w:val="14"/>
              </w:rPr>
              <w:t>amortization</w:t>
            </w:r>
            <w:proofErr w:type="spellEnd"/>
            <w:r w:rsidRPr="00B84B0C">
              <w:rPr>
                <w:rFonts w:cs="Arial"/>
                <w:b w:val="0"/>
                <w:szCs w:val="14"/>
              </w:rPr>
              <w:t xml:space="preserve"> </w:t>
            </w:r>
            <w:proofErr w:type="spellStart"/>
            <w:r w:rsidRPr="00B84B0C">
              <w:rPr>
                <w:rFonts w:cs="Arial"/>
                <w:b w:val="0"/>
                <w:szCs w:val="14"/>
              </w:rPr>
              <w:t>expense</w:t>
            </w:r>
            <w:proofErr w:type="spellEnd"/>
          </w:p>
        </w:tc>
        <w:tc>
          <w:tcPr>
            <w:tcW w:w="296" w:type="dxa"/>
            <w:tcBorders>
              <w:top w:val="nil"/>
              <w:bottom w:val="nil"/>
            </w:tcBorders>
            <w:shd w:val="clear" w:color="auto" w:fill="FFFFFF" w:themeFill="background1"/>
            <w:vAlign w:val="center"/>
          </w:tcPr>
          <w:p w14:paraId="46741CB2"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shd w:val="clear" w:color="auto" w:fill="FFFFFF" w:themeFill="background1"/>
            <w:vAlign w:val="center"/>
          </w:tcPr>
          <w:p w14:paraId="6F7DC09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(47)</w:t>
            </w:r>
          </w:p>
        </w:tc>
        <w:tc>
          <w:tcPr>
            <w:tcW w:w="1412" w:type="dxa"/>
            <w:tcBorders>
              <w:top w:val="nil"/>
              <w:bottom w:val="nil"/>
            </w:tcBorders>
            <w:shd w:val="clear" w:color="auto" w:fill="FFFFFF" w:themeFill="background1"/>
            <w:vAlign w:val="center"/>
          </w:tcPr>
          <w:p w14:paraId="4652383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(39)</w:t>
            </w:r>
          </w:p>
        </w:tc>
        <w:tc>
          <w:tcPr>
            <w:tcW w:w="283" w:type="dxa"/>
            <w:tcBorders>
              <w:top w:val="nil"/>
              <w:bottom w:val="nil"/>
            </w:tcBorders>
            <w:shd w:val="clear" w:color="auto" w:fill="FFFFFF" w:themeFill="background1"/>
            <w:vAlign w:val="center"/>
          </w:tcPr>
          <w:p w14:paraId="5B43B4C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4F7A25F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(249)</w:t>
            </w:r>
          </w:p>
        </w:tc>
        <w:tc>
          <w:tcPr>
            <w:tcW w:w="1418" w:type="dxa"/>
            <w:tcBorders>
              <w:top w:val="nil"/>
              <w:bottom w:val="nil"/>
            </w:tcBorders>
            <w:shd w:val="clear" w:color="auto" w:fill="FFFFFF" w:themeFill="background1"/>
            <w:vAlign w:val="center"/>
          </w:tcPr>
          <w:p w14:paraId="1C0FEE2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(213)</w:t>
            </w:r>
          </w:p>
        </w:tc>
      </w:tr>
      <w:tr w:rsidR="009C72AA" w:rsidRPr="00B84B0C" w14:paraId="1116187C" w14:textId="77777777" w:rsidTr="009C72AA">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402" w:type="dxa"/>
            <w:gridSpan w:val="3"/>
            <w:tcBorders>
              <w:top w:val="nil"/>
              <w:bottom w:val="nil"/>
            </w:tcBorders>
            <w:shd w:val="clear" w:color="auto" w:fill="D9E2F3"/>
          </w:tcPr>
          <w:p w14:paraId="29A6129F" w14:textId="77777777" w:rsidR="009C72AA" w:rsidRPr="00B84B0C" w:rsidRDefault="009C72AA" w:rsidP="009C72AA">
            <w:pPr>
              <w:pStyle w:val="08-Tabelageral"/>
              <w:jc w:val="left"/>
              <w:rPr>
                <w:rFonts w:cs="Arial"/>
                <w:b w:val="0"/>
                <w:szCs w:val="14"/>
              </w:rPr>
            </w:pPr>
            <w:r w:rsidRPr="00B84B0C">
              <w:rPr>
                <w:rFonts w:cs="Arial"/>
                <w:b w:val="0"/>
                <w:szCs w:val="14"/>
              </w:rPr>
              <w:t>Income/(</w:t>
            </w:r>
            <w:proofErr w:type="spellStart"/>
            <w:r w:rsidRPr="00B84B0C">
              <w:rPr>
                <w:rFonts w:cs="Arial"/>
                <w:b w:val="0"/>
                <w:szCs w:val="14"/>
              </w:rPr>
              <w:t>expense</w:t>
            </w:r>
            <w:proofErr w:type="spellEnd"/>
            <w:r w:rsidRPr="00B84B0C">
              <w:rPr>
                <w:rFonts w:cs="Arial"/>
                <w:b w:val="0"/>
                <w:szCs w:val="14"/>
              </w:rPr>
              <w:t xml:space="preserve">) </w:t>
            </w:r>
            <w:proofErr w:type="spellStart"/>
            <w:r w:rsidRPr="00B84B0C">
              <w:rPr>
                <w:rFonts w:cs="Arial"/>
                <w:b w:val="0"/>
                <w:szCs w:val="14"/>
              </w:rPr>
              <w:t>earn</w:t>
            </w:r>
            <w:proofErr w:type="spellEnd"/>
            <w:r w:rsidRPr="00B84B0C">
              <w:rPr>
                <w:rFonts w:cs="Arial"/>
                <w:b w:val="0"/>
                <w:szCs w:val="14"/>
              </w:rPr>
              <w:t xml:space="preserve"> in </w:t>
            </w:r>
            <w:proofErr w:type="spellStart"/>
            <w:r w:rsidRPr="00B84B0C">
              <w:rPr>
                <w:rFonts w:cs="Arial"/>
                <w:b w:val="0"/>
                <w:szCs w:val="14"/>
              </w:rPr>
              <w:t>earn</w:t>
            </w:r>
            <w:proofErr w:type="spellEnd"/>
            <w:r w:rsidRPr="00B84B0C">
              <w:rPr>
                <w:rFonts w:cs="Arial"/>
                <w:b w:val="0"/>
                <w:szCs w:val="14"/>
              </w:rPr>
              <w:t xml:space="preserve"> out - </w:t>
            </w:r>
            <w:proofErr w:type="spellStart"/>
            <w:r w:rsidRPr="00B84B0C">
              <w:rPr>
                <w:rFonts w:cs="Arial"/>
                <w:b w:val="0"/>
                <w:szCs w:val="14"/>
              </w:rPr>
              <w:t>Brasilveiculos</w:t>
            </w:r>
            <w:proofErr w:type="spellEnd"/>
            <w:r w:rsidRPr="00B84B0C">
              <w:rPr>
                <w:rFonts w:cs="Arial"/>
                <w:b w:val="0"/>
                <w:szCs w:val="14"/>
              </w:rPr>
              <w:t xml:space="preserve"> </w:t>
            </w:r>
            <w:r w:rsidRPr="00B84B0C">
              <w:rPr>
                <w:rFonts w:cs="Arial"/>
                <w:b w:val="0"/>
                <w:szCs w:val="14"/>
                <w:vertAlign w:val="superscript"/>
              </w:rPr>
              <w:t>(2)</w:t>
            </w:r>
          </w:p>
        </w:tc>
        <w:tc>
          <w:tcPr>
            <w:tcW w:w="296" w:type="dxa"/>
            <w:tcBorders>
              <w:top w:val="nil"/>
              <w:bottom w:val="nil"/>
            </w:tcBorders>
            <w:shd w:val="clear" w:color="auto" w:fill="D9E2F3"/>
            <w:vAlign w:val="center"/>
          </w:tcPr>
          <w:p w14:paraId="6325245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1" w:type="dxa"/>
            <w:tcBorders>
              <w:top w:val="nil"/>
              <w:bottom w:val="nil"/>
            </w:tcBorders>
            <w:shd w:val="clear" w:color="auto" w:fill="D9E2F3"/>
            <w:vAlign w:val="center"/>
          </w:tcPr>
          <w:p w14:paraId="22F021D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1412" w:type="dxa"/>
            <w:tcBorders>
              <w:top w:val="nil"/>
              <w:bottom w:val="nil"/>
            </w:tcBorders>
            <w:shd w:val="clear" w:color="auto" w:fill="D9E2F3"/>
            <w:vAlign w:val="center"/>
          </w:tcPr>
          <w:p w14:paraId="714F98E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c>
          <w:tcPr>
            <w:tcW w:w="283" w:type="dxa"/>
            <w:tcBorders>
              <w:top w:val="nil"/>
              <w:bottom w:val="nil"/>
            </w:tcBorders>
            <w:shd w:val="clear" w:color="auto" w:fill="D9E2F3"/>
            <w:vAlign w:val="center"/>
          </w:tcPr>
          <w:p w14:paraId="15A91D8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D9E2F3"/>
            <w:vAlign w:val="center"/>
          </w:tcPr>
          <w:p w14:paraId="13DD73A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(9,124)</w:t>
            </w:r>
          </w:p>
        </w:tc>
        <w:tc>
          <w:tcPr>
            <w:tcW w:w="1418" w:type="dxa"/>
            <w:tcBorders>
              <w:top w:val="nil"/>
              <w:bottom w:val="nil"/>
            </w:tcBorders>
            <w:shd w:val="clear" w:color="auto" w:fill="D9E2F3"/>
            <w:vAlign w:val="center"/>
          </w:tcPr>
          <w:p w14:paraId="31AB3B7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(1,892)</w:t>
            </w:r>
          </w:p>
        </w:tc>
      </w:tr>
      <w:tr w:rsidR="009C72AA" w:rsidRPr="00B84B0C" w14:paraId="2CB3CE17" w14:textId="77777777" w:rsidTr="009C72AA">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402" w:type="dxa"/>
            <w:gridSpan w:val="3"/>
            <w:tcBorders>
              <w:top w:val="nil"/>
              <w:bottom w:val="nil"/>
            </w:tcBorders>
            <w:shd w:val="clear" w:color="auto" w:fill="FFFFFF" w:themeFill="background1"/>
          </w:tcPr>
          <w:p w14:paraId="17B5FA02" w14:textId="77777777" w:rsidR="009C72AA" w:rsidRPr="00B84B0C" w:rsidRDefault="009C72AA" w:rsidP="009C72AA">
            <w:pPr>
              <w:pStyle w:val="08-Tabelageral"/>
              <w:jc w:val="left"/>
              <w:rPr>
                <w:rFonts w:cs="Arial"/>
                <w:b w:val="0"/>
                <w:szCs w:val="14"/>
              </w:rPr>
            </w:pPr>
            <w:r w:rsidRPr="00B84B0C">
              <w:rPr>
                <w:rFonts w:cs="Arial"/>
                <w:b w:val="0"/>
                <w:szCs w:val="14"/>
              </w:rPr>
              <w:t xml:space="preserve">Other </w:t>
            </w:r>
            <w:r w:rsidRPr="00B84B0C">
              <w:rPr>
                <w:rFonts w:cs="Arial"/>
                <w:b w:val="0"/>
                <w:szCs w:val="14"/>
                <w:vertAlign w:val="superscript"/>
              </w:rPr>
              <w:t>(3)</w:t>
            </w:r>
          </w:p>
        </w:tc>
        <w:tc>
          <w:tcPr>
            <w:tcW w:w="296" w:type="dxa"/>
            <w:tcBorders>
              <w:top w:val="nil"/>
              <w:bottom w:val="nil"/>
            </w:tcBorders>
            <w:shd w:val="clear" w:color="auto" w:fill="FFFFFF" w:themeFill="background1"/>
            <w:vAlign w:val="center"/>
          </w:tcPr>
          <w:p w14:paraId="3B44D19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1" w:type="dxa"/>
            <w:tcBorders>
              <w:top w:val="nil"/>
              <w:bottom w:val="nil"/>
            </w:tcBorders>
            <w:shd w:val="clear" w:color="auto" w:fill="FFFFFF" w:themeFill="background1"/>
            <w:vAlign w:val="center"/>
          </w:tcPr>
          <w:p w14:paraId="5A29E79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16</w:t>
            </w:r>
          </w:p>
        </w:tc>
        <w:tc>
          <w:tcPr>
            <w:tcW w:w="1412" w:type="dxa"/>
            <w:tcBorders>
              <w:top w:val="nil"/>
              <w:bottom w:val="nil"/>
            </w:tcBorders>
            <w:shd w:val="clear" w:color="auto" w:fill="FFFFFF" w:themeFill="background1"/>
            <w:vAlign w:val="center"/>
          </w:tcPr>
          <w:p w14:paraId="14A6AC9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1,834</w:t>
            </w:r>
          </w:p>
        </w:tc>
        <w:tc>
          <w:tcPr>
            <w:tcW w:w="283" w:type="dxa"/>
            <w:tcBorders>
              <w:top w:val="nil"/>
              <w:bottom w:val="nil"/>
            </w:tcBorders>
            <w:shd w:val="clear" w:color="auto" w:fill="FFFFFF" w:themeFill="background1"/>
            <w:vAlign w:val="center"/>
          </w:tcPr>
          <w:p w14:paraId="593774F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FFFFFF" w:themeFill="background1"/>
            <w:vAlign w:val="center"/>
          </w:tcPr>
          <w:p w14:paraId="3F901C3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(1,652)</w:t>
            </w:r>
          </w:p>
        </w:tc>
        <w:tc>
          <w:tcPr>
            <w:tcW w:w="1418" w:type="dxa"/>
            <w:tcBorders>
              <w:top w:val="nil"/>
              <w:bottom w:val="nil"/>
            </w:tcBorders>
            <w:shd w:val="clear" w:color="auto" w:fill="FFFFFF" w:themeFill="background1"/>
            <w:vAlign w:val="center"/>
          </w:tcPr>
          <w:p w14:paraId="1696A7E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196</w:t>
            </w:r>
          </w:p>
        </w:tc>
      </w:tr>
      <w:tr w:rsidR="009C72AA" w:rsidRPr="00B84B0C" w14:paraId="120BF8E4" w14:textId="77777777" w:rsidTr="009C72AA">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402" w:type="dxa"/>
            <w:gridSpan w:val="3"/>
            <w:tcBorders>
              <w:top w:val="nil"/>
              <w:bottom w:val="single" w:sz="2" w:space="0" w:color="8EAADB"/>
            </w:tcBorders>
            <w:shd w:val="clear" w:color="auto" w:fill="D9E2F3"/>
          </w:tcPr>
          <w:p w14:paraId="08F6104A" w14:textId="77777777" w:rsidR="009C72AA" w:rsidRPr="00B84B0C" w:rsidRDefault="009C72AA" w:rsidP="009C72AA">
            <w:pPr>
              <w:pStyle w:val="08-Tabelageral"/>
              <w:jc w:val="left"/>
              <w:rPr>
                <w:rFonts w:cs="Arial"/>
                <w:bCs w:val="0"/>
                <w:szCs w:val="14"/>
              </w:rPr>
            </w:pPr>
            <w:r w:rsidRPr="00B84B0C">
              <w:rPr>
                <w:rFonts w:cs="Arial"/>
                <w:szCs w:val="14"/>
              </w:rPr>
              <w:t>Total</w:t>
            </w:r>
          </w:p>
        </w:tc>
        <w:tc>
          <w:tcPr>
            <w:tcW w:w="296" w:type="dxa"/>
            <w:tcBorders>
              <w:top w:val="nil"/>
              <w:bottom w:val="single" w:sz="2" w:space="0" w:color="8EAADB"/>
            </w:tcBorders>
            <w:shd w:val="clear" w:color="auto" w:fill="D9E2F3"/>
            <w:vAlign w:val="center"/>
          </w:tcPr>
          <w:p w14:paraId="62DBA8B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1" w:type="dxa"/>
            <w:tcBorders>
              <w:top w:val="nil"/>
              <w:bottom w:val="single" w:sz="2" w:space="0" w:color="8EAADB"/>
            </w:tcBorders>
            <w:shd w:val="clear" w:color="auto" w:fill="D9E2F3"/>
            <w:vAlign w:val="center"/>
          </w:tcPr>
          <w:p w14:paraId="1FE5744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3,989</w:t>
            </w:r>
          </w:p>
        </w:tc>
        <w:tc>
          <w:tcPr>
            <w:tcW w:w="1412" w:type="dxa"/>
            <w:tcBorders>
              <w:top w:val="nil"/>
              <w:bottom w:val="single" w:sz="2" w:space="0" w:color="8EAADB"/>
            </w:tcBorders>
            <w:shd w:val="clear" w:color="auto" w:fill="D9E2F3"/>
            <w:vAlign w:val="center"/>
          </w:tcPr>
          <w:p w14:paraId="40AA161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1,795</w:t>
            </w:r>
          </w:p>
        </w:tc>
        <w:tc>
          <w:tcPr>
            <w:tcW w:w="283" w:type="dxa"/>
            <w:tcBorders>
              <w:top w:val="nil"/>
              <w:bottom w:val="single" w:sz="2" w:space="0" w:color="8EAADB"/>
            </w:tcBorders>
            <w:shd w:val="clear" w:color="auto" w:fill="D9E2F3"/>
            <w:vAlign w:val="center"/>
          </w:tcPr>
          <w:p w14:paraId="581F465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417" w:type="dxa"/>
            <w:tcBorders>
              <w:top w:val="nil"/>
              <w:bottom w:val="single" w:sz="2" w:space="0" w:color="8EAADB"/>
            </w:tcBorders>
            <w:shd w:val="clear" w:color="auto" w:fill="D9E2F3"/>
            <w:vAlign w:val="center"/>
          </w:tcPr>
          <w:p w14:paraId="42D9DEA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(6,535)</w:t>
            </w:r>
          </w:p>
        </w:tc>
        <w:tc>
          <w:tcPr>
            <w:tcW w:w="1418" w:type="dxa"/>
            <w:tcBorders>
              <w:top w:val="nil"/>
              <w:bottom w:val="single" w:sz="2" w:space="0" w:color="8EAADB"/>
            </w:tcBorders>
            <w:shd w:val="clear" w:color="auto" w:fill="D9E2F3"/>
            <w:vAlign w:val="center"/>
          </w:tcPr>
          <w:p w14:paraId="3B3F9A3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84B0C">
              <w:rPr>
                <w:rFonts w:cs="Arial"/>
                <w:b/>
                <w:szCs w:val="14"/>
              </w:rPr>
              <w:t>(2,652)</w:t>
            </w:r>
          </w:p>
        </w:tc>
      </w:tr>
    </w:tbl>
    <w:p w14:paraId="7057EC30" w14:textId="77777777" w:rsidR="009C72AA" w:rsidRPr="00B84B0C" w:rsidRDefault="009C72AA" w:rsidP="009C72AA">
      <w:pPr>
        <w:pStyle w:val="07-Legenda"/>
        <w:numPr>
          <w:ilvl w:val="0"/>
          <w:numId w:val="1"/>
        </w:numPr>
        <w:tabs>
          <w:tab w:val="clear" w:pos="284"/>
        </w:tabs>
        <w:ind w:left="284" w:hanging="284"/>
        <w:rPr>
          <w:rStyle w:val="tlid-translation"/>
          <w:rFonts w:cs="Arial"/>
        </w:rPr>
      </w:pPr>
      <w:r w:rsidRPr="00B84B0C">
        <w:rPr>
          <w:rStyle w:val="tlid-translation"/>
          <w:rFonts w:cs="Arial"/>
          <w:lang w:val="en"/>
        </w:rPr>
        <w:t>Refers to the amounts recognized under the ADR (American Depositary Receipt) program.</w:t>
      </w:r>
    </w:p>
    <w:p w14:paraId="780CD177" w14:textId="77777777" w:rsidR="009C72AA" w:rsidRPr="00B84B0C" w:rsidRDefault="009C72AA" w:rsidP="009C72AA">
      <w:pPr>
        <w:pStyle w:val="07-Legenda"/>
        <w:numPr>
          <w:ilvl w:val="0"/>
          <w:numId w:val="1"/>
        </w:numPr>
        <w:tabs>
          <w:tab w:val="clear" w:pos="284"/>
        </w:tabs>
        <w:ind w:left="284" w:hanging="284"/>
        <w:rPr>
          <w:rStyle w:val="tlid-translation"/>
          <w:rFonts w:cs="Arial"/>
          <w:lang w:val="en"/>
        </w:rPr>
      </w:pPr>
      <w:r w:rsidRPr="00B84B0C">
        <w:rPr>
          <w:rStyle w:val="tlid-translation"/>
          <w:rFonts w:cs="Arial"/>
          <w:lang w:val="en"/>
        </w:rPr>
        <w:t xml:space="preserve">Refers to the price adjustment mechanism of the assets of the </w:t>
      </w:r>
      <w:proofErr w:type="spellStart"/>
      <w:r w:rsidRPr="00B84B0C">
        <w:rPr>
          <w:rStyle w:val="tlid-translation"/>
          <w:rFonts w:cs="Arial"/>
          <w:lang w:val="en"/>
        </w:rPr>
        <w:t>Brasilveiculos</w:t>
      </w:r>
      <w:proofErr w:type="spellEnd"/>
      <w:r w:rsidRPr="00B84B0C">
        <w:rPr>
          <w:rStyle w:val="tlid-translation"/>
          <w:rFonts w:cs="Arial"/>
          <w:lang w:val="en"/>
        </w:rPr>
        <w:t xml:space="preserve"> asset sold to </w:t>
      </w:r>
      <w:proofErr w:type="spellStart"/>
      <w:r w:rsidRPr="00B84B0C">
        <w:rPr>
          <w:rStyle w:val="tlid-translation"/>
          <w:rFonts w:cs="Arial"/>
          <w:lang w:val="en"/>
        </w:rPr>
        <w:t>Mapfre</w:t>
      </w:r>
      <w:proofErr w:type="spellEnd"/>
      <w:r w:rsidRPr="00B84B0C">
        <w:rPr>
          <w:rStyle w:val="tlid-translation"/>
          <w:rFonts w:cs="Arial"/>
          <w:lang w:val="en"/>
        </w:rPr>
        <w:t xml:space="preserve"> </w:t>
      </w:r>
      <w:proofErr w:type="spellStart"/>
      <w:r w:rsidRPr="00B84B0C">
        <w:rPr>
          <w:rStyle w:val="tlid-translation"/>
          <w:rFonts w:cs="Arial"/>
          <w:lang w:val="en"/>
        </w:rPr>
        <w:t>Brasil</w:t>
      </w:r>
      <w:proofErr w:type="spellEnd"/>
      <w:r w:rsidRPr="00B84B0C">
        <w:rPr>
          <w:rStyle w:val="tlid-translation"/>
          <w:rFonts w:cs="Arial"/>
          <w:lang w:val="en"/>
        </w:rPr>
        <w:t xml:space="preserve"> on 11.30.2018, with calculation, monthly </w:t>
      </w:r>
      <w:proofErr w:type="gramStart"/>
      <w:r w:rsidRPr="00B84B0C">
        <w:rPr>
          <w:rStyle w:val="tlid-translation"/>
          <w:rFonts w:cs="Arial"/>
          <w:lang w:val="en"/>
        </w:rPr>
        <w:t>provisions</w:t>
      </w:r>
      <w:proofErr w:type="gramEnd"/>
      <w:r w:rsidRPr="00B84B0C">
        <w:rPr>
          <w:rStyle w:val="tlid-translation"/>
          <w:rFonts w:cs="Arial"/>
          <w:lang w:val="en"/>
        </w:rPr>
        <w:t xml:space="preserve"> and annual payment, made based on the fulfilment of goals in the sales of auto insurance. The mechanism provides for the possibility of </w:t>
      </w:r>
      <w:proofErr w:type="gramStart"/>
      <w:r w:rsidRPr="00B84B0C">
        <w:rPr>
          <w:rStyle w:val="tlid-translation"/>
          <w:rFonts w:cs="Arial"/>
          <w:lang w:val="en"/>
        </w:rPr>
        <w:t>earn</w:t>
      </w:r>
      <w:proofErr w:type="gramEnd"/>
      <w:r w:rsidRPr="00B84B0C">
        <w:rPr>
          <w:rStyle w:val="tlid-translation"/>
          <w:rFonts w:cs="Arial"/>
          <w:lang w:val="en"/>
        </w:rPr>
        <w:t xml:space="preserve"> in or earn out, that is, payment from MAPFRE </w:t>
      </w:r>
      <w:proofErr w:type="spellStart"/>
      <w:r w:rsidRPr="00B84B0C">
        <w:rPr>
          <w:rStyle w:val="tlid-translation"/>
          <w:rFonts w:cs="Arial"/>
          <w:lang w:val="en"/>
        </w:rPr>
        <w:t>Brasil</w:t>
      </w:r>
      <w:proofErr w:type="spellEnd"/>
      <w:r w:rsidRPr="00B84B0C">
        <w:rPr>
          <w:rStyle w:val="tlid-translation"/>
          <w:rFonts w:cs="Arial"/>
          <w:lang w:val="en"/>
        </w:rPr>
        <w:t xml:space="preserve"> to BB </w:t>
      </w:r>
      <w:proofErr w:type="spellStart"/>
      <w:r w:rsidRPr="00B84B0C">
        <w:rPr>
          <w:rStyle w:val="tlid-translation"/>
          <w:rFonts w:cs="Arial"/>
          <w:lang w:val="en"/>
        </w:rPr>
        <w:t>Seguros</w:t>
      </w:r>
      <w:proofErr w:type="spellEnd"/>
      <w:r w:rsidRPr="00B84B0C">
        <w:rPr>
          <w:rStyle w:val="tlid-translation"/>
          <w:rFonts w:cs="Arial"/>
          <w:lang w:val="en"/>
        </w:rPr>
        <w:t xml:space="preserve"> or from BB </w:t>
      </w:r>
      <w:proofErr w:type="spellStart"/>
      <w:r w:rsidRPr="00B84B0C">
        <w:rPr>
          <w:rStyle w:val="tlid-translation"/>
          <w:rFonts w:cs="Arial"/>
          <w:lang w:val="en"/>
        </w:rPr>
        <w:t>Seguros</w:t>
      </w:r>
      <w:proofErr w:type="spellEnd"/>
      <w:r w:rsidRPr="00B84B0C">
        <w:rPr>
          <w:rStyle w:val="tlid-translation"/>
          <w:rFonts w:cs="Arial"/>
          <w:lang w:val="en"/>
        </w:rPr>
        <w:t xml:space="preserve"> to MAPFRE </w:t>
      </w:r>
      <w:proofErr w:type="spellStart"/>
      <w:r w:rsidRPr="00B84B0C">
        <w:rPr>
          <w:rStyle w:val="tlid-translation"/>
          <w:rFonts w:cs="Arial"/>
          <w:lang w:val="en"/>
        </w:rPr>
        <w:t>Brasil</w:t>
      </w:r>
      <w:proofErr w:type="spellEnd"/>
      <w:r w:rsidRPr="00B84B0C">
        <w:rPr>
          <w:rStyle w:val="tlid-translation"/>
          <w:rFonts w:cs="Arial"/>
          <w:lang w:val="en"/>
        </w:rPr>
        <w:t>.</w:t>
      </w:r>
    </w:p>
    <w:p w14:paraId="1ECCAEF4" w14:textId="77777777" w:rsidR="009C72AA" w:rsidRPr="00B84B0C" w:rsidRDefault="009C72AA" w:rsidP="009C72AA">
      <w:pPr>
        <w:pStyle w:val="07-Legenda"/>
        <w:numPr>
          <w:ilvl w:val="0"/>
          <w:numId w:val="1"/>
        </w:numPr>
        <w:tabs>
          <w:tab w:val="clear" w:pos="284"/>
        </w:tabs>
        <w:ind w:left="284" w:hanging="284"/>
        <w:rPr>
          <w:rStyle w:val="tlid-translation"/>
          <w:rFonts w:cs="Arial"/>
          <w:lang w:val="en"/>
        </w:rPr>
      </w:pPr>
      <w:r w:rsidRPr="00B84B0C">
        <w:rPr>
          <w:rStyle w:val="tlid-translation"/>
          <w:rFonts w:cs="Arial"/>
          <w:lang w:val="en"/>
        </w:rPr>
        <w:t xml:space="preserve">In the 1st Quarter of 2020 and 2019, includes the amount of R $ 1,638 thousand referring to the provision for brokerage to be returned to </w:t>
      </w:r>
      <w:proofErr w:type="spellStart"/>
      <w:r w:rsidRPr="00B84B0C">
        <w:rPr>
          <w:rStyle w:val="tlid-translation"/>
          <w:rFonts w:cs="Arial"/>
          <w:lang w:val="en"/>
        </w:rPr>
        <w:t>Brasilprev</w:t>
      </w:r>
      <w:proofErr w:type="spellEnd"/>
      <w:r w:rsidRPr="00B84B0C">
        <w:rPr>
          <w:rStyle w:val="tlid-translation"/>
          <w:rFonts w:cs="Arial"/>
          <w:lang w:val="en"/>
        </w:rPr>
        <w:t>. In the 1st Quarter of 2019, there was a reversal of the provision for variable compensation of the Executive Board (Parent Company and Consolidated) - R$ 1,833 thousand.</w:t>
      </w:r>
    </w:p>
    <w:p w14:paraId="6773D6E7" w14:textId="5EC287FB" w:rsidR="00CD43F9" w:rsidRPr="00B84B0C" w:rsidRDefault="00CD43F9" w:rsidP="00CD43F9">
      <w:pPr>
        <w:pStyle w:val="07-Legenda"/>
        <w:shd w:val="clear" w:color="auto" w:fill="FFFFFF" w:themeFill="background1"/>
        <w:tabs>
          <w:tab w:val="clear" w:pos="284"/>
          <w:tab w:val="left" w:pos="0"/>
          <w:tab w:val="left" w:pos="3686"/>
        </w:tabs>
        <w:rPr>
          <w:rFonts w:cs="Arial"/>
        </w:rPr>
      </w:pPr>
    </w:p>
    <w:p w14:paraId="3DF3B76D" w14:textId="6E3412CF" w:rsidR="009C72AA" w:rsidRPr="00B84B0C" w:rsidRDefault="009C72AA" w:rsidP="009C72AA">
      <w:pPr>
        <w:pStyle w:val="02-TtulodeNota"/>
        <w:keepNext/>
        <w:keepLines/>
        <w:pageBreakBefore/>
        <w:rPr>
          <w:rFonts w:cs="Arial"/>
          <w:color w:val="1F4E79" w:themeColor="accent1" w:themeShade="80"/>
        </w:rPr>
      </w:pPr>
      <w:bookmarkStart w:id="39" w:name="_Toc39131509"/>
      <w:bookmarkStart w:id="40" w:name="OLE_LINK25"/>
      <w:r w:rsidRPr="00B84B0C">
        <w:rPr>
          <w:rFonts w:cs="Arial"/>
          <w:color w:val="1F4E79" w:themeColor="accent1" w:themeShade="80"/>
        </w:rPr>
        <w:lastRenderedPageBreak/>
        <w:t>25 – COMMISSIONS INCOME</w:t>
      </w:r>
      <w:bookmarkEnd w:id="39"/>
    </w:p>
    <w:p w14:paraId="49D0954E" w14:textId="77777777" w:rsidR="009C72AA" w:rsidRPr="00B84B0C" w:rsidRDefault="009C72AA" w:rsidP="009C72AA">
      <w:pPr>
        <w:pStyle w:val="01-TtulodeNota"/>
        <w:spacing w:before="0" w:after="0"/>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W w:w="9767" w:type="dxa"/>
        <w:tblInd w:w="-3" w:type="dxa"/>
        <w:tblCellMar>
          <w:left w:w="0" w:type="dxa"/>
          <w:right w:w="6" w:type="dxa"/>
        </w:tblCellMar>
        <w:tblLook w:val="0000" w:firstRow="0" w:lastRow="0" w:firstColumn="0" w:lastColumn="0" w:noHBand="0" w:noVBand="0"/>
      </w:tblPr>
      <w:tblGrid>
        <w:gridCol w:w="2555"/>
        <w:gridCol w:w="685"/>
        <w:gridCol w:w="1133"/>
        <w:gridCol w:w="1555"/>
        <w:gridCol w:w="154"/>
        <w:gridCol w:w="1704"/>
        <w:gridCol w:w="1981"/>
      </w:tblGrid>
      <w:tr w:rsidR="009C72AA" w:rsidRPr="00B84B0C" w14:paraId="230301A1" w14:textId="77777777" w:rsidTr="009C72AA">
        <w:trPr>
          <w:trHeight w:val="261"/>
        </w:trPr>
        <w:tc>
          <w:tcPr>
            <w:tcW w:w="2555" w:type="dxa"/>
            <w:tcBorders>
              <w:top w:val="single" w:sz="4" w:space="0" w:color="8EAADB" w:themeColor="accent5" w:themeTint="99"/>
            </w:tcBorders>
            <w:shd w:val="clear" w:color="auto" w:fill="D9E2F3" w:themeFill="accent5" w:themeFillTint="33"/>
            <w:vAlign w:val="center"/>
          </w:tcPr>
          <w:p w14:paraId="61FCC0D4" w14:textId="77777777" w:rsidR="009C72AA" w:rsidRPr="00B84B0C" w:rsidRDefault="009C72AA" w:rsidP="009C72AA">
            <w:pPr>
              <w:pStyle w:val="08-Tabelageral"/>
              <w:jc w:val="center"/>
              <w:rPr>
                <w:rFonts w:cs="Arial"/>
                <w:b/>
                <w:bCs/>
                <w:kern w:val="2"/>
                <w:szCs w:val="14"/>
              </w:rPr>
            </w:pPr>
            <w:r w:rsidRPr="00B84B0C">
              <w:rPr>
                <w:rFonts w:cs="Arial"/>
                <w:szCs w:val="14"/>
              </w:rPr>
              <w:t> </w:t>
            </w:r>
          </w:p>
        </w:tc>
        <w:tc>
          <w:tcPr>
            <w:tcW w:w="685" w:type="dxa"/>
            <w:tcBorders>
              <w:top w:val="single" w:sz="4" w:space="0" w:color="8EAADB" w:themeColor="accent5" w:themeTint="99"/>
            </w:tcBorders>
            <w:shd w:val="clear" w:color="auto" w:fill="D9E2F3" w:themeFill="accent5" w:themeFillTint="33"/>
            <w:vAlign w:val="center"/>
          </w:tcPr>
          <w:p w14:paraId="387E69A5" w14:textId="77777777" w:rsidR="009C72AA" w:rsidRPr="00B84B0C" w:rsidRDefault="009C72AA" w:rsidP="009C72AA">
            <w:pPr>
              <w:pStyle w:val="08-Tabelageral"/>
              <w:jc w:val="center"/>
              <w:rPr>
                <w:rFonts w:cs="Arial"/>
                <w:b/>
                <w:bCs/>
                <w:kern w:val="2"/>
                <w:szCs w:val="14"/>
              </w:rPr>
            </w:pPr>
            <w:r w:rsidRPr="00B84B0C">
              <w:rPr>
                <w:rFonts w:cs="Arial"/>
                <w:b/>
                <w:bCs/>
                <w:szCs w:val="14"/>
              </w:rPr>
              <w:t> </w:t>
            </w:r>
          </w:p>
        </w:tc>
        <w:tc>
          <w:tcPr>
            <w:tcW w:w="2688" w:type="dxa"/>
            <w:gridSpan w:val="2"/>
            <w:tcBorders>
              <w:top w:val="single" w:sz="4" w:space="0" w:color="8EAADB" w:themeColor="accent5" w:themeTint="99"/>
            </w:tcBorders>
            <w:shd w:val="clear" w:color="auto" w:fill="D9E2F3" w:themeFill="accent5" w:themeFillTint="33"/>
            <w:vAlign w:val="center"/>
          </w:tcPr>
          <w:p w14:paraId="64A7B69B" w14:textId="77777777" w:rsidR="009C72AA" w:rsidRPr="00B84B0C" w:rsidRDefault="009C72AA" w:rsidP="009C72AA">
            <w:pPr>
              <w:pStyle w:val="08-Tabelageral"/>
              <w:jc w:val="center"/>
              <w:rPr>
                <w:rFonts w:cs="Arial"/>
                <w:b/>
                <w:bCs/>
                <w:kern w:val="2"/>
                <w:szCs w:val="14"/>
              </w:rPr>
            </w:pPr>
          </w:p>
        </w:tc>
        <w:tc>
          <w:tcPr>
            <w:tcW w:w="154" w:type="dxa"/>
            <w:tcBorders>
              <w:top w:val="single" w:sz="4" w:space="0" w:color="8EAADB" w:themeColor="accent5" w:themeTint="99"/>
            </w:tcBorders>
            <w:shd w:val="clear" w:color="auto" w:fill="D9E2F3" w:themeFill="accent5" w:themeFillTint="33"/>
            <w:vAlign w:val="center"/>
          </w:tcPr>
          <w:p w14:paraId="11154615" w14:textId="77777777" w:rsidR="009C72AA" w:rsidRPr="00B84B0C" w:rsidRDefault="009C72AA" w:rsidP="009C72AA">
            <w:pPr>
              <w:pStyle w:val="08-Tabelageral"/>
              <w:jc w:val="center"/>
              <w:rPr>
                <w:rFonts w:cs="Arial"/>
                <w:b/>
                <w:bCs/>
                <w:kern w:val="2"/>
                <w:szCs w:val="14"/>
              </w:rPr>
            </w:pPr>
            <w:r w:rsidRPr="00B84B0C">
              <w:rPr>
                <w:rFonts w:cs="Arial"/>
                <w:b/>
                <w:bCs/>
                <w:szCs w:val="14"/>
              </w:rPr>
              <w:t> </w:t>
            </w:r>
          </w:p>
        </w:tc>
        <w:tc>
          <w:tcPr>
            <w:tcW w:w="3685" w:type="dxa"/>
            <w:gridSpan w:val="2"/>
            <w:tcBorders>
              <w:top w:val="single" w:sz="4" w:space="0" w:color="8EAADB" w:themeColor="accent5" w:themeTint="99"/>
            </w:tcBorders>
            <w:shd w:val="clear" w:color="auto" w:fill="D9E2F3" w:themeFill="accent5" w:themeFillTint="33"/>
            <w:vAlign w:val="center"/>
          </w:tcPr>
          <w:p w14:paraId="782E4B13" w14:textId="77777777" w:rsidR="009C72AA" w:rsidRPr="00B84B0C" w:rsidRDefault="009C72AA" w:rsidP="009C72AA">
            <w:pPr>
              <w:pStyle w:val="08-Tabelageral"/>
              <w:jc w:val="center"/>
              <w:rPr>
                <w:rFonts w:cs="Arial"/>
                <w:b/>
                <w:bCs/>
                <w:kern w:val="2"/>
                <w:szCs w:val="14"/>
              </w:rPr>
            </w:pPr>
            <w:proofErr w:type="spellStart"/>
            <w:r w:rsidRPr="00B84B0C">
              <w:rPr>
                <w:rFonts w:cs="Arial"/>
                <w:b/>
                <w:szCs w:val="14"/>
              </w:rPr>
              <w:t>Consolidated</w:t>
            </w:r>
            <w:proofErr w:type="spellEnd"/>
          </w:p>
        </w:tc>
      </w:tr>
      <w:tr w:rsidR="009C72AA" w:rsidRPr="00B84B0C" w14:paraId="30D26774" w14:textId="77777777" w:rsidTr="009C72AA">
        <w:trPr>
          <w:trHeight w:hRule="exact" w:val="40"/>
        </w:trPr>
        <w:tc>
          <w:tcPr>
            <w:tcW w:w="2555" w:type="dxa"/>
            <w:shd w:val="clear" w:color="auto" w:fill="D9E2F3" w:themeFill="accent5" w:themeFillTint="33"/>
            <w:vAlign w:val="center"/>
          </w:tcPr>
          <w:p w14:paraId="45623C5A" w14:textId="77777777" w:rsidR="009C72AA" w:rsidRPr="00B84B0C" w:rsidRDefault="009C72AA" w:rsidP="009C72AA">
            <w:pPr>
              <w:pStyle w:val="08-Tabelageral"/>
              <w:jc w:val="center"/>
              <w:rPr>
                <w:rFonts w:cs="Arial"/>
                <w:b/>
                <w:bCs/>
                <w:kern w:val="2"/>
                <w:szCs w:val="14"/>
              </w:rPr>
            </w:pPr>
          </w:p>
        </w:tc>
        <w:tc>
          <w:tcPr>
            <w:tcW w:w="685" w:type="dxa"/>
            <w:shd w:val="clear" w:color="auto" w:fill="D9E2F3" w:themeFill="accent5" w:themeFillTint="33"/>
            <w:vAlign w:val="center"/>
          </w:tcPr>
          <w:p w14:paraId="64B231BE" w14:textId="77777777" w:rsidR="009C72AA" w:rsidRPr="00B84B0C" w:rsidRDefault="009C72AA" w:rsidP="009C72AA">
            <w:pPr>
              <w:pStyle w:val="08-Tabelageral"/>
              <w:jc w:val="center"/>
              <w:rPr>
                <w:rFonts w:cs="Arial"/>
                <w:b/>
                <w:bCs/>
                <w:szCs w:val="14"/>
              </w:rPr>
            </w:pPr>
          </w:p>
        </w:tc>
        <w:tc>
          <w:tcPr>
            <w:tcW w:w="2688" w:type="dxa"/>
            <w:gridSpan w:val="2"/>
            <w:shd w:val="clear" w:color="auto" w:fill="D9E2F3" w:themeFill="accent5" w:themeFillTint="33"/>
            <w:vAlign w:val="center"/>
          </w:tcPr>
          <w:p w14:paraId="232B3931" w14:textId="77777777" w:rsidR="009C72AA" w:rsidRPr="00B84B0C" w:rsidRDefault="009C72AA" w:rsidP="009C72AA">
            <w:pPr>
              <w:pStyle w:val="08-Tabelageral"/>
              <w:jc w:val="center"/>
              <w:rPr>
                <w:rFonts w:cs="Arial"/>
                <w:b/>
                <w:bCs/>
                <w:kern w:val="2"/>
                <w:szCs w:val="14"/>
              </w:rPr>
            </w:pPr>
          </w:p>
        </w:tc>
        <w:tc>
          <w:tcPr>
            <w:tcW w:w="154" w:type="dxa"/>
            <w:shd w:val="clear" w:color="auto" w:fill="D9E2F3" w:themeFill="accent5" w:themeFillTint="33"/>
            <w:vAlign w:val="center"/>
          </w:tcPr>
          <w:p w14:paraId="4C3DC73F" w14:textId="77777777" w:rsidR="009C72AA" w:rsidRPr="00B84B0C" w:rsidRDefault="009C72AA" w:rsidP="009C72AA">
            <w:pPr>
              <w:pStyle w:val="08-Tabelageral"/>
              <w:jc w:val="center"/>
              <w:rPr>
                <w:rFonts w:cs="Arial"/>
                <w:b/>
                <w:bCs/>
                <w:szCs w:val="14"/>
              </w:rPr>
            </w:pPr>
          </w:p>
        </w:tc>
        <w:tc>
          <w:tcPr>
            <w:tcW w:w="3685" w:type="dxa"/>
            <w:gridSpan w:val="2"/>
            <w:shd w:val="clear" w:color="auto" w:fill="D9E2F3" w:themeFill="accent5" w:themeFillTint="33"/>
            <w:vAlign w:val="center"/>
          </w:tcPr>
          <w:p w14:paraId="7911896F" w14:textId="77777777" w:rsidR="009C72AA" w:rsidRPr="00B84B0C" w:rsidRDefault="009C72AA" w:rsidP="009C72AA">
            <w:pPr>
              <w:pStyle w:val="08-Tabelageral"/>
              <w:jc w:val="center"/>
              <w:rPr>
                <w:rFonts w:cs="Arial"/>
                <w:b/>
                <w:bCs/>
                <w:szCs w:val="14"/>
              </w:rPr>
            </w:pPr>
          </w:p>
        </w:tc>
      </w:tr>
      <w:tr w:rsidR="009C72AA" w:rsidRPr="00B84B0C" w14:paraId="459E03FB" w14:textId="77777777" w:rsidTr="009C72AA">
        <w:trPr>
          <w:trHeight w:hRule="exact" w:val="40"/>
        </w:trPr>
        <w:tc>
          <w:tcPr>
            <w:tcW w:w="2555" w:type="dxa"/>
            <w:shd w:val="clear" w:color="auto" w:fill="D9E2F3" w:themeFill="accent5" w:themeFillTint="33"/>
            <w:vAlign w:val="center"/>
          </w:tcPr>
          <w:p w14:paraId="12D797FF" w14:textId="77777777" w:rsidR="009C72AA" w:rsidRPr="00B84B0C" w:rsidRDefault="009C72AA" w:rsidP="009C72AA">
            <w:pPr>
              <w:pStyle w:val="08-Tabelageral"/>
              <w:rPr>
                <w:rFonts w:cs="Arial"/>
                <w:b/>
                <w:bCs/>
                <w:kern w:val="2"/>
                <w:szCs w:val="14"/>
              </w:rPr>
            </w:pPr>
          </w:p>
        </w:tc>
        <w:tc>
          <w:tcPr>
            <w:tcW w:w="685" w:type="dxa"/>
            <w:shd w:val="clear" w:color="auto" w:fill="D9E2F3" w:themeFill="accent5" w:themeFillTint="33"/>
            <w:vAlign w:val="center"/>
          </w:tcPr>
          <w:p w14:paraId="73EED6B8" w14:textId="77777777" w:rsidR="009C72AA" w:rsidRPr="00B84B0C" w:rsidRDefault="009C72AA" w:rsidP="009C72AA">
            <w:pPr>
              <w:pStyle w:val="08-Tabelageral"/>
              <w:rPr>
                <w:rFonts w:cs="Arial"/>
                <w:b/>
                <w:bCs/>
                <w:szCs w:val="14"/>
              </w:rPr>
            </w:pPr>
          </w:p>
        </w:tc>
        <w:tc>
          <w:tcPr>
            <w:tcW w:w="2688" w:type="dxa"/>
            <w:gridSpan w:val="2"/>
            <w:shd w:val="clear" w:color="auto" w:fill="D9E2F3" w:themeFill="accent5" w:themeFillTint="33"/>
            <w:vAlign w:val="center"/>
          </w:tcPr>
          <w:p w14:paraId="2CB03CD1" w14:textId="77777777" w:rsidR="009C72AA" w:rsidRPr="00B84B0C" w:rsidRDefault="009C72AA" w:rsidP="009C72AA">
            <w:pPr>
              <w:pStyle w:val="08-Tabelageral"/>
              <w:rPr>
                <w:rFonts w:cs="Arial"/>
                <w:b/>
                <w:bCs/>
                <w:szCs w:val="14"/>
              </w:rPr>
            </w:pPr>
          </w:p>
        </w:tc>
        <w:tc>
          <w:tcPr>
            <w:tcW w:w="154" w:type="dxa"/>
            <w:shd w:val="clear" w:color="auto" w:fill="D9E2F3" w:themeFill="accent5" w:themeFillTint="33"/>
            <w:vAlign w:val="center"/>
          </w:tcPr>
          <w:p w14:paraId="0019EE07" w14:textId="77777777" w:rsidR="009C72AA" w:rsidRPr="00B84B0C" w:rsidRDefault="009C72AA" w:rsidP="009C72AA">
            <w:pPr>
              <w:pStyle w:val="08-Tabelageral"/>
              <w:rPr>
                <w:rFonts w:cs="Arial"/>
                <w:b/>
                <w:bCs/>
                <w:kern w:val="2"/>
                <w:szCs w:val="14"/>
              </w:rPr>
            </w:pPr>
          </w:p>
        </w:tc>
        <w:tc>
          <w:tcPr>
            <w:tcW w:w="3685" w:type="dxa"/>
            <w:gridSpan w:val="2"/>
            <w:tcBorders>
              <w:bottom w:val="single" w:sz="4" w:space="0" w:color="8EAADB" w:themeColor="accent5" w:themeTint="99"/>
            </w:tcBorders>
            <w:shd w:val="clear" w:color="auto" w:fill="D9E2F3" w:themeFill="accent5" w:themeFillTint="33"/>
            <w:vAlign w:val="center"/>
          </w:tcPr>
          <w:p w14:paraId="7DCD3CAF" w14:textId="77777777" w:rsidR="009C72AA" w:rsidRPr="00B84B0C" w:rsidRDefault="009C72AA" w:rsidP="009C72AA">
            <w:pPr>
              <w:pStyle w:val="08-Tabelageral"/>
              <w:rPr>
                <w:rFonts w:cs="Arial"/>
                <w:b/>
                <w:bCs/>
                <w:szCs w:val="14"/>
              </w:rPr>
            </w:pPr>
          </w:p>
        </w:tc>
      </w:tr>
      <w:tr w:rsidR="009C72AA" w:rsidRPr="00B84B0C" w14:paraId="05FA605C" w14:textId="77777777" w:rsidTr="009C72AA">
        <w:trPr>
          <w:trHeight w:val="261"/>
        </w:trPr>
        <w:tc>
          <w:tcPr>
            <w:tcW w:w="2555" w:type="dxa"/>
            <w:tcBorders>
              <w:bottom w:val="single" w:sz="4" w:space="0" w:color="8EAADB" w:themeColor="accent5" w:themeTint="99"/>
            </w:tcBorders>
            <w:shd w:val="clear" w:color="auto" w:fill="D9E2F3" w:themeFill="accent5" w:themeFillTint="33"/>
            <w:vAlign w:val="center"/>
          </w:tcPr>
          <w:p w14:paraId="5A0B85C7" w14:textId="77777777" w:rsidR="009C72AA" w:rsidRPr="00B84B0C" w:rsidRDefault="009C72AA" w:rsidP="009C72AA">
            <w:pPr>
              <w:pStyle w:val="08-Tabelageral"/>
              <w:rPr>
                <w:rFonts w:cs="Arial"/>
                <w:b/>
                <w:bCs/>
                <w:kern w:val="2"/>
                <w:szCs w:val="14"/>
              </w:rPr>
            </w:pPr>
          </w:p>
        </w:tc>
        <w:tc>
          <w:tcPr>
            <w:tcW w:w="685" w:type="dxa"/>
            <w:tcBorders>
              <w:bottom w:val="single" w:sz="4" w:space="0" w:color="8EAADB" w:themeColor="accent5" w:themeTint="99"/>
            </w:tcBorders>
            <w:shd w:val="clear" w:color="auto" w:fill="D9E2F3" w:themeFill="accent5" w:themeFillTint="33"/>
            <w:vAlign w:val="center"/>
          </w:tcPr>
          <w:p w14:paraId="07181C15" w14:textId="77777777" w:rsidR="009C72AA" w:rsidRPr="00B84B0C" w:rsidRDefault="009C72AA" w:rsidP="009C72AA">
            <w:pPr>
              <w:pStyle w:val="08-Tabelageral"/>
              <w:rPr>
                <w:rFonts w:cs="Arial"/>
                <w:b/>
                <w:bCs/>
                <w:kern w:val="2"/>
                <w:szCs w:val="14"/>
              </w:rPr>
            </w:pPr>
            <w:r w:rsidRPr="00B84B0C">
              <w:rPr>
                <w:rFonts w:cs="Arial"/>
                <w:b/>
                <w:bCs/>
                <w:szCs w:val="14"/>
              </w:rPr>
              <w:t> </w:t>
            </w:r>
          </w:p>
        </w:tc>
        <w:tc>
          <w:tcPr>
            <w:tcW w:w="1133" w:type="dxa"/>
            <w:tcBorders>
              <w:bottom w:val="single" w:sz="4" w:space="0" w:color="8EAADB" w:themeColor="accent5" w:themeTint="99"/>
            </w:tcBorders>
            <w:shd w:val="clear" w:color="auto" w:fill="D9E2F3" w:themeFill="accent5" w:themeFillTint="33"/>
            <w:vAlign w:val="center"/>
          </w:tcPr>
          <w:p w14:paraId="42F9FD9D" w14:textId="77777777" w:rsidR="009C72AA" w:rsidRPr="00B84B0C" w:rsidRDefault="009C72AA" w:rsidP="009C72AA">
            <w:pPr>
              <w:pStyle w:val="08-Tabelageral"/>
              <w:rPr>
                <w:rFonts w:cs="Arial"/>
                <w:b/>
                <w:bCs/>
                <w:szCs w:val="14"/>
              </w:rPr>
            </w:pPr>
          </w:p>
        </w:tc>
        <w:tc>
          <w:tcPr>
            <w:tcW w:w="1555" w:type="dxa"/>
            <w:tcBorders>
              <w:bottom w:val="single" w:sz="4" w:space="0" w:color="8EAADB" w:themeColor="accent5" w:themeTint="99"/>
            </w:tcBorders>
            <w:shd w:val="clear" w:color="auto" w:fill="D9E2F3" w:themeFill="accent5" w:themeFillTint="33"/>
            <w:vAlign w:val="center"/>
          </w:tcPr>
          <w:p w14:paraId="0B833B6B" w14:textId="77777777" w:rsidR="009C72AA" w:rsidRPr="00B84B0C" w:rsidRDefault="009C72AA" w:rsidP="009C72AA">
            <w:pPr>
              <w:pStyle w:val="08-Tabelageral"/>
              <w:rPr>
                <w:rFonts w:cs="Arial"/>
                <w:b/>
                <w:bCs/>
                <w:szCs w:val="14"/>
              </w:rPr>
            </w:pPr>
          </w:p>
        </w:tc>
        <w:tc>
          <w:tcPr>
            <w:tcW w:w="154" w:type="dxa"/>
            <w:tcBorders>
              <w:bottom w:val="single" w:sz="4" w:space="0" w:color="8EAADB" w:themeColor="accent5" w:themeTint="99"/>
            </w:tcBorders>
            <w:shd w:val="clear" w:color="auto" w:fill="D9E2F3" w:themeFill="accent5" w:themeFillTint="33"/>
            <w:vAlign w:val="center"/>
          </w:tcPr>
          <w:p w14:paraId="448B2102" w14:textId="77777777" w:rsidR="009C72AA" w:rsidRPr="00B84B0C" w:rsidRDefault="009C72AA" w:rsidP="009C72AA">
            <w:pPr>
              <w:pStyle w:val="08-Tabelageral"/>
              <w:rPr>
                <w:rFonts w:cs="Arial"/>
                <w:b/>
                <w:bCs/>
                <w:kern w:val="2"/>
                <w:szCs w:val="14"/>
              </w:rPr>
            </w:pPr>
          </w:p>
        </w:tc>
        <w:tc>
          <w:tcPr>
            <w:tcW w:w="1704" w:type="dxa"/>
            <w:tcBorders>
              <w:top w:val="single" w:sz="4" w:space="0" w:color="8EAADB" w:themeColor="accent5" w:themeTint="99"/>
              <w:bottom w:val="single" w:sz="4" w:space="0" w:color="8EAADB" w:themeColor="accent5" w:themeTint="99"/>
            </w:tcBorders>
            <w:shd w:val="clear" w:color="auto" w:fill="D9E2F3" w:themeFill="accent5" w:themeFillTint="33"/>
            <w:vAlign w:val="center"/>
          </w:tcPr>
          <w:p w14:paraId="287E18DA" w14:textId="77777777" w:rsidR="009C72AA" w:rsidRPr="00B84B0C" w:rsidRDefault="009C72AA" w:rsidP="009C72AA">
            <w:pPr>
              <w:pStyle w:val="08-Tabelageral"/>
              <w:rPr>
                <w:rFonts w:cs="Arial"/>
                <w:b/>
                <w:bCs/>
                <w:szCs w:val="14"/>
              </w:rPr>
            </w:pPr>
            <w:r w:rsidRPr="00B84B0C">
              <w:rPr>
                <w:rFonts w:cs="Arial"/>
                <w:b/>
              </w:rPr>
              <w:t xml:space="preserve">1st </w:t>
            </w:r>
            <w:proofErr w:type="spellStart"/>
            <w:r w:rsidRPr="00B84B0C">
              <w:rPr>
                <w:rFonts w:cs="Arial"/>
                <w:b/>
              </w:rPr>
              <w:t>Quarter</w:t>
            </w:r>
            <w:proofErr w:type="spellEnd"/>
            <w:r w:rsidRPr="00B84B0C">
              <w:rPr>
                <w:rFonts w:cs="Arial"/>
                <w:b/>
              </w:rPr>
              <w:t>/2020</w:t>
            </w:r>
          </w:p>
        </w:tc>
        <w:tc>
          <w:tcPr>
            <w:tcW w:w="1981" w:type="dxa"/>
            <w:tcBorders>
              <w:top w:val="single" w:sz="4" w:space="0" w:color="8EAADB" w:themeColor="accent5" w:themeTint="99"/>
              <w:bottom w:val="single" w:sz="4" w:space="0" w:color="8EAADB" w:themeColor="accent5" w:themeTint="99"/>
            </w:tcBorders>
            <w:shd w:val="clear" w:color="auto" w:fill="D9E2F3" w:themeFill="accent5" w:themeFillTint="33"/>
            <w:vAlign w:val="center"/>
          </w:tcPr>
          <w:p w14:paraId="088C35D8" w14:textId="77777777" w:rsidR="009C72AA" w:rsidRPr="00B84B0C" w:rsidRDefault="009C72AA" w:rsidP="009C72AA">
            <w:pPr>
              <w:pStyle w:val="08-Tabelageral"/>
              <w:rPr>
                <w:rFonts w:cs="Arial"/>
                <w:b/>
                <w:bCs/>
                <w:szCs w:val="14"/>
              </w:rPr>
            </w:pPr>
            <w:r w:rsidRPr="00B84B0C">
              <w:rPr>
                <w:rFonts w:cs="Arial"/>
                <w:b/>
              </w:rPr>
              <w:t xml:space="preserve">1st </w:t>
            </w:r>
            <w:proofErr w:type="spellStart"/>
            <w:r w:rsidRPr="00B84B0C">
              <w:rPr>
                <w:rFonts w:cs="Arial"/>
                <w:b/>
              </w:rPr>
              <w:t>Quarter</w:t>
            </w:r>
            <w:proofErr w:type="spellEnd"/>
            <w:r w:rsidRPr="00B84B0C">
              <w:rPr>
                <w:rFonts w:cs="Arial"/>
                <w:b/>
              </w:rPr>
              <w:t>/2019</w:t>
            </w:r>
          </w:p>
        </w:tc>
      </w:tr>
      <w:tr w:rsidR="009C72AA" w:rsidRPr="00B84B0C" w14:paraId="138BCC6F" w14:textId="77777777" w:rsidTr="009C72AA">
        <w:trPr>
          <w:trHeight w:val="238"/>
        </w:trPr>
        <w:tc>
          <w:tcPr>
            <w:tcW w:w="2555" w:type="dxa"/>
            <w:vAlign w:val="center"/>
          </w:tcPr>
          <w:p w14:paraId="714F686F" w14:textId="77777777" w:rsidR="009C72AA" w:rsidRPr="00B84B0C" w:rsidRDefault="009C72AA" w:rsidP="009C72AA">
            <w:pPr>
              <w:pStyle w:val="08-Tabelageral"/>
              <w:jc w:val="left"/>
              <w:rPr>
                <w:rFonts w:cs="Arial"/>
                <w:b/>
              </w:rPr>
            </w:pPr>
            <w:r w:rsidRPr="00B84B0C">
              <w:rPr>
                <w:rFonts w:cs="Arial"/>
                <w:b/>
              </w:rPr>
              <w:t xml:space="preserve">Gross </w:t>
            </w:r>
            <w:proofErr w:type="spellStart"/>
            <w:r w:rsidRPr="00B84B0C">
              <w:rPr>
                <w:rFonts w:cs="Arial"/>
                <w:b/>
              </w:rPr>
              <w:t>commission</w:t>
            </w:r>
            <w:proofErr w:type="spellEnd"/>
            <w:r w:rsidRPr="00B84B0C">
              <w:rPr>
                <w:rFonts w:cs="Arial"/>
                <w:b/>
              </w:rPr>
              <w:t xml:space="preserve"> income</w:t>
            </w:r>
          </w:p>
        </w:tc>
        <w:tc>
          <w:tcPr>
            <w:tcW w:w="685" w:type="dxa"/>
            <w:vAlign w:val="center"/>
          </w:tcPr>
          <w:p w14:paraId="0E666150" w14:textId="77777777" w:rsidR="009C72AA" w:rsidRPr="00B84B0C" w:rsidRDefault="009C72AA" w:rsidP="009C72AA">
            <w:pPr>
              <w:pStyle w:val="08-Tabelageral"/>
              <w:jc w:val="left"/>
              <w:rPr>
                <w:rFonts w:cs="Arial"/>
              </w:rPr>
            </w:pPr>
          </w:p>
        </w:tc>
        <w:tc>
          <w:tcPr>
            <w:tcW w:w="1133" w:type="dxa"/>
            <w:vAlign w:val="center"/>
          </w:tcPr>
          <w:p w14:paraId="08AFFEA0" w14:textId="77777777" w:rsidR="009C72AA" w:rsidRPr="00B84B0C" w:rsidRDefault="009C72AA" w:rsidP="009C72AA">
            <w:pPr>
              <w:pStyle w:val="08-Tabelageral"/>
              <w:rPr>
                <w:rFonts w:cs="Arial"/>
              </w:rPr>
            </w:pPr>
          </w:p>
        </w:tc>
        <w:tc>
          <w:tcPr>
            <w:tcW w:w="1555" w:type="dxa"/>
            <w:vAlign w:val="center"/>
          </w:tcPr>
          <w:p w14:paraId="62C7FB51" w14:textId="77777777" w:rsidR="009C72AA" w:rsidRPr="00B84B0C" w:rsidRDefault="009C72AA" w:rsidP="009C72AA">
            <w:pPr>
              <w:pStyle w:val="08-Tabelageral"/>
              <w:rPr>
                <w:rFonts w:cs="Arial"/>
              </w:rPr>
            </w:pPr>
          </w:p>
        </w:tc>
        <w:tc>
          <w:tcPr>
            <w:tcW w:w="154" w:type="dxa"/>
            <w:vAlign w:val="center"/>
          </w:tcPr>
          <w:p w14:paraId="2D013F4C" w14:textId="77777777" w:rsidR="009C72AA" w:rsidRPr="00B84B0C" w:rsidRDefault="009C72AA" w:rsidP="009C72AA">
            <w:pPr>
              <w:pStyle w:val="08-Tabelageral"/>
              <w:jc w:val="left"/>
              <w:rPr>
                <w:rFonts w:cs="Arial"/>
              </w:rPr>
            </w:pPr>
          </w:p>
        </w:tc>
        <w:tc>
          <w:tcPr>
            <w:tcW w:w="1704" w:type="dxa"/>
            <w:tcBorders>
              <w:top w:val="nil"/>
              <w:left w:val="nil"/>
              <w:bottom w:val="nil"/>
              <w:right w:val="nil"/>
            </w:tcBorders>
            <w:shd w:val="clear" w:color="auto" w:fill="auto"/>
            <w:vAlign w:val="center"/>
          </w:tcPr>
          <w:p w14:paraId="23E61D87" w14:textId="77777777" w:rsidR="009C72AA" w:rsidRPr="00B84B0C" w:rsidRDefault="009C72AA" w:rsidP="009C72AA">
            <w:pPr>
              <w:pStyle w:val="08-Tabelageral"/>
              <w:rPr>
                <w:rFonts w:cs="Arial"/>
                <w:b/>
              </w:rPr>
            </w:pPr>
            <w:r w:rsidRPr="00B84B0C">
              <w:rPr>
                <w:rFonts w:cs="Arial"/>
                <w:b/>
              </w:rPr>
              <w:t>882,642</w:t>
            </w:r>
          </w:p>
        </w:tc>
        <w:tc>
          <w:tcPr>
            <w:tcW w:w="1981" w:type="dxa"/>
            <w:vAlign w:val="center"/>
          </w:tcPr>
          <w:p w14:paraId="4E07927E" w14:textId="77777777" w:rsidR="009C72AA" w:rsidRPr="00B84B0C" w:rsidRDefault="009C72AA" w:rsidP="009C72AA">
            <w:pPr>
              <w:pStyle w:val="08-Tabelageral"/>
              <w:rPr>
                <w:rFonts w:cs="Arial"/>
              </w:rPr>
            </w:pPr>
            <w:r w:rsidRPr="00B84B0C">
              <w:rPr>
                <w:rFonts w:cs="Arial"/>
                <w:b/>
                <w:bCs/>
              </w:rPr>
              <w:t>762,179</w:t>
            </w:r>
          </w:p>
        </w:tc>
      </w:tr>
      <w:tr w:rsidR="009C72AA" w:rsidRPr="00B84B0C" w14:paraId="074933C5" w14:textId="77777777" w:rsidTr="009C72AA">
        <w:trPr>
          <w:trHeight w:val="238"/>
        </w:trPr>
        <w:tc>
          <w:tcPr>
            <w:tcW w:w="2555" w:type="dxa"/>
            <w:shd w:val="clear" w:color="auto" w:fill="D9E2F3" w:themeFill="accent5" w:themeFillTint="33"/>
            <w:vAlign w:val="center"/>
          </w:tcPr>
          <w:p w14:paraId="752E7DEF" w14:textId="77777777" w:rsidR="009C72AA" w:rsidRPr="00B84B0C" w:rsidRDefault="009C72AA" w:rsidP="009C72AA">
            <w:pPr>
              <w:pStyle w:val="08-Tabelageral"/>
              <w:ind w:firstLine="154"/>
              <w:jc w:val="left"/>
              <w:rPr>
                <w:rFonts w:cs="Arial"/>
              </w:rPr>
            </w:pPr>
            <w:r w:rsidRPr="00B84B0C">
              <w:rPr>
                <w:rFonts w:cs="Arial"/>
              </w:rPr>
              <w:t xml:space="preserve">BB Mapfre </w:t>
            </w:r>
          </w:p>
        </w:tc>
        <w:tc>
          <w:tcPr>
            <w:tcW w:w="685" w:type="dxa"/>
            <w:shd w:val="clear" w:color="auto" w:fill="D9E2F3" w:themeFill="accent5" w:themeFillTint="33"/>
            <w:vAlign w:val="center"/>
          </w:tcPr>
          <w:p w14:paraId="13A24232" w14:textId="77777777" w:rsidR="009C72AA" w:rsidRPr="00B84B0C" w:rsidRDefault="009C72AA" w:rsidP="009C72AA">
            <w:pPr>
              <w:pStyle w:val="08-Tabelageral"/>
              <w:jc w:val="left"/>
              <w:rPr>
                <w:rFonts w:cs="Arial"/>
                <w:lang w:val="en-US"/>
              </w:rPr>
            </w:pPr>
          </w:p>
        </w:tc>
        <w:tc>
          <w:tcPr>
            <w:tcW w:w="1133" w:type="dxa"/>
            <w:shd w:val="clear" w:color="auto" w:fill="D9E2F3" w:themeFill="accent5" w:themeFillTint="33"/>
            <w:vAlign w:val="center"/>
          </w:tcPr>
          <w:p w14:paraId="52D2421E" w14:textId="77777777" w:rsidR="009C72AA" w:rsidRPr="00B84B0C" w:rsidRDefault="009C72AA" w:rsidP="009C72AA">
            <w:pPr>
              <w:pStyle w:val="08-Tabelageral"/>
              <w:rPr>
                <w:rFonts w:cs="Arial"/>
                <w:lang w:val="en-US"/>
              </w:rPr>
            </w:pPr>
          </w:p>
        </w:tc>
        <w:tc>
          <w:tcPr>
            <w:tcW w:w="1555" w:type="dxa"/>
            <w:shd w:val="clear" w:color="auto" w:fill="D9E2F3" w:themeFill="accent5" w:themeFillTint="33"/>
            <w:vAlign w:val="center"/>
          </w:tcPr>
          <w:p w14:paraId="673F5D73" w14:textId="77777777" w:rsidR="009C72AA" w:rsidRPr="00B84B0C" w:rsidRDefault="009C72AA" w:rsidP="009C72AA">
            <w:pPr>
              <w:pStyle w:val="08-Tabelageral"/>
              <w:rPr>
                <w:rFonts w:cs="Arial"/>
                <w:lang w:val="en-US"/>
              </w:rPr>
            </w:pPr>
          </w:p>
        </w:tc>
        <w:tc>
          <w:tcPr>
            <w:tcW w:w="154" w:type="dxa"/>
            <w:shd w:val="clear" w:color="auto" w:fill="D9E2F3" w:themeFill="accent5" w:themeFillTint="33"/>
            <w:vAlign w:val="center"/>
          </w:tcPr>
          <w:p w14:paraId="04F0FBD8" w14:textId="77777777" w:rsidR="009C72AA" w:rsidRPr="00B84B0C" w:rsidRDefault="009C72AA" w:rsidP="009C72AA">
            <w:pPr>
              <w:pStyle w:val="08-Tabelageral"/>
              <w:jc w:val="left"/>
              <w:rPr>
                <w:rFonts w:cs="Arial"/>
                <w:lang w:val="en-US"/>
              </w:rPr>
            </w:pPr>
          </w:p>
        </w:tc>
        <w:tc>
          <w:tcPr>
            <w:tcW w:w="1704" w:type="dxa"/>
            <w:tcBorders>
              <w:top w:val="nil"/>
              <w:left w:val="nil"/>
              <w:bottom w:val="nil"/>
              <w:right w:val="nil"/>
            </w:tcBorders>
            <w:shd w:val="clear" w:color="auto" w:fill="D9E2F3" w:themeFill="accent5" w:themeFillTint="33"/>
            <w:vAlign w:val="center"/>
          </w:tcPr>
          <w:p w14:paraId="2BFA32A2" w14:textId="77777777" w:rsidR="009C72AA" w:rsidRPr="00B84B0C" w:rsidRDefault="009C72AA" w:rsidP="009C72AA">
            <w:pPr>
              <w:pStyle w:val="08-Tabelageral"/>
              <w:rPr>
                <w:rFonts w:cs="Arial"/>
                <w:lang w:val="en-US"/>
              </w:rPr>
            </w:pPr>
            <w:r w:rsidRPr="00B84B0C">
              <w:rPr>
                <w:rFonts w:cs="Arial"/>
                <w:lang w:val="en-US"/>
              </w:rPr>
              <w:t>627,795</w:t>
            </w:r>
          </w:p>
        </w:tc>
        <w:tc>
          <w:tcPr>
            <w:tcW w:w="1981" w:type="dxa"/>
            <w:shd w:val="clear" w:color="auto" w:fill="D9E2F3" w:themeFill="accent5" w:themeFillTint="33"/>
            <w:vAlign w:val="center"/>
          </w:tcPr>
          <w:p w14:paraId="38754E4A" w14:textId="77777777" w:rsidR="009C72AA" w:rsidRPr="00B84B0C" w:rsidRDefault="009C72AA" w:rsidP="009C72AA">
            <w:pPr>
              <w:pStyle w:val="08-Tabelageral"/>
              <w:rPr>
                <w:rFonts w:cs="Arial"/>
                <w:lang w:val="en-US"/>
              </w:rPr>
            </w:pPr>
            <w:r w:rsidRPr="00B84B0C">
              <w:rPr>
                <w:rFonts w:cs="Arial"/>
                <w:lang w:val="en-US"/>
              </w:rPr>
              <w:t>528,905</w:t>
            </w:r>
          </w:p>
        </w:tc>
      </w:tr>
      <w:tr w:rsidR="009C72AA" w:rsidRPr="00B84B0C" w14:paraId="46E6DC67" w14:textId="77777777" w:rsidTr="009C72AA">
        <w:trPr>
          <w:trHeight w:val="238"/>
        </w:trPr>
        <w:tc>
          <w:tcPr>
            <w:tcW w:w="2555" w:type="dxa"/>
            <w:shd w:val="clear" w:color="auto" w:fill="FFFFFF" w:themeFill="background1"/>
            <w:vAlign w:val="center"/>
          </w:tcPr>
          <w:p w14:paraId="1E53B99A" w14:textId="77777777" w:rsidR="009C72AA" w:rsidRPr="00B84B0C" w:rsidRDefault="009C72AA" w:rsidP="009C72AA">
            <w:pPr>
              <w:pStyle w:val="08-Tabelageral"/>
              <w:ind w:firstLine="154"/>
              <w:jc w:val="left"/>
              <w:rPr>
                <w:rFonts w:cs="Arial"/>
              </w:rPr>
            </w:pPr>
            <w:proofErr w:type="spellStart"/>
            <w:r w:rsidRPr="00B84B0C">
              <w:rPr>
                <w:rFonts w:cs="Arial"/>
              </w:rPr>
              <w:t>Brasilprev</w:t>
            </w:r>
            <w:proofErr w:type="spellEnd"/>
          </w:p>
        </w:tc>
        <w:tc>
          <w:tcPr>
            <w:tcW w:w="685" w:type="dxa"/>
            <w:shd w:val="clear" w:color="auto" w:fill="FFFFFF" w:themeFill="background1"/>
            <w:vAlign w:val="center"/>
          </w:tcPr>
          <w:p w14:paraId="0D0402CB" w14:textId="77777777" w:rsidR="009C72AA" w:rsidRPr="00B84B0C" w:rsidRDefault="009C72AA" w:rsidP="009C72AA">
            <w:pPr>
              <w:pStyle w:val="08-Tabelageral"/>
              <w:jc w:val="left"/>
              <w:rPr>
                <w:rFonts w:cs="Arial"/>
                <w:lang w:val="en-US"/>
              </w:rPr>
            </w:pPr>
          </w:p>
        </w:tc>
        <w:tc>
          <w:tcPr>
            <w:tcW w:w="1133" w:type="dxa"/>
            <w:shd w:val="clear" w:color="auto" w:fill="FFFFFF" w:themeFill="background1"/>
            <w:vAlign w:val="center"/>
          </w:tcPr>
          <w:p w14:paraId="6DEBE1E9" w14:textId="77777777" w:rsidR="009C72AA" w:rsidRPr="00B84B0C" w:rsidRDefault="009C72AA" w:rsidP="009C72AA">
            <w:pPr>
              <w:pStyle w:val="08-Tabelageral"/>
              <w:rPr>
                <w:rFonts w:cs="Arial"/>
                <w:lang w:val="en-US"/>
              </w:rPr>
            </w:pPr>
          </w:p>
        </w:tc>
        <w:tc>
          <w:tcPr>
            <w:tcW w:w="1555" w:type="dxa"/>
            <w:shd w:val="clear" w:color="auto" w:fill="FFFFFF" w:themeFill="background1"/>
            <w:vAlign w:val="center"/>
          </w:tcPr>
          <w:p w14:paraId="0D46A261" w14:textId="77777777" w:rsidR="009C72AA" w:rsidRPr="00B84B0C" w:rsidRDefault="009C72AA" w:rsidP="009C72AA">
            <w:pPr>
              <w:pStyle w:val="08-Tabelageral"/>
              <w:rPr>
                <w:rFonts w:cs="Arial"/>
                <w:lang w:val="en-US"/>
              </w:rPr>
            </w:pPr>
          </w:p>
        </w:tc>
        <w:tc>
          <w:tcPr>
            <w:tcW w:w="154" w:type="dxa"/>
            <w:shd w:val="clear" w:color="auto" w:fill="FFFFFF" w:themeFill="background1"/>
            <w:vAlign w:val="center"/>
          </w:tcPr>
          <w:p w14:paraId="69D02B18" w14:textId="77777777" w:rsidR="009C72AA" w:rsidRPr="00B84B0C" w:rsidRDefault="009C72AA" w:rsidP="009C72AA">
            <w:pPr>
              <w:pStyle w:val="08-Tabelageral"/>
              <w:jc w:val="left"/>
              <w:rPr>
                <w:rFonts w:cs="Arial"/>
                <w:lang w:val="en-US"/>
              </w:rPr>
            </w:pPr>
          </w:p>
        </w:tc>
        <w:tc>
          <w:tcPr>
            <w:tcW w:w="1704" w:type="dxa"/>
            <w:tcBorders>
              <w:top w:val="nil"/>
              <w:left w:val="nil"/>
              <w:bottom w:val="nil"/>
              <w:right w:val="nil"/>
            </w:tcBorders>
            <w:shd w:val="clear" w:color="auto" w:fill="FFFFFF" w:themeFill="background1"/>
            <w:vAlign w:val="center"/>
          </w:tcPr>
          <w:p w14:paraId="721218F9" w14:textId="77777777" w:rsidR="009C72AA" w:rsidRPr="00B84B0C" w:rsidRDefault="009C72AA" w:rsidP="009C72AA">
            <w:pPr>
              <w:pStyle w:val="08-Tabelageral"/>
              <w:rPr>
                <w:rFonts w:cs="Arial"/>
                <w:lang w:val="en-US"/>
              </w:rPr>
            </w:pPr>
            <w:r w:rsidRPr="00B84B0C">
              <w:rPr>
                <w:rFonts w:cs="Arial"/>
                <w:lang w:val="en-US"/>
              </w:rPr>
              <w:t>131,133</w:t>
            </w:r>
          </w:p>
        </w:tc>
        <w:tc>
          <w:tcPr>
            <w:tcW w:w="1981" w:type="dxa"/>
            <w:shd w:val="clear" w:color="auto" w:fill="FFFFFF" w:themeFill="background1"/>
            <w:vAlign w:val="center"/>
          </w:tcPr>
          <w:p w14:paraId="3B54FFD2" w14:textId="77777777" w:rsidR="009C72AA" w:rsidRPr="00B84B0C" w:rsidRDefault="009C72AA" w:rsidP="009C72AA">
            <w:pPr>
              <w:pStyle w:val="08-Tabelageral"/>
              <w:rPr>
                <w:rFonts w:cs="Arial"/>
                <w:lang w:val="en-US"/>
              </w:rPr>
            </w:pPr>
            <w:r w:rsidRPr="00B84B0C">
              <w:rPr>
                <w:rFonts w:cs="Arial"/>
                <w:lang w:val="en-US"/>
              </w:rPr>
              <w:t>105,308</w:t>
            </w:r>
          </w:p>
        </w:tc>
      </w:tr>
      <w:tr w:rsidR="009C72AA" w:rsidRPr="00B84B0C" w14:paraId="3723DD19" w14:textId="77777777" w:rsidTr="009C72AA">
        <w:trPr>
          <w:trHeight w:val="238"/>
        </w:trPr>
        <w:tc>
          <w:tcPr>
            <w:tcW w:w="2555" w:type="dxa"/>
            <w:shd w:val="clear" w:color="auto" w:fill="D9E2F3" w:themeFill="accent5" w:themeFillTint="33"/>
            <w:vAlign w:val="center"/>
          </w:tcPr>
          <w:p w14:paraId="21A22F57" w14:textId="77777777" w:rsidR="009C72AA" w:rsidRPr="00B84B0C" w:rsidRDefault="009C72AA" w:rsidP="009C72AA">
            <w:pPr>
              <w:pStyle w:val="08-Tabelageral"/>
              <w:ind w:firstLine="154"/>
              <w:jc w:val="left"/>
              <w:rPr>
                <w:rFonts w:cs="Arial"/>
                <w:vertAlign w:val="superscript"/>
              </w:rPr>
            </w:pPr>
            <w:proofErr w:type="gramStart"/>
            <w:r w:rsidRPr="00B84B0C">
              <w:rPr>
                <w:rFonts w:cs="Arial"/>
              </w:rPr>
              <w:t>Mapfre</w:t>
            </w:r>
            <w:r w:rsidRPr="00B84B0C">
              <w:rPr>
                <w:rFonts w:cs="Arial"/>
                <w:vertAlign w:val="superscript"/>
              </w:rPr>
              <w:t>(</w:t>
            </w:r>
            <w:proofErr w:type="gramEnd"/>
            <w:r w:rsidRPr="00B84B0C">
              <w:rPr>
                <w:rFonts w:cs="Arial"/>
                <w:vertAlign w:val="superscript"/>
              </w:rPr>
              <w:t>1)</w:t>
            </w:r>
          </w:p>
        </w:tc>
        <w:tc>
          <w:tcPr>
            <w:tcW w:w="685" w:type="dxa"/>
            <w:shd w:val="clear" w:color="auto" w:fill="D9E2F3" w:themeFill="accent5" w:themeFillTint="33"/>
            <w:vAlign w:val="center"/>
          </w:tcPr>
          <w:p w14:paraId="65FEE0DD" w14:textId="77777777" w:rsidR="009C72AA" w:rsidRPr="00B84B0C" w:rsidRDefault="009C72AA" w:rsidP="009C72AA">
            <w:pPr>
              <w:pStyle w:val="08-Tabelageral"/>
              <w:jc w:val="left"/>
              <w:rPr>
                <w:rFonts w:cs="Arial"/>
                <w:b/>
              </w:rPr>
            </w:pPr>
          </w:p>
        </w:tc>
        <w:tc>
          <w:tcPr>
            <w:tcW w:w="1133" w:type="dxa"/>
            <w:shd w:val="clear" w:color="auto" w:fill="D9E2F3" w:themeFill="accent5" w:themeFillTint="33"/>
            <w:vAlign w:val="center"/>
          </w:tcPr>
          <w:p w14:paraId="7E056A54" w14:textId="77777777" w:rsidR="009C72AA" w:rsidRPr="00B84B0C" w:rsidRDefault="009C72AA" w:rsidP="009C72AA">
            <w:pPr>
              <w:pStyle w:val="08-Tabelageral"/>
              <w:rPr>
                <w:rFonts w:cs="Arial"/>
              </w:rPr>
            </w:pPr>
          </w:p>
        </w:tc>
        <w:tc>
          <w:tcPr>
            <w:tcW w:w="1555" w:type="dxa"/>
            <w:shd w:val="clear" w:color="auto" w:fill="D9E2F3" w:themeFill="accent5" w:themeFillTint="33"/>
            <w:vAlign w:val="center"/>
          </w:tcPr>
          <w:p w14:paraId="30CD15DF" w14:textId="77777777" w:rsidR="009C72AA" w:rsidRPr="00B84B0C" w:rsidRDefault="009C72AA" w:rsidP="009C72AA">
            <w:pPr>
              <w:pStyle w:val="08-Tabelageral"/>
              <w:rPr>
                <w:rFonts w:cs="Arial"/>
              </w:rPr>
            </w:pPr>
          </w:p>
        </w:tc>
        <w:tc>
          <w:tcPr>
            <w:tcW w:w="154" w:type="dxa"/>
            <w:shd w:val="clear" w:color="auto" w:fill="D9E2F3" w:themeFill="accent5" w:themeFillTint="33"/>
            <w:vAlign w:val="center"/>
          </w:tcPr>
          <w:p w14:paraId="46CCE181" w14:textId="77777777" w:rsidR="009C72AA" w:rsidRPr="00B84B0C" w:rsidRDefault="009C72AA" w:rsidP="009C72AA">
            <w:pPr>
              <w:pStyle w:val="08-Tabelageral"/>
              <w:jc w:val="left"/>
              <w:rPr>
                <w:rFonts w:cs="Arial"/>
                <w:b/>
              </w:rPr>
            </w:pPr>
          </w:p>
        </w:tc>
        <w:tc>
          <w:tcPr>
            <w:tcW w:w="1704" w:type="dxa"/>
            <w:tcBorders>
              <w:top w:val="nil"/>
              <w:left w:val="nil"/>
              <w:bottom w:val="nil"/>
              <w:right w:val="nil"/>
            </w:tcBorders>
            <w:shd w:val="clear" w:color="auto" w:fill="D9E2F3" w:themeFill="accent5" w:themeFillTint="33"/>
            <w:vAlign w:val="center"/>
          </w:tcPr>
          <w:p w14:paraId="3CF3F55E" w14:textId="77777777" w:rsidR="009C72AA" w:rsidRPr="00B84B0C" w:rsidRDefault="009C72AA" w:rsidP="009C72AA">
            <w:pPr>
              <w:pStyle w:val="08-Tabelageral"/>
              <w:rPr>
                <w:rFonts w:cs="Arial"/>
              </w:rPr>
            </w:pPr>
            <w:r w:rsidRPr="00B84B0C">
              <w:rPr>
                <w:rFonts w:cs="Arial"/>
              </w:rPr>
              <w:t>37,319</w:t>
            </w:r>
          </w:p>
        </w:tc>
        <w:tc>
          <w:tcPr>
            <w:tcW w:w="1981" w:type="dxa"/>
            <w:shd w:val="clear" w:color="auto" w:fill="D9E2F3" w:themeFill="accent5" w:themeFillTint="33"/>
            <w:vAlign w:val="center"/>
          </w:tcPr>
          <w:p w14:paraId="7618F960" w14:textId="77777777" w:rsidR="009C72AA" w:rsidRPr="00B84B0C" w:rsidRDefault="009C72AA" w:rsidP="009C72AA">
            <w:pPr>
              <w:pStyle w:val="08-Tabelageral"/>
              <w:rPr>
                <w:rFonts w:cs="Arial"/>
              </w:rPr>
            </w:pPr>
            <w:r w:rsidRPr="00B84B0C">
              <w:rPr>
                <w:rFonts w:cs="Arial"/>
              </w:rPr>
              <w:t>39,210</w:t>
            </w:r>
          </w:p>
        </w:tc>
      </w:tr>
      <w:tr w:rsidR="009C72AA" w:rsidRPr="00B84B0C" w14:paraId="6C168D1D" w14:textId="77777777" w:rsidTr="009C72AA">
        <w:trPr>
          <w:trHeight w:val="238"/>
        </w:trPr>
        <w:tc>
          <w:tcPr>
            <w:tcW w:w="2555" w:type="dxa"/>
            <w:shd w:val="clear" w:color="auto" w:fill="FFFFFF" w:themeFill="background1"/>
            <w:vAlign w:val="center"/>
          </w:tcPr>
          <w:p w14:paraId="75E5E06B" w14:textId="77777777" w:rsidR="009C72AA" w:rsidRPr="00B84B0C" w:rsidRDefault="009C72AA" w:rsidP="009C72AA">
            <w:pPr>
              <w:pStyle w:val="08-Tabelageral"/>
              <w:ind w:firstLine="154"/>
              <w:jc w:val="left"/>
              <w:rPr>
                <w:rFonts w:cs="Arial"/>
              </w:rPr>
            </w:pPr>
            <w:proofErr w:type="spellStart"/>
            <w:r w:rsidRPr="00B84B0C">
              <w:rPr>
                <w:rFonts w:cs="Arial"/>
              </w:rPr>
              <w:t>Brasilcap</w:t>
            </w:r>
            <w:proofErr w:type="spellEnd"/>
          </w:p>
        </w:tc>
        <w:tc>
          <w:tcPr>
            <w:tcW w:w="685" w:type="dxa"/>
            <w:shd w:val="clear" w:color="auto" w:fill="FFFFFF" w:themeFill="background1"/>
            <w:vAlign w:val="center"/>
          </w:tcPr>
          <w:p w14:paraId="0EDF6EFF" w14:textId="77777777" w:rsidR="009C72AA" w:rsidRPr="00B84B0C" w:rsidRDefault="009C72AA" w:rsidP="009C72AA">
            <w:pPr>
              <w:pStyle w:val="08-Tabelageral"/>
              <w:jc w:val="left"/>
              <w:rPr>
                <w:rFonts w:cs="Arial"/>
                <w:b/>
              </w:rPr>
            </w:pPr>
          </w:p>
        </w:tc>
        <w:tc>
          <w:tcPr>
            <w:tcW w:w="1133" w:type="dxa"/>
            <w:shd w:val="clear" w:color="auto" w:fill="FFFFFF" w:themeFill="background1"/>
            <w:vAlign w:val="center"/>
          </w:tcPr>
          <w:p w14:paraId="2CB1E582" w14:textId="77777777" w:rsidR="009C72AA" w:rsidRPr="00B84B0C" w:rsidRDefault="009C72AA" w:rsidP="009C72AA">
            <w:pPr>
              <w:pStyle w:val="08-Tabelageral"/>
              <w:rPr>
                <w:rFonts w:cs="Arial"/>
              </w:rPr>
            </w:pPr>
          </w:p>
        </w:tc>
        <w:tc>
          <w:tcPr>
            <w:tcW w:w="1555" w:type="dxa"/>
            <w:shd w:val="clear" w:color="auto" w:fill="FFFFFF" w:themeFill="background1"/>
            <w:vAlign w:val="center"/>
          </w:tcPr>
          <w:p w14:paraId="3FBE80E5" w14:textId="77777777" w:rsidR="009C72AA" w:rsidRPr="00B84B0C" w:rsidRDefault="009C72AA" w:rsidP="009C72AA">
            <w:pPr>
              <w:pStyle w:val="08-Tabelageral"/>
              <w:rPr>
                <w:rFonts w:cs="Arial"/>
              </w:rPr>
            </w:pPr>
          </w:p>
        </w:tc>
        <w:tc>
          <w:tcPr>
            <w:tcW w:w="154" w:type="dxa"/>
            <w:shd w:val="clear" w:color="auto" w:fill="FFFFFF" w:themeFill="background1"/>
            <w:vAlign w:val="center"/>
          </w:tcPr>
          <w:p w14:paraId="0A63B4C6" w14:textId="77777777" w:rsidR="009C72AA" w:rsidRPr="00B84B0C" w:rsidRDefault="009C72AA" w:rsidP="009C72AA">
            <w:pPr>
              <w:pStyle w:val="08-Tabelageral"/>
              <w:jc w:val="left"/>
              <w:rPr>
                <w:rFonts w:cs="Arial"/>
                <w:b/>
              </w:rPr>
            </w:pPr>
          </w:p>
        </w:tc>
        <w:tc>
          <w:tcPr>
            <w:tcW w:w="1704" w:type="dxa"/>
            <w:tcBorders>
              <w:top w:val="nil"/>
              <w:left w:val="nil"/>
              <w:bottom w:val="nil"/>
              <w:right w:val="nil"/>
            </w:tcBorders>
            <w:shd w:val="clear" w:color="auto" w:fill="FFFFFF" w:themeFill="background1"/>
            <w:vAlign w:val="center"/>
          </w:tcPr>
          <w:p w14:paraId="2E1AD2C4" w14:textId="77777777" w:rsidR="009C72AA" w:rsidRPr="00B84B0C" w:rsidRDefault="009C72AA" w:rsidP="009C72AA">
            <w:pPr>
              <w:pStyle w:val="08-Tabelageral"/>
              <w:rPr>
                <w:rFonts w:cs="Arial"/>
              </w:rPr>
            </w:pPr>
            <w:r w:rsidRPr="00B84B0C">
              <w:rPr>
                <w:rFonts w:cs="Arial"/>
              </w:rPr>
              <w:t>84,393</w:t>
            </w:r>
          </w:p>
        </w:tc>
        <w:tc>
          <w:tcPr>
            <w:tcW w:w="1981" w:type="dxa"/>
            <w:shd w:val="clear" w:color="auto" w:fill="FFFFFF" w:themeFill="background1"/>
            <w:vAlign w:val="center"/>
          </w:tcPr>
          <w:p w14:paraId="561483F1" w14:textId="77777777" w:rsidR="009C72AA" w:rsidRPr="00B84B0C" w:rsidRDefault="009C72AA" w:rsidP="009C72AA">
            <w:pPr>
              <w:pStyle w:val="08-Tabelageral"/>
              <w:rPr>
                <w:rFonts w:cs="Arial"/>
              </w:rPr>
            </w:pPr>
            <w:r w:rsidRPr="00B84B0C">
              <w:rPr>
                <w:rFonts w:cs="Arial"/>
              </w:rPr>
              <w:t>86,582</w:t>
            </w:r>
          </w:p>
        </w:tc>
      </w:tr>
      <w:tr w:rsidR="009C72AA" w:rsidRPr="00B84B0C" w14:paraId="6A0C2EE7" w14:textId="77777777" w:rsidTr="009C72AA">
        <w:trPr>
          <w:trHeight w:val="238"/>
        </w:trPr>
        <w:tc>
          <w:tcPr>
            <w:tcW w:w="2555" w:type="dxa"/>
            <w:shd w:val="clear" w:color="auto" w:fill="D9E2F3" w:themeFill="accent5" w:themeFillTint="33"/>
            <w:vAlign w:val="center"/>
          </w:tcPr>
          <w:p w14:paraId="38308633" w14:textId="77777777" w:rsidR="009C72AA" w:rsidRPr="00B84B0C" w:rsidRDefault="009C72AA" w:rsidP="009C72AA">
            <w:pPr>
              <w:pStyle w:val="08-Tabelageral"/>
              <w:ind w:firstLine="154"/>
              <w:jc w:val="left"/>
              <w:rPr>
                <w:rFonts w:cs="Arial"/>
              </w:rPr>
            </w:pPr>
            <w:r w:rsidRPr="00B84B0C">
              <w:rPr>
                <w:rFonts w:cs="Arial"/>
              </w:rPr>
              <w:t xml:space="preserve">Other </w:t>
            </w:r>
            <w:proofErr w:type="spellStart"/>
            <w:r w:rsidRPr="00B84B0C">
              <w:rPr>
                <w:rFonts w:cs="Arial"/>
              </w:rPr>
              <w:t>companies</w:t>
            </w:r>
            <w:proofErr w:type="spellEnd"/>
          </w:p>
        </w:tc>
        <w:tc>
          <w:tcPr>
            <w:tcW w:w="685" w:type="dxa"/>
            <w:shd w:val="clear" w:color="auto" w:fill="D9E2F3" w:themeFill="accent5" w:themeFillTint="33"/>
            <w:vAlign w:val="center"/>
          </w:tcPr>
          <w:p w14:paraId="38992553" w14:textId="77777777" w:rsidR="009C72AA" w:rsidRPr="00B84B0C" w:rsidRDefault="009C72AA" w:rsidP="009C72AA">
            <w:pPr>
              <w:pStyle w:val="08-Tabelageral"/>
              <w:jc w:val="left"/>
              <w:rPr>
                <w:rFonts w:cs="Arial"/>
              </w:rPr>
            </w:pPr>
          </w:p>
        </w:tc>
        <w:tc>
          <w:tcPr>
            <w:tcW w:w="1133" w:type="dxa"/>
            <w:shd w:val="clear" w:color="auto" w:fill="D9E2F3" w:themeFill="accent5" w:themeFillTint="33"/>
            <w:vAlign w:val="center"/>
          </w:tcPr>
          <w:p w14:paraId="6639AFFA" w14:textId="77777777" w:rsidR="009C72AA" w:rsidRPr="00B84B0C" w:rsidRDefault="009C72AA" w:rsidP="009C72AA">
            <w:pPr>
              <w:pStyle w:val="08-Tabelageral"/>
              <w:rPr>
                <w:rFonts w:cs="Arial"/>
              </w:rPr>
            </w:pPr>
          </w:p>
        </w:tc>
        <w:tc>
          <w:tcPr>
            <w:tcW w:w="1555" w:type="dxa"/>
            <w:shd w:val="clear" w:color="auto" w:fill="D9E2F3" w:themeFill="accent5" w:themeFillTint="33"/>
            <w:vAlign w:val="center"/>
          </w:tcPr>
          <w:p w14:paraId="4E20E6F5" w14:textId="77777777" w:rsidR="009C72AA" w:rsidRPr="00B84B0C" w:rsidRDefault="009C72AA" w:rsidP="009C72AA">
            <w:pPr>
              <w:pStyle w:val="08-Tabelageral"/>
              <w:rPr>
                <w:rFonts w:cs="Arial"/>
              </w:rPr>
            </w:pPr>
          </w:p>
        </w:tc>
        <w:tc>
          <w:tcPr>
            <w:tcW w:w="154" w:type="dxa"/>
            <w:shd w:val="clear" w:color="auto" w:fill="D9E2F3" w:themeFill="accent5" w:themeFillTint="33"/>
            <w:vAlign w:val="center"/>
          </w:tcPr>
          <w:p w14:paraId="5F491660" w14:textId="77777777" w:rsidR="009C72AA" w:rsidRPr="00B84B0C" w:rsidRDefault="009C72AA" w:rsidP="009C72AA">
            <w:pPr>
              <w:pStyle w:val="08-Tabelageral"/>
              <w:jc w:val="left"/>
              <w:rPr>
                <w:rFonts w:cs="Arial"/>
              </w:rPr>
            </w:pPr>
          </w:p>
        </w:tc>
        <w:tc>
          <w:tcPr>
            <w:tcW w:w="1704" w:type="dxa"/>
            <w:tcBorders>
              <w:top w:val="nil"/>
              <w:left w:val="nil"/>
              <w:bottom w:val="nil"/>
              <w:right w:val="nil"/>
            </w:tcBorders>
            <w:shd w:val="clear" w:color="auto" w:fill="D9E2F3" w:themeFill="accent5" w:themeFillTint="33"/>
            <w:vAlign w:val="center"/>
          </w:tcPr>
          <w:p w14:paraId="11EC44C2" w14:textId="77777777" w:rsidR="009C72AA" w:rsidRPr="00B84B0C" w:rsidRDefault="009C72AA" w:rsidP="009C72AA">
            <w:pPr>
              <w:pStyle w:val="08-Tabelageral"/>
              <w:rPr>
                <w:rFonts w:cs="Arial"/>
              </w:rPr>
            </w:pPr>
            <w:r w:rsidRPr="00B84B0C">
              <w:rPr>
                <w:rFonts w:cs="Arial"/>
              </w:rPr>
              <w:t>2,002</w:t>
            </w:r>
          </w:p>
        </w:tc>
        <w:tc>
          <w:tcPr>
            <w:tcW w:w="1981" w:type="dxa"/>
            <w:shd w:val="clear" w:color="auto" w:fill="D9E2F3" w:themeFill="accent5" w:themeFillTint="33"/>
            <w:vAlign w:val="center"/>
          </w:tcPr>
          <w:p w14:paraId="30167ED3" w14:textId="77777777" w:rsidR="009C72AA" w:rsidRPr="00B84B0C" w:rsidRDefault="009C72AA" w:rsidP="009C72AA">
            <w:pPr>
              <w:pStyle w:val="08-Tabelageral"/>
              <w:rPr>
                <w:rFonts w:cs="Arial"/>
              </w:rPr>
            </w:pPr>
            <w:r w:rsidRPr="00B84B0C">
              <w:rPr>
                <w:rFonts w:cs="Arial"/>
              </w:rPr>
              <w:t>2,174</w:t>
            </w:r>
          </w:p>
        </w:tc>
      </w:tr>
      <w:tr w:rsidR="009C72AA" w:rsidRPr="00B84B0C" w14:paraId="6D31EE9F" w14:textId="77777777" w:rsidTr="009C72AA">
        <w:trPr>
          <w:trHeight w:val="238"/>
        </w:trPr>
        <w:tc>
          <w:tcPr>
            <w:tcW w:w="2555" w:type="dxa"/>
            <w:shd w:val="clear" w:color="auto" w:fill="FFFFFF" w:themeFill="background1"/>
            <w:vAlign w:val="center"/>
          </w:tcPr>
          <w:p w14:paraId="70705458" w14:textId="77777777" w:rsidR="009C72AA" w:rsidRPr="00B84B0C" w:rsidRDefault="009C72AA" w:rsidP="009C72AA">
            <w:pPr>
              <w:pStyle w:val="08-Tabelageral"/>
              <w:jc w:val="left"/>
              <w:rPr>
                <w:rFonts w:cs="Arial"/>
                <w:b/>
              </w:rPr>
            </w:pPr>
            <w:proofErr w:type="spellStart"/>
            <w:r w:rsidRPr="00B84B0C">
              <w:rPr>
                <w:rFonts w:cs="Arial"/>
                <w:b/>
              </w:rPr>
              <w:t>Deductions</w:t>
            </w:r>
            <w:proofErr w:type="spellEnd"/>
            <w:r w:rsidRPr="00B84B0C">
              <w:rPr>
                <w:rFonts w:cs="Arial"/>
                <w:b/>
              </w:rPr>
              <w:t xml:space="preserve"> </w:t>
            </w:r>
            <w:proofErr w:type="spellStart"/>
            <w:r w:rsidRPr="00B84B0C">
              <w:rPr>
                <w:rFonts w:cs="Arial"/>
                <w:b/>
              </w:rPr>
              <w:t>from</w:t>
            </w:r>
            <w:proofErr w:type="spellEnd"/>
            <w:r w:rsidRPr="00B84B0C">
              <w:rPr>
                <w:rFonts w:cs="Arial"/>
                <w:b/>
              </w:rPr>
              <w:t xml:space="preserve"> </w:t>
            </w:r>
            <w:proofErr w:type="spellStart"/>
            <w:r w:rsidRPr="00B84B0C">
              <w:rPr>
                <w:rFonts w:cs="Arial"/>
                <w:b/>
              </w:rPr>
              <w:t>commission</w:t>
            </w:r>
            <w:proofErr w:type="spellEnd"/>
            <w:r w:rsidRPr="00B84B0C">
              <w:rPr>
                <w:rFonts w:cs="Arial"/>
                <w:b/>
              </w:rPr>
              <w:t xml:space="preserve"> income</w:t>
            </w:r>
          </w:p>
        </w:tc>
        <w:tc>
          <w:tcPr>
            <w:tcW w:w="685" w:type="dxa"/>
            <w:shd w:val="clear" w:color="auto" w:fill="FFFFFF" w:themeFill="background1"/>
            <w:vAlign w:val="center"/>
          </w:tcPr>
          <w:p w14:paraId="20609A8C" w14:textId="77777777" w:rsidR="009C72AA" w:rsidRPr="00B84B0C" w:rsidRDefault="009C72AA" w:rsidP="009C72AA">
            <w:pPr>
              <w:pStyle w:val="08-Tabelageral"/>
              <w:jc w:val="left"/>
              <w:rPr>
                <w:rFonts w:cs="Arial"/>
              </w:rPr>
            </w:pPr>
          </w:p>
        </w:tc>
        <w:tc>
          <w:tcPr>
            <w:tcW w:w="1133" w:type="dxa"/>
            <w:shd w:val="clear" w:color="auto" w:fill="FFFFFF" w:themeFill="background1"/>
            <w:vAlign w:val="center"/>
          </w:tcPr>
          <w:p w14:paraId="3515B9F6" w14:textId="77777777" w:rsidR="009C72AA" w:rsidRPr="00B84B0C" w:rsidRDefault="009C72AA" w:rsidP="009C72AA">
            <w:pPr>
              <w:pStyle w:val="08-Tabelageral"/>
              <w:rPr>
                <w:rFonts w:cs="Arial"/>
              </w:rPr>
            </w:pPr>
          </w:p>
        </w:tc>
        <w:tc>
          <w:tcPr>
            <w:tcW w:w="1555" w:type="dxa"/>
            <w:shd w:val="clear" w:color="auto" w:fill="FFFFFF" w:themeFill="background1"/>
            <w:vAlign w:val="center"/>
          </w:tcPr>
          <w:p w14:paraId="1D8BE8B0" w14:textId="77777777" w:rsidR="009C72AA" w:rsidRPr="00B84B0C" w:rsidRDefault="009C72AA" w:rsidP="009C72AA">
            <w:pPr>
              <w:pStyle w:val="08-Tabelageral"/>
              <w:rPr>
                <w:rFonts w:cs="Arial"/>
              </w:rPr>
            </w:pPr>
          </w:p>
        </w:tc>
        <w:tc>
          <w:tcPr>
            <w:tcW w:w="154" w:type="dxa"/>
            <w:shd w:val="clear" w:color="auto" w:fill="FFFFFF" w:themeFill="background1"/>
            <w:vAlign w:val="center"/>
          </w:tcPr>
          <w:p w14:paraId="1B6A6502" w14:textId="77777777" w:rsidR="009C72AA" w:rsidRPr="00B84B0C" w:rsidRDefault="009C72AA" w:rsidP="009C72AA">
            <w:pPr>
              <w:pStyle w:val="08-Tabelageral"/>
              <w:jc w:val="left"/>
              <w:rPr>
                <w:rFonts w:cs="Arial"/>
              </w:rPr>
            </w:pPr>
          </w:p>
        </w:tc>
        <w:tc>
          <w:tcPr>
            <w:tcW w:w="1704" w:type="dxa"/>
            <w:tcBorders>
              <w:top w:val="nil"/>
              <w:left w:val="nil"/>
              <w:bottom w:val="nil"/>
              <w:right w:val="nil"/>
            </w:tcBorders>
            <w:shd w:val="clear" w:color="auto" w:fill="FFFFFF" w:themeFill="background1"/>
            <w:vAlign w:val="center"/>
          </w:tcPr>
          <w:p w14:paraId="5BB1B2A0" w14:textId="77777777" w:rsidR="009C72AA" w:rsidRPr="00B84B0C" w:rsidRDefault="009C72AA" w:rsidP="009C72AA">
            <w:pPr>
              <w:pStyle w:val="08-Tabelageral"/>
              <w:rPr>
                <w:rFonts w:cs="Arial"/>
                <w:b/>
              </w:rPr>
            </w:pPr>
            <w:r w:rsidRPr="00B84B0C">
              <w:rPr>
                <w:rFonts w:cs="Arial"/>
                <w:b/>
              </w:rPr>
              <w:t>(102,024)</w:t>
            </w:r>
          </w:p>
        </w:tc>
        <w:tc>
          <w:tcPr>
            <w:tcW w:w="1981" w:type="dxa"/>
            <w:shd w:val="clear" w:color="auto" w:fill="FFFFFF" w:themeFill="background1"/>
            <w:vAlign w:val="center"/>
          </w:tcPr>
          <w:p w14:paraId="4B1E871B" w14:textId="77777777" w:rsidR="009C72AA" w:rsidRPr="00B84B0C" w:rsidRDefault="009C72AA" w:rsidP="009C72AA">
            <w:pPr>
              <w:pStyle w:val="08-Tabelageral"/>
              <w:rPr>
                <w:rFonts w:cs="Arial"/>
                <w:b/>
              </w:rPr>
            </w:pPr>
            <w:r w:rsidRPr="00B84B0C">
              <w:rPr>
                <w:rFonts w:cs="Arial"/>
                <w:b/>
              </w:rPr>
              <w:t>(94,010)</w:t>
            </w:r>
          </w:p>
        </w:tc>
      </w:tr>
      <w:tr w:rsidR="009C72AA" w:rsidRPr="00B84B0C" w14:paraId="6A7DB06F" w14:textId="77777777" w:rsidTr="009C72AA">
        <w:trPr>
          <w:trHeight w:val="238"/>
        </w:trPr>
        <w:tc>
          <w:tcPr>
            <w:tcW w:w="2555" w:type="dxa"/>
            <w:shd w:val="clear" w:color="auto" w:fill="D9E2F3" w:themeFill="accent5" w:themeFillTint="33"/>
            <w:vAlign w:val="center"/>
          </w:tcPr>
          <w:p w14:paraId="2F9C4578" w14:textId="77777777" w:rsidR="009C72AA" w:rsidRPr="00B84B0C" w:rsidRDefault="009C72AA" w:rsidP="009C72AA">
            <w:pPr>
              <w:pStyle w:val="08-Tabelageral"/>
              <w:ind w:firstLine="154"/>
              <w:jc w:val="left"/>
              <w:rPr>
                <w:rFonts w:cs="Arial"/>
              </w:rPr>
            </w:pPr>
            <w:r w:rsidRPr="00B84B0C">
              <w:rPr>
                <w:rFonts w:cs="Arial"/>
              </w:rPr>
              <w:t>PIS</w:t>
            </w:r>
          </w:p>
        </w:tc>
        <w:tc>
          <w:tcPr>
            <w:tcW w:w="685" w:type="dxa"/>
            <w:shd w:val="clear" w:color="auto" w:fill="D9E2F3" w:themeFill="accent5" w:themeFillTint="33"/>
            <w:vAlign w:val="center"/>
          </w:tcPr>
          <w:p w14:paraId="1921E23D" w14:textId="77777777" w:rsidR="009C72AA" w:rsidRPr="00B84B0C" w:rsidRDefault="009C72AA" w:rsidP="009C72AA">
            <w:pPr>
              <w:pStyle w:val="08-Tabelageral"/>
              <w:jc w:val="left"/>
              <w:rPr>
                <w:rFonts w:cs="Arial"/>
              </w:rPr>
            </w:pPr>
          </w:p>
        </w:tc>
        <w:tc>
          <w:tcPr>
            <w:tcW w:w="1133" w:type="dxa"/>
            <w:shd w:val="clear" w:color="auto" w:fill="D9E2F3" w:themeFill="accent5" w:themeFillTint="33"/>
            <w:vAlign w:val="center"/>
          </w:tcPr>
          <w:p w14:paraId="43F1093D" w14:textId="77777777" w:rsidR="009C72AA" w:rsidRPr="00B84B0C" w:rsidRDefault="009C72AA" w:rsidP="009C72AA">
            <w:pPr>
              <w:pStyle w:val="08-Tabelageral"/>
              <w:rPr>
                <w:rFonts w:cs="Arial"/>
              </w:rPr>
            </w:pPr>
          </w:p>
        </w:tc>
        <w:tc>
          <w:tcPr>
            <w:tcW w:w="1555" w:type="dxa"/>
            <w:shd w:val="clear" w:color="auto" w:fill="D9E2F3" w:themeFill="accent5" w:themeFillTint="33"/>
            <w:vAlign w:val="center"/>
          </w:tcPr>
          <w:p w14:paraId="10FC4327" w14:textId="77777777" w:rsidR="009C72AA" w:rsidRPr="00B84B0C" w:rsidRDefault="009C72AA" w:rsidP="009C72AA">
            <w:pPr>
              <w:pStyle w:val="08-Tabelageral"/>
              <w:rPr>
                <w:rFonts w:cs="Arial"/>
              </w:rPr>
            </w:pPr>
          </w:p>
        </w:tc>
        <w:tc>
          <w:tcPr>
            <w:tcW w:w="154" w:type="dxa"/>
            <w:shd w:val="clear" w:color="auto" w:fill="D9E2F3" w:themeFill="accent5" w:themeFillTint="33"/>
            <w:vAlign w:val="center"/>
          </w:tcPr>
          <w:p w14:paraId="38A8E86A" w14:textId="77777777" w:rsidR="009C72AA" w:rsidRPr="00B84B0C" w:rsidRDefault="009C72AA" w:rsidP="009C72AA">
            <w:pPr>
              <w:pStyle w:val="08-Tabelageral"/>
              <w:jc w:val="left"/>
              <w:rPr>
                <w:rFonts w:cs="Arial"/>
              </w:rPr>
            </w:pPr>
          </w:p>
        </w:tc>
        <w:tc>
          <w:tcPr>
            <w:tcW w:w="1704" w:type="dxa"/>
            <w:tcBorders>
              <w:top w:val="nil"/>
              <w:left w:val="nil"/>
              <w:bottom w:val="nil"/>
              <w:right w:val="nil"/>
            </w:tcBorders>
            <w:shd w:val="clear" w:color="auto" w:fill="D9E2F3" w:themeFill="accent5" w:themeFillTint="33"/>
            <w:vAlign w:val="center"/>
          </w:tcPr>
          <w:p w14:paraId="42E8FBA8" w14:textId="77777777" w:rsidR="009C72AA" w:rsidRPr="00B84B0C" w:rsidRDefault="009C72AA" w:rsidP="009C72AA">
            <w:pPr>
              <w:pStyle w:val="08-Tabelageral"/>
              <w:rPr>
                <w:rFonts w:cs="Arial"/>
              </w:rPr>
            </w:pPr>
            <w:r w:rsidRPr="00B84B0C">
              <w:rPr>
                <w:rFonts w:cs="Arial"/>
              </w:rPr>
              <w:t>(14,555)</w:t>
            </w:r>
          </w:p>
        </w:tc>
        <w:tc>
          <w:tcPr>
            <w:tcW w:w="1981" w:type="dxa"/>
            <w:shd w:val="clear" w:color="auto" w:fill="D9E2F3" w:themeFill="accent5" w:themeFillTint="33"/>
            <w:vAlign w:val="center"/>
          </w:tcPr>
          <w:p w14:paraId="7F0B2B01" w14:textId="77777777" w:rsidR="009C72AA" w:rsidRPr="00B84B0C" w:rsidRDefault="009C72AA" w:rsidP="009C72AA">
            <w:pPr>
              <w:pStyle w:val="08-Tabelageral"/>
              <w:rPr>
                <w:rFonts w:cs="Arial"/>
              </w:rPr>
            </w:pPr>
            <w:r w:rsidRPr="00B84B0C">
              <w:rPr>
                <w:rFonts w:cs="Arial"/>
              </w:rPr>
              <w:t>(12,568)</w:t>
            </w:r>
          </w:p>
        </w:tc>
      </w:tr>
      <w:tr w:rsidR="009C72AA" w:rsidRPr="00B84B0C" w14:paraId="27405072" w14:textId="77777777" w:rsidTr="009C72AA">
        <w:trPr>
          <w:trHeight w:val="238"/>
        </w:trPr>
        <w:tc>
          <w:tcPr>
            <w:tcW w:w="2555" w:type="dxa"/>
            <w:shd w:val="clear" w:color="auto" w:fill="FFFFFF" w:themeFill="background1"/>
            <w:vAlign w:val="center"/>
          </w:tcPr>
          <w:p w14:paraId="72E681E4" w14:textId="77777777" w:rsidR="009C72AA" w:rsidRPr="00B84B0C" w:rsidRDefault="009C72AA" w:rsidP="009C72AA">
            <w:pPr>
              <w:pStyle w:val="08-Tabelageral"/>
              <w:ind w:firstLine="154"/>
              <w:jc w:val="left"/>
              <w:rPr>
                <w:rFonts w:cs="Arial"/>
              </w:rPr>
            </w:pPr>
            <w:proofErr w:type="spellStart"/>
            <w:r w:rsidRPr="00B84B0C">
              <w:rPr>
                <w:rFonts w:cs="Arial"/>
              </w:rPr>
              <w:t>Cofins</w:t>
            </w:r>
            <w:proofErr w:type="spellEnd"/>
          </w:p>
        </w:tc>
        <w:tc>
          <w:tcPr>
            <w:tcW w:w="685" w:type="dxa"/>
            <w:shd w:val="clear" w:color="auto" w:fill="FFFFFF" w:themeFill="background1"/>
            <w:vAlign w:val="center"/>
          </w:tcPr>
          <w:p w14:paraId="1011F36E" w14:textId="77777777" w:rsidR="009C72AA" w:rsidRPr="00B84B0C" w:rsidRDefault="009C72AA" w:rsidP="009C72AA">
            <w:pPr>
              <w:pStyle w:val="08-Tabelageral"/>
              <w:jc w:val="left"/>
              <w:rPr>
                <w:rFonts w:cs="Arial"/>
              </w:rPr>
            </w:pPr>
          </w:p>
        </w:tc>
        <w:tc>
          <w:tcPr>
            <w:tcW w:w="1133" w:type="dxa"/>
            <w:shd w:val="clear" w:color="auto" w:fill="FFFFFF" w:themeFill="background1"/>
            <w:vAlign w:val="center"/>
          </w:tcPr>
          <w:p w14:paraId="1BB47025" w14:textId="77777777" w:rsidR="009C72AA" w:rsidRPr="00B84B0C" w:rsidRDefault="009C72AA" w:rsidP="009C72AA">
            <w:pPr>
              <w:pStyle w:val="08-Tabelageral"/>
              <w:rPr>
                <w:rFonts w:cs="Arial"/>
              </w:rPr>
            </w:pPr>
          </w:p>
        </w:tc>
        <w:tc>
          <w:tcPr>
            <w:tcW w:w="1555" w:type="dxa"/>
            <w:shd w:val="clear" w:color="auto" w:fill="FFFFFF" w:themeFill="background1"/>
            <w:vAlign w:val="center"/>
          </w:tcPr>
          <w:p w14:paraId="743F0338" w14:textId="77777777" w:rsidR="009C72AA" w:rsidRPr="00B84B0C" w:rsidRDefault="009C72AA" w:rsidP="009C72AA">
            <w:pPr>
              <w:pStyle w:val="08-Tabelageral"/>
              <w:rPr>
                <w:rFonts w:cs="Arial"/>
              </w:rPr>
            </w:pPr>
          </w:p>
        </w:tc>
        <w:tc>
          <w:tcPr>
            <w:tcW w:w="154" w:type="dxa"/>
            <w:shd w:val="clear" w:color="auto" w:fill="FFFFFF" w:themeFill="background1"/>
            <w:vAlign w:val="center"/>
          </w:tcPr>
          <w:p w14:paraId="306B7BFF" w14:textId="77777777" w:rsidR="009C72AA" w:rsidRPr="00B84B0C" w:rsidRDefault="009C72AA" w:rsidP="009C72AA">
            <w:pPr>
              <w:pStyle w:val="08-Tabelageral"/>
              <w:jc w:val="left"/>
              <w:rPr>
                <w:rFonts w:cs="Arial"/>
              </w:rPr>
            </w:pPr>
          </w:p>
        </w:tc>
        <w:tc>
          <w:tcPr>
            <w:tcW w:w="1704" w:type="dxa"/>
            <w:tcBorders>
              <w:top w:val="nil"/>
              <w:left w:val="nil"/>
              <w:bottom w:val="nil"/>
              <w:right w:val="nil"/>
            </w:tcBorders>
            <w:shd w:val="clear" w:color="auto" w:fill="FFFFFF" w:themeFill="background1"/>
            <w:vAlign w:val="center"/>
          </w:tcPr>
          <w:p w14:paraId="2680BAD5" w14:textId="77777777" w:rsidR="009C72AA" w:rsidRPr="00B84B0C" w:rsidRDefault="009C72AA" w:rsidP="009C72AA">
            <w:pPr>
              <w:pStyle w:val="08-Tabelageral"/>
              <w:rPr>
                <w:rFonts w:cs="Arial"/>
              </w:rPr>
            </w:pPr>
            <w:r w:rsidRPr="00B84B0C">
              <w:rPr>
                <w:rFonts w:cs="Arial"/>
              </w:rPr>
              <w:t>(67,040)</w:t>
            </w:r>
          </w:p>
        </w:tc>
        <w:tc>
          <w:tcPr>
            <w:tcW w:w="1981" w:type="dxa"/>
            <w:shd w:val="clear" w:color="auto" w:fill="FFFFFF" w:themeFill="background1"/>
            <w:vAlign w:val="center"/>
          </w:tcPr>
          <w:p w14:paraId="338C4503" w14:textId="77777777" w:rsidR="009C72AA" w:rsidRPr="00B84B0C" w:rsidRDefault="009C72AA" w:rsidP="009C72AA">
            <w:pPr>
              <w:pStyle w:val="08-Tabelageral"/>
              <w:rPr>
                <w:rFonts w:cs="Arial"/>
              </w:rPr>
            </w:pPr>
            <w:r w:rsidRPr="00B84B0C">
              <w:rPr>
                <w:rFonts w:cs="Arial"/>
              </w:rPr>
              <w:t>(57,887)</w:t>
            </w:r>
          </w:p>
        </w:tc>
      </w:tr>
      <w:tr w:rsidR="009C72AA" w:rsidRPr="00B84B0C" w14:paraId="21BFE747" w14:textId="77777777" w:rsidTr="009C72AA">
        <w:trPr>
          <w:trHeight w:val="238"/>
        </w:trPr>
        <w:tc>
          <w:tcPr>
            <w:tcW w:w="2555" w:type="dxa"/>
            <w:shd w:val="clear" w:color="auto" w:fill="D9E2F3" w:themeFill="accent5" w:themeFillTint="33"/>
            <w:vAlign w:val="center"/>
          </w:tcPr>
          <w:p w14:paraId="695ADC69" w14:textId="77777777" w:rsidR="009C72AA" w:rsidRPr="00B84B0C" w:rsidRDefault="009C72AA" w:rsidP="009C72AA">
            <w:pPr>
              <w:pStyle w:val="08-Tabelageral"/>
              <w:ind w:firstLine="154"/>
              <w:jc w:val="left"/>
              <w:rPr>
                <w:rFonts w:cs="Arial"/>
              </w:rPr>
            </w:pPr>
            <w:r w:rsidRPr="00B84B0C">
              <w:rPr>
                <w:rFonts w:cs="Arial"/>
              </w:rPr>
              <w:t>ISS</w:t>
            </w:r>
          </w:p>
        </w:tc>
        <w:tc>
          <w:tcPr>
            <w:tcW w:w="685" w:type="dxa"/>
            <w:shd w:val="clear" w:color="auto" w:fill="D9E2F3" w:themeFill="accent5" w:themeFillTint="33"/>
            <w:vAlign w:val="center"/>
          </w:tcPr>
          <w:p w14:paraId="5DC68E6C" w14:textId="77777777" w:rsidR="009C72AA" w:rsidRPr="00B84B0C" w:rsidRDefault="009C72AA" w:rsidP="009C72AA">
            <w:pPr>
              <w:pStyle w:val="08-Tabelageral"/>
              <w:jc w:val="left"/>
              <w:rPr>
                <w:rFonts w:cs="Arial"/>
              </w:rPr>
            </w:pPr>
          </w:p>
        </w:tc>
        <w:tc>
          <w:tcPr>
            <w:tcW w:w="1133" w:type="dxa"/>
            <w:shd w:val="clear" w:color="auto" w:fill="D9E2F3" w:themeFill="accent5" w:themeFillTint="33"/>
            <w:vAlign w:val="center"/>
          </w:tcPr>
          <w:p w14:paraId="25529CC1" w14:textId="77777777" w:rsidR="009C72AA" w:rsidRPr="00B84B0C" w:rsidRDefault="009C72AA" w:rsidP="009C72AA">
            <w:pPr>
              <w:pStyle w:val="08-Tabelageral"/>
              <w:rPr>
                <w:rFonts w:cs="Arial"/>
              </w:rPr>
            </w:pPr>
          </w:p>
        </w:tc>
        <w:tc>
          <w:tcPr>
            <w:tcW w:w="1555" w:type="dxa"/>
            <w:shd w:val="clear" w:color="auto" w:fill="D9E2F3" w:themeFill="accent5" w:themeFillTint="33"/>
            <w:vAlign w:val="center"/>
          </w:tcPr>
          <w:p w14:paraId="6D545195" w14:textId="77777777" w:rsidR="009C72AA" w:rsidRPr="00B84B0C" w:rsidRDefault="009C72AA" w:rsidP="009C72AA">
            <w:pPr>
              <w:pStyle w:val="08-Tabelageral"/>
              <w:rPr>
                <w:rFonts w:cs="Arial"/>
              </w:rPr>
            </w:pPr>
          </w:p>
        </w:tc>
        <w:tc>
          <w:tcPr>
            <w:tcW w:w="154" w:type="dxa"/>
            <w:shd w:val="clear" w:color="auto" w:fill="D9E2F3" w:themeFill="accent5" w:themeFillTint="33"/>
            <w:vAlign w:val="center"/>
          </w:tcPr>
          <w:p w14:paraId="56CAA72E" w14:textId="77777777" w:rsidR="009C72AA" w:rsidRPr="00B84B0C" w:rsidRDefault="009C72AA" w:rsidP="009C72AA">
            <w:pPr>
              <w:pStyle w:val="08-Tabelageral"/>
              <w:jc w:val="left"/>
              <w:rPr>
                <w:rFonts w:cs="Arial"/>
              </w:rPr>
            </w:pPr>
          </w:p>
        </w:tc>
        <w:tc>
          <w:tcPr>
            <w:tcW w:w="1704" w:type="dxa"/>
            <w:tcBorders>
              <w:top w:val="nil"/>
              <w:left w:val="nil"/>
              <w:right w:val="nil"/>
            </w:tcBorders>
            <w:shd w:val="clear" w:color="auto" w:fill="D9E2F3" w:themeFill="accent5" w:themeFillTint="33"/>
            <w:vAlign w:val="center"/>
          </w:tcPr>
          <w:p w14:paraId="377C78D6" w14:textId="77777777" w:rsidR="009C72AA" w:rsidRPr="00B84B0C" w:rsidRDefault="009C72AA" w:rsidP="009C72AA">
            <w:pPr>
              <w:pStyle w:val="08-Tabelageral"/>
              <w:rPr>
                <w:rFonts w:cs="Arial"/>
              </w:rPr>
            </w:pPr>
            <w:r w:rsidRPr="00B84B0C">
              <w:rPr>
                <w:rFonts w:cs="Arial"/>
              </w:rPr>
              <w:t>(20,429)</w:t>
            </w:r>
          </w:p>
        </w:tc>
        <w:tc>
          <w:tcPr>
            <w:tcW w:w="1981" w:type="dxa"/>
            <w:shd w:val="clear" w:color="auto" w:fill="D9E2F3" w:themeFill="accent5" w:themeFillTint="33"/>
            <w:vAlign w:val="center"/>
          </w:tcPr>
          <w:p w14:paraId="3D347D83" w14:textId="77777777" w:rsidR="009C72AA" w:rsidRPr="00B84B0C" w:rsidRDefault="009C72AA" w:rsidP="009C72AA">
            <w:pPr>
              <w:pStyle w:val="08-Tabelageral"/>
              <w:rPr>
                <w:rFonts w:cs="Arial"/>
              </w:rPr>
            </w:pPr>
            <w:r w:rsidRPr="00B84B0C">
              <w:rPr>
                <w:rFonts w:cs="Arial"/>
              </w:rPr>
              <w:t>(23,555)</w:t>
            </w:r>
          </w:p>
        </w:tc>
      </w:tr>
      <w:tr w:rsidR="009C72AA" w:rsidRPr="00B84B0C" w14:paraId="544FBC4F" w14:textId="77777777" w:rsidTr="009C72AA">
        <w:trPr>
          <w:trHeight w:val="238"/>
        </w:trPr>
        <w:tc>
          <w:tcPr>
            <w:tcW w:w="2555" w:type="dxa"/>
            <w:tcBorders>
              <w:bottom w:val="single" w:sz="6" w:space="0" w:color="8EAADB" w:themeColor="accent5" w:themeTint="99"/>
            </w:tcBorders>
            <w:shd w:val="clear" w:color="auto" w:fill="FFFFFF" w:themeFill="background1"/>
            <w:vAlign w:val="center"/>
          </w:tcPr>
          <w:p w14:paraId="5A185CB8" w14:textId="77777777" w:rsidR="009C72AA" w:rsidRPr="00B84B0C" w:rsidRDefault="009C72AA" w:rsidP="009C72AA">
            <w:pPr>
              <w:pStyle w:val="08-Tabelageral"/>
              <w:jc w:val="left"/>
              <w:rPr>
                <w:rFonts w:cs="Arial"/>
                <w:b/>
              </w:rPr>
            </w:pPr>
            <w:r w:rsidRPr="00B84B0C">
              <w:rPr>
                <w:rFonts w:cs="Arial"/>
                <w:b/>
                <w:bCs/>
                <w:szCs w:val="14"/>
              </w:rPr>
              <w:t xml:space="preserve">Net </w:t>
            </w:r>
            <w:proofErr w:type="spellStart"/>
            <w:r w:rsidRPr="00B84B0C">
              <w:rPr>
                <w:rFonts w:cs="Arial"/>
                <w:b/>
              </w:rPr>
              <w:t>commission</w:t>
            </w:r>
            <w:proofErr w:type="spellEnd"/>
            <w:r w:rsidRPr="00B84B0C">
              <w:rPr>
                <w:rFonts w:cs="Arial"/>
                <w:b/>
              </w:rPr>
              <w:t xml:space="preserve"> income</w:t>
            </w:r>
          </w:p>
        </w:tc>
        <w:tc>
          <w:tcPr>
            <w:tcW w:w="685" w:type="dxa"/>
            <w:tcBorders>
              <w:bottom w:val="single" w:sz="6" w:space="0" w:color="8EAADB" w:themeColor="accent5" w:themeTint="99"/>
            </w:tcBorders>
            <w:shd w:val="clear" w:color="auto" w:fill="FFFFFF" w:themeFill="background1"/>
            <w:vAlign w:val="center"/>
          </w:tcPr>
          <w:p w14:paraId="73A9D515" w14:textId="77777777" w:rsidR="009C72AA" w:rsidRPr="00B84B0C" w:rsidRDefault="009C72AA" w:rsidP="009C72AA">
            <w:pPr>
              <w:pStyle w:val="08-Tabelageral"/>
              <w:jc w:val="left"/>
              <w:rPr>
                <w:rFonts w:cs="Arial"/>
                <w:b/>
              </w:rPr>
            </w:pPr>
          </w:p>
        </w:tc>
        <w:tc>
          <w:tcPr>
            <w:tcW w:w="1133" w:type="dxa"/>
            <w:tcBorders>
              <w:bottom w:val="single" w:sz="6" w:space="0" w:color="8EAADB" w:themeColor="accent5" w:themeTint="99"/>
            </w:tcBorders>
            <w:shd w:val="clear" w:color="auto" w:fill="FFFFFF" w:themeFill="background1"/>
            <w:vAlign w:val="center"/>
          </w:tcPr>
          <w:p w14:paraId="55608974" w14:textId="77777777" w:rsidR="009C72AA" w:rsidRPr="00B84B0C" w:rsidRDefault="009C72AA" w:rsidP="009C72AA">
            <w:pPr>
              <w:pStyle w:val="08-Tabelageral"/>
              <w:rPr>
                <w:rFonts w:cs="Arial"/>
                <w:b/>
              </w:rPr>
            </w:pPr>
          </w:p>
        </w:tc>
        <w:tc>
          <w:tcPr>
            <w:tcW w:w="1555" w:type="dxa"/>
            <w:tcBorders>
              <w:bottom w:val="single" w:sz="6" w:space="0" w:color="8EAADB" w:themeColor="accent5" w:themeTint="99"/>
            </w:tcBorders>
            <w:shd w:val="clear" w:color="auto" w:fill="FFFFFF" w:themeFill="background1"/>
            <w:vAlign w:val="center"/>
          </w:tcPr>
          <w:p w14:paraId="738606AC" w14:textId="77777777" w:rsidR="009C72AA" w:rsidRPr="00B84B0C" w:rsidRDefault="009C72AA" w:rsidP="009C72AA">
            <w:pPr>
              <w:pStyle w:val="08-Tabelageral"/>
              <w:rPr>
                <w:rFonts w:cs="Arial"/>
                <w:b/>
              </w:rPr>
            </w:pPr>
          </w:p>
        </w:tc>
        <w:tc>
          <w:tcPr>
            <w:tcW w:w="154" w:type="dxa"/>
            <w:tcBorders>
              <w:bottom w:val="single" w:sz="6" w:space="0" w:color="8EAADB" w:themeColor="accent5" w:themeTint="99"/>
            </w:tcBorders>
            <w:shd w:val="clear" w:color="auto" w:fill="FFFFFF" w:themeFill="background1"/>
            <w:vAlign w:val="center"/>
          </w:tcPr>
          <w:p w14:paraId="77BAE506" w14:textId="77777777" w:rsidR="009C72AA" w:rsidRPr="00B84B0C" w:rsidRDefault="009C72AA" w:rsidP="009C72AA">
            <w:pPr>
              <w:pStyle w:val="08-Tabelageral"/>
              <w:jc w:val="left"/>
              <w:rPr>
                <w:rFonts w:cs="Arial"/>
                <w:b/>
              </w:rPr>
            </w:pPr>
          </w:p>
        </w:tc>
        <w:tc>
          <w:tcPr>
            <w:tcW w:w="1704" w:type="dxa"/>
            <w:tcBorders>
              <w:bottom w:val="single" w:sz="6" w:space="0" w:color="8EAADB" w:themeColor="accent5" w:themeTint="99"/>
            </w:tcBorders>
            <w:shd w:val="clear" w:color="auto" w:fill="FFFFFF" w:themeFill="background1"/>
            <w:vAlign w:val="center"/>
          </w:tcPr>
          <w:p w14:paraId="57F110CA" w14:textId="77777777" w:rsidR="009C72AA" w:rsidRPr="00B84B0C" w:rsidRDefault="009C72AA" w:rsidP="009C72AA">
            <w:pPr>
              <w:pStyle w:val="08-Tabelageral"/>
              <w:rPr>
                <w:rFonts w:cs="Arial"/>
                <w:b/>
                <w:bCs/>
              </w:rPr>
            </w:pPr>
            <w:r w:rsidRPr="00B84B0C">
              <w:rPr>
                <w:rFonts w:cs="Arial"/>
                <w:b/>
                <w:bCs/>
              </w:rPr>
              <w:t>780,618</w:t>
            </w:r>
          </w:p>
        </w:tc>
        <w:tc>
          <w:tcPr>
            <w:tcW w:w="1981" w:type="dxa"/>
            <w:tcBorders>
              <w:bottom w:val="single" w:sz="6" w:space="0" w:color="8EAADB" w:themeColor="accent5" w:themeTint="99"/>
            </w:tcBorders>
            <w:shd w:val="clear" w:color="auto" w:fill="FFFFFF" w:themeFill="background1"/>
            <w:vAlign w:val="center"/>
          </w:tcPr>
          <w:p w14:paraId="561DE7BA" w14:textId="77777777" w:rsidR="009C72AA" w:rsidRPr="00B84B0C" w:rsidRDefault="009C72AA" w:rsidP="009C72AA">
            <w:pPr>
              <w:pStyle w:val="08-Tabelageral"/>
              <w:rPr>
                <w:rFonts w:cs="Arial"/>
                <w:b/>
                <w:bCs/>
              </w:rPr>
            </w:pPr>
            <w:r w:rsidRPr="00B84B0C">
              <w:rPr>
                <w:rFonts w:cs="Arial"/>
                <w:b/>
                <w:bCs/>
              </w:rPr>
              <w:t>668,169</w:t>
            </w:r>
          </w:p>
        </w:tc>
      </w:tr>
    </w:tbl>
    <w:p w14:paraId="11F81891" w14:textId="77777777" w:rsidR="009C72AA" w:rsidRPr="00B84B0C" w:rsidRDefault="009C72AA" w:rsidP="009C72AA">
      <w:pPr>
        <w:pStyle w:val="07-Legenda"/>
        <w:tabs>
          <w:tab w:val="clear" w:pos="284"/>
          <w:tab w:val="left" w:pos="0"/>
        </w:tabs>
        <w:ind w:left="0" w:firstLine="0"/>
        <w:rPr>
          <w:rFonts w:cs="Arial"/>
        </w:rPr>
      </w:pPr>
      <w:r w:rsidRPr="00B84B0C">
        <w:rPr>
          <w:rFonts w:cs="Arial"/>
        </w:rPr>
        <w:t xml:space="preserve"> (1) </w:t>
      </w:r>
      <w:proofErr w:type="spellStart"/>
      <w:r w:rsidRPr="00B84B0C">
        <w:rPr>
          <w:rFonts w:cs="Arial"/>
          <w:szCs w:val="14"/>
        </w:rPr>
        <w:t>Despite</w:t>
      </w:r>
      <w:proofErr w:type="spellEnd"/>
      <w:r w:rsidRPr="00B84B0C">
        <w:rPr>
          <w:rFonts w:cs="Arial"/>
          <w:szCs w:val="14"/>
        </w:rPr>
        <w:t xml:space="preserve"> </w:t>
      </w:r>
      <w:proofErr w:type="spellStart"/>
      <w:r w:rsidRPr="00B84B0C">
        <w:rPr>
          <w:rFonts w:cs="Arial"/>
          <w:szCs w:val="14"/>
        </w:rPr>
        <w:t>the</w:t>
      </w:r>
      <w:proofErr w:type="spellEnd"/>
      <w:r w:rsidRPr="00B84B0C">
        <w:rPr>
          <w:rFonts w:cs="Arial"/>
          <w:szCs w:val="14"/>
        </w:rPr>
        <w:t xml:space="preserve"> </w:t>
      </w:r>
      <w:proofErr w:type="spellStart"/>
      <w:r w:rsidRPr="00B84B0C">
        <w:rPr>
          <w:rFonts w:cs="Arial"/>
          <w:szCs w:val="14"/>
        </w:rPr>
        <w:t>sale</w:t>
      </w:r>
      <w:proofErr w:type="spellEnd"/>
      <w:r w:rsidRPr="00B84B0C">
        <w:rPr>
          <w:rFonts w:cs="Arial"/>
          <w:szCs w:val="14"/>
        </w:rPr>
        <w:t xml:space="preserve"> </w:t>
      </w:r>
      <w:proofErr w:type="spellStart"/>
      <w:r w:rsidRPr="00B84B0C">
        <w:rPr>
          <w:rFonts w:cs="Arial"/>
          <w:szCs w:val="14"/>
        </w:rPr>
        <w:t>of</w:t>
      </w:r>
      <w:proofErr w:type="spellEnd"/>
      <w:r w:rsidRPr="00B84B0C">
        <w:rPr>
          <w:rFonts w:cs="Arial"/>
          <w:szCs w:val="14"/>
        </w:rPr>
        <w:t xml:space="preserve"> </w:t>
      </w:r>
      <w:proofErr w:type="spellStart"/>
      <w:r w:rsidRPr="00B84B0C">
        <w:rPr>
          <w:rFonts w:cs="Arial"/>
          <w:szCs w:val="14"/>
        </w:rPr>
        <w:t>the</w:t>
      </w:r>
      <w:proofErr w:type="spellEnd"/>
      <w:r w:rsidRPr="00B84B0C">
        <w:rPr>
          <w:rFonts w:cs="Arial"/>
          <w:szCs w:val="14"/>
        </w:rPr>
        <w:t xml:space="preserve"> </w:t>
      </w:r>
      <w:proofErr w:type="spellStart"/>
      <w:r w:rsidRPr="00B84B0C">
        <w:rPr>
          <w:rFonts w:cs="Arial"/>
          <w:szCs w:val="14"/>
        </w:rPr>
        <w:t>stake</w:t>
      </w:r>
      <w:proofErr w:type="spellEnd"/>
      <w:r w:rsidRPr="00B84B0C">
        <w:rPr>
          <w:rFonts w:cs="Arial"/>
          <w:szCs w:val="14"/>
        </w:rPr>
        <w:t xml:space="preserve">, Mapfre </w:t>
      </w:r>
      <w:proofErr w:type="spellStart"/>
      <w:r w:rsidRPr="00B84B0C">
        <w:rPr>
          <w:rFonts w:cs="Arial"/>
          <w:szCs w:val="14"/>
        </w:rPr>
        <w:t>products</w:t>
      </w:r>
      <w:proofErr w:type="spellEnd"/>
      <w:r w:rsidRPr="00B84B0C">
        <w:rPr>
          <w:rFonts w:cs="Arial"/>
          <w:szCs w:val="14"/>
        </w:rPr>
        <w:t xml:space="preserve"> continue </w:t>
      </w:r>
      <w:proofErr w:type="spellStart"/>
      <w:r w:rsidRPr="00B84B0C">
        <w:rPr>
          <w:rFonts w:cs="Arial"/>
          <w:szCs w:val="14"/>
        </w:rPr>
        <w:t>to</w:t>
      </w:r>
      <w:proofErr w:type="spellEnd"/>
      <w:r w:rsidRPr="00B84B0C">
        <w:rPr>
          <w:rFonts w:cs="Arial"/>
          <w:szCs w:val="14"/>
        </w:rPr>
        <w:t xml:space="preserve"> </w:t>
      </w:r>
      <w:proofErr w:type="spellStart"/>
      <w:r w:rsidRPr="00B84B0C">
        <w:rPr>
          <w:rFonts w:cs="Arial"/>
          <w:szCs w:val="14"/>
        </w:rPr>
        <w:t>be</w:t>
      </w:r>
      <w:proofErr w:type="spellEnd"/>
      <w:r w:rsidRPr="00B84B0C">
        <w:rPr>
          <w:rFonts w:cs="Arial"/>
          <w:szCs w:val="14"/>
        </w:rPr>
        <w:t xml:space="preserve"> </w:t>
      </w:r>
      <w:proofErr w:type="spellStart"/>
      <w:r w:rsidRPr="00B84B0C">
        <w:rPr>
          <w:rFonts w:cs="Arial"/>
          <w:szCs w:val="14"/>
        </w:rPr>
        <w:t>sold</w:t>
      </w:r>
      <w:proofErr w:type="spellEnd"/>
      <w:r w:rsidRPr="00B84B0C">
        <w:rPr>
          <w:rFonts w:cs="Arial"/>
          <w:szCs w:val="14"/>
        </w:rPr>
        <w:t xml:space="preserve"> </w:t>
      </w:r>
      <w:proofErr w:type="spellStart"/>
      <w:r w:rsidRPr="00B84B0C">
        <w:rPr>
          <w:rFonts w:cs="Arial"/>
          <w:szCs w:val="14"/>
        </w:rPr>
        <w:t>by</w:t>
      </w:r>
      <w:proofErr w:type="spellEnd"/>
      <w:r w:rsidRPr="00B84B0C">
        <w:rPr>
          <w:rFonts w:cs="Arial"/>
          <w:szCs w:val="14"/>
        </w:rPr>
        <w:t xml:space="preserve"> BB Corretora</w:t>
      </w:r>
    </w:p>
    <w:p w14:paraId="75D31B6F" w14:textId="77777777" w:rsidR="009C72AA" w:rsidRPr="00B84B0C" w:rsidRDefault="009C72AA" w:rsidP="009C72AA">
      <w:pPr>
        <w:pStyle w:val="07-Legenda"/>
        <w:rPr>
          <w:rFonts w:cs="Arial"/>
          <w:sz w:val="18"/>
        </w:rPr>
      </w:pPr>
    </w:p>
    <w:bookmarkEnd w:id="40"/>
    <w:p w14:paraId="3ED06A55" w14:textId="77777777" w:rsidR="009C72AA" w:rsidRPr="00B84B0C" w:rsidRDefault="009C72AA" w:rsidP="009C72AA">
      <w:pPr>
        <w:pStyle w:val="07-Legenda"/>
        <w:ind w:left="0" w:firstLine="0"/>
        <w:rPr>
          <w:rFonts w:cs="Arial"/>
          <w:sz w:val="18"/>
          <w:lang w:val="en-US"/>
        </w:rPr>
      </w:pPr>
      <w:r w:rsidRPr="00B84B0C">
        <w:rPr>
          <w:rFonts w:cs="Arial"/>
          <w:sz w:val="18"/>
          <w:lang w:val="en-US"/>
        </w:rPr>
        <w:t xml:space="preserve">There </w:t>
      </w:r>
      <w:proofErr w:type="gramStart"/>
      <w:r w:rsidRPr="00B84B0C">
        <w:rPr>
          <w:rFonts w:cs="Arial"/>
          <w:sz w:val="18"/>
          <w:lang w:val="en-US"/>
        </w:rPr>
        <w:t>are</w:t>
      </w:r>
      <w:proofErr w:type="gramEnd"/>
      <w:r w:rsidRPr="00B84B0C">
        <w:rPr>
          <w:rFonts w:cs="Arial"/>
          <w:sz w:val="18"/>
          <w:lang w:val="en-US"/>
        </w:rPr>
        <w:t xml:space="preserve"> no amount of commissions income in parent.</w:t>
      </w:r>
    </w:p>
    <w:p w14:paraId="5C8C2634" w14:textId="77777777" w:rsidR="009C72AA" w:rsidRPr="00B84B0C" w:rsidRDefault="009C72AA" w:rsidP="009C72AA">
      <w:pPr>
        <w:spacing w:before="120" w:after="120"/>
        <w:jc w:val="both"/>
        <w:rPr>
          <w:rFonts w:eastAsia="Times New Roman" w:cs="Arial"/>
          <w:spacing w:val="-2"/>
          <w:szCs w:val="18"/>
          <w:lang w:eastAsia="pt-BR"/>
        </w:rPr>
      </w:pPr>
    </w:p>
    <w:p w14:paraId="07A2853E" w14:textId="77777777" w:rsidR="009C72AA" w:rsidRPr="00B84B0C" w:rsidRDefault="009C72AA" w:rsidP="009C72AA">
      <w:pPr>
        <w:spacing w:before="120" w:after="120"/>
        <w:jc w:val="both"/>
        <w:rPr>
          <w:rFonts w:eastAsia="Times New Roman" w:cs="Arial"/>
          <w:spacing w:val="-2"/>
          <w:szCs w:val="18"/>
          <w:lang w:eastAsia="pt-BR"/>
        </w:rPr>
      </w:pPr>
      <w:r w:rsidRPr="00B84B0C">
        <w:rPr>
          <w:rFonts w:eastAsia="Times New Roman" w:cs="Arial"/>
          <w:spacing w:val="-2"/>
          <w:szCs w:val="18"/>
          <w:lang w:eastAsia="pt-BR"/>
        </w:rPr>
        <w:t xml:space="preserve">In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partnership</w:t>
      </w:r>
      <w:proofErr w:type="spellEnd"/>
      <w:r w:rsidRPr="00B84B0C">
        <w:rPr>
          <w:rFonts w:eastAsia="Times New Roman" w:cs="Arial"/>
          <w:spacing w:val="-2"/>
          <w:szCs w:val="18"/>
          <w:lang w:eastAsia="pt-BR"/>
        </w:rPr>
        <w:t xml:space="preserve"> model </w:t>
      </w:r>
      <w:proofErr w:type="spellStart"/>
      <w:r w:rsidRPr="00B84B0C">
        <w:rPr>
          <w:rFonts w:eastAsia="Times New Roman" w:cs="Arial"/>
          <w:spacing w:val="-2"/>
          <w:szCs w:val="18"/>
          <w:lang w:eastAsia="pt-BR"/>
        </w:rPr>
        <w:t>signed</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between</w:t>
      </w:r>
      <w:proofErr w:type="spellEnd"/>
      <w:r w:rsidRPr="00B84B0C">
        <w:rPr>
          <w:rFonts w:eastAsia="Times New Roman" w:cs="Arial"/>
          <w:spacing w:val="-2"/>
          <w:szCs w:val="18"/>
          <w:lang w:eastAsia="pt-BR"/>
        </w:rPr>
        <w:t xml:space="preserve"> BB Seguros </w:t>
      </w:r>
      <w:proofErr w:type="spellStart"/>
      <w:r w:rsidRPr="00B84B0C">
        <w:rPr>
          <w:rFonts w:eastAsia="Times New Roman" w:cs="Arial"/>
          <w:spacing w:val="-2"/>
          <w:szCs w:val="18"/>
          <w:lang w:eastAsia="pt-BR"/>
        </w:rPr>
        <w:t>and</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Mapfre </w:t>
      </w:r>
      <w:proofErr w:type="spellStart"/>
      <w:r w:rsidRPr="00B84B0C">
        <w:rPr>
          <w:rFonts w:eastAsia="Times New Roman" w:cs="Arial"/>
          <w:spacing w:val="-2"/>
          <w:szCs w:val="18"/>
          <w:lang w:eastAsia="pt-BR"/>
        </w:rPr>
        <w:t>Group</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payment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of</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additional</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remuneration</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by</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Brasilseg</w:t>
      </w:r>
      <w:proofErr w:type="spellEnd"/>
      <w:r w:rsidRPr="00B84B0C">
        <w:rPr>
          <w:rFonts w:eastAsia="Times New Roman" w:cs="Arial"/>
          <w:spacing w:val="-2"/>
          <w:szCs w:val="18"/>
          <w:lang w:eastAsia="pt-BR"/>
        </w:rPr>
        <w:t xml:space="preserve"> Companhia de Seguros SA </w:t>
      </w:r>
      <w:proofErr w:type="spellStart"/>
      <w:r w:rsidRPr="00B84B0C">
        <w:rPr>
          <w:rFonts w:eastAsia="Times New Roman" w:cs="Arial"/>
          <w:spacing w:val="-2"/>
          <w:szCs w:val="18"/>
          <w:lang w:eastAsia="pt-BR"/>
        </w:rPr>
        <w:t>to</w:t>
      </w:r>
      <w:proofErr w:type="spellEnd"/>
      <w:r w:rsidRPr="00B84B0C">
        <w:rPr>
          <w:rFonts w:eastAsia="Times New Roman" w:cs="Arial"/>
          <w:spacing w:val="-2"/>
          <w:szCs w:val="18"/>
          <w:lang w:eastAsia="pt-BR"/>
        </w:rPr>
        <w:t xml:space="preserve"> BB Corretora </w:t>
      </w:r>
      <w:proofErr w:type="spellStart"/>
      <w:r w:rsidRPr="00B84B0C">
        <w:rPr>
          <w:rFonts w:eastAsia="Times New Roman" w:cs="Arial"/>
          <w:spacing w:val="-2"/>
          <w:szCs w:val="18"/>
          <w:lang w:eastAsia="pt-BR"/>
        </w:rPr>
        <w:t>is</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foreseen</w:t>
      </w:r>
      <w:proofErr w:type="spellEnd"/>
      <w:r w:rsidRPr="00B84B0C">
        <w:rPr>
          <w:rFonts w:eastAsia="Times New Roman" w:cs="Arial"/>
          <w:spacing w:val="-2"/>
          <w:szCs w:val="18"/>
          <w:lang w:eastAsia="pt-BR"/>
        </w:rPr>
        <w:t xml:space="preserve"> for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insurance's</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sale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from</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Prestamista </w:t>
      </w:r>
      <w:proofErr w:type="spellStart"/>
      <w:r w:rsidRPr="00B84B0C">
        <w:rPr>
          <w:rFonts w:eastAsia="Times New Roman" w:cs="Arial"/>
          <w:spacing w:val="-2"/>
          <w:szCs w:val="18"/>
          <w:lang w:eastAsia="pt-BR"/>
        </w:rPr>
        <w:t>and</w:t>
      </w:r>
      <w:proofErr w:type="spellEnd"/>
      <w:r w:rsidRPr="00B84B0C">
        <w:rPr>
          <w:rFonts w:eastAsia="Times New Roman" w:cs="Arial"/>
          <w:spacing w:val="-2"/>
          <w:szCs w:val="18"/>
          <w:lang w:eastAsia="pt-BR"/>
        </w:rPr>
        <w:t xml:space="preserve"> Vida Produtor Rural portfolios in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distribution</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channels</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of</w:t>
      </w:r>
      <w:proofErr w:type="spellEnd"/>
      <w:r w:rsidRPr="00B84B0C">
        <w:rPr>
          <w:rFonts w:eastAsia="Times New Roman" w:cs="Arial"/>
          <w:spacing w:val="-2"/>
          <w:szCs w:val="18"/>
          <w:lang w:eastAsia="pt-BR"/>
        </w:rPr>
        <w:t xml:space="preserve"> Banco do Brasil, </w:t>
      </w:r>
      <w:proofErr w:type="spellStart"/>
      <w:r w:rsidRPr="00B84B0C">
        <w:rPr>
          <w:rFonts w:eastAsia="Times New Roman" w:cs="Arial"/>
          <w:spacing w:val="-2"/>
          <w:szCs w:val="18"/>
          <w:lang w:eastAsia="pt-BR"/>
        </w:rPr>
        <w:t>following</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rules</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of</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2nd </w:t>
      </w:r>
      <w:proofErr w:type="spellStart"/>
      <w:r w:rsidRPr="00B84B0C">
        <w:rPr>
          <w:rFonts w:eastAsia="Times New Roman" w:cs="Arial"/>
          <w:spacing w:val="-2"/>
          <w:szCs w:val="18"/>
          <w:lang w:eastAsia="pt-BR"/>
        </w:rPr>
        <w:t>Amendment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to</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Operating</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Agreement</w:t>
      </w:r>
      <w:proofErr w:type="spellEnd"/>
      <w:r w:rsidRPr="00B84B0C">
        <w:rPr>
          <w:rFonts w:eastAsia="Times New Roman" w:cs="Arial"/>
          <w:spacing w:val="-2"/>
          <w:szCs w:val="18"/>
          <w:lang w:eastAsia="pt-BR"/>
        </w:rPr>
        <w:t xml:space="preserve"> for </w:t>
      </w:r>
      <w:proofErr w:type="spellStart"/>
      <w:r w:rsidRPr="00B84B0C">
        <w:rPr>
          <w:rFonts w:eastAsia="Times New Roman" w:cs="Arial"/>
          <w:spacing w:val="-2"/>
          <w:szCs w:val="18"/>
          <w:lang w:eastAsia="pt-BR"/>
        </w:rPr>
        <w:t>Operation</w:t>
      </w:r>
      <w:proofErr w:type="spellEnd"/>
      <w:r w:rsidRPr="00B84B0C">
        <w:rPr>
          <w:rFonts w:eastAsia="Times New Roman" w:cs="Arial"/>
          <w:spacing w:val="-2"/>
          <w:szCs w:val="18"/>
          <w:lang w:eastAsia="pt-BR"/>
        </w:rPr>
        <w:t xml:space="preserve"> in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Insurance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Segment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and</w:t>
      </w:r>
      <w:proofErr w:type="spellEnd"/>
      <w:r w:rsidRPr="00B84B0C">
        <w:rPr>
          <w:rFonts w:eastAsia="Times New Roman" w:cs="Arial"/>
          <w:spacing w:val="-2"/>
          <w:szCs w:val="18"/>
          <w:lang w:eastAsia="pt-BR"/>
        </w:rPr>
        <w:t xml:space="preserve"> its </w:t>
      </w:r>
      <w:proofErr w:type="spellStart"/>
      <w:r w:rsidRPr="00B84B0C">
        <w:rPr>
          <w:rFonts w:eastAsia="Times New Roman" w:cs="Arial"/>
          <w:spacing w:val="-2"/>
          <w:szCs w:val="18"/>
          <w:lang w:eastAsia="pt-BR"/>
        </w:rPr>
        <w:t>annexes</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Operating</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Agreement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or</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Agreement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which</w:t>
      </w:r>
      <w:proofErr w:type="spellEnd"/>
      <w:r w:rsidRPr="00B84B0C">
        <w:rPr>
          <w:rFonts w:eastAsia="Times New Roman" w:cs="Arial"/>
          <w:spacing w:val="-2"/>
          <w:szCs w:val="18"/>
          <w:lang w:eastAsia="pt-BR"/>
        </w:rPr>
        <w:t xml:space="preserve"> Aliança do Brasil </w:t>
      </w:r>
      <w:proofErr w:type="spellStart"/>
      <w:r w:rsidRPr="00B84B0C">
        <w:rPr>
          <w:rFonts w:eastAsia="Times New Roman" w:cs="Arial"/>
          <w:spacing w:val="-2"/>
          <w:szCs w:val="18"/>
          <w:lang w:eastAsia="pt-BR"/>
        </w:rPr>
        <w:t>and</w:t>
      </w:r>
      <w:proofErr w:type="spellEnd"/>
      <w:r w:rsidRPr="00B84B0C">
        <w:rPr>
          <w:rFonts w:eastAsia="Times New Roman" w:cs="Arial"/>
          <w:spacing w:val="-2"/>
          <w:szCs w:val="18"/>
          <w:lang w:eastAsia="pt-BR"/>
        </w:rPr>
        <w:t xml:space="preserve"> BB Corretora </w:t>
      </w:r>
      <w:proofErr w:type="spellStart"/>
      <w:r w:rsidRPr="00B84B0C">
        <w:rPr>
          <w:rFonts w:eastAsia="Times New Roman" w:cs="Arial"/>
          <w:spacing w:val="-2"/>
          <w:szCs w:val="18"/>
          <w:lang w:eastAsia="pt-BR"/>
        </w:rPr>
        <w:t>have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been</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signatory</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since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November</w:t>
      </w:r>
      <w:proofErr w:type="spellEnd"/>
      <w:r w:rsidRPr="00B84B0C">
        <w:rPr>
          <w:rFonts w:eastAsia="Times New Roman" w:cs="Arial"/>
          <w:spacing w:val="-2"/>
          <w:szCs w:val="18"/>
          <w:lang w:eastAsia="pt-BR"/>
        </w:rPr>
        <w:t xml:space="preserve"> 11th, 2018. </w:t>
      </w:r>
    </w:p>
    <w:p w14:paraId="00DE41AB" w14:textId="77777777" w:rsidR="009C72AA" w:rsidRPr="00B84B0C" w:rsidRDefault="009C72AA" w:rsidP="009C72AA">
      <w:pPr>
        <w:spacing w:before="120" w:after="120"/>
        <w:jc w:val="both"/>
        <w:rPr>
          <w:rFonts w:cs="Arial"/>
        </w:rPr>
      </w:pPr>
      <w:r w:rsidRPr="00B84B0C">
        <w:rPr>
          <w:rFonts w:eastAsia="Times New Roman" w:cs="Arial"/>
          <w:spacing w:val="-2"/>
          <w:szCs w:val="18"/>
          <w:lang w:eastAsia="pt-BR"/>
        </w:rPr>
        <w:t xml:space="preserve">Even </w:t>
      </w:r>
      <w:proofErr w:type="spellStart"/>
      <w:r w:rsidRPr="00B84B0C">
        <w:rPr>
          <w:rFonts w:eastAsia="Times New Roman" w:cs="Arial"/>
          <w:spacing w:val="-2"/>
          <w:szCs w:val="18"/>
          <w:lang w:eastAsia="pt-BR"/>
        </w:rPr>
        <w:t>though</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there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was</w:t>
      </w:r>
      <w:proofErr w:type="spellEnd"/>
      <w:r w:rsidRPr="00B84B0C">
        <w:rPr>
          <w:rFonts w:eastAsia="Times New Roman" w:cs="Arial"/>
          <w:spacing w:val="-2"/>
          <w:szCs w:val="18"/>
          <w:lang w:eastAsia="pt-BR"/>
        </w:rPr>
        <w:t xml:space="preserve"> no </w:t>
      </w:r>
      <w:proofErr w:type="spellStart"/>
      <w:r w:rsidRPr="00B84B0C">
        <w:rPr>
          <w:rFonts w:eastAsia="Times New Roman" w:cs="Arial"/>
          <w:spacing w:val="-2"/>
          <w:szCs w:val="18"/>
          <w:lang w:eastAsia="pt-BR"/>
        </w:rPr>
        <w:t>sharp</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drop</w:t>
      </w:r>
      <w:proofErr w:type="spellEnd"/>
      <w:r w:rsidRPr="00B84B0C">
        <w:rPr>
          <w:rFonts w:eastAsia="Times New Roman" w:cs="Arial"/>
          <w:spacing w:val="-2"/>
          <w:szCs w:val="18"/>
          <w:lang w:eastAsia="pt-BR"/>
        </w:rPr>
        <w:t xml:space="preserve"> in </w:t>
      </w:r>
      <w:proofErr w:type="spellStart"/>
      <w:r w:rsidRPr="00B84B0C">
        <w:rPr>
          <w:rFonts w:eastAsia="Times New Roman" w:cs="Arial"/>
          <w:spacing w:val="-2"/>
          <w:szCs w:val="18"/>
          <w:lang w:eastAsia="pt-BR"/>
        </w:rPr>
        <w:t>Brasilcap's</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commission</w:t>
      </w:r>
      <w:proofErr w:type="spellEnd"/>
      <w:r w:rsidRPr="00B84B0C">
        <w:rPr>
          <w:rFonts w:eastAsia="Times New Roman" w:cs="Arial"/>
          <w:spacing w:val="-2"/>
          <w:szCs w:val="18"/>
          <w:lang w:eastAsia="pt-BR"/>
        </w:rPr>
        <w:t xml:space="preserve"> incomes </w:t>
      </w:r>
      <w:proofErr w:type="spellStart"/>
      <w:r w:rsidRPr="00B84B0C">
        <w:rPr>
          <w:rFonts w:eastAsia="Times New Roman" w:cs="Arial"/>
          <w:spacing w:val="-2"/>
          <w:szCs w:val="18"/>
          <w:lang w:eastAsia="pt-BR"/>
        </w:rPr>
        <w:t>compared</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to</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1st </w:t>
      </w:r>
      <w:proofErr w:type="spellStart"/>
      <w:r w:rsidRPr="00B84B0C">
        <w:rPr>
          <w:rFonts w:eastAsia="Times New Roman" w:cs="Arial"/>
          <w:spacing w:val="-2"/>
          <w:szCs w:val="18"/>
          <w:lang w:eastAsia="pt-BR"/>
        </w:rPr>
        <w:t>quarter</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of</w:t>
      </w:r>
      <w:proofErr w:type="spellEnd"/>
      <w:r w:rsidRPr="00B84B0C">
        <w:rPr>
          <w:rFonts w:eastAsia="Times New Roman" w:cs="Arial"/>
          <w:spacing w:val="-2"/>
          <w:szCs w:val="18"/>
          <w:lang w:eastAsia="pt-BR"/>
        </w:rPr>
        <w:t xml:space="preserve"> 2019, </w:t>
      </w:r>
      <w:proofErr w:type="spellStart"/>
      <w:r w:rsidRPr="00B84B0C">
        <w:rPr>
          <w:rFonts w:eastAsia="Times New Roman" w:cs="Arial"/>
          <w:spacing w:val="-2"/>
          <w:szCs w:val="18"/>
          <w:lang w:eastAsia="pt-BR"/>
        </w:rPr>
        <w:t>there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was</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an</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impact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on</w:t>
      </w:r>
      <w:proofErr w:type="spellEnd"/>
      <w:r w:rsidRPr="00B84B0C">
        <w:rPr>
          <w:rFonts w:eastAsia="Times New Roman" w:cs="Arial"/>
          <w:spacing w:val="-2"/>
          <w:szCs w:val="18"/>
          <w:lang w:eastAsia="pt-BR"/>
        </w:rPr>
        <w:t xml:space="preserve"> incomes </w:t>
      </w:r>
      <w:proofErr w:type="spellStart"/>
      <w:r w:rsidRPr="00B84B0C">
        <w:rPr>
          <w:rFonts w:eastAsia="Times New Roman" w:cs="Arial"/>
          <w:spacing w:val="-2"/>
          <w:szCs w:val="18"/>
          <w:lang w:eastAsia="pt-BR"/>
        </w:rPr>
        <w:t>from</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this</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company</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from</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second</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half</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of</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March</w:t>
      </w:r>
      <w:proofErr w:type="spellEnd"/>
      <w:r w:rsidRPr="00B84B0C">
        <w:rPr>
          <w:rFonts w:eastAsia="Times New Roman" w:cs="Arial"/>
          <w:spacing w:val="-2"/>
          <w:szCs w:val="18"/>
          <w:lang w:eastAsia="pt-BR"/>
        </w:rPr>
        <w:t xml:space="preserve"> 2020, </w:t>
      </w:r>
      <w:proofErr w:type="spellStart"/>
      <w:r w:rsidRPr="00B84B0C">
        <w:rPr>
          <w:rFonts w:eastAsia="Times New Roman" w:cs="Arial"/>
          <w:spacing w:val="-2"/>
          <w:szCs w:val="18"/>
          <w:lang w:eastAsia="pt-BR"/>
        </w:rPr>
        <w:t>due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to</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pandemic</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caused</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by</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new </w:t>
      </w:r>
      <w:proofErr w:type="spellStart"/>
      <w:r w:rsidRPr="00B84B0C">
        <w:rPr>
          <w:rFonts w:eastAsia="Times New Roman" w:cs="Arial"/>
          <w:spacing w:val="-2"/>
          <w:szCs w:val="18"/>
          <w:lang w:eastAsia="pt-BR"/>
        </w:rPr>
        <w:t>coronavirus</w:t>
      </w:r>
      <w:proofErr w:type="spellEnd"/>
      <w:r w:rsidRPr="00B84B0C">
        <w:rPr>
          <w:rFonts w:eastAsia="Times New Roman" w:cs="Arial"/>
          <w:spacing w:val="-2"/>
          <w:szCs w:val="18"/>
          <w:lang w:eastAsia="pt-BR"/>
        </w:rPr>
        <w:t xml:space="preserve"> (Covid-19), </w:t>
      </w:r>
      <w:proofErr w:type="spellStart"/>
      <w:r w:rsidRPr="00B84B0C">
        <w:rPr>
          <w:rFonts w:eastAsia="Times New Roman" w:cs="Arial"/>
          <w:spacing w:val="-2"/>
          <w:szCs w:val="18"/>
          <w:lang w:eastAsia="pt-BR"/>
        </w:rPr>
        <w:t>addressed</w:t>
      </w:r>
      <w:proofErr w:type="spellEnd"/>
      <w:r w:rsidRPr="00B84B0C">
        <w:rPr>
          <w:rFonts w:eastAsia="Times New Roman" w:cs="Arial"/>
          <w:spacing w:val="-2"/>
          <w:szCs w:val="18"/>
          <w:lang w:eastAsia="pt-BR"/>
        </w:rPr>
        <w:t xml:space="preserve"> </w:t>
      </w:r>
      <w:proofErr w:type="gramStart"/>
      <w:r w:rsidRPr="00B84B0C">
        <w:rPr>
          <w:rFonts w:eastAsia="Times New Roman" w:cs="Arial"/>
          <w:spacing w:val="-2"/>
          <w:szCs w:val="18"/>
          <w:lang w:eastAsia="pt-BR"/>
        </w:rPr>
        <w:t>in Note</w:t>
      </w:r>
      <w:proofErr w:type="gramEnd"/>
      <w:r w:rsidRPr="00B84B0C">
        <w:rPr>
          <w:rFonts w:eastAsia="Times New Roman" w:cs="Arial"/>
          <w:spacing w:val="-2"/>
          <w:szCs w:val="18"/>
          <w:lang w:eastAsia="pt-BR"/>
        </w:rPr>
        <w:t xml:space="preserve"> 1 - </w:t>
      </w:r>
      <w:proofErr w:type="spellStart"/>
      <w:r w:rsidRPr="00B84B0C">
        <w:rPr>
          <w:rFonts w:eastAsia="Times New Roman" w:cs="Arial"/>
          <w:spacing w:val="-2"/>
          <w:szCs w:val="18"/>
          <w:lang w:eastAsia="pt-BR"/>
        </w:rPr>
        <w:t>Operational</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Context</w:t>
      </w:r>
      <w:proofErr w:type="spellEnd"/>
      <w:r w:rsidRPr="00B84B0C">
        <w:rPr>
          <w:rFonts w:eastAsia="Times New Roman" w:cs="Arial"/>
          <w:spacing w:val="-2"/>
          <w:szCs w:val="18"/>
          <w:lang w:eastAsia="pt-BR"/>
        </w:rPr>
        <w:t xml:space="preserve">. For </w:t>
      </w:r>
      <w:proofErr w:type="spellStart"/>
      <w:r w:rsidRPr="00B84B0C">
        <w:rPr>
          <w:rFonts w:eastAsia="Times New Roman" w:cs="Arial"/>
          <w:spacing w:val="-2"/>
          <w:szCs w:val="18"/>
          <w:lang w:eastAsia="pt-BR"/>
        </w:rPr>
        <w:t>having</w:t>
      </w:r>
      <w:proofErr w:type="spellEnd"/>
      <w:r w:rsidRPr="00B84B0C">
        <w:rPr>
          <w:rFonts w:eastAsia="Times New Roman" w:cs="Arial"/>
          <w:spacing w:val="-2"/>
          <w:szCs w:val="18"/>
          <w:lang w:eastAsia="pt-BR"/>
        </w:rPr>
        <w:t xml:space="preserve"> a </w:t>
      </w:r>
      <w:proofErr w:type="spellStart"/>
      <w:r w:rsidRPr="00B84B0C">
        <w:rPr>
          <w:rFonts w:eastAsia="Times New Roman" w:cs="Arial"/>
          <w:spacing w:val="-2"/>
          <w:szCs w:val="18"/>
          <w:lang w:eastAsia="pt-BR"/>
        </w:rPr>
        <w:t>product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focused</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on</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accumulation</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at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Brasilcap</w:t>
      </w:r>
      <w:proofErr w:type="spellEnd"/>
      <w:r w:rsidRPr="00B84B0C">
        <w:rPr>
          <w:rFonts w:eastAsia="Times New Roman" w:cs="Arial"/>
          <w:spacing w:val="-2"/>
          <w:szCs w:val="18"/>
          <w:lang w:eastAsia="pt-BR"/>
        </w:rPr>
        <w:t xml:space="preserve"> it </w:t>
      </w:r>
      <w:proofErr w:type="spellStart"/>
      <w:r w:rsidRPr="00B84B0C">
        <w:rPr>
          <w:rFonts w:eastAsia="Times New Roman" w:cs="Arial"/>
          <w:spacing w:val="-2"/>
          <w:szCs w:val="18"/>
          <w:lang w:eastAsia="pt-BR"/>
        </w:rPr>
        <w:t>suffered</w:t>
      </w:r>
      <w:proofErr w:type="spellEnd"/>
      <w:r w:rsidRPr="00B84B0C">
        <w:rPr>
          <w:rFonts w:eastAsia="Times New Roman" w:cs="Arial"/>
          <w:spacing w:val="-2"/>
          <w:szCs w:val="18"/>
          <w:lang w:eastAsia="pt-BR"/>
        </w:rPr>
        <w:t xml:space="preserve"> a more </w:t>
      </w:r>
      <w:proofErr w:type="spellStart"/>
      <w:r w:rsidRPr="00B84B0C">
        <w:rPr>
          <w:rFonts w:eastAsia="Times New Roman" w:cs="Arial"/>
          <w:spacing w:val="-2"/>
          <w:szCs w:val="18"/>
          <w:lang w:eastAsia="pt-BR"/>
        </w:rPr>
        <w:t>immediate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impact</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with</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reduction</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of</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disposable</w:t>
      </w:r>
      <w:proofErr w:type="spellEnd"/>
      <w:r w:rsidRPr="00B84B0C">
        <w:rPr>
          <w:rFonts w:eastAsia="Times New Roman" w:cs="Arial"/>
          <w:spacing w:val="-2"/>
          <w:szCs w:val="18"/>
          <w:lang w:eastAsia="pt-BR"/>
        </w:rPr>
        <w:t xml:space="preserve"> income, </w:t>
      </w:r>
      <w:proofErr w:type="spellStart"/>
      <w:r w:rsidRPr="00B84B0C">
        <w:rPr>
          <w:rFonts w:eastAsia="Times New Roman" w:cs="Arial"/>
          <w:spacing w:val="-2"/>
          <w:szCs w:val="18"/>
          <w:lang w:eastAsia="pt-BR"/>
        </w:rPr>
        <w:t>which</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caused</w:t>
      </w:r>
      <w:proofErr w:type="spellEnd"/>
      <w:r w:rsidRPr="00B84B0C">
        <w:rPr>
          <w:rFonts w:eastAsia="Times New Roman" w:cs="Arial"/>
          <w:spacing w:val="-2"/>
          <w:szCs w:val="18"/>
          <w:lang w:eastAsia="pt-BR"/>
        </w:rPr>
        <w:t xml:space="preserve"> a </w:t>
      </w:r>
      <w:proofErr w:type="spellStart"/>
      <w:r w:rsidRPr="00B84B0C">
        <w:rPr>
          <w:rFonts w:eastAsia="Times New Roman" w:cs="Arial"/>
          <w:spacing w:val="-2"/>
          <w:szCs w:val="18"/>
          <w:lang w:eastAsia="pt-BR"/>
        </w:rPr>
        <w:t>drop</w:t>
      </w:r>
      <w:proofErr w:type="spellEnd"/>
      <w:r w:rsidRPr="00B84B0C">
        <w:rPr>
          <w:rFonts w:eastAsia="Times New Roman" w:cs="Arial"/>
          <w:spacing w:val="-2"/>
          <w:szCs w:val="18"/>
          <w:lang w:eastAsia="pt-BR"/>
        </w:rPr>
        <w:t xml:space="preserve"> in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volume </w:t>
      </w:r>
      <w:proofErr w:type="spellStart"/>
      <w:r w:rsidRPr="00B84B0C">
        <w:rPr>
          <w:rFonts w:eastAsia="Times New Roman" w:cs="Arial"/>
          <w:spacing w:val="-2"/>
          <w:szCs w:val="18"/>
          <w:lang w:eastAsia="pt-BR"/>
        </w:rPr>
        <w:t>of</w:t>
      </w:r>
      <w:proofErr w:type="spellEnd"/>
      <w:r w:rsidRPr="00B84B0C">
        <w:rPr>
          <w:rFonts w:eastAsia="Times New Roman" w:cs="Arial"/>
          <w:spacing w:val="-2"/>
          <w:szCs w:val="18"/>
          <w:lang w:eastAsia="pt-BR"/>
        </w:rPr>
        <w:t xml:space="preserve"> marketing </w:t>
      </w:r>
      <w:proofErr w:type="spellStart"/>
      <w:r w:rsidRPr="00B84B0C">
        <w:rPr>
          <w:rFonts w:eastAsia="Times New Roman" w:cs="Arial"/>
          <w:spacing w:val="-2"/>
          <w:szCs w:val="18"/>
          <w:lang w:eastAsia="pt-BR"/>
        </w:rPr>
        <w:t>of</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main</w:t>
      </w:r>
      <w:proofErr w:type="spellEnd"/>
      <w:r w:rsidRPr="00B84B0C">
        <w:rPr>
          <w:rFonts w:eastAsia="Times New Roman" w:cs="Arial"/>
          <w:spacing w:val="-2"/>
          <w:szCs w:val="18"/>
          <w:lang w:eastAsia="pt-BR"/>
        </w:rPr>
        <w:t xml:space="preserve"> over-</w:t>
      </w:r>
      <w:proofErr w:type="spellStart"/>
      <w:r w:rsidRPr="00B84B0C">
        <w:rPr>
          <w:rFonts w:eastAsia="Times New Roman" w:cs="Arial"/>
          <w:spacing w:val="-2"/>
          <w:szCs w:val="18"/>
          <w:lang w:eastAsia="pt-BR"/>
        </w:rPr>
        <w:t>the</w:t>
      </w:r>
      <w:proofErr w:type="spellEnd"/>
      <w:r w:rsidRPr="00B84B0C">
        <w:rPr>
          <w:rFonts w:eastAsia="Times New Roman" w:cs="Arial"/>
          <w:spacing w:val="-2"/>
          <w:szCs w:val="18"/>
          <w:lang w:eastAsia="pt-BR"/>
        </w:rPr>
        <w:t>-</w:t>
      </w:r>
      <w:proofErr w:type="spellStart"/>
      <w:r w:rsidRPr="00B84B0C">
        <w:rPr>
          <w:rFonts w:eastAsia="Times New Roman" w:cs="Arial"/>
          <w:spacing w:val="-2"/>
          <w:szCs w:val="18"/>
          <w:lang w:eastAsia="pt-BR"/>
        </w:rPr>
        <w:t>counter</w:t>
      </w:r>
      <w:proofErr w:type="spellEnd"/>
      <w:r w:rsidRPr="00B84B0C">
        <w:rPr>
          <w:rFonts w:eastAsia="Times New Roman" w:cs="Arial"/>
          <w:spacing w:val="-2"/>
          <w:szCs w:val="18"/>
          <w:lang w:eastAsia="pt-BR"/>
        </w:rPr>
        <w:t xml:space="preserve"> </w:t>
      </w:r>
      <w:proofErr w:type="spellStart"/>
      <w:r w:rsidRPr="00B84B0C">
        <w:rPr>
          <w:rFonts w:eastAsia="Times New Roman" w:cs="Arial"/>
          <w:spacing w:val="-2"/>
          <w:szCs w:val="18"/>
          <w:lang w:eastAsia="pt-BR"/>
        </w:rPr>
        <w:t>products</w:t>
      </w:r>
      <w:proofErr w:type="spellEnd"/>
      <w:r w:rsidRPr="00B84B0C">
        <w:rPr>
          <w:rFonts w:eastAsia="Times New Roman" w:cs="Arial"/>
          <w:spacing w:val="-2"/>
          <w:szCs w:val="18"/>
          <w:lang w:eastAsia="pt-BR"/>
        </w:rPr>
        <w:t>.</w:t>
      </w:r>
    </w:p>
    <w:p w14:paraId="063AD8B9" w14:textId="1E34E4A3" w:rsidR="00CD43F9" w:rsidRPr="00B84B0C" w:rsidRDefault="00CD43F9" w:rsidP="000E4573">
      <w:pPr>
        <w:spacing w:before="120" w:after="120"/>
        <w:jc w:val="both"/>
        <w:rPr>
          <w:rFonts w:cs="Arial"/>
        </w:rPr>
      </w:pPr>
    </w:p>
    <w:p w14:paraId="3B6C1C9C" w14:textId="719C8F5D" w:rsidR="009C72AA" w:rsidRPr="00B84B0C" w:rsidRDefault="009C72AA" w:rsidP="009C72AA">
      <w:pPr>
        <w:pStyle w:val="01-TtulodeNota"/>
        <w:spacing w:before="0" w:after="0"/>
        <w:jc w:val="right"/>
        <w:rPr>
          <w:rFonts w:cs="Arial"/>
          <w:sz w:val="12"/>
          <w:szCs w:val="12"/>
        </w:rPr>
      </w:pPr>
    </w:p>
    <w:p w14:paraId="3D9273A0" w14:textId="77777777" w:rsidR="009C72AA" w:rsidRPr="00B84B0C" w:rsidRDefault="009C72AA" w:rsidP="009C72AA">
      <w:pPr>
        <w:pStyle w:val="02-TtulodeNota"/>
        <w:rPr>
          <w:rFonts w:cs="Arial"/>
        </w:rPr>
      </w:pPr>
      <w:bookmarkStart w:id="41" w:name="_Toc39131510"/>
      <w:r w:rsidRPr="00B84B0C">
        <w:rPr>
          <w:rFonts w:cs="Arial"/>
          <w:color w:val="1F4E79" w:themeColor="accent1" w:themeShade="80"/>
        </w:rPr>
        <w:t>26 – RELATED PARTY TRANSACTIONS</w:t>
      </w:r>
      <w:bookmarkEnd w:id="41"/>
    </w:p>
    <w:p w14:paraId="366A8AA1" w14:textId="77777777" w:rsidR="009C72AA" w:rsidRPr="00B84B0C" w:rsidRDefault="009C72AA" w:rsidP="009C72AA">
      <w:pPr>
        <w:pStyle w:val="05-Textonormal"/>
        <w:spacing w:after="0" w:line="240" w:lineRule="auto"/>
        <w:rPr>
          <w:rFonts w:cs="Arial"/>
          <w:lang w:val="en-US"/>
        </w:rPr>
      </w:pPr>
      <w:r w:rsidRPr="00B84B0C">
        <w:rPr>
          <w:rFonts w:cs="Arial"/>
          <w:lang w:val="en-US"/>
        </w:rPr>
        <w:t xml:space="preserve">BB </w:t>
      </w:r>
      <w:proofErr w:type="spellStart"/>
      <w:r w:rsidRPr="00B84B0C">
        <w:rPr>
          <w:rFonts w:cs="Arial"/>
          <w:lang w:val="en-US"/>
        </w:rPr>
        <w:t>Seguridade</w:t>
      </w:r>
      <w:proofErr w:type="spellEnd"/>
      <w:r w:rsidRPr="00B84B0C">
        <w:rPr>
          <w:rFonts w:cs="Arial"/>
          <w:lang w:val="en-US"/>
        </w:rPr>
        <w:t xml:space="preserve"> and its wholly owned subsidiaries have agreements signed with Banco do </w:t>
      </w:r>
      <w:proofErr w:type="spellStart"/>
      <w:r w:rsidRPr="00B84B0C">
        <w:rPr>
          <w:rFonts w:cs="Arial"/>
          <w:lang w:val="en-US"/>
        </w:rPr>
        <w:t>Brasil</w:t>
      </w:r>
      <w:proofErr w:type="spellEnd"/>
      <w:r w:rsidRPr="00B84B0C">
        <w:rPr>
          <w:rFonts w:cs="Arial"/>
          <w:lang w:val="en-US"/>
        </w:rPr>
        <w:t xml:space="preserve"> </w:t>
      </w:r>
      <w:proofErr w:type="gramStart"/>
      <w:r w:rsidRPr="00B84B0C">
        <w:rPr>
          <w:rFonts w:cs="Arial"/>
          <w:lang w:val="en-US"/>
        </w:rPr>
        <w:t>S,A</w:t>
      </w:r>
      <w:proofErr w:type="gramEnd"/>
      <w:r w:rsidRPr="00B84B0C">
        <w:rPr>
          <w:rFonts w:cs="Arial"/>
          <w:lang w:val="en-US"/>
        </w:rPr>
        <w:t xml:space="preserve">, to apportion and/or reimbursement of expenses direct and indirect costs and resulting from the use of personnel, materials, technological and administrative resources required for maintenance of companies activities and, in particular, product marketing in the banking channel. The agreement aims to capture synergies resulting from the sharing of resources and its terms forecast that the reimbursement follows apportionment </w:t>
      </w:r>
      <w:proofErr w:type="spellStart"/>
      <w:r w:rsidRPr="00B84B0C">
        <w:rPr>
          <w:rFonts w:cs="Arial"/>
          <w:lang w:val="en-US"/>
        </w:rPr>
        <w:t>criterias</w:t>
      </w:r>
      <w:proofErr w:type="spellEnd"/>
      <w:r w:rsidRPr="00B84B0C">
        <w:rPr>
          <w:rFonts w:cs="Arial"/>
          <w:lang w:val="en-US"/>
        </w:rPr>
        <w:t xml:space="preserve"> according to the effective utilization of resources.</w:t>
      </w:r>
    </w:p>
    <w:p w14:paraId="30552399" w14:textId="77777777" w:rsidR="009C72AA" w:rsidRPr="00B84B0C" w:rsidRDefault="009C72AA" w:rsidP="009C72AA">
      <w:pPr>
        <w:pStyle w:val="05-Textonormal"/>
        <w:keepNext/>
        <w:keepLines/>
        <w:spacing w:after="0" w:line="240" w:lineRule="auto"/>
        <w:rPr>
          <w:rFonts w:cs="Arial"/>
          <w:lang w:val="en-US"/>
        </w:rPr>
      </w:pPr>
      <w:r w:rsidRPr="00B84B0C">
        <w:rPr>
          <w:rFonts w:cs="Arial"/>
          <w:lang w:val="en-US"/>
        </w:rPr>
        <w:t xml:space="preserve">The costs of salaries and other benefits granted to key management personnel of the BB </w:t>
      </w:r>
      <w:proofErr w:type="spellStart"/>
      <w:r w:rsidRPr="00B84B0C">
        <w:rPr>
          <w:rFonts w:cs="Arial"/>
          <w:lang w:val="en-US"/>
        </w:rPr>
        <w:t>Seguridade</w:t>
      </w:r>
      <w:proofErr w:type="spellEnd"/>
      <w:r w:rsidRPr="00B84B0C">
        <w:rPr>
          <w:rFonts w:cs="Arial"/>
          <w:lang w:val="en-US"/>
        </w:rPr>
        <w:t xml:space="preserve"> (Executive Board, Audit Committee, Board of Directors and Fiscal Council):</w:t>
      </w:r>
    </w:p>
    <w:p w14:paraId="4D4367A4" w14:textId="77777777" w:rsidR="009C72AA" w:rsidRPr="00B84B0C" w:rsidRDefault="009C72AA" w:rsidP="009C72AA">
      <w:pPr>
        <w:pStyle w:val="05-Textonormal"/>
        <w:spacing w:before="0" w:after="0" w:line="240" w:lineRule="auto"/>
        <w:jc w:val="right"/>
        <w:rPr>
          <w:rFonts w:cs="Arial"/>
          <w:b/>
          <w:sz w:val="14"/>
          <w:szCs w:val="14"/>
        </w:rPr>
      </w:pPr>
      <w:r w:rsidRPr="00B84B0C">
        <w:rPr>
          <w:rFonts w:cs="Arial"/>
          <w:b/>
          <w:sz w:val="14"/>
          <w:szCs w:val="14"/>
        </w:rPr>
        <w:t xml:space="preserve">R$ </w:t>
      </w:r>
      <w:proofErr w:type="spellStart"/>
      <w:r w:rsidRPr="00B84B0C">
        <w:rPr>
          <w:rFonts w:cs="Arial"/>
          <w:b/>
          <w:sz w:val="14"/>
          <w:szCs w:val="14"/>
        </w:rPr>
        <w:t>thousand</w:t>
      </w:r>
      <w:proofErr w:type="spellEnd"/>
    </w:p>
    <w:tbl>
      <w:tblPr>
        <w:tblStyle w:val="TabeladeLista6Colorida-nfase510"/>
        <w:tblW w:w="9747" w:type="dxa"/>
        <w:tblInd w:w="0" w:type="dxa"/>
        <w:tblLook w:val="04A0" w:firstRow="1" w:lastRow="0" w:firstColumn="1" w:lastColumn="0" w:noHBand="0" w:noVBand="1"/>
      </w:tblPr>
      <w:tblGrid>
        <w:gridCol w:w="3094"/>
        <w:gridCol w:w="604"/>
        <w:gridCol w:w="1411"/>
        <w:gridCol w:w="1412"/>
        <w:gridCol w:w="283"/>
        <w:gridCol w:w="1417"/>
        <w:gridCol w:w="1526"/>
      </w:tblGrid>
      <w:tr w:rsidR="009C72AA" w:rsidRPr="00B84B0C" w14:paraId="55A7DB81" w14:textId="77777777" w:rsidTr="009C72A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521" w:type="dxa"/>
            <w:gridSpan w:val="4"/>
          </w:tcPr>
          <w:p w14:paraId="2DEBEE39" w14:textId="77777777" w:rsidR="009C72AA" w:rsidRPr="00B84B0C" w:rsidRDefault="009C72AA" w:rsidP="009C72AA">
            <w:pPr>
              <w:keepNext/>
              <w:keepLines/>
              <w:spacing w:before="40" w:after="40"/>
              <w:jc w:val="right"/>
              <w:rPr>
                <w:rFonts w:cs="Arial"/>
                <w:b w:val="0"/>
                <w:spacing w:val="-2"/>
                <w:sz w:val="14"/>
                <w:szCs w:val="18"/>
              </w:rPr>
            </w:pPr>
          </w:p>
        </w:tc>
        <w:tc>
          <w:tcPr>
            <w:tcW w:w="283" w:type="dxa"/>
          </w:tcPr>
          <w:p w14:paraId="4F1ECCE9" w14:textId="77777777" w:rsidR="009C72AA" w:rsidRPr="00B84B0C" w:rsidRDefault="009C72AA" w:rsidP="009C72AA">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p>
        </w:tc>
        <w:tc>
          <w:tcPr>
            <w:tcW w:w="1417" w:type="dxa"/>
          </w:tcPr>
          <w:p w14:paraId="6BA7D611" w14:textId="77777777" w:rsidR="009C72AA" w:rsidRPr="00B84B0C" w:rsidRDefault="009C72AA" w:rsidP="009C72AA">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8"/>
              </w:rPr>
            </w:pPr>
            <w:r w:rsidRPr="00B84B0C">
              <w:rPr>
                <w:rFonts w:cs="Arial"/>
                <w:spacing w:val="-2"/>
                <w:sz w:val="14"/>
                <w:szCs w:val="18"/>
              </w:rPr>
              <w:t xml:space="preserve">1st </w:t>
            </w:r>
            <w:proofErr w:type="spellStart"/>
            <w:r w:rsidRPr="00B84B0C">
              <w:rPr>
                <w:rFonts w:cs="Arial"/>
                <w:spacing w:val="-2"/>
                <w:sz w:val="14"/>
                <w:szCs w:val="18"/>
              </w:rPr>
              <w:t>Quarter</w:t>
            </w:r>
            <w:proofErr w:type="spellEnd"/>
            <w:r w:rsidRPr="00B84B0C">
              <w:rPr>
                <w:rFonts w:cs="Arial"/>
                <w:spacing w:val="-2"/>
                <w:sz w:val="14"/>
                <w:szCs w:val="18"/>
              </w:rPr>
              <w:t>/2020</w:t>
            </w:r>
          </w:p>
        </w:tc>
        <w:tc>
          <w:tcPr>
            <w:tcW w:w="1526" w:type="dxa"/>
          </w:tcPr>
          <w:p w14:paraId="20CC38B2" w14:textId="77777777" w:rsidR="009C72AA" w:rsidRPr="00B84B0C" w:rsidRDefault="009C72AA" w:rsidP="009C72AA">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spacing w:val="-2"/>
                <w:sz w:val="14"/>
                <w:szCs w:val="18"/>
              </w:rPr>
            </w:pPr>
            <w:r w:rsidRPr="00B84B0C">
              <w:rPr>
                <w:rFonts w:cs="Arial"/>
                <w:spacing w:val="-2"/>
                <w:sz w:val="14"/>
                <w:szCs w:val="18"/>
              </w:rPr>
              <w:t xml:space="preserve">1st </w:t>
            </w:r>
            <w:proofErr w:type="spellStart"/>
            <w:r w:rsidRPr="00B84B0C">
              <w:rPr>
                <w:rFonts w:cs="Arial"/>
                <w:spacing w:val="-2"/>
                <w:sz w:val="14"/>
                <w:szCs w:val="18"/>
              </w:rPr>
              <w:t>Quarter</w:t>
            </w:r>
            <w:proofErr w:type="spellEnd"/>
            <w:r w:rsidRPr="00B84B0C">
              <w:rPr>
                <w:rFonts w:cs="Arial"/>
                <w:spacing w:val="-2"/>
                <w:sz w:val="14"/>
                <w:szCs w:val="18"/>
              </w:rPr>
              <w:t>/2019</w:t>
            </w:r>
          </w:p>
        </w:tc>
      </w:tr>
      <w:tr w:rsidR="009C72AA" w:rsidRPr="00B84B0C" w14:paraId="1BAFA3A5" w14:textId="77777777" w:rsidTr="009C72A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239CD1B6" w14:textId="77777777" w:rsidR="009C72AA" w:rsidRPr="00B84B0C" w:rsidRDefault="009C72AA" w:rsidP="009C72AA">
            <w:pPr>
              <w:pStyle w:val="08-Tabelageral"/>
              <w:jc w:val="left"/>
              <w:rPr>
                <w:rFonts w:cs="Arial"/>
                <w:b w:val="0"/>
              </w:rPr>
            </w:pPr>
            <w:r w:rsidRPr="00B84B0C">
              <w:rPr>
                <w:rFonts w:cs="Arial"/>
                <w:b w:val="0"/>
              </w:rPr>
              <w:t>Short-</w:t>
            </w:r>
            <w:proofErr w:type="spellStart"/>
            <w:r w:rsidRPr="00B84B0C">
              <w:rPr>
                <w:rFonts w:cs="Arial"/>
                <w:b w:val="0"/>
              </w:rPr>
              <w:t>term</w:t>
            </w:r>
            <w:proofErr w:type="spellEnd"/>
            <w:r w:rsidRPr="00B84B0C">
              <w:rPr>
                <w:rFonts w:cs="Arial"/>
                <w:b w:val="0"/>
              </w:rPr>
              <w:t xml:space="preserve"> </w:t>
            </w:r>
            <w:proofErr w:type="spellStart"/>
            <w:r w:rsidRPr="00B84B0C">
              <w:rPr>
                <w:rFonts w:cs="Arial"/>
                <w:b w:val="0"/>
              </w:rPr>
              <w:t>benefits</w:t>
            </w:r>
            <w:proofErr w:type="spellEnd"/>
          </w:p>
        </w:tc>
        <w:tc>
          <w:tcPr>
            <w:tcW w:w="604" w:type="dxa"/>
          </w:tcPr>
          <w:p w14:paraId="5225F18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Pr>
          <w:p w14:paraId="14AFD40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2" w:type="dxa"/>
          </w:tcPr>
          <w:p w14:paraId="3865364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3" w:type="dxa"/>
          </w:tcPr>
          <w:p w14:paraId="1DDF3A2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14:paraId="17C78CA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sidRPr="00B84B0C">
              <w:rPr>
                <w:rFonts w:cs="Arial"/>
                <w:b/>
              </w:rPr>
              <w:t>2,031</w:t>
            </w:r>
          </w:p>
        </w:tc>
        <w:tc>
          <w:tcPr>
            <w:tcW w:w="1526" w:type="dxa"/>
          </w:tcPr>
          <w:p w14:paraId="5D6C381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1,428</w:t>
            </w:r>
          </w:p>
        </w:tc>
      </w:tr>
      <w:tr w:rsidR="009C72AA" w:rsidRPr="00B84B0C" w14:paraId="1D1F6633" w14:textId="77777777" w:rsidTr="009C72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3C259EA6" w14:textId="77777777" w:rsidR="009C72AA" w:rsidRPr="00B84B0C" w:rsidRDefault="009C72AA" w:rsidP="009C72AA">
            <w:pPr>
              <w:pStyle w:val="08-Tabelageral"/>
              <w:jc w:val="left"/>
              <w:rPr>
                <w:rFonts w:cs="Arial"/>
                <w:b w:val="0"/>
              </w:rPr>
            </w:pPr>
            <w:r w:rsidRPr="00B84B0C">
              <w:rPr>
                <w:rFonts w:cs="Arial"/>
                <w:b w:val="0"/>
              </w:rPr>
              <w:t xml:space="preserve">  </w:t>
            </w:r>
            <w:proofErr w:type="spellStart"/>
            <w:r w:rsidRPr="00B84B0C">
              <w:rPr>
                <w:rFonts w:cs="Arial"/>
                <w:b w:val="0"/>
              </w:rPr>
              <w:t>Fees</w:t>
            </w:r>
            <w:proofErr w:type="spellEnd"/>
            <w:r w:rsidRPr="00B84B0C">
              <w:rPr>
                <w:rFonts w:cs="Arial"/>
                <w:b w:val="0"/>
              </w:rPr>
              <w:t xml:space="preserve"> </w:t>
            </w:r>
            <w:proofErr w:type="spellStart"/>
            <w:r w:rsidRPr="00B84B0C">
              <w:rPr>
                <w:rFonts w:cs="Arial"/>
                <w:b w:val="0"/>
              </w:rPr>
              <w:t>and</w:t>
            </w:r>
            <w:proofErr w:type="spellEnd"/>
            <w:r w:rsidRPr="00B84B0C">
              <w:rPr>
                <w:rFonts w:cs="Arial"/>
                <w:b w:val="0"/>
              </w:rPr>
              <w:t xml:space="preserve"> social charges</w:t>
            </w:r>
          </w:p>
        </w:tc>
        <w:tc>
          <w:tcPr>
            <w:tcW w:w="604" w:type="dxa"/>
          </w:tcPr>
          <w:p w14:paraId="0A44188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716CCA4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7599EA1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2CB5CFB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55EE803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B84B0C">
              <w:rPr>
                <w:rFonts w:cs="Arial"/>
              </w:rPr>
              <w:t>1,144</w:t>
            </w:r>
          </w:p>
        </w:tc>
        <w:tc>
          <w:tcPr>
            <w:tcW w:w="1526" w:type="dxa"/>
          </w:tcPr>
          <w:p w14:paraId="39B9849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1,129</w:t>
            </w:r>
          </w:p>
        </w:tc>
      </w:tr>
      <w:tr w:rsidR="009C72AA" w:rsidRPr="00B84B0C" w14:paraId="35BFE009" w14:textId="77777777" w:rsidTr="009C72A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58A07CDB" w14:textId="77777777" w:rsidR="009C72AA" w:rsidRPr="00B84B0C" w:rsidRDefault="009C72AA" w:rsidP="009C72AA">
            <w:pPr>
              <w:pStyle w:val="08-Tabelageral"/>
              <w:jc w:val="left"/>
              <w:rPr>
                <w:rFonts w:cs="Arial"/>
                <w:b w:val="0"/>
              </w:rPr>
            </w:pPr>
            <w:r w:rsidRPr="00B84B0C">
              <w:rPr>
                <w:rFonts w:cs="Arial"/>
                <w:b w:val="0"/>
              </w:rPr>
              <w:t xml:space="preserve">    </w:t>
            </w:r>
            <w:proofErr w:type="spellStart"/>
            <w:r w:rsidRPr="00B84B0C">
              <w:rPr>
                <w:rFonts w:cs="Arial"/>
                <w:b w:val="0"/>
              </w:rPr>
              <w:t>Executive</w:t>
            </w:r>
            <w:proofErr w:type="spellEnd"/>
            <w:r w:rsidRPr="00B84B0C">
              <w:rPr>
                <w:rFonts w:cs="Arial"/>
                <w:b w:val="0"/>
              </w:rPr>
              <w:t xml:space="preserve"> Board</w:t>
            </w:r>
          </w:p>
        </w:tc>
        <w:tc>
          <w:tcPr>
            <w:tcW w:w="604" w:type="dxa"/>
          </w:tcPr>
          <w:p w14:paraId="1FE2BE9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1" w:type="dxa"/>
          </w:tcPr>
          <w:p w14:paraId="58B6894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2" w:type="dxa"/>
          </w:tcPr>
          <w:p w14:paraId="6DBE8F7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3" w:type="dxa"/>
          </w:tcPr>
          <w:p w14:paraId="4292940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Pr>
          <w:p w14:paraId="0C46D66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B84B0C">
              <w:rPr>
                <w:rFonts w:cs="Arial"/>
              </w:rPr>
              <w:t>878</w:t>
            </w:r>
          </w:p>
        </w:tc>
        <w:tc>
          <w:tcPr>
            <w:tcW w:w="1526" w:type="dxa"/>
          </w:tcPr>
          <w:p w14:paraId="149BBD7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863</w:t>
            </w:r>
          </w:p>
        </w:tc>
      </w:tr>
      <w:tr w:rsidR="009C72AA" w:rsidRPr="00B84B0C" w14:paraId="60899FD3" w14:textId="77777777" w:rsidTr="009C72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1D028B65" w14:textId="77777777" w:rsidR="009C72AA" w:rsidRPr="00B84B0C" w:rsidRDefault="009C72AA" w:rsidP="009C72AA">
            <w:pPr>
              <w:pStyle w:val="08-Tabelageral"/>
              <w:jc w:val="left"/>
              <w:rPr>
                <w:rFonts w:cs="Arial"/>
                <w:b w:val="0"/>
              </w:rPr>
            </w:pPr>
            <w:r w:rsidRPr="00B84B0C">
              <w:rPr>
                <w:rFonts w:cs="Arial"/>
                <w:b w:val="0"/>
              </w:rPr>
              <w:t xml:space="preserve">    </w:t>
            </w:r>
            <w:proofErr w:type="spellStart"/>
            <w:r w:rsidRPr="00B84B0C">
              <w:rPr>
                <w:rFonts w:cs="Arial"/>
                <w:b w:val="0"/>
              </w:rPr>
              <w:t>Audit</w:t>
            </w:r>
            <w:proofErr w:type="spellEnd"/>
            <w:r w:rsidRPr="00B84B0C">
              <w:rPr>
                <w:rFonts w:cs="Arial"/>
                <w:b w:val="0"/>
              </w:rPr>
              <w:t xml:space="preserve"> </w:t>
            </w:r>
            <w:proofErr w:type="spellStart"/>
            <w:r w:rsidRPr="00B84B0C">
              <w:rPr>
                <w:rFonts w:cs="Arial"/>
                <w:b w:val="0"/>
              </w:rPr>
              <w:t>Committee</w:t>
            </w:r>
            <w:proofErr w:type="spellEnd"/>
          </w:p>
        </w:tc>
        <w:tc>
          <w:tcPr>
            <w:tcW w:w="604" w:type="dxa"/>
          </w:tcPr>
          <w:p w14:paraId="05AA582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73051F1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2687B64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3F6805A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14ACAA7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B84B0C">
              <w:rPr>
                <w:rFonts w:cs="Arial"/>
              </w:rPr>
              <w:t>136</w:t>
            </w:r>
          </w:p>
        </w:tc>
        <w:tc>
          <w:tcPr>
            <w:tcW w:w="1526" w:type="dxa"/>
          </w:tcPr>
          <w:p w14:paraId="3F133FF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136</w:t>
            </w:r>
          </w:p>
        </w:tc>
      </w:tr>
      <w:tr w:rsidR="009C72AA" w:rsidRPr="00B84B0C" w14:paraId="6955CA97" w14:textId="77777777" w:rsidTr="009C72A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1AC54B3B" w14:textId="77777777" w:rsidR="009C72AA" w:rsidRPr="00B84B0C" w:rsidRDefault="009C72AA" w:rsidP="009C72AA">
            <w:pPr>
              <w:pStyle w:val="08-Tabelageral"/>
              <w:jc w:val="left"/>
              <w:rPr>
                <w:rFonts w:cs="Arial"/>
                <w:b w:val="0"/>
              </w:rPr>
            </w:pPr>
            <w:r w:rsidRPr="00B84B0C">
              <w:rPr>
                <w:rFonts w:cs="Arial"/>
                <w:b w:val="0"/>
              </w:rPr>
              <w:t xml:space="preserve">    Board </w:t>
            </w:r>
            <w:proofErr w:type="spellStart"/>
            <w:r w:rsidRPr="00B84B0C">
              <w:rPr>
                <w:rFonts w:cs="Arial"/>
                <w:b w:val="0"/>
              </w:rPr>
              <w:t>of</w:t>
            </w:r>
            <w:proofErr w:type="spellEnd"/>
            <w:r w:rsidRPr="00B84B0C">
              <w:rPr>
                <w:rFonts w:cs="Arial"/>
                <w:b w:val="0"/>
              </w:rPr>
              <w:t xml:space="preserve"> </w:t>
            </w:r>
            <w:proofErr w:type="spellStart"/>
            <w:r w:rsidRPr="00B84B0C">
              <w:rPr>
                <w:rFonts w:cs="Arial"/>
                <w:b w:val="0"/>
              </w:rPr>
              <w:t>Directors</w:t>
            </w:r>
            <w:proofErr w:type="spellEnd"/>
          </w:p>
        </w:tc>
        <w:tc>
          <w:tcPr>
            <w:tcW w:w="604" w:type="dxa"/>
          </w:tcPr>
          <w:p w14:paraId="1DE3C74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1" w:type="dxa"/>
          </w:tcPr>
          <w:p w14:paraId="466125D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2" w:type="dxa"/>
          </w:tcPr>
          <w:p w14:paraId="17F59FA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3" w:type="dxa"/>
          </w:tcPr>
          <w:p w14:paraId="44FA3E0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Pr>
          <w:p w14:paraId="4F2B730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B84B0C">
              <w:rPr>
                <w:rFonts w:cs="Arial"/>
              </w:rPr>
              <w:t>65</w:t>
            </w:r>
          </w:p>
        </w:tc>
        <w:tc>
          <w:tcPr>
            <w:tcW w:w="1526" w:type="dxa"/>
          </w:tcPr>
          <w:p w14:paraId="50E7D7F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65</w:t>
            </w:r>
          </w:p>
        </w:tc>
      </w:tr>
      <w:tr w:rsidR="009C72AA" w:rsidRPr="00B84B0C" w14:paraId="17CC1986" w14:textId="77777777" w:rsidTr="009C72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1B4A0037" w14:textId="77777777" w:rsidR="009C72AA" w:rsidRPr="00B84B0C" w:rsidRDefault="009C72AA" w:rsidP="009C72AA">
            <w:pPr>
              <w:pStyle w:val="08-Tabelageral"/>
              <w:jc w:val="left"/>
              <w:rPr>
                <w:rFonts w:cs="Arial"/>
                <w:b w:val="0"/>
              </w:rPr>
            </w:pPr>
            <w:r w:rsidRPr="00B84B0C">
              <w:rPr>
                <w:rFonts w:cs="Arial"/>
                <w:b w:val="0"/>
              </w:rPr>
              <w:t xml:space="preserve">    Fiscal </w:t>
            </w:r>
            <w:proofErr w:type="spellStart"/>
            <w:r w:rsidRPr="00B84B0C">
              <w:rPr>
                <w:rFonts w:cs="Arial"/>
                <w:b w:val="0"/>
              </w:rPr>
              <w:t>Council</w:t>
            </w:r>
            <w:proofErr w:type="spellEnd"/>
          </w:p>
        </w:tc>
        <w:tc>
          <w:tcPr>
            <w:tcW w:w="604" w:type="dxa"/>
          </w:tcPr>
          <w:p w14:paraId="00F6ED0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1BF04EC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6D0C1B3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047BEA6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20DD1BB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B84B0C">
              <w:rPr>
                <w:rFonts w:cs="Arial"/>
              </w:rPr>
              <w:t>65</w:t>
            </w:r>
          </w:p>
        </w:tc>
        <w:tc>
          <w:tcPr>
            <w:tcW w:w="1526" w:type="dxa"/>
          </w:tcPr>
          <w:p w14:paraId="5D7CCCD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65</w:t>
            </w:r>
          </w:p>
        </w:tc>
      </w:tr>
      <w:tr w:rsidR="009C72AA" w:rsidRPr="00B84B0C" w14:paraId="4FA1EDDD" w14:textId="77777777" w:rsidTr="009C72A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0BFBD7FD" w14:textId="77777777" w:rsidR="009C72AA" w:rsidRPr="00B84B0C" w:rsidRDefault="009C72AA" w:rsidP="009C72AA">
            <w:pPr>
              <w:pStyle w:val="08-Tabelageral"/>
              <w:jc w:val="left"/>
              <w:rPr>
                <w:rFonts w:cs="Arial"/>
                <w:b w:val="0"/>
              </w:rPr>
            </w:pPr>
            <w:r w:rsidRPr="00B84B0C">
              <w:rPr>
                <w:rFonts w:cs="Arial"/>
                <w:b w:val="0"/>
              </w:rPr>
              <w:t xml:space="preserve">   </w:t>
            </w:r>
            <w:proofErr w:type="spellStart"/>
            <w:r w:rsidRPr="00B84B0C">
              <w:rPr>
                <w:rFonts w:cs="Arial"/>
                <w:b w:val="0"/>
              </w:rPr>
              <w:t>Variable</w:t>
            </w:r>
            <w:proofErr w:type="spellEnd"/>
            <w:r w:rsidRPr="00B84B0C">
              <w:rPr>
                <w:rFonts w:cs="Arial"/>
                <w:b w:val="0"/>
              </w:rPr>
              <w:t xml:space="preserve"> </w:t>
            </w:r>
            <w:proofErr w:type="spellStart"/>
            <w:proofErr w:type="gramStart"/>
            <w:r w:rsidRPr="00B84B0C">
              <w:rPr>
                <w:rFonts w:cs="Arial"/>
                <w:b w:val="0"/>
              </w:rPr>
              <w:t>Remuneration</w:t>
            </w:r>
            <w:proofErr w:type="spellEnd"/>
            <w:r w:rsidRPr="00B84B0C">
              <w:rPr>
                <w:rFonts w:cs="Arial"/>
                <w:b w:val="0"/>
                <w:vertAlign w:val="superscript"/>
              </w:rPr>
              <w:t>(</w:t>
            </w:r>
            <w:proofErr w:type="gramEnd"/>
            <w:r w:rsidRPr="00B84B0C">
              <w:rPr>
                <w:rFonts w:cs="Arial"/>
                <w:b w:val="0"/>
                <w:vertAlign w:val="superscript"/>
              </w:rPr>
              <w:t>1)</w:t>
            </w:r>
          </w:p>
        </w:tc>
        <w:tc>
          <w:tcPr>
            <w:tcW w:w="604" w:type="dxa"/>
          </w:tcPr>
          <w:p w14:paraId="5799C22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1" w:type="dxa"/>
          </w:tcPr>
          <w:p w14:paraId="40B92ED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2" w:type="dxa"/>
          </w:tcPr>
          <w:p w14:paraId="1B462F6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3" w:type="dxa"/>
          </w:tcPr>
          <w:p w14:paraId="6E94E7E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Pr>
          <w:p w14:paraId="61910A7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B84B0C">
              <w:rPr>
                <w:rFonts w:cs="Arial"/>
              </w:rPr>
              <w:t>765</w:t>
            </w:r>
          </w:p>
        </w:tc>
        <w:tc>
          <w:tcPr>
            <w:tcW w:w="1526" w:type="dxa"/>
          </w:tcPr>
          <w:p w14:paraId="144C5692"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227</w:t>
            </w:r>
          </w:p>
        </w:tc>
      </w:tr>
      <w:tr w:rsidR="009C72AA" w:rsidRPr="00B84B0C" w14:paraId="74C72DB8" w14:textId="77777777" w:rsidTr="009C72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122F146D" w14:textId="77777777" w:rsidR="009C72AA" w:rsidRPr="00B84B0C" w:rsidRDefault="009C72AA" w:rsidP="009C72AA">
            <w:pPr>
              <w:pStyle w:val="08-Tabelageral"/>
              <w:jc w:val="left"/>
              <w:rPr>
                <w:rFonts w:cs="Arial"/>
                <w:b w:val="0"/>
              </w:rPr>
            </w:pPr>
            <w:r w:rsidRPr="00B84B0C">
              <w:rPr>
                <w:rFonts w:cs="Arial"/>
                <w:b w:val="0"/>
              </w:rPr>
              <w:t xml:space="preserve">  </w:t>
            </w:r>
            <w:proofErr w:type="gramStart"/>
            <w:r w:rsidRPr="00B84B0C">
              <w:rPr>
                <w:rFonts w:cs="Arial"/>
                <w:b w:val="0"/>
              </w:rPr>
              <w:t>Other</w:t>
            </w:r>
            <w:r w:rsidRPr="00B84B0C">
              <w:rPr>
                <w:rFonts w:cs="Arial"/>
                <w:b w:val="0"/>
                <w:vertAlign w:val="superscript"/>
              </w:rPr>
              <w:t>(</w:t>
            </w:r>
            <w:proofErr w:type="gramEnd"/>
            <w:r w:rsidRPr="00B84B0C">
              <w:rPr>
                <w:rFonts w:cs="Arial"/>
                <w:b w:val="0"/>
                <w:vertAlign w:val="superscript"/>
              </w:rPr>
              <w:t>2)</w:t>
            </w:r>
          </w:p>
        </w:tc>
        <w:tc>
          <w:tcPr>
            <w:tcW w:w="604" w:type="dxa"/>
          </w:tcPr>
          <w:p w14:paraId="332F449C"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3767D23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24F75A2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404A2E0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78D5CF8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B84B0C">
              <w:rPr>
                <w:rFonts w:cs="Arial"/>
              </w:rPr>
              <w:t>122</w:t>
            </w:r>
          </w:p>
        </w:tc>
        <w:tc>
          <w:tcPr>
            <w:tcW w:w="1526" w:type="dxa"/>
          </w:tcPr>
          <w:p w14:paraId="3D86BB2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72</w:t>
            </w:r>
          </w:p>
        </w:tc>
      </w:tr>
      <w:tr w:rsidR="009C72AA" w:rsidRPr="00B84B0C" w14:paraId="67FF7F01" w14:textId="77777777" w:rsidTr="009C72AA">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1831E887" w14:textId="77777777" w:rsidR="009C72AA" w:rsidRPr="00B84B0C" w:rsidRDefault="009C72AA" w:rsidP="009C72AA">
            <w:pPr>
              <w:pStyle w:val="08-Tabelageral"/>
              <w:jc w:val="left"/>
              <w:rPr>
                <w:rFonts w:cs="Arial"/>
                <w:b w:val="0"/>
              </w:rPr>
            </w:pPr>
            <w:proofErr w:type="spellStart"/>
            <w:r w:rsidRPr="00B84B0C">
              <w:rPr>
                <w:rFonts w:cs="Arial"/>
                <w:b w:val="0"/>
              </w:rPr>
              <w:t>Variable</w:t>
            </w:r>
            <w:proofErr w:type="spellEnd"/>
            <w:r w:rsidRPr="00B84B0C">
              <w:rPr>
                <w:rFonts w:cs="Arial"/>
                <w:b w:val="0"/>
              </w:rPr>
              <w:t xml:space="preserve"> </w:t>
            </w:r>
            <w:proofErr w:type="spellStart"/>
            <w:r w:rsidRPr="00B84B0C">
              <w:rPr>
                <w:rFonts w:cs="Arial"/>
                <w:b w:val="0"/>
              </w:rPr>
              <w:t>Wage</w:t>
            </w:r>
            <w:proofErr w:type="spellEnd"/>
            <w:r w:rsidRPr="00B84B0C">
              <w:rPr>
                <w:rFonts w:cs="Arial"/>
                <w:b w:val="0"/>
              </w:rPr>
              <w:t xml:space="preserve"> </w:t>
            </w:r>
            <w:proofErr w:type="spellStart"/>
            <w:proofErr w:type="gramStart"/>
            <w:r w:rsidRPr="00B84B0C">
              <w:rPr>
                <w:rFonts w:cs="Arial"/>
                <w:b w:val="0"/>
              </w:rPr>
              <w:t>Program</w:t>
            </w:r>
            <w:proofErr w:type="spellEnd"/>
            <w:r w:rsidRPr="00B84B0C">
              <w:rPr>
                <w:rFonts w:cs="Arial"/>
                <w:b w:val="0"/>
                <w:vertAlign w:val="superscript"/>
              </w:rPr>
              <w:t>(</w:t>
            </w:r>
            <w:proofErr w:type="gramEnd"/>
            <w:r w:rsidRPr="00B84B0C">
              <w:rPr>
                <w:rFonts w:cs="Arial"/>
                <w:b w:val="0"/>
                <w:vertAlign w:val="superscript"/>
              </w:rPr>
              <w:t>3)</w:t>
            </w:r>
          </w:p>
        </w:tc>
        <w:tc>
          <w:tcPr>
            <w:tcW w:w="604" w:type="dxa"/>
          </w:tcPr>
          <w:p w14:paraId="4DB2401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Pr>
          <w:p w14:paraId="4A524D6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2" w:type="dxa"/>
          </w:tcPr>
          <w:p w14:paraId="52717E4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3" w:type="dxa"/>
          </w:tcPr>
          <w:p w14:paraId="67074E2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14:paraId="1E4E038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highlight w:val="yellow"/>
              </w:rPr>
            </w:pPr>
            <w:r w:rsidRPr="00B84B0C">
              <w:rPr>
                <w:rFonts w:cs="Arial"/>
                <w:b/>
              </w:rPr>
              <w:t>934</w:t>
            </w:r>
          </w:p>
        </w:tc>
        <w:tc>
          <w:tcPr>
            <w:tcW w:w="1526" w:type="dxa"/>
          </w:tcPr>
          <w:p w14:paraId="31E98E2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B84B0C">
              <w:rPr>
                <w:rFonts w:cs="Arial"/>
                <w:b/>
              </w:rPr>
              <w:t>772</w:t>
            </w:r>
          </w:p>
        </w:tc>
      </w:tr>
      <w:tr w:rsidR="009C72AA" w:rsidRPr="00B84B0C" w14:paraId="5B659D49" w14:textId="77777777" w:rsidTr="009C72A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094" w:type="dxa"/>
          </w:tcPr>
          <w:p w14:paraId="4FB82779" w14:textId="77777777" w:rsidR="009C72AA" w:rsidRPr="00B84B0C" w:rsidRDefault="009C72AA" w:rsidP="009C72AA">
            <w:pPr>
              <w:pStyle w:val="08-Tabelageral"/>
              <w:jc w:val="left"/>
              <w:rPr>
                <w:rFonts w:cs="Arial"/>
                <w:b w:val="0"/>
              </w:rPr>
            </w:pPr>
            <w:r w:rsidRPr="00B84B0C">
              <w:rPr>
                <w:rFonts w:cs="Arial"/>
                <w:b w:val="0"/>
              </w:rPr>
              <w:t>Total</w:t>
            </w:r>
          </w:p>
        </w:tc>
        <w:tc>
          <w:tcPr>
            <w:tcW w:w="604" w:type="dxa"/>
          </w:tcPr>
          <w:p w14:paraId="66CF2C3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Pr>
          <w:p w14:paraId="34DF287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412" w:type="dxa"/>
          </w:tcPr>
          <w:p w14:paraId="7020672C"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83" w:type="dxa"/>
          </w:tcPr>
          <w:p w14:paraId="2622EC3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Pr>
          <w:p w14:paraId="24CBA1D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highlight w:val="yellow"/>
              </w:rPr>
            </w:pPr>
            <w:r w:rsidRPr="00B84B0C">
              <w:rPr>
                <w:rFonts w:cs="Arial"/>
                <w:b/>
              </w:rPr>
              <w:t>2,965</w:t>
            </w:r>
          </w:p>
        </w:tc>
        <w:tc>
          <w:tcPr>
            <w:tcW w:w="1526" w:type="dxa"/>
          </w:tcPr>
          <w:p w14:paraId="330B812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84B0C">
              <w:rPr>
                <w:rFonts w:cs="Arial"/>
                <w:b/>
              </w:rPr>
              <w:t>2,200</w:t>
            </w:r>
          </w:p>
        </w:tc>
      </w:tr>
    </w:tbl>
    <w:p w14:paraId="644FF29A" w14:textId="77777777" w:rsidR="009C72AA" w:rsidRPr="00B84B0C" w:rsidRDefault="009C72AA" w:rsidP="009C72AA">
      <w:pPr>
        <w:pStyle w:val="07-Legenda"/>
        <w:spacing w:before="0"/>
        <w:rPr>
          <w:rStyle w:val="tlid-translation"/>
          <w:rFonts w:cs="Arial"/>
          <w:lang w:val="en"/>
        </w:rPr>
      </w:pPr>
      <w:r w:rsidRPr="00B84B0C">
        <w:rPr>
          <w:rFonts w:cs="Arial"/>
          <w:szCs w:val="14"/>
          <w:lang w:val="en-US"/>
        </w:rPr>
        <w:t xml:space="preserve">(1) </w:t>
      </w:r>
      <w:r w:rsidRPr="00B84B0C">
        <w:rPr>
          <w:rFonts w:cs="Arial"/>
          <w:szCs w:val="14"/>
          <w:lang w:val="en-US"/>
        </w:rPr>
        <w:tab/>
      </w:r>
      <w:r w:rsidRPr="00B84B0C">
        <w:rPr>
          <w:rStyle w:val="tlid-translation"/>
          <w:rFonts w:cs="Arial"/>
          <w:lang w:val="en"/>
        </w:rPr>
        <w:t>Refers to the amount in cash of the 2019 Variable Compensation Program for Directors.</w:t>
      </w:r>
    </w:p>
    <w:p w14:paraId="6A1AEC2A" w14:textId="77777777" w:rsidR="009C72AA" w:rsidRPr="00B84B0C" w:rsidRDefault="009C72AA" w:rsidP="009C72AA">
      <w:pPr>
        <w:pStyle w:val="07-Legenda"/>
        <w:spacing w:before="0"/>
        <w:rPr>
          <w:rFonts w:cs="Arial"/>
          <w:szCs w:val="14"/>
          <w:lang w:val="en-US"/>
        </w:rPr>
      </w:pPr>
      <w:r w:rsidRPr="00B84B0C">
        <w:rPr>
          <w:rFonts w:cs="Arial"/>
          <w:szCs w:val="14"/>
          <w:lang w:val="en-US"/>
        </w:rPr>
        <w:t>(2)</w:t>
      </w:r>
      <w:r w:rsidRPr="00B84B0C">
        <w:rPr>
          <w:rFonts w:cs="Arial"/>
          <w:szCs w:val="14"/>
          <w:lang w:val="en-US"/>
        </w:rPr>
        <w:tab/>
      </w:r>
      <w:proofErr w:type="spellStart"/>
      <w:r w:rsidRPr="00B84B0C">
        <w:rPr>
          <w:rStyle w:val="tlid-translation"/>
          <w:rFonts w:cs="Arial"/>
        </w:rPr>
        <w:t>Benefits</w:t>
      </w:r>
      <w:proofErr w:type="spellEnd"/>
      <w:r w:rsidRPr="00B84B0C">
        <w:rPr>
          <w:rStyle w:val="tlid-translation"/>
          <w:rFonts w:cs="Arial"/>
        </w:rPr>
        <w:t xml:space="preserve"> </w:t>
      </w:r>
      <w:proofErr w:type="spellStart"/>
      <w:r w:rsidRPr="00B84B0C">
        <w:rPr>
          <w:rStyle w:val="tlid-translation"/>
          <w:rFonts w:cs="Arial"/>
        </w:rPr>
        <w:t>considered</w:t>
      </w:r>
      <w:proofErr w:type="spellEnd"/>
      <w:r w:rsidRPr="00B84B0C">
        <w:rPr>
          <w:rStyle w:val="tlid-translation"/>
          <w:rFonts w:cs="Arial"/>
        </w:rPr>
        <w:t xml:space="preserve">: medical </w:t>
      </w:r>
      <w:proofErr w:type="spellStart"/>
      <w:r w:rsidRPr="00B84B0C">
        <w:rPr>
          <w:rStyle w:val="tlid-translation"/>
          <w:rFonts w:cs="Arial"/>
        </w:rPr>
        <w:t>care</w:t>
      </w:r>
      <w:proofErr w:type="spellEnd"/>
      <w:r w:rsidRPr="00B84B0C">
        <w:rPr>
          <w:rStyle w:val="tlid-translation"/>
          <w:rFonts w:cs="Arial"/>
        </w:rPr>
        <w:t xml:space="preserve">, </w:t>
      </w:r>
      <w:proofErr w:type="spellStart"/>
      <w:r w:rsidRPr="00B84B0C">
        <w:rPr>
          <w:rStyle w:val="tlid-translation"/>
          <w:rFonts w:cs="Arial"/>
        </w:rPr>
        <w:t>health</w:t>
      </w:r>
      <w:proofErr w:type="spellEnd"/>
      <w:r w:rsidRPr="00B84B0C">
        <w:rPr>
          <w:rStyle w:val="tlid-translation"/>
          <w:rFonts w:cs="Arial"/>
        </w:rPr>
        <w:t xml:space="preserve"> assessment, </w:t>
      </w:r>
      <w:proofErr w:type="spellStart"/>
      <w:r w:rsidRPr="00B84B0C">
        <w:rPr>
          <w:rStyle w:val="tlid-translation"/>
          <w:rFonts w:cs="Arial"/>
        </w:rPr>
        <w:t>life</w:t>
      </w:r>
      <w:proofErr w:type="spellEnd"/>
      <w:r w:rsidRPr="00B84B0C">
        <w:rPr>
          <w:rStyle w:val="tlid-translation"/>
          <w:rFonts w:cs="Arial"/>
        </w:rPr>
        <w:t xml:space="preserve"> </w:t>
      </w:r>
      <w:proofErr w:type="spellStart"/>
      <w:r w:rsidRPr="00B84B0C">
        <w:rPr>
          <w:rStyle w:val="tlid-translation"/>
          <w:rFonts w:cs="Arial"/>
        </w:rPr>
        <w:t>insurance</w:t>
      </w:r>
      <w:proofErr w:type="spellEnd"/>
      <w:r w:rsidRPr="00B84B0C">
        <w:rPr>
          <w:rStyle w:val="tlid-translation"/>
          <w:rFonts w:cs="Arial"/>
        </w:rPr>
        <w:t xml:space="preserve">, </w:t>
      </w:r>
      <w:proofErr w:type="spellStart"/>
      <w:r w:rsidRPr="00B84B0C">
        <w:rPr>
          <w:rStyle w:val="tlid-translation"/>
          <w:rFonts w:cs="Arial"/>
        </w:rPr>
        <w:t>removal</w:t>
      </w:r>
      <w:proofErr w:type="spellEnd"/>
      <w:r w:rsidRPr="00B84B0C">
        <w:rPr>
          <w:rStyle w:val="tlid-translation"/>
          <w:rFonts w:cs="Arial"/>
        </w:rPr>
        <w:t xml:space="preserve"> </w:t>
      </w:r>
      <w:proofErr w:type="spellStart"/>
      <w:r w:rsidRPr="00B84B0C">
        <w:rPr>
          <w:rStyle w:val="tlid-translation"/>
          <w:rFonts w:cs="Arial"/>
        </w:rPr>
        <w:t>advantage</w:t>
      </w:r>
      <w:proofErr w:type="spellEnd"/>
      <w:r w:rsidRPr="00B84B0C">
        <w:rPr>
          <w:rStyle w:val="tlid-translation"/>
          <w:rFonts w:cs="Arial"/>
        </w:rPr>
        <w:t xml:space="preserve"> </w:t>
      </w:r>
      <w:proofErr w:type="spellStart"/>
      <w:r w:rsidRPr="00B84B0C">
        <w:rPr>
          <w:rStyle w:val="tlid-translation"/>
          <w:rFonts w:cs="Arial"/>
        </w:rPr>
        <w:t>and</w:t>
      </w:r>
      <w:proofErr w:type="spellEnd"/>
      <w:r w:rsidRPr="00B84B0C">
        <w:rPr>
          <w:rStyle w:val="tlid-translation"/>
          <w:rFonts w:cs="Arial"/>
        </w:rPr>
        <w:t xml:space="preserve"> </w:t>
      </w:r>
      <w:proofErr w:type="spellStart"/>
      <w:r w:rsidRPr="00B84B0C">
        <w:rPr>
          <w:rStyle w:val="tlid-translation"/>
          <w:rFonts w:cs="Arial"/>
        </w:rPr>
        <w:t>supplementary</w:t>
      </w:r>
      <w:proofErr w:type="spellEnd"/>
      <w:r w:rsidRPr="00B84B0C">
        <w:rPr>
          <w:rStyle w:val="tlid-translation"/>
          <w:rFonts w:cs="Arial"/>
        </w:rPr>
        <w:t xml:space="preserve"> </w:t>
      </w:r>
      <w:proofErr w:type="spellStart"/>
      <w:r w:rsidRPr="00B84B0C">
        <w:rPr>
          <w:rStyle w:val="tlid-translation"/>
          <w:rFonts w:cs="Arial"/>
        </w:rPr>
        <w:t>pension</w:t>
      </w:r>
      <w:proofErr w:type="spellEnd"/>
      <w:r w:rsidRPr="00B84B0C">
        <w:rPr>
          <w:rStyle w:val="tlid-translation"/>
          <w:rFonts w:cs="Arial"/>
        </w:rPr>
        <w:t xml:space="preserve"> </w:t>
      </w:r>
      <w:proofErr w:type="spellStart"/>
      <w:r w:rsidRPr="00B84B0C">
        <w:rPr>
          <w:rStyle w:val="tlid-translation"/>
          <w:rFonts w:cs="Arial"/>
        </w:rPr>
        <w:t>plan</w:t>
      </w:r>
      <w:proofErr w:type="spellEnd"/>
      <w:r w:rsidRPr="00B84B0C">
        <w:rPr>
          <w:rStyle w:val="tlid-translation"/>
          <w:rFonts w:cs="Arial"/>
        </w:rPr>
        <w:t xml:space="preserve"> </w:t>
      </w:r>
      <w:proofErr w:type="spellStart"/>
      <w:r w:rsidRPr="00B84B0C">
        <w:rPr>
          <w:rStyle w:val="tlid-translation"/>
          <w:rFonts w:cs="Arial"/>
        </w:rPr>
        <w:t>of</w:t>
      </w:r>
      <w:proofErr w:type="spellEnd"/>
      <w:r w:rsidRPr="00B84B0C">
        <w:rPr>
          <w:rStyle w:val="tlid-translation"/>
          <w:rFonts w:cs="Arial"/>
        </w:rPr>
        <w:t xml:space="preserve"> </w:t>
      </w:r>
      <w:proofErr w:type="spellStart"/>
      <w:r w:rsidRPr="00B84B0C">
        <w:rPr>
          <w:rStyle w:val="tlid-translation"/>
          <w:rFonts w:cs="Arial"/>
        </w:rPr>
        <w:t>the</w:t>
      </w:r>
      <w:proofErr w:type="spellEnd"/>
      <w:r w:rsidRPr="00B84B0C">
        <w:rPr>
          <w:rStyle w:val="tlid-translation"/>
          <w:rFonts w:cs="Arial"/>
        </w:rPr>
        <w:t xml:space="preserve"> administrators.</w:t>
      </w:r>
      <w:r w:rsidRPr="00B84B0C">
        <w:rPr>
          <w:rFonts w:cs="Arial"/>
          <w:szCs w:val="14"/>
          <w:lang w:val="en-US"/>
        </w:rPr>
        <w:t xml:space="preserve"> </w:t>
      </w:r>
    </w:p>
    <w:p w14:paraId="25E2E884" w14:textId="77777777" w:rsidR="009C72AA" w:rsidRPr="00B84B0C" w:rsidRDefault="009C72AA" w:rsidP="009C72AA">
      <w:pPr>
        <w:pStyle w:val="07-Legenda"/>
        <w:spacing w:before="0"/>
        <w:rPr>
          <w:rFonts w:cs="Arial"/>
          <w:szCs w:val="14"/>
          <w:lang w:val="en-US"/>
        </w:rPr>
      </w:pPr>
      <w:r w:rsidRPr="00B84B0C">
        <w:rPr>
          <w:rFonts w:cs="Arial"/>
          <w:szCs w:val="14"/>
          <w:lang w:val="en-US"/>
        </w:rPr>
        <w:t>(3)</w:t>
      </w:r>
      <w:r w:rsidRPr="00B84B0C">
        <w:rPr>
          <w:rFonts w:cs="Arial"/>
          <w:szCs w:val="14"/>
          <w:lang w:val="en-US"/>
        </w:rPr>
        <w:tab/>
      </w:r>
      <w:proofErr w:type="spellStart"/>
      <w:r w:rsidRPr="00B84B0C">
        <w:rPr>
          <w:rStyle w:val="tlid-translation"/>
          <w:rFonts w:cs="Arial"/>
        </w:rPr>
        <w:t>Refers</w:t>
      </w:r>
      <w:proofErr w:type="spellEnd"/>
      <w:r w:rsidRPr="00B84B0C">
        <w:rPr>
          <w:rStyle w:val="tlid-translation"/>
          <w:rFonts w:cs="Arial"/>
        </w:rPr>
        <w:t xml:space="preserve"> </w:t>
      </w:r>
      <w:proofErr w:type="spellStart"/>
      <w:r w:rsidRPr="00B84B0C">
        <w:rPr>
          <w:rStyle w:val="tlid-translation"/>
          <w:rFonts w:cs="Arial"/>
        </w:rPr>
        <w:t>to</w:t>
      </w:r>
      <w:proofErr w:type="spellEnd"/>
      <w:r w:rsidRPr="00B84B0C">
        <w:rPr>
          <w:rStyle w:val="tlid-translation"/>
          <w:rFonts w:cs="Arial"/>
        </w:rPr>
        <w:t xml:space="preserve"> </w:t>
      </w:r>
      <w:proofErr w:type="spellStart"/>
      <w:r w:rsidRPr="00B84B0C">
        <w:rPr>
          <w:rStyle w:val="tlid-translation"/>
          <w:rFonts w:cs="Arial"/>
        </w:rPr>
        <w:t>the</w:t>
      </w:r>
      <w:proofErr w:type="spellEnd"/>
      <w:r w:rsidRPr="00B84B0C">
        <w:rPr>
          <w:rStyle w:val="tlid-translation"/>
          <w:rFonts w:cs="Arial"/>
        </w:rPr>
        <w:t xml:space="preserve"> </w:t>
      </w:r>
      <w:proofErr w:type="spellStart"/>
      <w:r w:rsidRPr="00B84B0C">
        <w:rPr>
          <w:rStyle w:val="tlid-translation"/>
          <w:rFonts w:cs="Arial"/>
        </w:rPr>
        <w:t>cost</w:t>
      </w:r>
      <w:proofErr w:type="spellEnd"/>
      <w:r w:rsidRPr="00B84B0C">
        <w:rPr>
          <w:rStyle w:val="tlid-translation"/>
          <w:rFonts w:cs="Arial"/>
        </w:rPr>
        <w:t xml:space="preserve"> </w:t>
      </w:r>
      <w:proofErr w:type="spellStart"/>
      <w:r w:rsidRPr="00B84B0C">
        <w:rPr>
          <w:rStyle w:val="tlid-translation"/>
          <w:rFonts w:cs="Arial"/>
        </w:rPr>
        <w:t>of</w:t>
      </w:r>
      <w:proofErr w:type="spellEnd"/>
      <w:r w:rsidRPr="00B84B0C">
        <w:rPr>
          <w:rStyle w:val="tlid-translation"/>
          <w:rFonts w:cs="Arial"/>
        </w:rPr>
        <w:t xml:space="preserve"> </w:t>
      </w:r>
      <w:proofErr w:type="spellStart"/>
      <w:r w:rsidRPr="00B84B0C">
        <w:rPr>
          <w:rStyle w:val="tlid-translation"/>
          <w:rFonts w:cs="Arial"/>
        </w:rPr>
        <w:t>shares</w:t>
      </w:r>
      <w:proofErr w:type="spellEnd"/>
      <w:r w:rsidRPr="00B84B0C">
        <w:rPr>
          <w:rStyle w:val="tlid-translation"/>
          <w:rFonts w:cs="Arial"/>
        </w:rPr>
        <w:t xml:space="preserve"> </w:t>
      </w:r>
      <w:proofErr w:type="spellStart"/>
      <w:r w:rsidRPr="00B84B0C">
        <w:rPr>
          <w:rStyle w:val="tlid-translation"/>
          <w:rFonts w:cs="Arial"/>
        </w:rPr>
        <w:t>relating</w:t>
      </w:r>
      <w:proofErr w:type="spellEnd"/>
      <w:r w:rsidRPr="00B84B0C">
        <w:rPr>
          <w:rStyle w:val="tlid-translation"/>
          <w:rFonts w:cs="Arial"/>
        </w:rPr>
        <w:t xml:space="preserve"> </w:t>
      </w:r>
      <w:proofErr w:type="spellStart"/>
      <w:r w:rsidRPr="00B84B0C">
        <w:rPr>
          <w:rStyle w:val="tlid-translation"/>
          <w:rFonts w:cs="Arial"/>
        </w:rPr>
        <w:t>to</w:t>
      </w:r>
      <w:proofErr w:type="spellEnd"/>
      <w:r w:rsidRPr="00B84B0C">
        <w:rPr>
          <w:rStyle w:val="tlid-translation"/>
          <w:rFonts w:cs="Arial"/>
        </w:rPr>
        <w:t xml:space="preserve"> </w:t>
      </w:r>
      <w:proofErr w:type="spellStart"/>
      <w:r w:rsidRPr="00B84B0C">
        <w:rPr>
          <w:rStyle w:val="tlid-translation"/>
          <w:rFonts w:cs="Arial"/>
        </w:rPr>
        <w:t>the</w:t>
      </w:r>
      <w:proofErr w:type="spellEnd"/>
      <w:r w:rsidRPr="00B84B0C">
        <w:rPr>
          <w:rStyle w:val="tlid-translation"/>
          <w:rFonts w:cs="Arial"/>
        </w:rPr>
        <w:t xml:space="preserve"> </w:t>
      </w:r>
      <w:proofErr w:type="spellStart"/>
      <w:r w:rsidRPr="00B84B0C">
        <w:rPr>
          <w:rStyle w:val="tlid-translation"/>
          <w:rFonts w:cs="Arial"/>
        </w:rPr>
        <w:t>installments</w:t>
      </w:r>
      <w:proofErr w:type="spellEnd"/>
      <w:r w:rsidRPr="00B84B0C">
        <w:rPr>
          <w:rStyle w:val="tlid-translation"/>
          <w:rFonts w:cs="Arial"/>
        </w:rPr>
        <w:t xml:space="preserve"> </w:t>
      </w:r>
      <w:proofErr w:type="spellStart"/>
      <w:r w:rsidRPr="00B84B0C">
        <w:rPr>
          <w:rStyle w:val="tlid-translation"/>
          <w:rFonts w:cs="Arial"/>
        </w:rPr>
        <w:t>of</w:t>
      </w:r>
      <w:proofErr w:type="spellEnd"/>
      <w:r w:rsidRPr="00B84B0C">
        <w:rPr>
          <w:rStyle w:val="tlid-translation"/>
          <w:rFonts w:cs="Arial"/>
        </w:rPr>
        <w:t xml:space="preserve"> </w:t>
      </w:r>
      <w:proofErr w:type="spellStart"/>
      <w:r w:rsidRPr="00B84B0C">
        <w:rPr>
          <w:rStyle w:val="tlid-translation"/>
          <w:rFonts w:cs="Arial"/>
        </w:rPr>
        <w:t>the</w:t>
      </w:r>
      <w:proofErr w:type="spellEnd"/>
      <w:r w:rsidRPr="00B84B0C">
        <w:rPr>
          <w:rStyle w:val="tlid-translation"/>
          <w:rFonts w:cs="Arial"/>
        </w:rPr>
        <w:t xml:space="preserve"> </w:t>
      </w:r>
      <w:proofErr w:type="spellStart"/>
      <w:r w:rsidRPr="00B84B0C">
        <w:rPr>
          <w:rStyle w:val="tlid-translation"/>
          <w:rFonts w:cs="Arial"/>
        </w:rPr>
        <w:t>share-based</w:t>
      </w:r>
      <w:proofErr w:type="spellEnd"/>
      <w:r w:rsidRPr="00B84B0C">
        <w:rPr>
          <w:rStyle w:val="tlid-translation"/>
          <w:rFonts w:cs="Arial"/>
        </w:rPr>
        <w:t xml:space="preserve"> </w:t>
      </w:r>
      <w:proofErr w:type="spellStart"/>
      <w:r w:rsidRPr="00B84B0C">
        <w:rPr>
          <w:rStyle w:val="tlid-translation"/>
          <w:rFonts w:cs="Arial"/>
        </w:rPr>
        <w:t>payment</w:t>
      </w:r>
      <w:proofErr w:type="spellEnd"/>
      <w:r w:rsidRPr="00B84B0C">
        <w:rPr>
          <w:rStyle w:val="tlid-translation"/>
          <w:rFonts w:cs="Arial"/>
        </w:rPr>
        <w:t xml:space="preserve"> </w:t>
      </w:r>
      <w:proofErr w:type="spellStart"/>
      <w:r w:rsidRPr="00B84B0C">
        <w:rPr>
          <w:rStyle w:val="tlid-translation"/>
          <w:rFonts w:cs="Arial"/>
        </w:rPr>
        <w:t>programs</w:t>
      </w:r>
      <w:proofErr w:type="spellEnd"/>
      <w:r w:rsidRPr="00B84B0C">
        <w:rPr>
          <w:rStyle w:val="tlid-translation"/>
          <w:rFonts w:cs="Arial"/>
        </w:rPr>
        <w:t xml:space="preserve"> for 2015, 2016, 2017, 2018 </w:t>
      </w:r>
      <w:proofErr w:type="spellStart"/>
      <w:r w:rsidRPr="00B84B0C">
        <w:rPr>
          <w:rStyle w:val="tlid-translation"/>
          <w:rFonts w:cs="Arial"/>
        </w:rPr>
        <w:t>and</w:t>
      </w:r>
      <w:proofErr w:type="spellEnd"/>
      <w:r w:rsidRPr="00B84B0C">
        <w:rPr>
          <w:rStyle w:val="tlid-translation"/>
          <w:rFonts w:cs="Arial"/>
        </w:rPr>
        <w:t xml:space="preserve"> 2019.</w:t>
      </w:r>
    </w:p>
    <w:p w14:paraId="0CFEE0F4" w14:textId="77777777" w:rsidR="009C72AA" w:rsidRPr="00B84B0C" w:rsidRDefault="009C72AA" w:rsidP="009C72AA">
      <w:pPr>
        <w:pStyle w:val="05-Textonormal"/>
        <w:keepNext/>
        <w:keepLines/>
        <w:spacing w:after="0" w:line="240" w:lineRule="auto"/>
        <w:rPr>
          <w:rFonts w:cs="Arial"/>
          <w:lang w:val="en-US"/>
        </w:rPr>
      </w:pPr>
      <w:r w:rsidRPr="00B84B0C">
        <w:rPr>
          <w:rFonts w:cs="Arial"/>
          <w:lang w:val="en-US"/>
        </w:rPr>
        <w:lastRenderedPageBreak/>
        <w:t xml:space="preserve">According to the variable remuneration policy of BB </w:t>
      </w:r>
      <w:proofErr w:type="spellStart"/>
      <w:r w:rsidRPr="00B84B0C">
        <w:rPr>
          <w:rFonts w:cs="Arial"/>
          <w:lang w:val="en-US"/>
        </w:rPr>
        <w:t>Seguridade</w:t>
      </w:r>
      <w:proofErr w:type="spellEnd"/>
      <w:r w:rsidRPr="00B84B0C">
        <w:rPr>
          <w:rFonts w:cs="Arial"/>
          <w:lang w:val="en-US"/>
        </w:rPr>
        <w:t xml:space="preserve">, established in accordance with Law 6,404/1976, Article </w:t>
      </w:r>
      <w:proofErr w:type="gramStart"/>
      <w:r w:rsidRPr="00B84B0C">
        <w:rPr>
          <w:rFonts w:cs="Arial"/>
          <w:lang w:val="en-US"/>
        </w:rPr>
        <w:t>152</w:t>
      </w:r>
      <w:proofErr w:type="gramEnd"/>
      <w:r w:rsidRPr="00B84B0C">
        <w:rPr>
          <w:rFonts w:cs="Arial"/>
          <w:lang w:val="en-US"/>
        </w:rPr>
        <w:t xml:space="preserve"> and Accounting Pronouncements Committee 10 (CPC 10 - Share-based Payment), the part of variable remuneration of the Executive Board is paid in shares.</w:t>
      </w:r>
    </w:p>
    <w:p w14:paraId="2908B1AE" w14:textId="77777777" w:rsidR="009C72AA" w:rsidRPr="00B84B0C" w:rsidRDefault="009C72AA" w:rsidP="009C72AA">
      <w:pPr>
        <w:pStyle w:val="05-Textonormal"/>
        <w:keepNext/>
        <w:keepLines/>
        <w:spacing w:after="0" w:line="240" w:lineRule="auto"/>
        <w:rPr>
          <w:rFonts w:cs="Arial"/>
          <w:lang w:val="en"/>
        </w:rPr>
      </w:pPr>
      <w:r w:rsidRPr="00B84B0C">
        <w:rPr>
          <w:rFonts w:cs="Arial"/>
          <w:lang w:val="en"/>
        </w:rPr>
        <w:t xml:space="preserve">BB </w:t>
      </w:r>
      <w:proofErr w:type="spellStart"/>
      <w:r w:rsidRPr="00B84B0C">
        <w:rPr>
          <w:rFonts w:cs="Arial"/>
          <w:lang w:val="en"/>
        </w:rPr>
        <w:t>Seguridade</w:t>
      </w:r>
      <w:proofErr w:type="spellEnd"/>
      <w:r w:rsidRPr="00B84B0C">
        <w:rPr>
          <w:rFonts w:cs="Arial"/>
          <w:lang w:val="en"/>
        </w:rPr>
        <w:t xml:space="preserve"> does not provide post-employment benefits to its key management personnel, except for those that are part of the staff of Banco do </w:t>
      </w:r>
      <w:proofErr w:type="spellStart"/>
      <w:r w:rsidRPr="00B84B0C">
        <w:rPr>
          <w:rFonts w:cs="Arial"/>
          <w:lang w:val="en"/>
        </w:rPr>
        <w:t>Brasil</w:t>
      </w:r>
      <w:proofErr w:type="spellEnd"/>
      <w:r w:rsidRPr="00B84B0C">
        <w:rPr>
          <w:rFonts w:cs="Arial"/>
          <w:lang w:val="en"/>
        </w:rPr>
        <w:t xml:space="preserve"> S.A. (controller).</w:t>
      </w:r>
    </w:p>
    <w:p w14:paraId="4D952D29" w14:textId="77777777" w:rsidR="009C72AA" w:rsidRPr="00B84B0C" w:rsidRDefault="009C72AA" w:rsidP="009C72AA">
      <w:pPr>
        <w:pStyle w:val="05-Textonormal"/>
        <w:keepNext/>
        <w:keepLines/>
        <w:spacing w:after="0" w:line="240" w:lineRule="auto"/>
        <w:rPr>
          <w:rFonts w:cs="Arial"/>
          <w:lang w:val="en-US"/>
        </w:rPr>
      </w:pPr>
      <w:r w:rsidRPr="00B84B0C">
        <w:rPr>
          <w:rFonts w:cs="Arial"/>
          <w:lang w:val="en-US"/>
        </w:rPr>
        <w:t xml:space="preserve">The Group trades banking transactions with its Controller, Banco do </w:t>
      </w:r>
      <w:proofErr w:type="spellStart"/>
      <w:r w:rsidRPr="00B84B0C">
        <w:rPr>
          <w:rFonts w:cs="Arial"/>
          <w:lang w:val="en-US"/>
        </w:rPr>
        <w:t>Brasil</w:t>
      </w:r>
      <w:proofErr w:type="spellEnd"/>
      <w:r w:rsidRPr="00B84B0C">
        <w:rPr>
          <w:rFonts w:cs="Arial"/>
          <w:lang w:val="en-US"/>
        </w:rPr>
        <w:t xml:space="preserve"> S.A. such as current account deposits (unpaid), corporate cards, financial applications, service deliveries and warranty in conditions equivalent to those available to other customers.</w:t>
      </w:r>
    </w:p>
    <w:p w14:paraId="6EF26CA3" w14:textId="77777777" w:rsidR="009C72AA" w:rsidRPr="00B84B0C" w:rsidRDefault="009C72AA" w:rsidP="009C72AA">
      <w:pPr>
        <w:pStyle w:val="05-Textonormal"/>
        <w:spacing w:after="0" w:line="240" w:lineRule="auto"/>
        <w:rPr>
          <w:rFonts w:cs="Arial"/>
          <w:lang w:val="en-US"/>
        </w:rPr>
      </w:pPr>
      <w:r w:rsidRPr="00B84B0C">
        <w:rPr>
          <w:rFonts w:cs="Arial"/>
          <w:lang w:val="en-US"/>
        </w:rPr>
        <w:t>The Group does not grant loans to its Directors, Fiscal Council members, Board of Directors and Audit Committee.</w:t>
      </w:r>
    </w:p>
    <w:p w14:paraId="653E94E3" w14:textId="77777777" w:rsidR="009C72AA" w:rsidRPr="00B84B0C" w:rsidRDefault="009C72AA" w:rsidP="009C72AA">
      <w:pPr>
        <w:pStyle w:val="05-Textonormal"/>
        <w:spacing w:after="0" w:line="240" w:lineRule="auto"/>
        <w:rPr>
          <w:rFonts w:cs="Arial"/>
          <w:lang w:val="en-US"/>
        </w:rPr>
      </w:pPr>
      <w:r w:rsidRPr="00B84B0C">
        <w:rPr>
          <w:rFonts w:cs="Arial"/>
          <w:lang w:val="en-US"/>
        </w:rPr>
        <w:t>The schedules below introduce the main transactions involving the companies within the effective utilization of resources:</w:t>
      </w:r>
    </w:p>
    <w:p w14:paraId="2CE2A30E" w14:textId="77777777" w:rsidR="009C72AA" w:rsidRPr="00B84B0C" w:rsidRDefault="009C72AA" w:rsidP="009C72AA">
      <w:pPr>
        <w:pStyle w:val="01-TtulodeNota"/>
        <w:numPr>
          <w:ilvl w:val="0"/>
          <w:numId w:val="10"/>
        </w:numPr>
        <w:ind w:left="284" w:hanging="284"/>
        <w:jc w:val="left"/>
        <w:rPr>
          <w:rFonts w:cs="Arial"/>
          <w:color w:val="1F4E79" w:themeColor="accent1" w:themeShade="80"/>
        </w:rPr>
      </w:pPr>
      <w:proofErr w:type="spellStart"/>
      <w:r w:rsidRPr="00B84B0C">
        <w:rPr>
          <w:rFonts w:cs="Arial"/>
          <w:color w:val="1F4E79" w:themeColor="accent1" w:themeShade="80"/>
        </w:rPr>
        <w:t>Summary</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of</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related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party</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transactions</w:t>
      </w:r>
      <w:proofErr w:type="spellEnd"/>
    </w:p>
    <w:p w14:paraId="0D961AB8" w14:textId="77777777" w:rsidR="009C72AA" w:rsidRPr="00B84B0C" w:rsidRDefault="009C72AA" w:rsidP="009C72AA">
      <w:pPr>
        <w:spacing w:after="0" w:line="240" w:lineRule="auto"/>
        <w:rPr>
          <w:rFonts w:cs="Arial"/>
          <w:b/>
          <w:color w:val="1F4E79" w:themeColor="accent1" w:themeShade="80"/>
          <w:sz w:val="20"/>
          <w:szCs w:val="20"/>
        </w:rPr>
      </w:pPr>
      <w:r w:rsidRPr="00B84B0C">
        <w:rPr>
          <w:rFonts w:cs="Arial"/>
          <w:b/>
          <w:color w:val="1F4E79" w:themeColor="accent1" w:themeShade="80"/>
          <w:sz w:val="20"/>
          <w:szCs w:val="20"/>
        </w:rPr>
        <w:t xml:space="preserve">BB Seguridade – </w:t>
      </w:r>
      <w:proofErr w:type="spellStart"/>
      <w:r w:rsidRPr="00B84B0C">
        <w:rPr>
          <w:rFonts w:cs="Arial"/>
          <w:b/>
          <w:color w:val="1F4E79" w:themeColor="accent1" w:themeShade="80"/>
          <w:sz w:val="20"/>
          <w:szCs w:val="20"/>
        </w:rPr>
        <w:t>Controller</w:t>
      </w:r>
      <w:proofErr w:type="spellEnd"/>
    </w:p>
    <w:p w14:paraId="528BB506" w14:textId="77777777" w:rsidR="009C72AA" w:rsidRPr="00B84B0C" w:rsidRDefault="009C72AA" w:rsidP="009C72AA">
      <w:pPr>
        <w:pStyle w:val="01-TtulodeNota"/>
        <w:spacing w:before="0" w:after="0"/>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Style w:val="TabeladeLista6Colorida-nfase510"/>
        <w:tblW w:w="9747" w:type="dxa"/>
        <w:tblInd w:w="0" w:type="dxa"/>
        <w:shd w:val="clear" w:color="auto" w:fill="D9E2F3"/>
        <w:tblLayout w:type="fixed"/>
        <w:tblLook w:val="04A0" w:firstRow="1" w:lastRow="0" w:firstColumn="1" w:lastColumn="0" w:noHBand="0" w:noVBand="1"/>
      </w:tblPr>
      <w:tblGrid>
        <w:gridCol w:w="1234"/>
        <w:gridCol w:w="3049"/>
        <w:gridCol w:w="1339"/>
        <w:gridCol w:w="1339"/>
        <w:gridCol w:w="1339"/>
        <w:gridCol w:w="1447"/>
      </w:tblGrid>
      <w:tr w:rsidR="009C72AA" w:rsidRPr="00B84B0C" w14:paraId="0C3A510A" w14:textId="77777777" w:rsidTr="009C72AA">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234" w:type="dxa"/>
            <w:tcBorders>
              <w:top w:val="single" w:sz="2" w:space="0" w:color="8EAADB" w:themeColor="accent5" w:themeTint="99"/>
              <w:bottom w:val="nil"/>
            </w:tcBorders>
            <w:shd w:val="clear" w:color="auto" w:fill="D9E2F3"/>
            <w:vAlign w:val="center"/>
          </w:tcPr>
          <w:p w14:paraId="54AC7926" w14:textId="77777777" w:rsidR="009C72AA" w:rsidRPr="00B84B0C" w:rsidRDefault="009C72AA" w:rsidP="009C72AA">
            <w:pPr>
              <w:pStyle w:val="08-Tabelageral"/>
              <w:rPr>
                <w:rFonts w:cs="Arial"/>
              </w:rPr>
            </w:pPr>
          </w:p>
        </w:tc>
        <w:tc>
          <w:tcPr>
            <w:tcW w:w="3049" w:type="dxa"/>
            <w:tcBorders>
              <w:top w:val="single" w:sz="2" w:space="0" w:color="8EAADB" w:themeColor="accent5" w:themeTint="99"/>
              <w:bottom w:val="nil"/>
            </w:tcBorders>
            <w:shd w:val="clear" w:color="auto" w:fill="D9E2F3"/>
            <w:vAlign w:val="center"/>
          </w:tcPr>
          <w:p w14:paraId="77B09C10" w14:textId="77777777" w:rsidR="009C72AA" w:rsidRPr="00B84B0C" w:rsidRDefault="009C72AA" w:rsidP="009C72AA">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2678" w:type="dxa"/>
            <w:gridSpan w:val="2"/>
            <w:tcBorders>
              <w:top w:val="single" w:sz="2" w:space="0" w:color="8EAADB" w:themeColor="accent5" w:themeTint="99"/>
              <w:bottom w:val="single" w:sz="2" w:space="0" w:color="8EAADB" w:themeColor="accent5" w:themeTint="99"/>
            </w:tcBorders>
            <w:shd w:val="clear" w:color="auto" w:fill="D9E2F3"/>
            <w:vAlign w:val="center"/>
          </w:tcPr>
          <w:p w14:paraId="4D601C48"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rPr>
            </w:pPr>
            <w:r w:rsidRPr="00B84B0C">
              <w:rPr>
                <w:rFonts w:cs="Arial"/>
              </w:rPr>
              <w:t>Mar 31, 2020</w:t>
            </w:r>
          </w:p>
        </w:tc>
        <w:tc>
          <w:tcPr>
            <w:tcW w:w="2786" w:type="dxa"/>
            <w:gridSpan w:val="2"/>
            <w:tcBorders>
              <w:top w:val="single" w:sz="2" w:space="0" w:color="8EAADB" w:themeColor="accent5" w:themeTint="99"/>
              <w:bottom w:val="single" w:sz="2" w:space="0" w:color="8EAADB" w:themeColor="accent5" w:themeTint="99"/>
            </w:tcBorders>
            <w:shd w:val="clear" w:color="auto" w:fill="D9E2F3"/>
            <w:vAlign w:val="center"/>
          </w:tcPr>
          <w:p w14:paraId="7B29C367"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 xml:space="preserve"> </w:t>
            </w:r>
            <w:proofErr w:type="spellStart"/>
            <w:r w:rsidRPr="00B84B0C">
              <w:rPr>
                <w:rFonts w:cs="Arial"/>
              </w:rPr>
              <w:t>Dec</w:t>
            </w:r>
            <w:proofErr w:type="spellEnd"/>
            <w:r w:rsidRPr="00B84B0C">
              <w:rPr>
                <w:rFonts w:cs="Arial"/>
              </w:rPr>
              <w:t xml:space="preserve"> 31, 2019</w:t>
            </w:r>
          </w:p>
        </w:tc>
      </w:tr>
      <w:tr w:rsidR="009C72AA" w:rsidRPr="00B84B0C" w14:paraId="0090F90F" w14:textId="77777777" w:rsidTr="009C72AA">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283" w:type="dxa"/>
            <w:gridSpan w:val="2"/>
            <w:tcBorders>
              <w:top w:val="nil"/>
              <w:bottom w:val="single" w:sz="2" w:space="0" w:color="8EAADB" w:themeColor="accent5" w:themeTint="99"/>
            </w:tcBorders>
            <w:shd w:val="clear" w:color="auto" w:fill="D9E2F3"/>
          </w:tcPr>
          <w:p w14:paraId="3443A19C" w14:textId="77777777" w:rsidR="009C72AA" w:rsidRPr="00B84B0C" w:rsidRDefault="009C72AA" w:rsidP="009C72AA">
            <w:pPr>
              <w:pStyle w:val="08-Tabelageral"/>
              <w:rPr>
                <w:rFonts w:cs="Arial"/>
                <w:sz w:val="12"/>
                <w:szCs w:val="12"/>
              </w:rPr>
            </w:pPr>
          </w:p>
        </w:tc>
        <w:tc>
          <w:tcPr>
            <w:tcW w:w="1339" w:type="dxa"/>
            <w:tcBorders>
              <w:top w:val="nil"/>
              <w:bottom w:val="single" w:sz="2" w:space="0" w:color="8EAADB" w:themeColor="accent5" w:themeTint="99"/>
            </w:tcBorders>
            <w:shd w:val="clear" w:color="auto" w:fill="D9E2F3"/>
            <w:vAlign w:val="center"/>
          </w:tcPr>
          <w:p w14:paraId="219BA142"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Controller</w:t>
            </w:r>
            <w:proofErr w:type="spellEnd"/>
            <w:r w:rsidRPr="00B84B0C">
              <w:rPr>
                <w:rFonts w:cs="Arial"/>
                <w:b/>
                <w:sz w:val="12"/>
                <w:szCs w:val="12"/>
                <w:vertAlign w:val="superscript"/>
              </w:rPr>
              <w:t>(</w:t>
            </w:r>
            <w:proofErr w:type="gramEnd"/>
            <w:r w:rsidRPr="00B84B0C">
              <w:rPr>
                <w:rFonts w:cs="Arial"/>
                <w:b/>
                <w:sz w:val="12"/>
                <w:szCs w:val="12"/>
                <w:vertAlign w:val="superscript"/>
              </w:rPr>
              <w:t>1)</w:t>
            </w:r>
          </w:p>
        </w:tc>
        <w:tc>
          <w:tcPr>
            <w:tcW w:w="1339" w:type="dxa"/>
            <w:tcBorders>
              <w:top w:val="single" w:sz="2" w:space="0" w:color="8EAADB" w:themeColor="accent5" w:themeTint="99"/>
              <w:bottom w:val="single" w:sz="2" w:space="0" w:color="8EAADB" w:themeColor="accent5" w:themeTint="99"/>
            </w:tcBorders>
            <w:shd w:val="clear" w:color="auto" w:fill="D9E2F3"/>
            <w:vAlign w:val="center"/>
          </w:tcPr>
          <w:p w14:paraId="6A8634A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Subsidiaries</w:t>
            </w:r>
            <w:proofErr w:type="spellEnd"/>
            <w:r w:rsidRPr="00B84B0C">
              <w:rPr>
                <w:rFonts w:cs="Arial"/>
                <w:b/>
                <w:sz w:val="12"/>
                <w:szCs w:val="12"/>
                <w:vertAlign w:val="superscript"/>
              </w:rPr>
              <w:t>(</w:t>
            </w:r>
            <w:proofErr w:type="gramEnd"/>
            <w:r w:rsidRPr="00B84B0C">
              <w:rPr>
                <w:rFonts w:cs="Arial"/>
                <w:b/>
                <w:sz w:val="12"/>
                <w:szCs w:val="12"/>
                <w:vertAlign w:val="superscript"/>
              </w:rPr>
              <w:t>2)</w:t>
            </w:r>
          </w:p>
        </w:tc>
        <w:tc>
          <w:tcPr>
            <w:tcW w:w="1339" w:type="dxa"/>
            <w:tcBorders>
              <w:top w:val="single" w:sz="2" w:space="0" w:color="8EAADB" w:themeColor="accent5" w:themeTint="99"/>
              <w:bottom w:val="single" w:sz="2" w:space="0" w:color="8EAADB" w:themeColor="accent5" w:themeTint="99"/>
            </w:tcBorders>
            <w:shd w:val="clear" w:color="auto" w:fill="D9E2F3"/>
            <w:vAlign w:val="center"/>
          </w:tcPr>
          <w:p w14:paraId="399F803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r w:rsidRPr="00B84B0C">
              <w:rPr>
                <w:rFonts w:cs="Arial"/>
                <w:b/>
                <w:sz w:val="12"/>
                <w:szCs w:val="12"/>
              </w:rPr>
              <w:t>Controller</w:t>
            </w:r>
            <w:proofErr w:type="spellEnd"/>
            <w:r w:rsidRPr="00B84B0C">
              <w:rPr>
                <w:rFonts w:cs="Arial"/>
                <w:b/>
                <w:sz w:val="12"/>
                <w:szCs w:val="12"/>
              </w:rPr>
              <w:t xml:space="preserve"> </w:t>
            </w:r>
            <w:r w:rsidRPr="00B84B0C">
              <w:rPr>
                <w:rFonts w:cs="Arial"/>
                <w:b/>
                <w:sz w:val="12"/>
                <w:szCs w:val="12"/>
                <w:vertAlign w:val="superscript"/>
              </w:rPr>
              <w:t>(1)</w:t>
            </w:r>
          </w:p>
        </w:tc>
        <w:tc>
          <w:tcPr>
            <w:tcW w:w="1447" w:type="dxa"/>
            <w:tcBorders>
              <w:top w:val="single" w:sz="2" w:space="0" w:color="8EAADB" w:themeColor="accent5" w:themeTint="99"/>
              <w:bottom w:val="single" w:sz="2" w:space="0" w:color="8EAADB" w:themeColor="accent5" w:themeTint="99"/>
            </w:tcBorders>
            <w:shd w:val="clear" w:color="auto" w:fill="D9E2F3"/>
            <w:vAlign w:val="center"/>
          </w:tcPr>
          <w:p w14:paraId="37061CF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Subsidiaries</w:t>
            </w:r>
            <w:proofErr w:type="spellEnd"/>
            <w:r w:rsidRPr="00B84B0C">
              <w:rPr>
                <w:rFonts w:cs="Arial"/>
                <w:b/>
                <w:sz w:val="12"/>
                <w:szCs w:val="12"/>
                <w:vertAlign w:val="superscript"/>
              </w:rPr>
              <w:t>(</w:t>
            </w:r>
            <w:proofErr w:type="gramEnd"/>
            <w:r w:rsidRPr="00B84B0C">
              <w:rPr>
                <w:rFonts w:cs="Arial"/>
                <w:b/>
                <w:sz w:val="12"/>
                <w:szCs w:val="12"/>
                <w:vertAlign w:val="superscript"/>
              </w:rPr>
              <w:t>2)</w:t>
            </w:r>
          </w:p>
        </w:tc>
      </w:tr>
      <w:tr w:rsidR="009C72AA" w:rsidRPr="00B84B0C" w14:paraId="0D8494C5"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3" w:type="dxa"/>
            <w:gridSpan w:val="2"/>
            <w:tcBorders>
              <w:top w:val="single" w:sz="2" w:space="0" w:color="8EAADB" w:themeColor="accent5" w:themeTint="99"/>
              <w:bottom w:val="nil"/>
            </w:tcBorders>
            <w:shd w:val="clear" w:color="auto" w:fill="FFFFFF" w:themeFill="background1"/>
            <w:vAlign w:val="center"/>
          </w:tcPr>
          <w:p w14:paraId="54AF6E11" w14:textId="77777777" w:rsidR="009C72AA" w:rsidRPr="00B84B0C" w:rsidRDefault="009C72AA" w:rsidP="009C72AA">
            <w:pPr>
              <w:pStyle w:val="08-Tabelageral"/>
              <w:jc w:val="left"/>
              <w:rPr>
                <w:rFonts w:cs="Arial"/>
              </w:rPr>
            </w:pPr>
            <w:proofErr w:type="spellStart"/>
            <w:r w:rsidRPr="00B84B0C">
              <w:rPr>
                <w:rFonts w:cs="Arial"/>
              </w:rPr>
              <w:t>Assets</w:t>
            </w:r>
            <w:proofErr w:type="spellEnd"/>
          </w:p>
        </w:tc>
        <w:tc>
          <w:tcPr>
            <w:tcW w:w="1339" w:type="dxa"/>
            <w:tcBorders>
              <w:top w:val="single" w:sz="2" w:space="0" w:color="8EAADB" w:themeColor="accent5" w:themeTint="99"/>
              <w:bottom w:val="nil"/>
            </w:tcBorders>
            <w:shd w:val="clear" w:color="auto" w:fill="FFFFFF" w:themeFill="background1"/>
            <w:vAlign w:val="center"/>
          </w:tcPr>
          <w:p w14:paraId="691E762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339" w:type="dxa"/>
            <w:tcBorders>
              <w:top w:val="single" w:sz="2" w:space="0" w:color="8EAADB" w:themeColor="accent5" w:themeTint="99"/>
              <w:bottom w:val="nil"/>
            </w:tcBorders>
            <w:shd w:val="clear" w:color="auto" w:fill="FFFFFF" w:themeFill="background1"/>
          </w:tcPr>
          <w:p w14:paraId="50A8157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 xml:space="preserve"> </w:t>
            </w:r>
          </w:p>
        </w:tc>
        <w:tc>
          <w:tcPr>
            <w:tcW w:w="1339" w:type="dxa"/>
            <w:tcBorders>
              <w:top w:val="single" w:sz="2" w:space="0" w:color="8EAADB" w:themeColor="accent5" w:themeTint="99"/>
              <w:bottom w:val="nil"/>
            </w:tcBorders>
            <w:shd w:val="clear" w:color="auto" w:fill="FFFFFF" w:themeFill="background1"/>
          </w:tcPr>
          <w:p w14:paraId="5B4BE81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447" w:type="dxa"/>
            <w:tcBorders>
              <w:top w:val="single" w:sz="2" w:space="0" w:color="8EAADB" w:themeColor="accent5" w:themeTint="99"/>
            </w:tcBorders>
            <w:shd w:val="clear" w:color="auto" w:fill="FFFFFF" w:themeFill="background1"/>
          </w:tcPr>
          <w:p w14:paraId="0A12C7B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9C72AA" w:rsidRPr="00B84B0C" w14:paraId="292C605C"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3" w:type="dxa"/>
            <w:gridSpan w:val="2"/>
            <w:tcBorders>
              <w:top w:val="nil"/>
              <w:bottom w:val="nil"/>
            </w:tcBorders>
            <w:shd w:val="clear" w:color="auto" w:fill="D9E2F3"/>
          </w:tcPr>
          <w:p w14:paraId="324C0283" w14:textId="77777777" w:rsidR="009C72AA" w:rsidRPr="00B84B0C" w:rsidRDefault="009C72AA" w:rsidP="009C72AA">
            <w:pPr>
              <w:pStyle w:val="08-Tabelageral"/>
              <w:jc w:val="left"/>
              <w:rPr>
                <w:rFonts w:cs="Arial"/>
                <w:b w:val="0"/>
              </w:rPr>
            </w:pPr>
            <w:r w:rsidRPr="00B84B0C">
              <w:rPr>
                <w:rFonts w:cs="Arial"/>
                <w:b w:val="0"/>
              </w:rPr>
              <w:t xml:space="preserve">Cash </w:t>
            </w:r>
            <w:proofErr w:type="spellStart"/>
            <w:r w:rsidRPr="00B84B0C">
              <w:rPr>
                <w:rFonts w:cs="Arial"/>
                <w:b w:val="0"/>
              </w:rPr>
              <w:t>and</w:t>
            </w:r>
            <w:proofErr w:type="spellEnd"/>
            <w:r w:rsidRPr="00B84B0C">
              <w:rPr>
                <w:rFonts w:cs="Arial"/>
                <w:b w:val="0"/>
              </w:rPr>
              <w:t xml:space="preserve"> cash </w:t>
            </w:r>
            <w:proofErr w:type="spellStart"/>
            <w:r w:rsidRPr="00B84B0C">
              <w:rPr>
                <w:rFonts w:cs="Arial"/>
                <w:b w:val="0"/>
              </w:rPr>
              <w:t>equivalents</w:t>
            </w:r>
            <w:proofErr w:type="spellEnd"/>
          </w:p>
        </w:tc>
        <w:tc>
          <w:tcPr>
            <w:tcW w:w="1339" w:type="dxa"/>
            <w:tcBorders>
              <w:top w:val="nil"/>
              <w:bottom w:val="nil"/>
            </w:tcBorders>
            <w:shd w:val="clear" w:color="auto" w:fill="D9E2F3"/>
            <w:vAlign w:val="center"/>
          </w:tcPr>
          <w:p w14:paraId="2909373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2,402,707</w:t>
            </w:r>
          </w:p>
        </w:tc>
        <w:tc>
          <w:tcPr>
            <w:tcW w:w="1339" w:type="dxa"/>
            <w:tcBorders>
              <w:top w:val="nil"/>
              <w:bottom w:val="nil"/>
            </w:tcBorders>
            <w:shd w:val="clear" w:color="auto" w:fill="D9E2F3"/>
            <w:vAlign w:val="center"/>
          </w:tcPr>
          <w:p w14:paraId="61988B8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D9E2F3"/>
            <w:vAlign w:val="center"/>
          </w:tcPr>
          <w:p w14:paraId="342DA39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4,231,195</w:t>
            </w:r>
          </w:p>
        </w:tc>
        <w:tc>
          <w:tcPr>
            <w:tcW w:w="1447" w:type="dxa"/>
            <w:shd w:val="clear" w:color="auto" w:fill="D9E2F3"/>
            <w:vAlign w:val="center"/>
          </w:tcPr>
          <w:p w14:paraId="55EABB9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9C72AA" w:rsidRPr="00B84B0C" w14:paraId="7744D6F8"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3" w:type="dxa"/>
            <w:gridSpan w:val="2"/>
            <w:tcBorders>
              <w:top w:val="nil"/>
              <w:bottom w:val="nil"/>
            </w:tcBorders>
            <w:shd w:val="clear" w:color="auto" w:fill="FFFFFF" w:themeFill="background1"/>
          </w:tcPr>
          <w:p w14:paraId="26797999" w14:textId="77777777" w:rsidR="009C72AA" w:rsidRPr="00B84B0C" w:rsidRDefault="009C72AA" w:rsidP="009C72AA">
            <w:pPr>
              <w:pStyle w:val="08-Tabelageral"/>
              <w:jc w:val="left"/>
              <w:rPr>
                <w:rFonts w:cs="Arial"/>
                <w:b w:val="0"/>
              </w:rPr>
            </w:pPr>
            <w:proofErr w:type="spellStart"/>
            <w:r w:rsidRPr="00B84B0C">
              <w:rPr>
                <w:rFonts w:cs="Arial"/>
                <w:b w:val="0"/>
              </w:rPr>
              <w:t>Dividends</w:t>
            </w:r>
            <w:proofErr w:type="spellEnd"/>
            <w:r w:rsidRPr="00B84B0C">
              <w:rPr>
                <w:rFonts w:cs="Arial"/>
                <w:b w:val="0"/>
              </w:rPr>
              <w:t>/</w:t>
            </w:r>
            <w:proofErr w:type="spellStart"/>
            <w:r w:rsidRPr="00B84B0C">
              <w:rPr>
                <w:rFonts w:cs="Arial"/>
                <w:b w:val="0"/>
              </w:rPr>
              <w:t>interest</w:t>
            </w:r>
            <w:proofErr w:type="spellEnd"/>
            <w:r w:rsidRPr="00B84B0C">
              <w:rPr>
                <w:rFonts w:cs="Arial"/>
                <w:b w:val="0"/>
              </w:rPr>
              <w:t xml:space="preserve"> </w:t>
            </w:r>
            <w:proofErr w:type="spellStart"/>
            <w:r w:rsidRPr="00B84B0C">
              <w:rPr>
                <w:rFonts w:cs="Arial"/>
                <w:b w:val="0"/>
              </w:rPr>
              <w:t>on</w:t>
            </w:r>
            <w:proofErr w:type="spellEnd"/>
            <w:r w:rsidRPr="00B84B0C">
              <w:rPr>
                <w:rFonts w:cs="Arial"/>
                <w:b w:val="0"/>
              </w:rPr>
              <w:t xml:space="preserve"> </w:t>
            </w:r>
            <w:proofErr w:type="spellStart"/>
            <w:r w:rsidRPr="00B84B0C">
              <w:rPr>
                <w:rFonts w:cs="Arial"/>
                <w:b w:val="0"/>
              </w:rPr>
              <w:t>equity</w:t>
            </w:r>
            <w:proofErr w:type="spellEnd"/>
            <w:r w:rsidRPr="00B84B0C">
              <w:rPr>
                <w:rFonts w:cs="Arial"/>
                <w:b w:val="0"/>
              </w:rPr>
              <w:t xml:space="preserve"> </w:t>
            </w:r>
            <w:proofErr w:type="spellStart"/>
            <w:r w:rsidRPr="00B84B0C">
              <w:rPr>
                <w:rFonts w:cs="Arial"/>
                <w:b w:val="0"/>
              </w:rPr>
              <w:t>receivable</w:t>
            </w:r>
            <w:proofErr w:type="spellEnd"/>
          </w:p>
        </w:tc>
        <w:tc>
          <w:tcPr>
            <w:tcW w:w="1339" w:type="dxa"/>
            <w:tcBorders>
              <w:top w:val="nil"/>
              <w:bottom w:val="nil"/>
            </w:tcBorders>
            <w:shd w:val="clear" w:color="auto" w:fill="FFFFFF" w:themeFill="background1"/>
            <w:vAlign w:val="center"/>
          </w:tcPr>
          <w:p w14:paraId="1D3AA3B2"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FFFFFF" w:themeFill="background1"/>
            <w:vAlign w:val="center"/>
          </w:tcPr>
          <w:p w14:paraId="6DA6B795"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FFFFFF" w:themeFill="background1"/>
            <w:vAlign w:val="center"/>
          </w:tcPr>
          <w:p w14:paraId="2FDDB9C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447" w:type="dxa"/>
            <w:shd w:val="clear" w:color="auto" w:fill="FFFFFF" w:themeFill="background1"/>
            <w:vAlign w:val="center"/>
          </w:tcPr>
          <w:p w14:paraId="682BE6D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1,961,491</w:t>
            </w:r>
          </w:p>
        </w:tc>
      </w:tr>
      <w:tr w:rsidR="009C72AA" w:rsidRPr="00B84B0C" w14:paraId="7834DF65"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3" w:type="dxa"/>
            <w:gridSpan w:val="2"/>
            <w:tcBorders>
              <w:top w:val="nil"/>
              <w:bottom w:val="nil"/>
            </w:tcBorders>
            <w:shd w:val="clear" w:color="auto" w:fill="D9E2F3"/>
          </w:tcPr>
          <w:p w14:paraId="26F7DFC2" w14:textId="77777777" w:rsidR="009C72AA" w:rsidRPr="00B84B0C" w:rsidRDefault="009C72AA" w:rsidP="009C72AA">
            <w:pPr>
              <w:pStyle w:val="08-Tabelageral"/>
              <w:jc w:val="left"/>
              <w:rPr>
                <w:rFonts w:cs="Arial"/>
                <w:b w:val="0"/>
              </w:rPr>
            </w:pPr>
            <w:proofErr w:type="spellStart"/>
            <w:r w:rsidRPr="00B84B0C">
              <w:rPr>
                <w:rFonts w:cs="Arial"/>
                <w:b w:val="0"/>
              </w:rPr>
              <w:t>Receive</w:t>
            </w:r>
            <w:proofErr w:type="spellEnd"/>
            <w:r w:rsidRPr="00B84B0C">
              <w:rPr>
                <w:rFonts w:cs="Arial"/>
                <w:b w:val="0"/>
              </w:rPr>
              <w:t xml:space="preserve"> </w:t>
            </w:r>
            <w:proofErr w:type="spellStart"/>
            <w:r w:rsidRPr="00B84B0C">
              <w:rPr>
                <w:rFonts w:cs="Arial"/>
                <w:b w:val="0"/>
              </w:rPr>
              <w:t>with</w:t>
            </w:r>
            <w:proofErr w:type="spellEnd"/>
            <w:r w:rsidRPr="00B84B0C">
              <w:rPr>
                <w:rFonts w:cs="Arial"/>
                <w:b w:val="0"/>
              </w:rPr>
              <w:t xml:space="preserve"> </w:t>
            </w:r>
            <w:proofErr w:type="spellStart"/>
            <w:r w:rsidRPr="00B84B0C">
              <w:rPr>
                <w:rFonts w:cs="Arial"/>
                <w:b w:val="0"/>
              </w:rPr>
              <w:t>related</w:t>
            </w:r>
            <w:proofErr w:type="spellEnd"/>
            <w:r w:rsidRPr="00B84B0C">
              <w:rPr>
                <w:rFonts w:cs="Arial"/>
                <w:b w:val="0"/>
              </w:rPr>
              <w:t xml:space="preserve"> </w:t>
            </w:r>
            <w:proofErr w:type="spellStart"/>
            <w:r w:rsidRPr="00B84B0C">
              <w:rPr>
                <w:rFonts w:cs="Arial"/>
                <w:b w:val="0"/>
              </w:rPr>
              <w:t>parties</w:t>
            </w:r>
            <w:proofErr w:type="spellEnd"/>
          </w:p>
        </w:tc>
        <w:tc>
          <w:tcPr>
            <w:tcW w:w="1339" w:type="dxa"/>
            <w:tcBorders>
              <w:top w:val="nil"/>
              <w:bottom w:val="nil"/>
            </w:tcBorders>
            <w:shd w:val="clear" w:color="auto" w:fill="D9E2F3"/>
            <w:vAlign w:val="center"/>
          </w:tcPr>
          <w:p w14:paraId="0E4FCC1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D9E2F3"/>
            <w:vAlign w:val="center"/>
          </w:tcPr>
          <w:p w14:paraId="2655C4E2"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5,765</w:t>
            </w:r>
          </w:p>
        </w:tc>
        <w:tc>
          <w:tcPr>
            <w:tcW w:w="1339" w:type="dxa"/>
            <w:tcBorders>
              <w:top w:val="nil"/>
              <w:bottom w:val="nil"/>
            </w:tcBorders>
            <w:shd w:val="clear" w:color="auto" w:fill="D9E2F3"/>
            <w:vAlign w:val="center"/>
          </w:tcPr>
          <w:p w14:paraId="436ED7D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447" w:type="dxa"/>
            <w:shd w:val="clear" w:color="auto" w:fill="D9E2F3"/>
            <w:vAlign w:val="center"/>
          </w:tcPr>
          <w:p w14:paraId="0E5BF0E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7,194</w:t>
            </w:r>
          </w:p>
        </w:tc>
      </w:tr>
      <w:tr w:rsidR="009C72AA" w:rsidRPr="00B84B0C" w14:paraId="7EF5C0F3"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3" w:type="dxa"/>
            <w:gridSpan w:val="2"/>
            <w:tcBorders>
              <w:top w:val="nil"/>
              <w:bottom w:val="nil"/>
            </w:tcBorders>
            <w:shd w:val="clear" w:color="auto" w:fill="FFFFFF" w:themeFill="background1"/>
          </w:tcPr>
          <w:p w14:paraId="1F6B28F8" w14:textId="77777777" w:rsidR="009C72AA" w:rsidRPr="00B84B0C" w:rsidRDefault="009C72AA" w:rsidP="009C72AA">
            <w:pPr>
              <w:pStyle w:val="08-Tabelageral"/>
              <w:jc w:val="left"/>
              <w:rPr>
                <w:rFonts w:cs="Arial"/>
              </w:rPr>
            </w:pPr>
            <w:proofErr w:type="spellStart"/>
            <w:r w:rsidRPr="00B84B0C">
              <w:rPr>
                <w:rFonts w:cs="Arial"/>
              </w:rPr>
              <w:t>Liabilities</w:t>
            </w:r>
            <w:proofErr w:type="spellEnd"/>
          </w:p>
        </w:tc>
        <w:tc>
          <w:tcPr>
            <w:tcW w:w="1339" w:type="dxa"/>
            <w:tcBorders>
              <w:top w:val="nil"/>
              <w:bottom w:val="nil"/>
            </w:tcBorders>
            <w:shd w:val="clear" w:color="auto" w:fill="FFFFFF" w:themeFill="background1"/>
            <w:vAlign w:val="center"/>
          </w:tcPr>
          <w:p w14:paraId="6D0F6E8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339" w:type="dxa"/>
            <w:tcBorders>
              <w:top w:val="nil"/>
              <w:bottom w:val="nil"/>
            </w:tcBorders>
            <w:shd w:val="clear" w:color="auto" w:fill="FFFFFF" w:themeFill="background1"/>
            <w:vAlign w:val="center"/>
          </w:tcPr>
          <w:p w14:paraId="04115432"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339" w:type="dxa"/>
            <w:tcBorders>
              <w:top w:val="nil"/>
              <w:bottom w:val="nil"/>
            </w:tcBorders>
            <w:shd w:val="clear" w:color="auto" w:fill="FFFFFF" w:themeFill="background1"/>
            <w:vAlign w:val="center"/>
          </w:tcPr>
          <w:p w14:paraId="27D7B98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447" w:type="dxa"/>
            <w:shd w:val="clear" w:color="auto" w:fill="FFFFFF" w:themeFill="background1"/>
            <w:vAlign w:val="center"/>
          </w:tcPr>
          <w:p w14:paraId="19F59F87"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9C72AA" w:rsidRPr="00B84B0C" w14:paraId="72DBEDEB"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3" w:type="dxa"/>
            <w:gridSpan w:val="2"/>
            <w:tcBorders>
              <w:top w:val="nil"/>
              <w:bottom w:val="nil"/>
            </w:tcBorders>
            <w:shd w:val="clear" w:color="auto" w:fill="D9E2F3"/>
          </w:tcPr>
          <w:p w14:paraId="34F83259" w14:textId="77777777" w:rsidR="009C72AA" w:rsidRPr="00B84B0C" w:rsidRDefault="009C72AA" w:rsidP="009C72AA">
            <w:pPr>
              <w:pStyle w:val="08-Tabelageral"/>
              <w:jc w:val="left"/>
              <w:rPr>
                <w:rFonts w:cs="Arial"/>
                <w:b w:val="0"/>
              </w:rPr>
            </w:pPr>
            <w:r w:rsidRPr="00B84B0C">
              <w:rPr>
                <w:rFonts w:cs="Arial"/>
                <w:b w:val="0"/>
              </w:rPr>
              <w:t xml:space="preserve">Social </w:t>
            </w:r>
            <w:proofErr w:type="spellStart"/>
            <w:r w:rsidRPr="00B84B0C">
              <w:rPr>
                <w:rFonts w:cs="Arial"/>
                <w:b w:val="0"/>
              </w:rPr>
              <w:t>and</w:t>
            </w:r>
            <w:proofErr w:type="spellEnd"/>
            <w:r w:rsidRPr="00B84B0C">
              <w:rPr>
                <w:rFonts w:cs="Arial"/>
                <w:b w:val="0"/>
              </w:rPr>
              <w:t xml:space="preserve"> </w:t>
            </w:r>
            <w:proofErr w:type="spellStart"/>
            <w:r w:rsidRPr="00B84B0C">
              <w:rPr>
                <w:rFonts w:cs="Arial"/>
                <w:b w:val="0"/>
              </w:rPr>
              <w:t>statutory</w:t>
            </w:r>
            <w:proofErr w:type="spellEnd"/>
            <w:r w:rsidRPr="00B84B0C">
              <w:rPr>
                <w:rFonts w:cs="Arial"/>
                <w:b w:val="0"/>
              </w:rPr>
              <w:t xml:space="preserve"> </w:t>
            </w:r>
            <w:proofErr w:type="spellStart"/>
            <w:r w:rsidRPr="00B84B0C">
              <w:rPr>
                <w:rFonts w:cs="Arial"/>
                <w:b w:val="0"/>
              </w:rPr>
              <w:t>obligations</w:t>
            </w:r>
            <w:proofErr w:type="spellEnd"/>
          </w:p>
        </w:tc>
        <w:tc>
          <w:tcPr>
            <w:tcW w:w="1339" w:type="dxa"/>
            <w:tcBorders>
              <w:top w:val="nil"/>
              <w:bottom w:val="nil"/>
            </w:tcBorders>
            <w:shd w:val="clear" w:color="auto" w:fill="D9E2F3"/>
            <w:vAlign w:val="center"/>
          </w:tcPr>
          <w:p w14:paraId="30B054C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1,789,065</w:t>
            </w:r>
          </w:p>
        </w:tc>
        <w:tc>
          <w:tcPr>
            <w:tcW w:w="1339" w:type="dxa"/>
            <w:tcBorders>
              <w:top w:val="nil"/>
              <w:bottom w:val="nil"/>
            </w:tcBorders>
            <w:shd w:val="clear" w:color="auto" w:fill="D9E2F3"/>
            <w:vAlign w:val="center"/>
          </w:tcPr>
          <w:p w14:paraId="77B124F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D9E2F3"/>
            <w:vAlign w:val="center"/>
          </w:tcPr>
          <w:p w14:paraId="61E40D4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4,300,051</w:t>
            </w:r>
          </w:p>
        </w:tc>
        <w:tc>
          <w:tcPr>
            <w:tcW w:w="1447" w:type="dxa"/>
            <w:shd w:val="clear" w:color="auto" w:fill="D9E2F3"/>
            <w:vAlign w:val="center"/>
          </w:tcPr>
          <w:p w14:paraId="04DECFF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9C72AA" w:rsidRPr="00B84B0C" w14:paraId="073BD6F1"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3" w:type="dxa"/>
            <w:gridSpan w:val="2"/>
            <w:tcBorders>
              <w:top w:val="nil"/>
              <w:bottom w:val="single" w:sz="2" w:space="0" w:color="8EAADB" w:themeColor="accent5" w:themeTint="99"/>
            </w:tcBorders>
            <w:shd w:val="clear" w:color="auto" w:fill="FFFFFF" w:themeFill="background1"/>
          </w:tcPr>
          <w:p w14:paraId="7A43585D" w14:textId="77777777" w:rsidR="009C72AA" w:rsidRPr="00B84B0C" w:rsidRDefault="009C72AA" w:rsidP="009C72AA">
            <w:pPr>
              <w:pStyle w:val="08-Tabelageral"/>
              <w:jc w:val="left"/>
              <w:rPr>
                <w:rFonts w:cs="Arial"/>
                <w:b w:val="0"/>
              </w:rPr>
            </w:pPr>
            <w:proofErr w:type="spellStart"/>
            <w:r w:rsidRPr="00B84B0C">
              <w:rPr>
                <w:rFonts w:cs="Arial"/>
                <w:b w:val="0"/>
              </w:rPr>
              <w:t>Obligations</w:t>
            </w:r>
            <w:proofErr w:type="spellEnd"/>
            <w:r w:rsidRPr="00B84B0C">
              <w:rPr>
                <w:rFonts w:cs="Arial"/>
                <w:b w:val="0"/>
              </w:rPr>
              <w:t xml:space="preserve"> </w:t>
            </w:r>
            <w:proofErr w:type="spellStart"/>
            <w:r w:rsidRPr="00B84B0C">
              <w:rPr>
                <w:rFonts w:cs="Arial"/>
                <w:b w:val="0"/>
              </w:rPr>
              <w:t>with</w:t>
            </w:r>
            <w:proofErr w:type="spellEnd"/>
            <w:r w:rsidRPr="00B84B0C">
              <w:rPr>
                <w:rFonts w:cs="Arial"/>
                <w:b w:val="0"/>
              </w:rPr>
              <w:t xml:space="preserve"> </w:t>
            </w:r>
            <w:proofErr w:type="spellStart"/>
            <w:r w:rsidRPr="00B84B0C">
              <w:rPr>
                <w:rFonts w:cs="Arial"/>
                <w:b w:val="0"/>
              </w:rPr>
              <w:t>related</w:t>
            </w:r>
            <w:proofErr w:type="spellEnd"/>
            <w:r w:rsidRPr="00B84B0C">
              <w:rPr>
                <w:rFonts w:cs="Arial"/>
                <w:b w:val="0"/>
              </w:rPr>
              <w:t xml:space="preserve"> </w:t>
            </w:r>
            <w:proofErr w:type="spellStart"/>
            <w:r w:rsidRPr="00B84B0C">
              <w:rPr>
                <w:rFonts w:cs="Arial"/>
                <w:b w:val="0"/>
              </w:rPr>
              <w:t>parties</w:t>
            </w:r>
            <w:proofErr w:type="spellEnd"/>
          </w:p>
        </w:tc>
        <w:tc>
          <w:tcPr>
            <w:tcW w:w="1339" w:type="dxa"/>
            <w:tcBorders>
              <w:top w:val="nil"/>
              <w:bottom w:val="single" w:sz="2" w:space="0" w:color="8EAADB" w:themeColor="accent5" w:themeTint="99"/>
            </w:tcBorders>
            <w:shd w:val="clear" w:color="auto" w:fill="FFFFFF" w:themeFill="background1"/>
            <w:vAlign w:val="center"/>
          </w:tcPr>
          <w:p w14:paraId="04A1DBB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5,857</w:t>
            </w:r>
          </w:p>
        </w:tc>
        <w:tc>
          <w:tcPr>
            <w:tcW w:w="1339" w:type="dxa"/>
            <w:tcBorders>
              <w:top w:val="nil"/>
              <w:bottom w:val="single" w:sz="2" w:space="0" w:color="8EAADB" w:themeColor="accent5" w:themeTint="99"/>
            </w:tcBorders>
            <w:shd w:val="clear" w:color="auto" w:fill="FFFFFF" w:themeFill="background1"/>
            <w:vAlign w:val="center"/>
          </w:tcPr>
          <w:p w14:paraId="50763BD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39" w:type="dxa"/>
            <w:tcBorders>
              <w:top w:val="nil"/>
              <w:bottom w:val="single" w:sz="2" w:space="0" w:color="8EAADB" w:themeColor="accent5" w:themeTint="99"/>
            </w:tcBorders>
            <w:shd w:val="clear" w:color="auto" w:fill="FFFFFF" w:themeFill="background1"/>
            <w:vAlign w:val="center"/>
          </w:tcPr>
          <w:p w14:paraId="62E38552"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5,615</w:t>
            </w:r>
          </w:p>
        </w:tc>
        <w:tc>
          <w:tcPr>
            <w:tcW w:w="1447" w:type="dxa"/>
            <w:tcBorders>
              <w:bottom w:val="single" w:sz="2" w:space="0" w:color="8EAADB" w:themeColor="accent5" w:themeTint="99"/>
            </w:tcBorders>
            <w:shd w:val="clear" w:color="auto" w:fill="FFFFFF" w:themeFill="background1"/>
            <w:vAlign w:val="center"/>
          </w:tcPr>
          <w:p w14:paraId="4D7E742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r>
    </w:tbl>
    <w:p w14:paraId="1DB180F1" w14:textId="77777777" w:rsidR="009C72AA" w:rsidRPr="00B84B0C" w:rsidRDefault="009C72AA" w:rsidP="009C72AA">
      <w:pPr>
        <w:pStyle w:val="07-Legenda"/>
        <w:rPr>
          <w:rFonts w:cs="Arial"/>
        </w:rPr>
      </w:pPr>
    </w:p>
    <w:p w14:paraId="6D1C989D" w14:textId="77777777" w:rsidR="009C72AA" w:rsidRPr="00B84B0C" w:rsidRDefault="009C72AA" w:rsidP="009C72AA">
      <w:pPr>
        <w:pStyle w:val="01-TtulodeNota"/>
        <w:spacing w:before="0" w:after="0"/>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Style w:val="TabeladeLista6Colorida-nfase510"/>
        <w:tblW w:w="9747" w:type="dxa"/>
        <w:tblInd w:w="0" w:type="dxa"/>
        <w:shd w:val="clear" w:color="auto" w:fill="D9E2F3"/>
        <w:tblLayout w:type="fixed"/>
        <w:tblLook w:val="04A0" w:firstRow="1" w:lastRow="0" w:firstColumn="1" w:lastColumn="0" w:noHBand="0" w:noVBand="1"/>
      </w:tblPr>
      <w:tblGrid>
        <w:gridCol w:w="1383"/>
        <w:gridCol w:w="2240"/>
        <w:gridCol w:w="1504"/>
        <w:gridCol w:w="1504"/>
        <w:gridCol w:w="1504"/>
        <w:gridCol w:w="1612"/>
      </w:tblGrid>
      <w:tr w:rsidR="009C72AA" w:rsidRPr="00B84B0C" w14:paraId="0B2C97EF" w14:textId="77777777" w:rsidTr="009C72AA">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383" w:type="dxa"/>
            <w:tcBorders>
              <w:top w:val="single" w:sz="2" w:space="0" w:color="8EAADB" w:themeColor="accent5" w:themeTint="99"/>
              <w:bottom w:val="nil"/>
            </w:tcBorders>
            <w:shd w:val="clear" w:color="auto" w:fill="D9E2F3"/>
            <w:vAlign w:val="center"/>
          </w:tcPr>
          <w:p w14:paraId="7D17BB0A" w14:textId="77777777" w:rsidR="009C72AA" w:rsidRPr="00B84B0C" w:rsidRDefault="009C72AA" w:rsidP="009C72AA">
            <w:pPr>
              <w:pStyle w:val="08-Tabelageral"/>
              <w:rPr>
                <w:rFonts w:cs="Arial"/>
              </w:rPr>
            </w:pPr>
          </w:p>
        </w:tc>
        <w:tc>
          <w:tcPr>
            <w:tcW w:w="2240" w:type="dxa"/>
            <w:tcBorders>
              <w:top w:val="single" w:sz="2" w:space="0" w:color="8EAADB" w:themeColor="accent5" w:themeTint="99"/>
              <w:bottom w:val="nil"/>
            </w:tcBorders>
            <w:shd w:val="clear" w:color="auto" w:fill="D9E2F3"/>
            <w:vAlign w:val="center"/>
          </w:tcPr>
          <w:p w14:paraId="126F6027" w14:textId="77777777" w:rsidR="009C72AA" w:rsidRPr="00B84B0C" w:rsidRDefault="009C72AA" w:rsidP="009C72AA">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3008" w:type="dxa"/>
            <w:gridSpan w:val="2"/>
            <w:tcBorders>
              <w:top w:val="single" w:sz="2" w:space="0" w:color="8EAADB" w:themeColor="accent5" w:themeTint="99"/>
              <w:bottom w:val="single" w:sz="2" w:space="0" w:color="8EAADB" w:themeColor="accent5" w:themeTint="99"/>
            </w:tcBorders>
            <w:shd w:val="clear" w:color="auto" w:fill="D9E2F3"/>
            <w:vAlign w:val="center"/>
          </w:tcPr>
          <w:p w14:paraId="55C872D6"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rPr>
            </w:pPr>
            <w:r w:rsidRPr="00B84B0C">
              <w:rPr>
                <w:rFonts w:cs="Arial"/>
                <w:bCs w:val="0"/>
              </w:rPr>
              <w:t xml:space="preserve">1st </w:t>
            </w:r>
            <w:proofErr w:type="spellStart"/>
            <w:r w:rsidRPr="00B84B0C">
              <w:rPr>
                <w:rFonts w:cs="Arial"/>
                <w:bCs w:val="0"/>
              </w:rPr>
              <w:t>Quarter</w:t>
            </w:r>
            <w:proofErr w:type="spellEnd"/>
            <w:r w:rsidRPr="00B84B0C">
              <w:rPr>
                <w:rFonts w:cs="Arial"/>
                <w:bCs w:val="0"/>
              </w:rPr>
              <w:t>/2020</w:t>
            </w:r>
          </w:p>
        </w:tc>
        <w:tc>
          <w:tcPr>
            <w:tcW w:w="3116" w:type="dxa"/>
            <w:gridSpan w:val="2"/>
            <w:tcBorders>
              <w:top w:val="single" w:sz="2" w:space="0" w:color="8EAADB" w:themeColor="accent5" w:themeTint="99"/>
              <w:bottom w:val="single" w:sz="2" w:space="0" w:color="8EAADB" w:themeColor="accent5" w:themeTint="99"/>
            </w:tcBorders>
            <w:shd w:val="clear" w:color="auto" w:fill="D9E2F3"/>
            <w:vAlign w:val="center"/>
          </w:tcPr>
          <w:p w14:paraId="05EA5E34"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 xml:space="preserve">1st </w:t>
            </w:r>
            <w:proofErr w:type="spellStart"/>
            <w:r w:rsidRPr="00B84B0C">
              <w:rPr>
                <w:rFonts w:cs="Arial"/>
              </w:rPr>
              <w:t>Quarter</w:t>
            </w:r>
            <w:proofErr w:type="spellEnd"/>
            <w:r w:rsidRPr="00B84B0C">
              <w:rPr>
                <w:rFonts w:cs="Arial"/>
              </w:rPr>
              <w:t>/2019</w:t>
            </w:r>
          </w:p>
        </w:tc>
      </w:tr>
      <w:tr w:rsidR="009C72AA" w:rsidRPr="00B84B0C" w14:paraId="061CDBCA" w14:textId="77777777" w:rsidTr="009C72AA">
        <w:trPr>
          <w:cnfStyle w:val="000000100000" w:firstRow="0" w:lastRow="0" w:firstColumn="0" w:lastColumn="0" w:oddVBand="0" w:evenVBand="0" w:oddHBand="1"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3623" w:type="dxa"/>
            <w:gridSpan w:val="2"/>
            <w:tcBorders>
              <w:top w:val="nil"/>
              <w:bottom w:val="single" w:sz="2" w:space="0" w:color="8EAADB" w:themeColor="accent5" w:themeTint="99"/>
            </w:tcBorders>
            <w:shd w:val="clear" w:color="auto" w:fill="D9E2F3"/>
          </w:tcPr>
          <w:p w14:paraId="48CD514A" w14:textId="77777777" w:rsidR="009C72AA" w:rsidRPr="00B84B0C" w:rsidRDefault="009C72AA" w:rsidP="009C72AA">
            <w:pPr>
              <w:pStyle w:val="08-Tabelageral"/>
              <w:rPr>
                <w:rFonts w:cs="Arial"/>
                <w:sz w:val="12"/>
                <w:szCs w:val="12"/>
              </w:rPr>
            </w:pPr>
          </w:p>
        </w:tc>
        <w:tc>
          <w:tcPr>
            <w:tcW w:w="1504" w:type="dxa"/>
            <w:tcBorders>
              <w:top w:val="nil"/>
              <w:bottom w:val="single" w:sz="2" w:space="0" w:color="8EAADB" w:themeColor="accent5" w:themeTint="99"/>
            </w:tcBorders>
            <w:shd w:val="clear" w:color="auto" w:fill="D9E2F3"/>
            <w:vAlign w:val="center"/>
          </w:tcPr>
          <w:p w14:paraId="07B456D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Controller</w:t>
            </w:r>
            <w:proofErr w:type="spellEnd"/>
            <w:r w:rsidRPr="00B84B0C">
              <w:rPr>
                <w:rFonts w:cs="Arial"/>
                <w:b/>
                <w:sz w:val="12"/>
                <w:szCs w:val="12"/>
                <w:vertAlign w:val="superscript"/>
              </w:rPr>
              <w:t>(</w:t>
            </w:r>
            <w:proofErr w:type="gramEnd"/>
            <w:r w:rsidRPr="00B84B0C">
              <w:rPr>
                <w:rFonts w:cs="Arial"/>
                <w:b/>
                <w:sz w:val="12"/>
                <w:szCs w:val="12"/>
                <w:vertAlign w:val="superscript"/>
              </w:rPr>
              <w:t>1)</w:t>
            </w:r>
          </w:p>
        </w:tc>
        <w:tc>
          <w:tcPr>
            <w:tcW w:w="1504" w:type="dxa"/>
            <w:tcBorders>
              <w:top w:val="single" w:sz="2" w:space="0" w:color="8EAADB" w:themeColor="accent5" w:themeTint="99"/>
              <w:bottom w:val="single" w:sz="2" w:space="0" w:color="8EAADB" w:themeColor="accent5" w:themeTint="99"/>
            </w:tcBorders>
            <w:shd w:val="clear" w:color="auto" w:fill="D9E2F3"/>
            <w:vAlign w:val="center"/>
          </w:tcPr>
          <w:p w14:paraId="2C73DFC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Subsidiaries</w:t>
            </w:r>
            <w:proofErr w:type="spellEnd"/>
            <w:r w:rsidRPr="00B84B0C">
              <w:rPr>
                <w:rFonts w:cs="Arial"/>
                <w:b/>
                <w:sz w:val="12"/>
                <w:szCs w:val="12"/>
                <w:vertAlign w:val="superscript"/>
              </w:rPr>
              <w:t>(</w:t>
            </w:r>
            <w:proofErr w:type="gramEnd"/>
            <w:r w:rsidRPr="00B84B0C">
              <w:rPr>
                <w:rFonts w:cs="Arial"/>
                <w:b/>
                <w:sz w:val="12"/>
                <w:szCs w:val="12"/>
                <w:vertAlign w:val="superscript"/>
              </w:rPr>
              <w:t>2)</w:t>
            </w:r>
          </w:p>
        </w:tc>
        <w:tc>
          <w:tcPr>
            <w:tcW w:w="1504" w:type="dxa"/>
            <w:tcBorders>
              <w:top w:val="single" w:sz="2" w:space="0" w:color="8EAADB" w:themeColor="accent5" w:themeTint="99"/>
              <w:bottom w:val="single" w:sz="2" w:space="0" w:color="8EAADB" w:themeColor="accent5" w:themeTint="99"/>
            </w:tcBorders>
            <w:shd w:val="clear" w:color="auto" w:fill="D9E2F3"/>
            <w:vAlign w:val="center"/>
          </w:tcPr>
          <w:p w14:paraId="745CAA2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Controller</w:t>
            </w:r>
            <w:proofErr w:type="spellEnd"/>
            <w:r w:rsidRPr="00B84B0C">
              <w:rPr>
                <w:rFonts w:cs="Arial"/>
                <w:b/>
                <w:sz w:val="12"/>
                <w:szCs w:val="12"/>
                <w:vertAlign w:val="superscript"/>
              </w:rPr>
              <w:t>(</w:t>
            </w:r>
            <w:proofErr w:type="gramEnd"/>
            <w:r w:rsidRPr="00B84B0C">
              <w:rPr>
                <w:rFonts w:cs="Arial"/>
                <w:b/>
                <w:sz w:val="12"/>
                <w:szCs w:val="12"/>
                <w:vertAlign w:val="superscript"/>
              </w:rPr>
              <w:t>1)</w:t>
            </w:r>
          </w:p>
        </w:tc>
        <w:tc>
          <w:tcPr>
            <w:tcW w:w="1612" w:type="dxa"/>
            <w:tcBorders>
              <w:top w:val="single" w:sz="2" w:space="0" w:color="8EAADB" w:themeColor="accent5" w:themeTint="99"/>
              <w:bottom w:val="single" w:sz="2" w:space="0" w:color="8EAADB" w:themeColor="accent5" w:themeTint="99"/>
            </w:tcBorders>
            <w:shd w:val="clear" w:color="auto" w:fill="D9E2F3"/>
            <w:vAlign w:val="center"/>
          </w:tcPr>
          <w:p w14:paraId="21F9C59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Subsidiaries</w:t>
            </w:r>
            <w:proofErr w:type="spellEnd"/>
            <w:r w:rsidRPr="00B84B0C">
              <w:rPr>
                <w:rFonts w:cs="Arial"/>
                <w:b/>
                <w:sz w:val="12"/>
                <w:szCs w:val="12"/>
                <w:vertAlign w:val="superscript"/>
              </w:rPr>
              <w:t>(</w:t>
            </w:r>
            <w:proofErr w:type="gramEnd"/>
            <w:r w:rsidRPr="00B84B0C">
              <w:rPr>
                <w:rFonts w:cs="Arial"/>
                <w:b/>
                <w:sz w:val="12"/>
                <w:szCs w:val="12"/>
                <w:vertAlign w:val="superscript"/>
              </w:rPr>
              <w:t>2)</w:t>
            </w:r>
          </w:p>
        </w:tc>
      </w:tr>
      <w:tr w:rsidR="009C72AA" w:rsidRPr="00B84B0C" w14:paraId="08F85A27"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623" w:type="dxa"/>
            <w:gridSpan w:val="2"/>
            <w:tcBorders>
              <w:top w:val="single" w:sz="2" w:space="0" w:color="8EAADB" w:themeColor="accent5" w:themeTint="99"/>
              <w:bottom w:val="nil"/>
            </w:tcBorders>
            <w:shd w:val="clear" w:color="auto" w:fill="FFFFFF" w:themeFill="background1"/>
          </w:tcPr>
          <w:p w14:paraId="1C2889E2" w14:textId="77777777" w:rsidR="009C72AA" w:rsidRPr="00B84B0C" w:rsidRDefault="009C72AA" w:rsidP="009C72AA">
            <w:pPr>
              <w:pStyle w:val="08-Tabelageral"/>
              <w:jc w:val="left"/>
              <w:rPr>
                <w:rFonts w:cs="Arial"/>
              </w:rPr>
            </w:pPr>
            <w:r w:rsidRPr="00B84B0C">
              <w:rPr>
                <w:rFonts w:cs="Arial"/>
              </w:rPr>
              <w:t>Income</w:t>
            </w:r>
          </w:p>
        </w:tc>
        <w:tc>
          <w:tcPr>
            <w:tcW w:w="1504" w:type="dxa"/>
            <w:tcBorders>
              <w:top w:val="single" w:sz="2" w:space="0" w:color="8EAADB" w:themeColor="accent5" w:themeTint="99"/>
              <w:bottom w:val="nil"/>
            </w:tcBorders>
            <w:shd w:val="clear" w:color="auto" w:fill="FFFFFF" w:themeFill="background1"/>
            <w:vAlign w:val="center"/>
          </w:tcPr>
          <w:p w14:paraId="5A3E711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04" w:type="dxa"/>
            <w:tcBorders>
              <w:top w:val="single" w:sz="2" w:space="0" w:color="8EAADB" w:themeColor="accent5" w:themeTint="99"/>
              <w:bottom w:val="nil"/>
            </w:tcBorders>
            <w:shd w:val="clear" w:color="auto" w:fill="FFFFFF" w:themeFill="background1"/>
          </w:tcPr>
          <w:p w14:paraId="2885CFA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 xml:space="preserve"> </w:t>
            </w:r>
          </w:p>
        </w:tc>
        <w:tc>
          <w:tcPr>
            <w:tcW w:w="1504" w:type="dxa"/>
            <w:tcBorders>
              <w:top w:val="single" w:sz="2" w:space="0" w:color="8EAADB" w:themeColor="accent5" w:themeTint="99"/>
              <w:bottom w:val="nil"/>
            </w:tcBorders>
            <w:shd w:val="clear" w:color="auto" w:fill="FFFFFF" w:themeFill="background1"/>
          </w:tcPr>
          <w:p w14:paraId="307C385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612" w:type="dxa"/>
            <w:tcBorders>
              <w:top w:val="single" w:sz="2" w:space="0" w:color="8EAADB" w:themeColor="accent5" w:themeTint="99"/>
            </w:tcBorders>
            <w:shd w:val="clear" w:color="auto" w:fill="FFFFFF" w:themeFill="background1"/>
          </w:tcPr>
          <w:p w14:paraId="288B744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r>
      <w:tr w:rsidR="009C72AA" w:rsidRPr="00B84B0C" w14:paraId="75445DB6"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623" w:type="dxa"/>
            <w:gridSpan w:val="2"/>
            <w:tcBorders>
              <w:top w:val="nil"/>
              <w:bottom w:val="nil"/>
            </w:tcBorders>
            <w:shd w:val="clear" w:color="auto" w:fill="D9E2F3"/>
          </w:tcPr>
          <w:p w14:paraId="3AA750E7" w14:textId="77777777" w:rsidR="009C72AA" w:rsidRPr="00B84B0C" w:rsidRDefault="009C72AA" w:rsidP="009C72AA">
            <w:pPr>
              <w:pStyle w:val="08-Tabelageral"/>
              <w:jc w:val="left"/>
              <w:rPr>
                <w:rFonts w:cs="Arial"/>
                <w:b w:val="0"/>
              </w:rPr>
            </w:pPr>
            <w:proofErr w:type="spellStart"/>
            <w:r w:rsidRPr="00B84B0C">
              <w:rPr>
                <w:rFonts w:cs="Arial"/>
                <w:b w:val="0"/>
              </w:rPr>
              <w:t>Interest</w:t>
            </w:r>
            <w:proofErr w:type="spellEnd"/>
            <w:r w:rsidRPr="00B84B0C">
              <w:rPr>
                <w:rFonts w:cs="Arial"/>
                <w:b w:val="0"/>
              </w:rPr>
              <w:t xml:space="preserve"> </w:t>
            </w:r>
            <w:proofErr w:type="spellStart"/>
            <w:r w:rsidRPr="00B84B0C">
              <w:rPr>
                <w:rFonts w:cs="Arial"/>
                <w:b w:val="0"/>
              </w:rPr>
              <w:t>earnings</w:t>
            </w:r>
            <w:proofErr w:type="spellEnd"/>
            <w:r w:rsidRPr="00B84B0C">
              <w:rPr>
                <w:rFonts w:cs="Arial"/>
                <w:b w:val="0"/>
              </w:rPr>
              <w:t xml:space="preserve"> </w:t>
            </w:r>
            <w:proofErr w:type="spellStart"/>
            <w:r w:rsidRPr="00B84B0C">
              <w:rPr>
                <w:rFonts w:cs="Arial"/>
                <w:b w:val="0"/>
              </w:rPr>
              <w:t>of</w:t>
            </w:r>
            <w:proofErr w:type="spellEnd"/>
            <w:r w:rsidRPr="00B84B0C">
              <w:rPr>
                <w:rFonts w:cs="Arial"/>
                <w:b w:val="0"/>
              </w:rPr>
              <w:t xml:space="preserve"> financial </w:t>
            </w:r>
            <w:proofErr w:type="spellStart"/>
            <w:r w:rsidRPr="00B84B0C">
              <w:rPr>
                <w:rFonts w:cs="Arial"/>
                <w:b w:val="0"/>
              </w:rPr>
              <w:t>instruments</w:t>
            </w:r>
            <w:proofErr w:type="spellEnd"/>
          </w:p>
        </w:tc>
        <w:tc>
          <w:tcPr>
            <w:tcW w:w="1504" w:type="dxa"/>
            <w:tcBorders>
              <w:top w:val="nil"/>
              <w:bottom w:val="nil"/>
            </w:tcBorders>
            <w:shd w:val="clear" w:color="auto" w:fill="D9E2F3"/>
            <w:vAlign w:val="center"/>
          </w:tcPr>
          <w:p w14:paraId="3FD7736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37,577</w:t>
            </w:r>
          </w:p>
        </w:tc>
        <w:tc>
          <w:tcPr>
            <w:tcW w:w="1504" w:type="dxa"/>
            <w:tcBorders>
              <w:top w:val="nil"/>
              <w:bottom w:val="nil"/>
            </w:tcBorders>
            <w:shd w:val="clear" w:color="auto" w:fill="D9E2F3"/>
            <w:vAlign w:val="center"/>
          </w:tcPr>
          <w:p w14:paraId="4772125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504" w:type="dxa"/>
            <w:tcBorders>
              <w:top w:val="nil"/>
              <w:bottom w:val="nil"/>
            </w:tcBorders>
            <w:shd w:val="clear" w:color="auto" w:fill="D9E2F3"/>
          </w:tcPr>
          <w:p w14:paraId="7E35DBE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27,152</w:t>
            </w:r>
          </w:p>
        </w:tc>
        <w:tc>
          <w:tcPr>
            <w:tcW w:w="1612" w:type="dxa"/>
            <w:shd w:val="clear" w:color="auto" w:fill="D9E2F3"/>
          </w:tcPr>
          <w:p w14:paraId="73433B3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9C72AA" w:rsidRPr="00B84B0C" w14:paraId="138FA804"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623" w:type="dxa"/>
            <w:gridSpan w:val="2"/>
            <w:tcBorders>
              <w:top w:val="nil"/>
              <w:bottom w:val="nil"/>
            </w:tcBorders>
            <w:shd w:val="clear" w:color="auto" w:fill="FFFFFF" w:themeFill="background1"/>
          </w:tcPr>
          <w:p w14:paraId="5ACC0521" w14:textId="77777777" w:rsidR="009C72AA" w:rsidRPr="00B84B0C" w:rsidRDefault="009C72AA" w:rsidP="009C72AA">
            <w:pPr>
              <w:pStyle w:val="08-Tabelageral"/>
              <w:jc w:val="left"/>
              <w:rPr>
                <w:rFonts w:cs="Arial"/>
                <w:b w:val="0"/>
              </w:rPr>
            </w:pPr>
            <w:proofErr w:type="spellStart"/>
            <w:r w:rsidRPr="00B84B0C">
              <w:rPr>
                <w:rFonts w:cs="Arial"/>
                <w:b w:val="0"/>
              </w:rPr>
              <w:t>Personnel</w:t>
            </w:r>
            <w:proofErr w:type="spellEnd"/>
            <w:r w:rsidRPr="00B84B0C">
              <w:rPr>
                <w:rFonts w:cs="Arial"/>
                <w:b w:val="0"/>
              </w:rPr>
              <w:t xml:space="preserve"> </w:t>
            </w:r>
            <w:proofErr w:type="spellStart"/>
            <w:r w:rsidRPr="00B84B0C">
              <w:rPr>
                <w:rFonts w:cs="Arial"/>
                <w:b w:val="0"/>
              </w:rPr>
              <w:t>expenses</w:t>
            </w:r>
            <w:proofErr w:type="spellEnd"/>
          </w:p>
        </w:tc>
        <w:tc>
          <w:tcPr>
            <w:tcW w:w="1504" w:type="dxa"/>
            <w:tcBorders>
              <w:top w:val="nil"/>
              <w:bottom w:val="nil"/>
            </w:tcBorders>
            <w:shd w:val="clear" w:color="auto" w:fill="FFFFFF" w:themeFill="background1"/>
            <w:vAlign w:val="center"/>
          </w:tcPr>
          <w:p w14:paraId="5FEDA01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(2,772)</w:t>
            </w:r>
          </w:p>
        </w:tc>
        <w:tc>
          <w:tcPr>
            <w:tcW w:w="1504" w:type="dxa"/>
            <w:tcBorders>
              <w:top w:val="nil"/>
              <w:bottom w:val="nil"/>
            </w:tcBorders>
            <w:shd w:val="clear" w:color="auto" w:fill="FFFFFF" w:themeFill="background1"/>
            <w:vAlign w:val="center"/>
          </w:tcPr>
          <w:p w14:paraId="3A24BCF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504" w:type="dxa"/>
            <w:tcBorders>
              <w:top w:val="nil"/>
              <w:bottom w:val="nil"/>
            </w:tcBorders>
            <w:shd w:val="clear" w:color="auto" w:fill="FFFFFF" w:themeFill="background1"/>
          </w:tcPr>
          <w:p w14:paraId="2E73668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(2,481)</w:t>
            </w:r>
          </w:p>
        </w:tc>
        <w:tc>
          <w:tcPr>
            <w:tcW w:w="1612" w:type="dxa"/>
            <w:shd w:val="clear" w:color="auto" w:fill="FFFFFF" w:themeFill="background1"/>
          </w:tcPr>
          <w:p w14:paraId="1C30B4A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r>
      <w:tr w:rsidR="009C72AA" w:rsidRPr="00B84B0C" w14:paraId="27A92610"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623" w:type="dxa"/>
            <w:gridSpan w:val="2"/>
            <w:tcBorders>
              <w:top w:val="nil"/>
              <w:bottom w:val="nil"/>
            </w:tcBorders>
            <w:shd w:val="clear" w:color="auto" w:fill="D9E2F3"/>
          </w:tcPr>
          <w:p w14:paraId="092D5528" w14:textId="77777777" w:rsidR="009C72AA" w:rsidRPr="00B84B0C" w:rsidRDefault="009C72AA" w:rsidP="009C72AA">
            <w:pPr>
              <w:pStyle w:val="08-Tabelageral"/>
              <w:jc w:val="left"/>
              <w:rPr>
                <w:rFonts w:cs="Arial"/>
                <w:b w:val="0"/>
              </w:rPr>
            </w:pPr>
            <w:proofErr w:type="spellStart"/>
            <w:r w:rsidRPr="00B84B0C">
              <w:rPr>
                <w:rFonts w:cs="Arial"/>
                <w:b w:val="0"/>
              </w:rPr>
              <w:t>Administrative</w:t>
            </w:r>
            <w:proofErr w:type="spellEnd"/>
            <w:r w:rsidRPr="00B84B0C">
              <w:rPr>
                <w:rFonts w:cs="Arial"/>
                <w:b w:val="0"/>
              </w:rPr>
              <w:t xml:space="preserve"> </w:t>
            </w:r>
            <w:proofErr w:type="spellStart"/>
            <w:r w:rsidRPr="00B84B0C">
              <w:rPr>
                <w:rFonts w:cs="Arial"/>
                <w:b w:val="0"/>
              </w:rPr>
              <w:t>expenses</w:t>
            </w:r>
            <w:proofErr w:type="spellEnd"/>
            <w:r w:rsidRPr="00B84B0C">
              <w:rPr>
                <w:rFonts w:cs="Arial"/>
                <w:b w:val="0"/>
              </w:rPr>
              <w:t xml:space="preserve"> </w:t>
            </w:r>
            <w:r w:rsidRPr="00B84B0C">
              <w:rPr>
                <w:rFonts w:cs="Arial"/>
                <w:b w:val="0"/>
                <w:vertAlign w:val="superscript"/>
              </w:rPr>
              <w:t>(3)</w:t>
            </w:r>
          </w:p>
        </w:tc>
        <w:tc>
          <w:tcPr>
            <w:tcW w:w="1504" w:type="dxa"/>
            <w:tcBorders>
              <w:top w:val="nil"/>
              <w:bottom w:val="nil"/>
            </w:tcBorders>
            <w:shd w:val="clear" w:color="auto" w:fill="D9E2F3"/>
            <w:vAlign w:val="center"/>
          </w:tcPr>
          <w:p w14:paraId="2B289FB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(314)</w:t>
            </w:r>
          </w:p>
        </w:tc>
        <w:tc>
          <w:tcPr>
            <w:tcW w:w="1504" w:type="dxa"/>
            <w:tcBorders>
              <w:top w:val="nil"/>
              <w:bottom w:val="nil"/>
            </w:tcBorders>
            <w:shd w:val="clear" w:color="auto" w:fill="D9E2F3"/>
            <w:vAlign w:val="center"/>
          </w:tcPr>
          <w:p w14:paraId="50852F6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504" w:type="dxa"/>
            <w:tcBorders>
              <w:top w:val="nil"/>
              <w:bottom w:val="nil"/>
            </w:tcBorders>
            <w:shd w:val="clear" w:color="auto" w:fill="D9E2F3"/>
          </w:tcPr>
          <w:p w14:paraId="2078C4D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(435)</w:t>
            </w:r>
          </w:p>
        </w:tc>
        <w:tc>
          <w:tcPr>
            <w:tcW w:w="1612" w:type="dxa"/>
            <w:shd w:val="clear" w:color="auto" w:fill="D9E2F3"/>
          </w:tcPr>
          <w:p w14:paraId="5424ED1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9C72AA" w:rsidRPr="00B84B0C" w14:paraId="531B97B3"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623" w:type="dxa"/>
            <w:gridSpan w:val="2"/>
            <w:tcBorders>
              <w:top w:val="nil"/>
              <w:bottom w:val="nil"/>
            </w:tcBorders>
            <w:shd w:val="clear" w:color="auto" w:fill="FFFFFF" w:themeFill="background1"/>
          </w:tcPr>
          <w:p w14:paraId="1F25F3F4" w14:textId="77777777" w:rsidR="009C72AA" w:rsidRPr="00B84B0C" w:rsidRDefault="009C72AA" w:rsidP="009C72AA">
            <w:pPr>
              <w:pStyle w:val="08-Tabelageral"/>
              <w:jc w:val="left"/>
              <w:rPr>
                <w:rFonts w:cs="Arial"/>
                <w:b w:val="0"/>
              </w:rPr>
            </w:pPr>
            <w:proofErr w:type="spellStart"/>
            <w:r w:rsidRPr="00B84B0C">
              <w:rPr>
                <w:rFonts w:cs="Arial"/>
                <w:b w:val="0"/>
              </w:rPr>
              <w:t>Monetary</w:t>
            </w:r>
            <w:proofErr w:type="spellEnd"/>
            <w:r w:rsidRPr="00B84B0C">
              <w:rPr>
                <w:rFonts w:cs="Arial"/>
                <w:b w:val="0"/>
              </w:rPr>
              <w:t xml:space="preserve"> </w:t>
            </w:r>
            <w:proofErr w:type="spellStart"/>
            <w:r w:rsidRPr="00B84B0C">
              <w:rPr>
                <w:rFonts w:cs="Arial"/>
                <w:b w:val="0"/>
              </w:rPr>
              <w:t>assets</w:t>
            </w:r>
            <w:proofErr w:type="spellEnd"/>
            <w:r w:rsidRPr="00B84B0C">
              <w:rPr>
                <w:rFonts w:cs="Arial"/>
                <w:b w:val="0"/>
              </w:rPr>
              <w:t xml:space="preserve"> </w:t>
            </w:r>
            <w:proofErr w:type="spellStart"/>
            <w:r w:rsidRPr="00B84B0C">
              <w:rPr>
                <w:rFonts w:cs="Arial"/>
                <w:b w:val="0"/>
              </w:rPr>
              <w:t>changes</w:t>
            </w:r>
            <w:proofErr w:type="spellEnd"/>
          </w:p>
        </w:tc>
        <w:tc>
          <w:tcPr>
            <w:tcW w:w="1504" w:type="dxa"/>
            <w:tcBorders>
              <w:top w:val="nil"/>
              <w:bottom w:val="nil"/>
            </w:tcBorders>
            <w:shd w:val="clear" w:color="auto" w:fill="FFFFFF" w:themeFill="background1"/>
            <w:vAlign w:val="center"/>
          </w:tcPr>
          <w:p w14:paraId="0E0C9DB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504" w:type="dxa"/>
            <w:tcBorders>
              <w:top w:val="nil"/>
              <w:bottom w:val="nil"/>
            </w:tcBorders>
            <w:shd w:val="clear" w:color="auto" w:fill="FFFFFF" w:themeFill="background1"/>
            <w:vAlign w:val="center"/>
          </w:tcPr>
          <w:p w14:paraId="150AAF8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11,229</w:t>
            </w:r>
          </w:p>
        </w:tc>
        <w:tc>
          <w:tcPr>
            <w:tcW w:w="1504" w:type="dxa"/>
            <w:tcBorders>
              <w:top w:val="nil"/>
              <w:bottom w:val="nil"/>
            </w:tcBorders>
            <w:shd w:val="clear" w:color="auto" w:fill="FFFFFF" w:themeFill="background1"/>
          </w:tcPr>
          <w:p w14:paraId="55FB825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612" w:type="dxa"/>
            <w:shd w:val="clear" w:color="auto" w:fill="FFFFFF" w:themeFill="background1"/>
          </w:tcPr>
          <w:p w14:paraId="2CC3157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5,487</w:t>
            </w:r>
          </w:p>
        </w:tc>
      </w:tr>
      <w:tr w:rsidR="009C72AA" w:rsidRPr="00B84B0C" w14:paraId="0D66ED9D"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3623" w:type="dxa"/>
            <w:gridSpan w:val="2"/>
            <w:tcBorders>
              <w:top w:val="nil"/>
              <w:bottom w:val="single" w:sz="2" w:space="0" w:color="8EAADB" w:themeColor="accent5" w:themeTint="99"/>
            </w:tcBorders>
            <w:shd w:val="clear" w:color="auto" w:fill="D9E2F3"/>
          </w:tcPr>
          <w:p w14:paraId="64979893" w14:textId="77777777" w:rsidR="009C72AA" w:rsidRPr="00B84B0C" w:rsidRDefault="009C72AA" w:rsidP="009C72AA">
            <w:pPr>
              <w:pStyle w:val="08-Tabelageral"/>
              <w:jc w:val="left"/>
              <w:rPr>
                <w:rFonts w:cs="Arial"/>
                <w:b w:val="0"/>
              </w:rPr>
            </w:pPr>
            <w:proofErr w:type="spellStart"/>
            <w:r w:rsidRPr="00B84B0C">
              <w:rPr>
                <w:rFonts w:cs="Arial"/>
                <w:b w:val="0"/>
                <w:color w:val="000000"/>
              </w:rPr>
              <w:t>Monetary</w:t>
            </w:r>
            <w:proofErr w:type="spellEnd"/>
            <w:r w:rsidRPr="00B84B0C">
              <w:rPr>
                <w:rFonts w:cs="Arial"/>
                <w:b w:val="0"/>
                <w:color w:val="000000"/>
              </w:rPr>
              <w:t xml:space="preserve"> </w:t>
            </w:r>
            <w:proofErr w:type="spellStart"/>
            <w:r w:rsidRPr="00B84B0C">
              <w:rPr>
                <w:rFonts w:cs="Arial"/>
                <w:b w:val="0"/>
                <w:color w:val="000000"/>
              </w:rPr>
              <w:t>liabilities</w:t>
            </w:r>
            <w:proofErr w:type="spellEnd"/>
            <w:r w:rsidRPr="00B84B0C">
              <w:rPr>
                <w:rFonts w:cs="Arial"/>
                <w:b w:val="0"/>
                <w:color w:val="000000"/>
              </w:rPr>
              <w:t xml:space="preserve"> </w:t>
            </w:r>
            <w:proofErr w:type="spellStart"/>
            <w:r w:rsidRPr="00B84B0C">
              <w:rPr>
                <w:rFonts w:cs="Arial"/>
                <w:b w:val="0"/>
                <w:color w:val="000000"/>
              </w:rPr>
              <w:t>changes</w:t>
            </w:r>
            <w:proofErr w:type="spellEnd"/>
          </w:p>
        </w:tc>
        <w:tc>
          <w:tcPr>
            <w:tcW w:w="1504" w:type="dxa"/>
            <w:tcBorders>
              <w:top w:val="nil"/>
              <w:bottom w:val="single" w:sz="2" w:space="0" w:color="8EAADB" w:themeColor="accent5" w:themeTint="99"/>
            </w:tcBorders>
            <w:shd w:val="clear" w:color="auto" w:fill="D9E2F3"/>
            <w:vAlign w:val="center"/>
          </w:tcPr>
          <w:p w14:paraId="26C5247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(16,477)</w:t>
            </w:r>
          </w:p>
        </w:tc>
        <w:tc>
          <w:tcPr>
            <w:tcW w:w="1504" w:type="dxa"/>
            <w:tcBorders>
              <w:top w:val="nil"/>
              <w:bottom w:val="single" w:sz="2" w:space="0" w:color="8EAADB" w:themeColor="accent5" w:themeTint="99"/>
            </w:tcBorders>
            <w:shd w:val="clear" w:color="auto" w:fill="D9E2F3"/>
            <w:vAlign w:val="center"/>
          </w:tcPr>
          <w:p w14:paraId="74155DC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504" w:type="dxa"/>
            <w:tcBorders>
              <w:top w:val="nil"/>
              <w:bottom w:val="single" w:sz="2" w:space="0" w:color="8EAADB" w:themeColor="accent5" w:themeTint="99"/>
            </w:tcBorders>
            <w:shd w:val="clear" w:color="auto" w:fill="D9E2F3"/>
          </w:tcPr>
          <w:p w14:paraId="72BC302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(8,864)</w:t>
            </w:r>
          </w:p>
        </w:tc>
        <w:tc>
          <w:tcPr>
            <w:tcW w:w="1612" w:type="dxa"/>
            <w:tcBorders>
              <w:bottom w:val="single" w:sz="2" w:space="0" w:color="8EAADB" w:themeColor="accent5" w:themeTint="99"/>
            </w:tcBorders>
            <w:shd w:val="clear" w:color="auto" w:fill="D9E2F3"/>
          </w:tcPr>
          <w:p w14:paraId="3890284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bl>
    <w:p w14:paraId="40B65921" w14:textId="77777777" w:rsidR="009C72AA" w:rsidRPr="00B84B0C" w:rsidRDefault="009C72AA" w:rsidP="009C72AA">
      <w:pPr>
        <w:pStyle w:val="07-Legenda"/>
        <w:numPr>
          <w:ilvl w:val="0"/>
          <w:numId w:val="37"/>
        </w:numPr>
        <w:ind w:left="284" w:hanging="284"/>
        <w:rPr>
          <w:rFonts w:cs="Arial"/>
          <w:lang w:val="en-US"/>
        </w:rPr>
      </w:pPr>
      <w:r w:rsidRPr="00B84B0C">
        <w:rPr>
          <w:rFonts w:cs="Arial"/>
          <w:lang w:val="en-US"/>
        </w:rPr>
        <w:t xml:space="preserve">Banco do </w:t>
      </w:r>
      <w:proofErr w:type="spellStart"/>
      <w:r w:rsidRPr="00B84B0C">
        <w:rPr>
          <w:rFonts w:cs="Arial"/>
          <w:lang w:val="en-US"/>
        </w:rPr>
        <w:t>Brasil</w:t>
      </w:r>
      <w:proofErr w:type="spellEnd"/>
      <w:r w:rsidRPr="00B84B0C">
        <w:rPr>
          <w:rFonts w:cs="Arial"/>
          <w:lang w:val="en-US"/>
        </w:rPr>
        <w:t xml:space="preserve"> S.A.</w:t>
      </w:r>
    </w:p>
    <w:p w14:paraId="2E863090" w14:textId="77777777" w:rsidR="009C72AA" w:rsidRPr="00B84B0C" w:rsidRDefault="009C72AA" w:rsidP="009C72AA">
      <w:pPr>
        <w:pStyle w:val="07-Legenda"/>
        <w:numPr>
          <w:ilvl w:val="0"/>
          <w:numId w:val="37"/>
        </w:numPr>
        <w:ind w:left="284" w:hanging="284"/>
        <w:rPr>
          <w:rFonts w:cs="Arial"/>
          <w:lang w:val="en-US"/>
        </w:rPr>
      </w:pPr>
      <w:r w:rsidRPr="00B84B0C">
        <w:rPr>
          <w:rFonts w:cs="Arial"/>
          <w:lang w:val="en-US"/>
        </w:rPr>
        <w:t xml:space="preserve">BB </w:t>
      </w:r>
      <w:proofErr w:type="spellStart"/>
      <w:r w:rsidRPr="00B84B0C">
        <w:rPr>
          <w:rFonts w:cs="Arial"/>
          <w:lang w:val="en-US"/>
        </w:rPr>
        <w:t>Seguros</w:t>
      </w:r>
      <w:proofErr w:type="spellEnd"/>
      <w:r w:rsidRPr="00B84B0C">
        <w:rPr>
          <w:rFonts w:cs="Arial"/>
          <w:lang w:val="en-US"/>
        </w:rPr>
        <w:t xml:space="preserve"> and BB </w:t>
      </w:r>
      <w:proofErr w:type="spellStart"/>
      <w:r w:rsidRPr="00B84B0C">
        <w:rPr>
          <w:rFonts w:cs="Arial"/>
          <w:lang w:val="en-US"/>
        </w:rPr>
        <w:t>Corretora</w:t>
      </w:r>
      <w:proofErr w:type="spellEnd"/>
      <w:r w:rsidRPr="00B84B0C">
        <w:rPr>
          <w:rFonts w:cs="Arial"/>
          <w:lang w:val="en-US"/>
        </w:rPr>
        <w:t>.</w:t>
      </w:r>
    </w:p>
    <w:p w14:paraId="6D01DB87" w14:textId="77777777" w:rsidR="009C72AA" w:rsidRPr="00B84B0C" w:rsidRDefault="009C72AA" w:rsidP="009C72AA">
      <w:pPr>
        <w:pStyle w:val="07-Legenda"/>
        <w:numPr>
          <w:ilvl w:val="0"/>
          <w:numId w:val="37"/>
        </w:numPr>
        <w:ind w:left="284" w:hanging="284"/>
        <w:rPr>
          <w:rFonts w:cs="Arial"/>
          <w:lang w:val="en-US"/>
        </w:rPr>
      </w:pPr>
      <w:r w:rsidRPr="00B84B0C">
        <w:rPr>
          <w:rFonts w:cs="Arial"/>
          <w:lang w:val="en-US"/>
        </w:rPr>
        <w:t xml:space="preserve">Refers to expenses as sharing contract customer data, use of staff, distribution network and resource materials technological and administrative, between the Banco do </w:t>
      </w:r>
      <w:proofErr w:type="spellStart"/>
      <w:r w:rsidRPr="00B84B0C">
        <w:rPr>
          <w:rFonts w:cs="Arial"/>
          <w:lang w:val="en-US"/>
        </w:rPr>
        <w:t>Brasil</w:t>
      </w:r>
      <w:proofErr w:type="spellEnd"/>
      <w:r w:rsidRPr="00B84B0C">
        <w:rPr>
          <w:rFonts w:cs="Arial"/>
          <w:lang w:val="en-US"/>
        </w:rPr>
        <w:t xml:space="preserve">, BB </w:t>
      </w:r>
      <w:proofErr w:type="spellStart"/>
      <w:r w:rsidRPr="00B84B0C">
        <w:rPr>
          <w:rFonts w:cs="Arial"/>
          <w:lang w:val="en-US"/>
        </w:rPr>
        <w:t>Seguridade</w:t>
      </w:r>
      <w:proofErr w:type="spellEnd"/>
      <w:r w:rsidRPr="00B84B0C">
        <w:rPr>
          <w:rFonts w:cs="Arial"/>
          <w:lang w:val="en-US"/>
        </w:rPr>
        <w:t xml:space="preserve">, BB </w:t>
      </w:r>
      <w:proofErr w:type="spellStart"/>
      <w:r w:rsidRPr="00B84B0C">
        <w:rPr>
          <w:rFonts w:cs="Arial"/>
          <w:lang w:val="en-US"/>
        </w:rPr>
        <w:t>Corretora</w:t>
      </w:r>
      <w:proofErr w:type="spellEnd"/>
      <w:r w:rsidRPr="00B84B0C">
        <w:rPr>
          <w:rFonts w:cs="Arial"/>
          <w:lang w:val="en-US"/>
        </w:rPr>
        <w:t xml:space="preserve"> and BB </w:t>
      </w:r>
      <w:proofErr w:type="spellStart"/>
      <w:r w:rsidRPr="00B84B0C">
        <w:rPr>
          <w:rFonts w:cs="Arial"/>
          <w:lang w:val="en-US"/>
        </w:rPr>
        <w:t>Seguros</w:t>
      </w:r>
      <w:proofErr w:type="spellEnd"/>
      <w:r w:rsidRPr="00B84B0C">
        <w:rPr>
          <w:rFonts w:cs="Arial"/>
          <w:lang w:val="en-US"/>
        </w:rPr>
        <w:t>.</w:t>
      </w:r>
    </w:p>
    <w:p w14:paraId="7B4FB45D" w14:textId="77777777" w:rsidR="009C72AA" w:rsidRPr="00B84B0C" w:rsidRDefault="009C72AA" w:rsidP="009C72AA">
      <w:pPr>
        <w:spacing w:after="0" w:line="240" w:lineRule="auto"/>
        <w:rPr>
          <w:rFonts w:cs="Arial"/>
          <w:b/>
          <w:color w:val="1F4E79" w:themeColor="accent1" w:themeShade="80"/>
          <w:sz w:val="20"/>
          <w:szCs w:val="20"/>
        </w:rPr>
      </w:pPr>
    </w:p>
    <w:p w14:paraId="3BC74A66" w14:textId="77777777" w:rsidR="009C72AA" w:rsidRPr="00B84B0C" w:rsidRDefault="009C72AA" w:rsidP="009C72AA">
      <w:pPr>
        <w:spacing w:after="0" w:line="240" w:lineRule="auto"/>
        <w:rPr>
          <w:rFonts w:cs="Arial"/>
          <w:b/>
          <w:color w:val="1F4E79" w:themeColor="accent1" w:themeShade="80"/>
          <w:sz w:val="20"/>
          <w:szCs w:val="20"/>
        </w:rPr>
      </w:pPr>
      <w:r w:rsidRPr="00B84B0C">
        <w:rPr>
          <w:rFonts w:cs="Arial"/>
          <w:b/>
          <w:color w:val="1F4E79" w:themeColor="accent1" w:themeShade="80"/>
          <w:sz w:val="20"/>
          <w:szCs w:val="20"/>
        </w:rPr>
        <w:t xml:space="preserve">BB Seguridade – </w:t>
      </w:r>
      <w:proofErr w:type="spellStart"/>
      <w:r w:rsidRPr="00B84B0C">
        <w:rPr>
          <w:rFonts w:cs="Arial"/>
          <w:b/>
          <w:color w:val="1F4E79" w:themeColor="accent1" w:themeShade="80"/>
          <w:sz w:val="20"/>
          <w:szCs w:val="20"/>
        </w:rPr>
        <w:t>Consolidated</w:t>
      </w:r>
      <w:proofErr w:type="spellEnd"/>
    </w:p>
    <w:p w14:paraId="677DF335" w14:textId="77777777" w:rsidR="009C72AA" w:rsidRPr="00B84B0C" w:rsidRDefault="009C72AA" w:rsidP="009C72AA">
      <w:pPr>
        <w:pStyle w:val="01-TtulodeNota"/>
        <w:spacing w:before="0" w:after="0"/>
        <w:ind w:firstLine="708"/>
        <w:jc w:val="right"/>
        <w:rPr>
          <w:rFonts w:cs="Arial"/>
          <w:sz w:val="14"/>
          <w:szCs w:val="14"/>
        </w:rPr>
      </w:pPr>
      <w:r w:rsidRPr="00B84B0C">
        <w:rPr>
          <w:rFonts w:cs="Arial"/>
          <w:sz w:val="14"/>
          <w:szCs w:val="14"/>
        </w:rPr>
        <w:t xml:space="preserve">R$ </w:t>
      </w:r>
      <w:proofErr w:type="spellStart"/>
      <w:r w:rsidRPr="00B84B0C">
        <w:rPr>
          <w:rFonts w:cs="Arial"/>
          <w:sz w:val="14"/>
          <w:szCs w:val="14"/>
        </w:rPr>
        <w:t>thousand</w:t>
      </w:r>
      <w:proofErr w:type="spellEnd"/>
    </w:p>
    <w:tbl>
      <w:tblPr>
        <w:tblStyle w:val="TabeladeLista6Colorida-nfase510"/>
        <w:tblW w:w="9639" w:type="dxa"/>
        <w:tblInd w:w="108" w:type="dxa"/>
        <w:tblLayout w:type="fixed"/>
        <w:tblLook w:val="04A0" w:firstRow="1" w:lastRow="0" w:firstColumn="1" w:lastColumn="0" w:noHBand="0" w:noVBand="1"/>
      </w:tblPr>
      <w:tblGrid>
        <w:gridCol w:w="1126"/>
        <w:gridCol w:w="3049"/>
        <w:gridCol w:w="1339"/>
        <w:gridCol w:w="1339"/>
        <w:gridCol w:w="1339"/>
        <w:gridCol w:w="1447"/>
      </w:tblGrid>
      <w:tr w:rsidR="009C72AA" w:rsidRPr="00B84B0C" w14:paraId="72FEFB16" w14:textId="77777777" w:rsidTr="009C72AA">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126" w:type="dxa"/>
            <w:tcBorders>
              <w:top w:val="single" w:sz="2" w:space="0" w:color="8EAADB" w:themeColor="accent5" w:themeTint="99"/>
              <w:bottom w:val="nil"/>
            </w:tcBorders>
            <w:vAlign w:val="center"/>
          </w:tcPr>
          <w:p w14:paraId="65E83562" w14:textId="77777777" w:rsidR="009C72AA" w:rsidRPr="00B84B0C" w:rsidRDefault="009C72AA" w:rsidP="009C72AA">
            <w:pPr>
              <w:pStyle w:val="08-Tabelageral"/>
              <w:rPr>
                <w:rFonts w:cs="Arial"/>
              </w:rPr>
            </w:pPr>
          </w:p>
        </w:tc>
        <w:tc>
          <w:tcPr>
            <w:tcW w:w="3049" w:type="dxa"/>
            <w:tcBorders>
              <w:top w:val="single" w:sz="2" w:space="0" w:color="8EAADB" w:themeColor="accent5" w:themeTint="99"/>
              <w:bottom w:val="nil"/>
            </w:tcBorders>
            <w:vAlign w:val="center"/>
          </w:tcPr>
          <w:p w14:paraId="1854D77B" w14:textId="77777777" w:rsidR="009C72AA" w:rsidRPr="00B84B0C" w:rsidRDefault="009C72AA" w:rsidP="009C72AA">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2678" w:type="dxa"/>
            <w:gridSpan w:val="2"/>
            <w:tcBorders>
              <w:top w:val="single" w:sz="2" w:space="0" w:color="8EAADB" w:themeColor="accent5" w:themeTint="99"/>
              <w:bottom w:val="single" w:sz="2" w:space="0" w:color="8EAADB" w:themeColor="accent5" w:themeTint="99"/>
            </w:tcBorders>
            <w:vAlign w:val="center"/>
          </w:tcPr>
          <w:p w14:paraId="09DB4C39"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rPr>
            </w:pPr>
            <w:r w:rsidRPr="00B84B0C">
              <w:rPr>
                <w:rFonts w:cs="Arial"/>
              </w:rPr>
              <w:t>Mar 31, 2020</w:t>
            </w:r>
          </w:p>
        </w:tc>
        <w:tc>
          <w:tcPr>
            <w:tcW w:w="2786" w:type="dxa"/>
            <w:gridSpan w:val="2"/>
            <w:tcBorders>
              <w:top w:val="single" w:sz="2" w:space="0" w:color="8EAADB" w:themeColor="accent5" w:themeTint="99"/>
              <w:bottom w:val="single" w:sz="2" w:space="0" w:color="8EAADB" w:themeColor="accent5" w:themeTint="99"/>
            </w:tcBorders>
            <w:vAlign w:val="center"/>
          </w:tcPr>
          <w:p w14:paraId="3D07E593"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 xml:space="preserve"> </w:t>
            </w:r>
            <w:proofErr w:type="spellStart"/>
            <w:r w:rsidRPr="00B84B0C">
              <w:rPr>
                <w:rFonts w:cs="Arial"/>
              </w:rPr>
              <w:t>Dec</w:t>
            </w:r>
            <w:proofErr w:type="spellEnd"/>
            <w:r w:rsidRPr="00B84B0C">
              <w:rPr>
                <w:rFonts w:cs="Arial"/>
              </w:rPr>
              <w:t xml:space="preserve"> 31, 2019</w:t>
            </w:r>
          </w:p>
        </w:tc>
      </w:tr>
      <w:tr w:rsidR="009C72AA" w:rsidRPr="00B84B0C" w14:paraId="7E5917F0" w14:textId="77777777" w:rsidTr="009C72A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single" w:sz="2" w:space="0" w:color="8EAADB" w:themeColor="accent5" w:themeTint="99"/>
            </w:tcBorders>
            <w:shd w:val="clear" w:color="auto" w:fill="D9E2F3"/>
            <w:vAlign w:val="center"/>
          </w:tcPr>
          <w:p w14:paraId="3AF36E28" w14:textId="77777777" w:rsidR="009C72AA" w:rsidRPr="00B84B0C" w:rsidRDefault="009C72AA" w:rsidP="009C72AA">
            <w:pPr>
              <w:pStyle w:val="08-Tabelageral"/>
              <w:rPr>
                <w:rFonts w:cs="Arial"/>
                <w:sz w:val="12"/>
                <w:szCs w:val="12"/>
              </w:rPr>
            </w:pPr>
          </w:p>
        </w:tc>
        <w:tc>
          <w:tcPr>
            <w:tcW w:w="1339" w:type="dxa"/>
            <w:tcBorders>
              <w:top w:val="nil"/>
              <w:bottom w:val="single" w:sz="2" w:space="0" w:color="8EAADB" w:themeColor="accent5" w:themeTint="99"/>
            </w:tcBorders>
            <w:shd w:val="clear" w:color="auto" w:fill="D9E2F3"/>
            <w:vAlign w:val="center"/>
          </w:tcPr>
          <w:p w14:paraId="27D5D56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Controller</w:t>
            </w:r>
            <w:proofErr w:type="spellEnd"/>
            <w:r w:rsidRPr="00B84B0C">
              <w:rPr>
                <w:rFonts w:cs="Arial"/>
                <w:b/>
                <w:sz w:val="12"/>
                <w:szCs w:val="12"/>
                <w:vertAlign w:val="superscript"/>
              </w:rPr>
              <w:t>(</w:t>
            </w:r>
            <w:proofErr w:type="gramEnd"/>
            <w:r w:rsidRPr="00B84B0C">
              <w:rPr>
                <w:rFonts w:cs="Arial"/>
                <w:b/>
                <w:sz w:val="12"/>
                <w:szCs w:val="12"/>
                <w:vertAlign w:val="superscript"/>
              </w:rPr>
              <w:t>1)</w:t>
            </w:r>
          </w:p>
        </w:tc>
        <w:tc>
          <w:tcPr>
            <w:tcW w:w="1339" w:type="dxa"/>
            <w:tcBorders>
              <w:top w:val="single" w:sz="2" w:space="0" w:color="8EAADB" w:themeColor="accent5" w:themeTint="99"/>
              <w:bottom w:val="single" w:sz="2" w:space="0" w:color="8EAADB" w:themeColor="accent5" w:themeTint="99"/>
            </w:tcBorders>
            <w:shd w:val="clear" w:color="auto" w:fill="D9E2F3"/>
            <w:vAlign w:val="center"/>
          </w:tcPr>
          <w:p w14:paraId="5169180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r w:rsidRPr="00B84B0C">
              <w:rPr>
                <w:rFonts w:cs="Arial"/>
                <w:b/>
                <w:sz w:val="12"/>
                <w:szCs w:val="12"/>
              </w:rPr>
              <w:t xml:space="preserve">Associates </w:t>
            </w:r>
            <w:proofErr w:type="spellStart"/>
            <w:r w:rsidRPr="00B84B0C">
              <w:rPr>
                <w:rFonts w:cs="Arial"/>
                <w:b/>
                <w:sz w:val="12"/>
                <w:szCs w:val="12"/>
              </w:rPr>
              <w:t>and</w:t>
            </w:r>
            <w:proofErr w:type="spellEnd"/>
            <w:r w:rsidRPr="00B84B0C">
              <w:rPr>
                <w:rFonts w:cs="Arial"/>
                <w:b/>
                <w:sz w:val="12"/>
                <w:szCs w:val="12"/>
              </w:rPr>
              <w:t xml:space="preserve"> joint </w:t>
            </w:r>
            <w:proofErr w:type="gramStart"/>
            <w:r w:rsidRPr="00B84B0C">
              <w:rPr>
                <w:rFonts w:cs="Arial"/>
                <w:b/>
                <w:sz w:val="12"/>
                <w:szCs w:val="12"/>
              </w:rPr>
              <w:t>ventures</w:t>
            </w:r>
            <w:r w:rsidRPr="00B84B0C">
              <w:rPr>
                <w:rFonts w:cs="Arial"/>
                <w:b/>
                <w:sz w:val="12"/>
                <w:szCs w:val="12"/>
                <w:vertAlign w:val="superscript"/>
              </w:rPr>
              <w:t>(</w:t>
            </w:r>
            <w:proofErr w:type="gramEnd"/>
            <w:r w:rsidRPr="00B84B0C">
              <w:rPr>
                <w:rFonts w:cs="Arial"/>
                <w:b/>
                <w:sz w:val="12"/>
                <w:szCs w:val="12"/>
                <w:vertAlign w:val="superscript"/>
              </w:rPr>
              <w:t>2)</w:t>
            </w:r>
          </w:p>
        </w:tc>
        <w:tc>
          <w:tcPr>
            <w:tcW w:w="1339" w:type="dxa"/>
            <w:tcBorders>
              <w:top w:val="single" w:sz="2" w:space="0" w:color="8EAADB" w:themeColor="accent5" w:themeTint="99"/>
              <w:bottom w:val="single" w:sz="2" w:space="0" w:color="8EAADB" w:themeColor="accent5" w:themeTint="99"/>
            </w:tcBorders>
            <w:shd w:val="clear" w:color="auto" w:fill="D9E2F3"/>
            <w:vAlign w:val="center"/>
          </w:tcPr>
          <w:p w14:paraId="47CB9A3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r w:rsidRPr="00B84B0C">
              <w:rPr>
                <w:rFonts w:cs="Arial"/>
                <w:b/>
                <w:sz w:val="12"/>
                <w:szCs w:val="12"/>
              </w:rPr>
              <w:t>Controller</w:t>
            </w:r>
            <w:proofErr w:type="spellEnd"/>
            <w:r w:rsidRPr="00B84B0C">
              <w:rPr>
                <w:rFonts w:cs="Arial"/>
                <w:b/>
                <w:sz w:val="12"/>
                <w:szCs w:val="12"/>
              </w:rPr>
              <w:t xml:space="preserve"> </w:t>
            </w:r>
            <w:r w:rsidRPr="00B84B0C">
              <w:rPr>
                <w:rFonts w:cs="Arial"/>
                <w:b/>
                <w:sz w:val="12"/>
                <w:szCs w:val="12"/>
                <w:vertAlign w:val="superscript"/>
              </w:rPr>
              <w:t>(1)</w:t>
            </w:r>
          </w:p>
        </w:tc>
        <w:tc>
          <w:tcPr>
            <w:tcW w:w="1447" w:type="dxa"/>
            <w:tcBorders>
              <w:top w:val="single" w:sz="2" w:space="0" w:color="8EAADB" w:themeColor="accent5" w:themeTint="99"/>
              <w:bottom w:val="single" w:sz="2" w:space="0" w:color="8EAADB" w:themeColor="accent5" w:themeTint="99"/>
            </w:tcBorders>
            <w:shd w:val="clear" w:color="auto" w:fill="D9E2F3"/>
            <w:vAlign w:val="center"/>
          </w:tcPr>
          <w:p w14:paraId="68E6EE8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r w:rsidRPr="00B84B0C">
              <w:rPr>
                <w:rFonts w:cs="Arial"/>
                <w:b/>
                <w:sz w:val="12"/>
                <w:szCs w:val="12"/>
              </w:rPr>
              <w:t xml:space="preserve">Associates </w:t>
            </w:r>
            <w:proofErr w:type="spellStart"/>
            <w:r w:rsidRPr="00B84B0C">
              <w:rPr>
                <w:rFonts w:cs="Arial"/>
                <w:b/>
                <w:sz w:val="12"/>
                <w:szCs w:val="12"/>
              </w:rPr>
              <w:t>and</w:t>
            </w:r>
            <w:proofErr w:type="spellEnd"/>
            <w:r w:rsidRPr="00B84B0C">
              <w:rPr>
                <w:rFonts w:cs="Arial"/>
                <w:b/>
                <w:sz w:val="12"/>
                <w:szCs w:val="12"/>
              </w:rPr>
              <w:t xml:space="preserve"> joint </w:t>
            </w:r>
            <w:proofErr w:type="gramStart"/>
            <w:r w:rsidRPr="00B84B0C">
              <w:rPr>
                <w:rFonts w:cs="Arial"/>
                <w:b/>
                <w:sz w:val="12"/>
                <w:szCs w:val="12"/>
              </w:rPr>
              <w:t>ventures</w:t>
            </w:r>
            <w:r w:rsidRPr="00B84B0C">
              <w:rPr>
                <w:rFonts w:cs="Arial"/>
                <w:b/>
                <w:sz w:val="12"/>
                <w:szCs w:val="12"/>
                <w:vertAlign w:val="superscript"/>
              </w:rPr>
              <w:t>(</w:t>
            </w:r>
            <w:proofErr w:type="gramEnd"/>
            <w:r w:rsidRPr="00B84B0C">
              <w:rPr>
                <w:rFonts w:cs="Arial"/>
                <w:b/>
                <w:sz w:val="12"/>
                <w:szCs w:val="12"/>
                <w:vertAlign w:val="superscript"/>
              </w:rPr>
              <w:t>2)</w:t>
            </w:r>
          </w:p>
        </w:tc>
      </w:tr>
      <w:tr w:rsidR="009C72AA" w:rsidRPr="00B84B0C" w14:paraId="7C7BCB60"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single" w:sz="2" w:space="0" w:color="8EAADB" w:themeColor="accent5" w:themeTint="99"/>
              <w:bottom w:val="nil"/>
            </w:tcBorders>
            <w:shd w:val="clear" w:color="auto" w:fill="FFFFFF" w:themeFill="background1"/>
          </w:tcPr>
          <w:p w14:paraId="3AF85829" w14:textId="77777777" w:rsidR="009C72AA" w:rsidRPr="00B84B0C" w:rsidRDefault="009C72AA" w:rsidP="009C72AA">
            <w:pPr>
              <w:pStyle w:val="08-Tabelageral"/>
              <w:jc w:val="left"/>
              <w:rPr>
                <w:rFonts w:cs="Arial"/>
              </w:rPr>
            </w:pPr>
            <w:proofErr w:type="spellStart"/>
            <w:r w:rsidRPr="00B84B0C">
              <w:rPr>
                <w:rFonts w:cs="Arial"/>
              </w:rPr>
              <w:t>Assets</w:t>
            </w:r>
            <w:proofErr w:type="spellEnd"/>
          </w:p>
        </w:tc>
        <w:tc>
          <w:tcPr>
            <w:tcW w:w="1339" w:type="dxa"/>
            <w:tcBorders>
              <w:top w:val="single" w:sz="2" w:space="0" w:color="8EAADB" w:themeColor="accent5" w:themeTint="99"/>
              <w:bottom w:val="nil"/>
            </w:tcBorders>
            <w:shd w:val="clear" w:color="auto" w:fill="FFFFFF" w:themeFill="background1"/>
            <w:vAlign w:val="center"/>
          </w:tcPr>
          <w:p w14:paraId="645AEE0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339" w:type="dxa"/>
            <w:tcBorders>
              <w:top w:val="single" w:sz="2" w:space="0" w:color="8EAADB" w:themeColor="accent5" w:themeTint="99"/>
              <w:bottom w:val="nil"/>
            </w:tcBorders>
            <w:shd w:val="clear" w:color="auto" w:fill="FFFFFF" w:themeFill="background1"/>
          </w:tcPr>
          <w:p w14:paraId="0F6AEAF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 xml:space="preserve"> </w:t>
            </w:r>
          </w:p>
        </w:tc>
        <w:tc>
          <w:tcPr>
            <w:tcW w:w="1339" w:type="dxa"/>
            <w:tcBorders>
              <w:top w:val="single" w:sz="2" w:space="0" w:color="8EAADB" w:themeColor="accent5" w:themeTint="99"/>
              <w:bottom w:val="nil"/>
            </w:tcBorders>
            <w:shd w:val="clear" w:color="auto" w:fill="FFFFFF" w:themeFill="background1"/>
          </w:tcPr>
          <w:p w14:paraId="13C5172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47" w:type="dxa"/>
            <w:tcBorders>
              <w:top w:val="single" w:sz="2" w:space="0" w:color="8EAADB" w:themeColor="accent5" w:themeTint="99"/>
            </w:tcBorders>
            <w:shd w:val="clear" w:color="auto" w:fill="FFFFFF" w:themeFill="background1"/>
          </w:tcPr>
          <w:p w14:paraId="0B1695C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9C72AA" w:rsidRPr="00B84B0C" w14:paraId="0BC44BFA"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D9E2F3"/>
          </w:tcPr>
          <w:p w14:paraId="34361FE8" w14:textId="77777777" w:rsidR="009C72AA" w:rsidRPr="00B84B0C" w:rsidRDefault="009C72AA" w:rsidP="009C72AA">
            <w:pPr>
              <w:pStyle w:val="08-Tabelageral"/>
              <w:jc w:val="left"/>
              <w:rPr>
                <w:rFonts w:cs="Arial"/>
                <w:b w:val="0"/>
              </w:rPr>
            </w:pPr>
            <w:r w:rsidRPr="00B84B0C">
              <w:rPr>
                <w:rFonts w:cs="Arial"/>
                <w:b w:val="0"/>
              </w:rPr>
              <w:t xml:space="preserve">Cash </w:t>
            </w:r>
            <w:proofErr w:type="spellStart"/>
            <w:r w:rsidRPr="00B84B0C">
              <w:rPr>
                <w:rFonts w:cs="Arial"/>
                <w:b w:val="0"/>
              </w:rPr>
              <w:t>and</w:t>
            </w:r>
            <w:proofErr w:type="spellEnd"/>
            <w:r w:rsidRPr="00B84B0C">
              <w:rPr>
                <w:rFonts w:cs="Arial"/>
                <w:b w:val="0"/>
              </w:rPr>
              <w:t xml:space="preserve"> cash </w:t>
            </w:r>
            <w:proofErr w:type="spellStart"/>
            <w:r w:rsidRPr="00B84B0C">
              <w:rPr>
                <w:rFonts w:cs="Arial"/>
                <w:b w:val="0"/>
              </w:rPr>
              <w:t>equivalents</w:t>
            </w:r>
            <w:proofErr w:type="spellEnd"/>
          </w:p>
        </w:tc>
        <w:tc>
          <w:tcPr>
            <w:tcW w:w="1339" w:type="dxa"/>
            <w:tcBorders>
              <w:top w:val="nil"/>
              <w:bottom w:val="nil"/>
            </w:tcBorders>
            <w:shd w:val="clear" w:color="auto" w:fill="D9E2F3"/>
            <w:vAlign w:val="center"/>
          </w:tcPr>
          <w:p w14:paraId="1B72CED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4,110,033</w:t>
            </w:r>
          </w:p>
        </w:tc>
        <w:tc>
          <w:tcPr>
            <w:tcW w:w="1339" w:type="dxa"/>
            <w:tcBorders>
              <w:top w:val="nil"/>
              <w:bottom w:val="nil"/>
            </w:tcBorders>
            <w:shd w:val="clear" w:color="auto" w:fill="D9E2F3"/>
            <w:vAlign w:val="center"/>
          </w:tcPr>
          <w:p w14:paraId="1E75D37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D9E2F3"/>
            <w:vAlign w:val="center"/>
          </w:tcPr>
          <w:p w14:paraId="293F43E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7,381,292</w:t>
            </w:r>
          </w:p>
        </w:tc>
        <w:tc>
          <w:tcPr>
            <w:tcW w:w="1447" w:type="dxa"/>
            <w:shd w:val="clear" w:color="auto" w:fill="D9E2F3"/>
            <w:vAlign w:val="center"/>
          </w:tcPr>
          <w:p w14:paraId="7B1C67B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9C72AA" w:rsidRPr="00B84B0C" w14:paraId="694F7B08"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FFFFFF" w:themeFill="background1"/>
          </w:tcPr>
          <w:p w14:paraId="04A35D9C" w14:textId="77777777" w:rsidR="009C72AA" w:rsidRPr="00B84B0C" w:rsidRDefault="009C72AA" w:rsidP="009C72AA">
            <w:pPr>
              <w:pStyle w:val="08-Tabelageral"/>
              <w:jc w:val="left"/>
              <w:rPr>
                <w:rFonts w:cs="Arial"/>
                <w:b w:val="0"/>
              </w:rPr>
            </w:pPr>
            <w:r w:rsidRPr="00B84B0C">
              <w:rPr>
                <w:rFonts w:cs="Arial"/>
                <w:b w:val="0"/>
              </w:rPr>
              <w:t xml:space="preserve">Financial </w:t>
            </w:r>
            <w:proofErr w:type="spellStart"/>
            <w:r w:rsidRPr="00B84B0C">
              <w:rPr>
                <w:rFonts w:cs="Arial"/>
                <w:b w:val="0"/>
              </w:rPr>
              <w:t>assets</w:t>
            </w:r>
            <w:proofErr w:type="spellEnd"/>
            <w:r w:rsidRPr="00B84B0C">
              <w:rPr>
                <w:rFonts w:cs="Arial"/>
                <w:b w:val="0"/>
              </w:rPr>
              <w:t xml:space="preserve"> </w:t>
            </w:r>
            <w:proofErr w:type="spellStart"/>
            <w:r w:rsidRPr="00B84B0C">
              <w:rPr>
                <w:rFonts w:cs="Arial"/>
                <w:b w:val="0"/>
              </w:rPr>
              <w:t>at</w:t>
            </w:r>
            <w:proofErr w:type="spellEnd"/>
            <w:r w:rsidRPr="00B84B0C">
              <w:rPr>
                <w:rFonts w:cs="Arial"/>
                <w:b w:val="0"/>
              </w:rPr>
              <w:t xml:space="preserve"> fair </w:t>
            </w:r>
            <w:proofErr w:type="spellStart"/>
            <w:r w:rsidRPr="00B84B0C">
              <w:rPr>
                <w:rFonts w:cs="Arial"/>
                <w:b w:val="0"/>
              </w:rPr>
              <w:t>value</w:t>
            </w:r>
            <w:proofErr w:type="spellEnd"/>
            <w:r w:rsidRPr="00B84B0C">
              <w:rPr>
                <w:rFonts w:cs="Arial"/>
                <w:b w:val="0"/>
              </w:rPr>
              <w:t xml:space="preserve"> </w:t>
            </w:r>
            <w:proofErr w:type="spellStart"/>
            <w:r w:rsidRPr="00B84B0C">
              <w:rPr>
                <w:rFonts w:cs="Arial"/>
                <w:b w:val="0"/>
              </w:rPr>
              <w:t>through</w:t>
            </w:r>
            <w:proofErr w:type="spellEnd"/>
            <w:r w:rsidRPr="00B84B0C">
              <w:rPr>
                <w:rFonts w:cs="Arial"/>
                <w:b w:val="0"/>
              </w:rPr>
              <w:t xml:space="preserve"> </w:t>
            </w:r>
            <w:proofErr w:type="spellStart"/>
            <w:r w:rsidRPr="00B84B0C">
              <w:rPr>
                <w:rFonts w:cs="Arial"/>
                <w:b w:val="0"/>
              </w:rPr>
              <w:t>profit</w:t>
            </w:r>
            <w:proofErr w:type="spellEnd"/>
            <w:r w:rsidRPr="00B84B0C">
              <w:rPr>
                <w:rFonts w:cs="Arial"/>
                <w:b w:val="0"/>
              </w:rPr>
              <w:t xml:space="preserve"> </w:t>
            </w:r>
            <w:proofErr w:type="spellStart"/>
            <w:r w:rsidRPr="00B84B0C">
              <w:rPr>
                <w:rFonts w:cs="Arial"/>
                <w:b w:val="0"/>
              </w:rPr>
              <w:t>or</w:t>
            </w:r>
            <w:proofErr w:type="spellEnd"/>
            <w:r w:rsidRPr="00B84B0C">
              <w:rPr>
                <w:rFonts w:cs="Arial"/>
                <w:b w:val="0"/>
              </w:rPr>
              <w:t xml:space="preserve"> </w:t>
            </w:r>
            <w:proofErr w:type="spellStart"/>
            <w:r w:rsidRPr="00B84B0C">
              <w:rPr>
                <w:rFonts w:cs="Arial"/>
                <w:b w:val="0"/>
              </w:rPr>
              <w:t>loss</w:t>
            </w:r>
            <w:proofErr w:type="spellEnd"/>
          </w:p>
        </w:tc>
        <w:tc>
          <w:tcPr>
            <w:tcW w:w="1339" w:type="dxa"/>
            <w:tcBorders>
              <w:top w:val="nil"/>
              <w:bottom w:val="nil"/>
            </w:tcBorders>
            <w:shd w:val="clear" w:color="auto" w:fill="FFFFFF" w:themeFill="background1"/>
            <w:vAlign w:val="center"/>
          </w:tcPr>
          <w:p w14:paraId="0A4AEE7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458,504</w:t>
            </w:r>
          </w:p>
        </w:tc>
        <w:tc>
          <w:tcPr>
            <w:tcW w:w="1339" w:type="dxa"/>
            <w:tcBorders>
              <w:top w:val="nil"/>
              <w:bottom w:val="nil"/>
            </w:tcBorders>
            <w:shd w:val="clear" w:color="auto" w:fill="FFFFFF" w:themeFill="background1"/>
            <w:vAlign w:val="center"/>
          </w:tcPr>
          <w:p w14:paraId="77AACE9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FFFFFF" w:themeFill="background1"/>
            <w:vAlign w:val="center"/>
          </w:tcPr>
          <w:p w14:paraId="6EC4CA7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456,534</w:t>
            </w:r>
          </w:p>
        </w:tc>
        <w:tc>
          <w:tcPr>
            <w:tcW w:w="1447" w:type="dxa"/>
            <w:shd w:val="clear" w:color="auto" w:fill="FFFFFF" w:themeFill="background1"/>
            <w:vAlign w:val="center"/>
          </w:tcPr>
          <w:p w14:paraId="0E979C2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r>
      <w:tr w:rsidR="009C72AA" w:rsidRPr="00B84B0C" w14:paraId="783D21FE"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D9E2F3"/>
          </w:tcPr>
          <w:p w14:paraId="292FD872" w14:textId="77777777" w:rsidR="009C72AA" w:rsidRPr="00B84B0C" w:rsidRDefault="009C72AA" w:rsidP="009C72AA">
            <w:pPr>
              <w:pStyle w:val="08-Tabelageral"/>
              <w:jc w:val="left"/>
              <w:rPr>
                <w:rFonts w:cs="Arial"/>
                <w:b w:val="0"/>
              </w:rPr>
            </w:pPr>
            <w:proofErr w:type="spellStart"/>
            <w:r w:rsidRPr="00B84B0C">
              <w:rPr>
                <w:rFonts w:cs="Arial"/>
                <w:b w:val="0"/>
              </w:rPr>
              <w:t>Commissions</w:t>
            </w:r>
            <w:proofErr w:type="spellEnd"/>
            <w:r w:rsidRPr="00B84B0C">
              <w:rPr>
                <w:rFonts w:cs="Arial"/>
                <w:b w:val="0"/>
              </w:rPr>
              <w:t xml:space="preserve"> </w:t>
            </w:r>
            <w:proofErr w:type="spellStart"/>
            <w:r w:rsidRPr="00B84B0C">
              <w:rPr>
                <w:rFonts w:cs="Arial"/>
                <w:b w:val="0"/>
              </w:rPr>
              <w:t>to</w:t>
            </w:r>
            <w:proofErr w:type="spellEnd"/>
            <w:r w:rsidRPr="00B84B0C">
              <w:rPr>
                <w:rFonts w:cs="Arial"/>
                <w:b w:val="0"/>
              </w:rPr>
              <w:t xml:space="preserve"> </w:t>
            </w:r>
            <w:proofErr w:type="spellStart"/>
            <w:r w:rsidRPr="00B84B0C">
              <w:rPr>
                <w:rFonts w:cs="Arial"/>
                <w:b w:val="0"/>
              </w:rPr>
              <w:t>be</w:t>
            </w:r>
            <w:proofErr w:type="spellEnd"/>
            <w:r w:rsidRPr="00B84B0C">
              <w:rPr>
                <w:rFonts w:cs="Arial"/>
                <w:b w:val="0"/>
              </w:rPr>
              <w:t xml:space="preserve"> </w:t>
            </w:r>
            <w:proofErr w:type="spellStart"/>
            <w:r w:rsidRPr="00B84B0C">
              <w:rPr>
                <w:rFonts w:cs="Arial"/>
                <w:b w:val="0"/>
              </w:rPr>
              <w:t>received</w:t>
            </w:r>
            <w:proofErr w:type="spellEnd"/>
          </w:p>
        </w:tc>
        <w:tc>
          <w:tcPr>
            <w:tcW w:w="1339" w:type="dxa"/>
            <w:tcBorders>
              <w:top w:val="nil"/>
              <w:bottom w:val="nil"/>
            </w:tcBorders>
            <w:shd w:val="clear" w:color="auto" w:fill="D9E2F3"/>
            <w:vAlign w:val="center"/>
          </w:tcPr>
          <w:p w14:paraId="2B8F4E8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D9E2F3"/>
            <w:vAlign w:val="center"/>
          </w:tcPr>
          <w:p w14:paraId="33C464F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1,171,402</w:t>
            </w:r>
          </w:p>
        </w:tc>
        <w:tc>
          <w:tcPr>
            <w:tcW w:w="1339" w:type="dxa"/>
            <w:tcBorders>
              <w:top w:val="nil"/>
              <w:bottom w:val="nil"/>
            </w:tcBorders>
            <w:shd w:val="clear" w:color="auto" w:fill="D9E2F3"/>
            <w:vAlign w:val="center"/>
          </w:tcPr>
          <w:p w14:paraId="10621BF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447" w:type="dxa"/>
            <w:shd w:val="clear" w:color="auto" w:fill="D9E2F3"/>
            <w:vAlign w:val="center"/>
          </w:tcPr>
          <w:p w14:paraId="1ED8A4F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1,340,315</w:t>
            </w:r>
          </w:p>
        </w:tc>
      </w:tr>
      <w:tr w:rsidR="009C72AA" w:rsidRPr="00B84B0C" w14:paraId="16E17B58"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D9E2F3"/>
          </w:tcPr>
          <w:p w14:paraId="5C4E090E" w14:textId="77777777" w:rsidR="009C72AA" w:rsidRPr="00B84B0C" w:rsidRDefault="009C72AA" w:rsidP="009C72AA">
            <w:pPr>
              <w:pStyle w:val="08-Tabelageral"/>
              <w:jc w:val="left"/>
              <w:rPr>
                <w:rFonts w:cs="Arial"/>
              </w:rPr>
            </w:pPr>
            <w:proofErr w:type="spellStart"/>
            <w:r w:rsidRPr="00B84B0C">
              <w:rPr>
                <w:rFonts w:cs="Arial"/>
              </w:rPr>
              <w:t>Liabilities</w:t>
            </w:r>
            <w:proofErr w:type="spellEnd"/>
          </w:p>
        </w:tc>
        <w:tc>
          <w:tcPr>
            <w:tcW w:w="1339" w:type="dxa"/>
            <w:tcBorders>
              <w:top w:val="nil"/>
              <w:bottom w:val="nil"/>
            </w:tcBorders>
            <w:shd w:val="clear" w:color="auto" w:fill="D9E2F3"/>
            <w:vAlign w:val="center"/>
          </w:tcPr>
          <w:p w14:paraId="38BE3AA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339" w:type="dxa"/>
            <w:tcBorders>
              <w:top w:val="nil"/>
              <w:bottom w:val="nil"/>
            </w:tcBorders>
            <w:shd w:val="clear" w:color="auto" w:fill="D9E2F3"/>
            <w:vAlign w:val="center"/>
          </w:tcPr>
          <w:p w14:paraId="74DBCC1C"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339" w:type="dxa"/>
            <w:tcBorders>
              <w:top w:val="nil"/>
              <w:bottom w:val="nil"/>
            </w:tcBorders>
            <w:shd w:val="clear" w:color="auto" w:fill="D9E2F3"/>
            <w:vAlign w:val="center"/>
          </w:tcPr>
          <w:p w14:paraId="2F325305"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447" w:type="dxa"/>
            <w:shd w:val="clear" w:color="auto" w:fill="D9E2F3"/>
            <w:vAlign w:val="center"/>
          </w:tcPr>
          <w:p w14:paraId="38A7C29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9C72AA" w:rsidRPr="00B84B0C" w14:paraId="21E64A6F"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tcPr>
          <w:p w14:paraId="634599EF" w14:textId="77777777" w:rsidR="009C72AA" w:rsidRPr="00B84B0C" w:rsidRDefault="009C72AA" w:rsidP="009C72AA">
            <w:pPr>
              <w:pStyle w:val="08-Tabelageral"/>
              <w:jc w:val="left"/>
              <w:rPr>
                <w:rFonts w:cs="Arial"/>
                <w:b w:val="0"/>
              </w:rPr>
            </w:pPr>
            <w:r w:rsidRPr="00B84B0C">
              <w:rPr>
                <w:rFonts w:cs="Arial"/>
                <w:b w:val="0"/>
              </w:rPr>
              <w:t xml:space="preserve">Social </w:t>
            </w:r>
            <w:proofErr w:type="spellStart"/>
            <w:r w:rsidRPr="00B84B0C">
              <w:rPr>
                <w:rFonts w:cs="Arial"/>
                <w:b w:val="0"/>
              </w:rPr>
              <w:t>and</w:t>
            </w:r>
            <w:proofErr w:type="spellEnd"/>
            <w:r w:rsidRPr="00B84B0C">
              <w:rPr>
                <w:rFonts w:cs="Arial"/>
                <w:b w:val="0"/>
              </w:rPr>
              <w:t xml:space="preserve"> </w:t>
            </w:r>
            <w:proofErr w:type="spellStart"/>
            <w:r w:rsidRPr="00B84B0C">
              <w:rPr>
                <w:rFonts w:cs="Arial"/>
                <w:b w:val="0"/>
              </w:rPr>
              <w:t>statutory</w:t>
            </w:r>
            <w:proofErr w:type="spellEnd"/>
            <w:r w:rsidRPr="00B84B0C">
              <w:rPr>
                <w:rFonts w:cs="Arial"/>
                <w:b w:val="0"/>
              </w:rPr>
              <w:t xml:space="preserve"> </w:t>
            </w:r>
            <w:proofErr w:type="spellStart"/>
            <w:r w:rsidRPr="00B84B0C">
              <w:rPr>
                <w:rFonts w:cs="Arial"/>
                <w:b w:val="0"/>
              </w:rPr>
              <w:t>obligations</w:t>
            </w:r>
            <w:proofErr w:type="spellEnd"/>
          </w:p>
        </w:tc>
        <w:tc>
          <w:tcPr>
            <w:tcW w:w="1339" w:type="dxa"/>
            <w:tcBorders>
              <w:top w:val="nil"/>
              <w:bottom w:val="nil"/>
            </w:tcBorders>
            <w:vAlign w:val="center"/>
          </w:tcPr>
          <w:p w14:paraId="002F642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1,789,065</w:t>
            </w:r>
          </w:p>
        </w:tc>
        <w:tc>
          <w:tcPr>
            <w:tcW w:w="1339" w:type="dxa"/>
            <w:tcBorders>
              <w:top w:val="nil"/>
              <w:bottom w:val="nil"/>
            </w:tcBorders>
            <w:vAlign w:val="center"/>
          </w:tcPr>
          <w:p w14:paraId="35220F7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nil"/>
            </w:tcBorders>
            <w:vAlign w:val="center"/>
          </w:tcPr>
          <w:p w14:paraId="76B77C1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4,300,051</w:t>
            </w:r>
          </w:p>
        </w:tc>
        <w:tc>
          <w:tcPr>
            <w:tcW w:w="1447" w:type="dxa"/>
            <w:vAlign w:val="center"/>
          </w:tcPr>
          <w:p w14:paraId="7820EB0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r>
      <w:tr w:rsidR="009C72AA" w:rsidRPr="00B84B0C" w14:paraId="3E4DCBDA"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nil"/>
            </w:tcBorders>
            <w:shd w:val="clear" w:color="auto" w:fill="D9E2F3"/>
          </w:tcPr>
          <w:p w14:paraId="1AC24FC8" w14:textId="77777777" w:rsidR="009C72AA" w:rsidRPr="00B84B0C" w:rsidRDefault="009C72AA" w:rsidP="009C72AA">
            <w:pPr>
              <w:pStyle w:val="08-Tabelageral"/>
              <w:jc w:val="left"/>
              <w:rPr>
                <w:rFonts w:cs="Arial"/>
                <w:b w:val="0"/>
              </w:rPr>
            </w:pPr>
            <w:proofErr w:type="spellStart"/>
            <w:r w:rsidRPr="00B84B0C">
              <w:rPr>
                <w:rFonts w:cs="Arial"/>
                <w:b w:val="0"/>
              </w:rPr>
              <w:t>Obligations</w:t>
            </w:r>
            <w:proofErr w:type="spellEnd"/>
            <w:r w:rsidRPr="00B84B0C">
              <w:rPr>
                <w:rFonts w:cs="Arial"/>
                <w:b w:val="0"/>
              </w:rPr>
              <w:t xml:space="preserve"> </w:t>
            </w:r>
            <w:proofErr w:type="spellStart"/>
            <w:r w:rsidRPr="00B84B0C">
              <w:rPr>
                <w:rFonts w:cs="Arial"/>
                <w:b w:val="0"/>
              </w:rPr>
              <w:t>with</w:t>
            </w:r>
            <w:proofErr w:type="spellEnd"/>
            <w:r w:rsidRPr="00B84B0C">
              <w:rPr>
                <w:rFonts w:cs="Arial"/>
                <w:b w:val="0"/>
              </w:rPr>
              <w:t xml:space="preserve"> </w:t>
            </w:r>
            <w:proofErr w:type="spellStart"/>
            <w:r w:rsidRPr="00B84B0C">
              <w:rPr>
                <w:rFonts w:cs="Arial"/>
                <w:b w:val="0"/>
              </w:rPr>
              <w:t>related</w:t>
            </w:r>
            <w:proofErr w:type="spellEnd"/>
            <w:r w:rsidRPr="00B84B0C">
              <w:rPr>
                <w:rFonts w:cs="Arial"/>
                <w:b w:val="0"/>
              </w:rPr>
              <w:t xml:space="preserve"> </w:t>
            </w:r>
            <w:proofErr w:type="spellStart"/>
            <w:r w:rsidRPr="00B84B0C">
              <w:rPr>
                <w:rFonts w:cs="Arial"/>
                <w:b w:val="0"/>
              </w:rPr>
              <w:t>parties</w:t>
            </w:r>
            <w:proofErr w:type="spellEnd"/>
          </w:p>
        </w:tc>
        <w:tc>
          <w:tcPr>
            <w:tcW w:w="1339" w:type="dxa"/>
            <w:tcBorders>
              <w:top w:val="nil"/>
              <w:bottom w:val="nil"/>
            </w:tcBorders>
            <w:shd w:val="clear" w:color="auto" w:fill="D9E2F3"/>
            <w:vAlign w:val="center"/>
          </w:tcPr>
          <w:p w14:paraId="2B7B5BC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20,626</w:t>
            </w:r>
          </w:p>
        </w:tc>
        <w:tc>
          <w:tcPr>
            <w:tcW w:w="1339" w:type="dxa"/>
            <w:tcBorders>
              <w:top w:val="nil"/>
              <w:bottom w:val="nil"/>
            </w:tcBorders>
            <w:shd w:val="clear" w:color="auto" w:fill="D9E2F3"/>
            <w:vAlign w:val="center"/>
          </w:tcPr>
          <w:p w14:paraId="367C12D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51,793</w:t>
            </w:r>
          </w:p>
        </w:tc>
        <w:tc>
          <w:tcPr>
            <w:tcW w:w="1339" w:type="dxa"/>
            <w:tcBorders>
              <w:top w:val="nil"/>
              <w:bottom w:val="nil"/>
            </w:tcBorders>
            <w:shd w:val="clear" w:color="auto" w:fill="D9E2F3"/>
            <w:vAlign w:val="center"/>
          </w:tcPr>
          <w:p w14:paraId="50EBBB7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20,979</w:t>
            </w:r>
          </w:p>
        </w:tc>
        <w:tc>
          <w:tcPr>
            <w:tcW w:w="1447" w:type="dxa"/>
            <w:shd w:val="clear" w:color="auto" w:fill="D9E2F3"/>
            <w:vAlign w:val="center"/>
          </w:tcPr>
          <w:p w14:paraId="7E848E2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41,029</w:t>
            </w:r>
          </w:p>
        </w:tc>
      </w:tr>
      <w:tr w:rsidR="009C72AA" w:rsidRPr="00B84B0C" w14:paraId="44807652"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175" w:type="dxa"/>
            <w:gridSpan w:val="2"/>
            <w:tcBorders>
              <w:top w:val="nil"/>
              <w:bottom w:val="single" w:sz="2" w:space="0" w:color="8EAADB" w:themeColor="accent5" w:themeTint="99"/>
            </w:tcBorders>
          </w:tcPr>
          <w:p w14:paraId="49923CD7" w14:textId="77777777" w:rsidR="009C72AA" w:rsidRPr="00B84B0C" w:rsidRDefault="009C72AA" w:rsidP="009C72AA">
            <w:pPr>
              <w:pStyle w:val="08-Tabelageral"/>
              <w:jc w:val="left"/>
              <w:rPr>
                <w:rFonts w:cs="Arial"/>
                <w:b w:val="0"/>
              </w:rPr>
            </w:pPr>
            <w:proofErr w:type="spellStart"/>
            <w:r w:rsidRPr="00B84B0C">
              <w:rPr>
                <w:rFonts w:cs="Arial"/>
                <w:b w:val="0"/>
              </w:rPr>
              <w:t>Unearned</w:t>
            </w:r>
            <w:proofErr w:type="spellEnd"/>
            <w:r w:rsidRPr="00B84B0C">
              <w:rPr>
                <w:rFonts w:cs="Arial"/>
                <w:b w:val="0"/>
              </w:rPr>
              <w:t xml:space="preserve"> </w:t>
            </w:r>
            <w:proofErr w:type="spellStart"/>
            <w:r w:rsidRPr="00B84B0C">
              <w:rPr>
                <w:rFonts w:cs="Arial"/>
                <w:b w:val="0"/>
              </w:rPr>
              <w:t>Commissions</w:t>
            </w:r>
            <w:proofErr w:type="spellEnd"/>
          </w:p>
        </w:tc>
        <w:tc>
          <w:tcPr>
            <w:tcW w:w="1339" w:type="dxa"/>
            <w:tcBorders>
              <w:top w:val="nil"/>
              <w:bottom w:val="single" w:sz="2" w:space="0" w:color="8EAADB" w:themeColor="accent5" w:themeTint="99"/>
            </w:tcBorders>
            <w:vAlign w:val="center"/>
          </w:tcPr>
          <w:p w14:paraId="0A34EB5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single" w:sz="2" w:space="0" w:color="8EAADB" w:themeColor="accent5" w:themeTint="99"/>
            </w:tcBorders>
            <w:vAlign w:val="center"/>
          </w:tcPr>
          <w:p w14:paraId="2B35E77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2,250,828</w:t>
            </w:r>
          </w:p>
        </w:tc>
        <w:tc>
          <w:tcPr>
            <w:tcW w:w="1339" w:type="dxa"/>
            <w:tcBorders>
              <w:top w:val="nil"/>
              <w:bottom w:val="single" w:sz="2" w:space="0" w:color="8EAADB" w:themeColor="accent5" w:themeTint="99"/>
            </w:tcBorders>
            <w:vAlign w:val="center"/>
          </w:tcPr>
          <w:p w14:paraId="4DFC844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447" w:type="dxa"/>
            <w:tcBorders>
              <w:bottom w:val="single" w:sz="2" w:space="0" w:color="8EAADB" w:themeColor="accent5" w:themeTint="99"/>
            </w:tcBorders>
            <w:vAlign w:val="center"/>
          </w:tcPr>
          <w:p w14:paraId="6B6CB59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2,220,012</w:t>
            </w:r>
          </w:p>
        </w:tc>
      </w:tr>
    </w:tbl>
    <w:p w14:paraId="0F47EE73" w14:textId="77777777" w:rsidR="009C72AA" w:rsidRPr="00B84B0C" w:rsidRDefault="009C72AA" w:rsidP="009C72AA">
      <w:pPr>
        <w:pStyle w:val="01-TtulodeNota"/>
        <w:spacing w:before="0" w:after="0"/>
        <w:jc w:val="right"/>
        <w:rPr>
          <w:rFonts w:cs="Arial"/>
          <w:sz w:val="18"/>
          <w:szCs w:val="18"/>
        </w:rPr>
      </w:pPr>
    </w:p>
    <w:p w14:paraId="55937044" w14:textId="77777777" w:rsidR="009C72AA" w:rsidRPr="00B84B0C" w:rsidRDefault="009C72AA" w:rsidP="009C72AA">
      <w:pPr>
        <w:pStyle w:val="01-TtulodeNota"/>
        <w:keepNext/>
        <w:keepLines/>
        <w:pageBreakBefore/>
        <w:spacing w:before="0" w:after="0"/>
        <w:jc w:val="right"/>
        <w:rPr>
          <w:rFonts w:cs="Arial"/>
          <w:sz w:val="14"/>
          <w:szCs w:val="14"/>
        </w:rPr>
      </w:pPr>
      <w:r w:rsidRPr="00B84B0C">
        <w:rPr>
          <w:rFonts w:cs="Arial"/>
          <w:sz w:val="14"/>
          <w:szCs w:val="14"/>
        </w:rPr>
        <w:lastRenderedPageBreak/>
        <w:t xml:space="preserve">R$ </w:t>
      </w:r>
      <w:proofErr w:type="spellStart"/>
      <w:r w:rsidRPr="00B84B0C">
        <w:rPr>
          <w:rFonts w:cs="Arial"/>
          <w:sz w:val="14"/>
          <w:szCs w:val="14"/>
        </w:rPr>
        <w:t>thousand</w:t>
      </w:r>
      <w:proofErr w:type="spellEnd"/>
    </w:p>
    <w:tbl>
      <w:tblPr>
        <w:tblStyle w:val="TabeladeLista6Colorida-nfase510"/>
        <w:tblW w:w="9639" w:type="dxa"/>
        <w:tblInd w:w="108" w:type="dxa"/>
        <w:shd w:val="clear" w:color="auto" w:fill="D9E2F3"/>
        <w:tblLayout w:type="fixed"/>
        <w:tblLook w:val="04A0" w:firstRow="1" w:lastRow="0" w:firstColumn="1" w:lastColumn="0" w:noHBand="0" w:noVBand="1"/>
      </w:tblPr>
      <w:tblGrid>
        <w:gridCol w:w="1126"/>
        <w:gridCol w:w="3049"/>
        <w:gridCol w:w="112"/>
        <w:gridCol w:w="1227"/>
        <w:gridCol w:w="1339"/>
        <w:gridCol w:w="1339"/>
        <w:gridCol w:w="1447"/>
      </w:tblGrid>
      <w:tr w:rsidR="009C72AA" w:rsidRPr="00B84B0C" w14:paraId="3B15B94C" w14:textId="77777777" w:rsidTr="009C72AA">
        <w:trPr>
          <w:cnfStyle w:val="100000000000" w:firstRow="1" w:lastRow="0" w:firstColumn="0" w:lastColumn="0" w:oddVBand="0" w:evenVBand="0" w:oddHBand="0" w:evenHBand="0" w:firstRowFirstColumn="0" w:firstRowLastColumn="0" w:lastRowFirstColumn="0" w:lastRowLastColumn="0"/>
          <w:trHeight w:hRule="exact" w:val="227"/>
        </w:trPr>
        <w:tc>
          <w:tcPr>
            <w:cnfStyle w:val="001000000000" w:firstRow="0" w:lastRow="0" w:firstColumn="1" w:lastColumn="0" w:oddVBand="0" w:evenVBand="0" w:oddHBand="0" w:evenHBand="0" w:firstRowFirstColumn="0" w:firstRowLastColumn="0" w:lastRowFirstColumn="0" w:lastRowLastColumn="0"/>
            <w:tcW w:w="1126" w:type="dxa"/>
            <w:tcBorders>
              <w:top w:val="single" w:sz="2" w:space="0" w:color="8EAADB" w:themeColor="accent5" w:themeTint="99"/>
              <w:bottom w:val="nil"/>
            </w:tcBorders>
            <w:shd w:val="clear" w:color="auto" w:fill="D9E2F3"/>
            <w:vAlign w:val="center"/>
          </w:tcPr>
          <w:p w14:paraId="1446CD47" w14:textId="77777777" w:rsidR="009C72AA" w:rsidRPr="00B84B0C" w:rsidRDefault="009C72AA" w:rsidP="009C72AA">
            <w:pPr>
              <w:pStyle w:val="08-Tabelageral"/>
              <w:rPr>
                <w:rFonts w:cs="Arial"/>
              </w:rPr>
            </w:pPr>
          </w:p>
        </w:tc>
        <w:tc>
          <w:tcPr>
            <w:tcW w:w="3049" w:type="dxa"/>
            <w:tcBorders>
              <w:top w:val="single" w:sz="2" w:space="0" w:color="8EAADB" w:themeColor="accent5" w:themeTint="99"/>
              <w:bottom w:val="nil"/>
            </w:tcBorders>
            <w:shd w:val="clear" w:color="auto" w:fill="D9E2F3"/>
            <w:vAlign w:val="center"/>
          </w:tcPr>
          <w:p w14:paraId="7B3DD7D5" w14:textId="77777777" w:rsidR="009C72AA" w:rsidRPr="00B84B0C" w:rsidRDefault="009C72AA" w:rsidP="009C72AA">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2678" w:type="dxa"/>
            <w:gridSpan w:val="3"/>
            <w:tcBorders>
              <w:top w:val="single" w:sz="2" w:space="0" w:color="8EAADB" w:themeColor="accent5" w:themeTint="99"/>
              <w:bottom w:val="single" w:sz="2" w:space="0" w:color="8EAADB" w:themeColor="accent5" w:themeTint="99"/>
            </w:tcBorders>
            <w:shd w:val="clear" w:color="auto" w:fill="D9E2F3"/>
            <w:vAlign w:val="center"/>
          </w:tcPr>
          <w:p w14:paraId="0E8E0BAE"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bCs w:val="0"/>
              </w:rPr>
            </w:pPr>
            <w:r w:rsidRPr="00B84B0C">
              <w:rPr>
                <w:rFonts w:cs="Arial"/>
                <w:bCs w:val="0"/>
              </w:rPr>
              <w:t xml:space="preserve">1st </w:t>
            </w:r>
            <w:proofErr w:type="spellStart"/>
            <w:r w:rsidRPr="00B84B0C">
              <w:rPr>
                <w:rFonts w:cs="Arial"/>
                <w:bCs w:val="0"/>
              </w:rPr>
              <w:t>Quarter</w:t>
            </w:r>
            <w:proofErr w:type="spellEnd"/>
            <w:r w:rsidRPr="00B84B0C">
              <w:rPr>
                <w:rFonts w:cs="Arial"/>
                <w:bCs w:val="0"/>
              </w:rPr>
              <w:t>/2020</w:t>
            </w:r>
          </w:p>
        </w:tc>
        <w:tc>
          <w:tcPr>
            <w:tcW w:w="2786" w:type="dxa"/>
            <w:gridSpan w:val="2"/>
            <w:tcBorders>
              <w:top w:val="single" w:sz="2" w:space="0" w:color="8EAADB" w:themeColor="accent5" w:themeTint="99"/>
              <w:bottom w:val="single" w:sz="2" w:space="0" w:color="8EAADB" w:themeColor="accent5" w:themeTint="99"/>
            </w:tcBorders>
            <w:shd w:val="clear" w:color="auto" w:fill="D9E2F3"/>
            <w:vAlign w:val="center"/>
          </w:tcPr>
          <w:p w14:paraId="7A62CB14" w14:textId="77777777" w:rsidR="009C72AA" w:rsidRPr="00B84B0C" w:rsidRDefault="009C72AA" w:rsidP="009C72AA">
            <w:pPr>
              <w:pStyle w:val="08-Tabelageral"/>
              <w:jc w:val="center"/>
              <w:cnfStyle w:val="100000000000" w:firstRow="1" w:lastRow="0" w:firstColumn="0" w:lastColumn="0" w:oddVBand="0" w:evenVBand="0" w:oddHBand="0" w:evenHBand="0" w:firstRowFirstColumn="0" w:firstRowLastColumn="0" w:lastRowFirstColumn="0" w:lastRowLastColumn="0"/>
              <w:rPr>
                <w:rFonts w:cs="Arial"/>
              </w:rPr>
            </w:pPr>
            <w:r w:rsidRPr="00B84B0C">
              <w:rPr>
                <w:rFonts w:cs="Arial"/>
              </w:rPr>
              <w:t xml:space="preserve">1st </w:t>
            </w:r>
            <w:proofErr w:type="spellStart"/>
            <w:r w:rsidRPr="00B84B0C">
              <w:rPr>
                <w:rFonts w:cs="Arial"/>
              </w:rPr>
              <w:t>Quarter</w:t>
            </w:r>
            <w:proofErr w:type="spellEnd"/>
            <w:r w:rsidRPr="00B84B0C">
              <w:rPr>
                <w:rFonts w:cs="Arial"/>
              </w:rPr>
              <w:t>/2019</w:t>
            </w:r>
          </w:p>
        </w:tc>
      </w:tr>
      <w:tr w:rsidR="009C72AA" w:rsidRPr="00B84B0C" w14:paraId="17B3556B" w14:textId="77777777" w:rsidTr="009C72AA">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4287" w:type="dxa"/>
            <w:gridSpan w:val="3"/>
            <w:tcBorders>
              <w:top w:val="nil"/>
              <w:bottom w:val="single" w:sz="2" w:space="0" w:color="8EAADB" w:themeColor="accent5" w:themeTint="99"/>
            </w:tcBorders>
            <w:shd w:val="clear" w:color="auto" w:fill="D9E2F3"/>
            <w:vAlign w:val="center"/>
          </w:tcPr>
          <w:p w14:paraId="4B727C57" w14:textId="77777777" w:rsidR="009C72AA" w:rsidRPr="00B84B0C" w:rsidRDefault="009C72AA" w:rsidP="009C72AA">
            <w:pPr>
              <w:pStyle w:val="08-Tabelageral"/>
              <w:rPr>
                <w:rFonts w:cs="Arial"/>
                <w:sz w:val="12"/>
                <w:szCs w:val="12"/>
              </w:rPr>
            </w:pPr>
          </w:p>
        </w:tc>
        <w:tc>
          <w:tcPr>
            <w:tcW w:w="1227" w:type="dxa"/>
            <w:tcBorders>
              <w:top w:val="nil"/>
              <w:bottom w:val="single" w:sz="2" w:space="0" w:color="8EAADB" w:themeColor="accent5" w:themeTint="99"/>
            </w:tcBorders>
            <w:shd w:val="clear" w:color="auto" w:fill="D9E2F3"/>
            <w:vAlign w:val="center"/>
          </w:tcPr>
          <w:p w14:paraId="0218E662"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proofErr w:type="gramStart"/>
            <w:r w:rsidRPr="00B84B0C">
              <w:rPr>
                <w:rFonts w:cs="Arial"/>
                <w:b/>
                <w:sz w:val="12"/>
                <w:szCs w:val="12"/>
              </w:rPr>
              <w:t>Controller</w:t>
            </w:r>
            <w:proofErr w:type="spellEnd"/>
            <w:r w:rsidRPr="00B84B0C">
              <w:rPr>
                <w:rFonts w:cs="Arial"/>
                <w:b/>
                <w:sz w:val="12"/>
                <w:szCs w:val="12"/>
                <w:vertAlign w:val="superscript"/>
              </w:rPr>
              <w:t>(</w:t>
            </w:r>
            <w:proofErr w:type="gramEnd"/>
            <w:r w:rsidRPr="00B84B0C">
              <w:rPr>
                <w:rFonts w:cs="Arial"/>
                <w:b/>
                <w:sz w:val="12"/>
                <w:szCs w:val="12"/>
                <w:vertAlign w:val="superscript"/>
              </w:rPr>
              <w:t>1)</w:t>
            </w:r>
          </w:p>
        </w:tc>
        <w:tc>
          <w:tcPr>
            <w:tcW w:w="1339" w:type="dxa"/>
            <w:tcBorders>
              <w:top w:val="single" w:sz="2" w:space="0" w:color="8EAADB" w:themeColor="accent5" w:themeTint="99"/>
              <w:bottom w:val="single" w:sz="2" w:space="0" w:color="8EAADB" w:themeColor="accent5" w:themeTint="99"/>
            </w:tcBorders>
            <w:shd w:val="clear" w:color="auto" w:fill="D9E2F3"/>
            <w:vAlign w:val="center"/>
          </w:tcPr>
          <w:p w14:paraId="104AE9B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r w:rsidRPr="00B84B0C">
              <w:rPr>
                <w:rFonts w:cs="Arial"/>
                <w:b/>
                <w:sz w:val="12"/>
                <w:szCs w:val="12"/>
              </w:rPr>
              <w:t xml:space="preserve">Associates </w:t>
            </w:r>
            <w:proofErr w:type="spellStart"/>
            <w:r w:rsidRPr="00B84B0C">
              <w:rPr>
                <w:rFonts w:cs="Arial"/>
                <w:b/>
                <w:sz w:val="12"/>
                <w:szCs w:val="12"/>
              </w:rPr>
              <w:t>and</w:t>
            </w:r>
            <w:proofErr w:type="spellEnd"/>
            <w:r w:rsidRPr="00B84B0C">
              <w:rPr>
                <w:rFonts w:cs="Arial"/>
                <w:b/>
                <w:sz w:val="12"/>
                <w:szCs w:val="12"/>
              </w:rPr>
              <w:t xml:space="preserve"> joint </w:t>
            </w:r>
            <w:proofErr w:type="gramStart"/>
            <w:r w:rsidRPr="00B84B0C">
              <w:rPr>
                <w:rFonts w:cs="Arial"/>
                <w:b/>
                <w:sz w:val="12"/>
                <w:szCs w:val="12"/>
              </w:rPr>
              <w:t>ventures</w:t>
            </w:r>
            <w:r w:rsidRPr="00B84B0C">
              <w:rPr>
                <w:rFonts w:cs="Arial"/>
                <w:b/>
                <w:sz w:val="12"/>
                <w:szCs w:val="12"/>
                <w:vertAlign w:val="superscript"/>
              </w:rPr>
              <w:t>(</w:t>
            </w:r>
            <w:proofErr w:type="gramEnd"/>
            <w:r w:rsidRPr="00B84B0C">
              <w:rPr>
                <w:rFonts w:cs="Arial"/>
                <w:b/>
                <w:sz w:val="12"/>
                <w:szCs w:val="12"/>
                <w:vertAlign w:val="superscript"/>
              </w:rPr>
              <w:t>2)</w:t>
            </w:r>
            <w:r w:rsidRPr="00B84B0C">
              <w:rPr>
                <w:rFonts w:cs="Arial"/>
                <w:b/>
                <w:sz w:val="12"/>
                <w:szCs w:val="12"/>
              </w:rPr>
              <w:t xml:space="preserve"> Investidas</w:t>
            </w:r>
            <w:r w:rsidRPr="00B84B0C">
              <w:rPr>
                <w:rFonts w:cs="Arial"/>
                <w:b/>
                <w:sz w:val="12"/>
                <w:szCs w:val="12"/>
                <w:vertAlign w:val="superscript"/>
              </w:rPr>
              <w:t>(3)</w:t>
            </w:r>
          </w:p>
        </w:tc>
        <w:tc>
          <w:tcPr>
            <w:tcW w:w="1339" w:type="dxa"/>
            <w:tcBorders>
              <w:top w:val="single" w:sz="2" w:space="0" w:color="8EAADB" w:themeColor="accent5" w:themeTint="99"/>
              <w:bottom w:val="single" w:sz="2" w:space="0" w:color="8EAADB" w:themeColor="accent5" w:themeTint="99"/>
            </w:tcBorders>
            <w:shd w:val="clear" w:color="auto" w:fill="D9E2F3"/>
            <w:vAlign w:val="center"/>
          </w:tcPr>
          <w:p w14:paraId="24F5AA9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proofErr w:type="spellStart"/>
            <w:r w:rsidRPr="00B84B0C">
              <w:rPr>
                <w:rFonts w:cs="Arial"/>
                <w:b/>
                <w:sz w:val="12"/>
                <w:szCs w:val="12"/>
              </w:rPr>
              <w:t>Controller</w:t>
            </w:r>
            <w:proofErr w:type="spellEnd"/>
            <w:r w:rsidRPr="00B84B0C">
              <w:rPr>
                <w:rFonts w:cs="Arial"/>
                <w:b/>
                <w:sz w:val="12"/>
                <w:szCs w:val="12"/>
              </w:rPr>
              <w:t xml:space="preserve"> </w:t>
            </w:r>
            <w:r w:rsidRPr="00B84B0C">
              <w:rPr>
                <w:rFonts w:cs="Arial"/>
                <w:b/>
                <w:sz w:val="12"/>
                <w:szCs w:val="12"/>
                <w:vertAlign w:val="superscript"/>
              </w:rPr>
              <w:t>(1)</w:t>
            </w:r>
          </w:p>
        </w:tc>
        <w:tc>
          <w:tcPr>
            <w:tcW w:w="1447" w:type="dxa"/>
            <w:tcBorders>
              <w:top w:val="single" w:sz="2" w:space="0" w:color="8EAADB" w:themeColor="accent5" w:themeTint="99"/>
              <w:bottom w:val="single" w:sz="2" w:space="0" w:color="8EAADB" w:themeColor="accent5" w:themeTint="99"/>
            </w:tcBorders>
            <w:shd w:val="clear" w:color="auto" w:fill="D9E2F3"/>
            <w:vAlign w:val="center"/>
          </w:tcPr>
          <w:p w14:paraId="7F9F274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sz w:val="12"/>
                <w:szCs w:val="12"/>
              </w:rPr>
            </w:pPr>
            <w:r w:rsidRPr="00B84B0C">
              <w:rPr>
                <w:rFonts w:cs="Arial"/>
                <w:b/>
                <w:sz w:val="12"/>
                <w:szCs w:val="12"/>
              </w:rPr>
              <w:t xml:space="preserve">Associates </w:t>
            </w:r>
            <w:proofErr w:type="spellStart"/>
            <w:r w:rsidRPr="00B84B0C">
              <w:rPr>
                <w:rFonts w:cs="Arial"/>
                <w:b/>
                <w:sz w:val="12"/>
                <w:szCs w:val="12"/>
              </w:rPr>
              <w:t>and</w:t>
            </w:r>
            <w:proofErr w:type="spellEnd"/>
            <w:r w:rsidRPr="00B84B0C">
              <w:rPr>
                <w:rFonts w:cs="Arial"/>
                <w:b/>
                <w:sz w:val="12"/>
                <w:szCs w:val="12"/>
              </w:rPr>
              <w:t xml:space="preserve"> joint </w:t>
            </w:r>
            <w:proofErr w:type="gramStart"/>
            <w:r w:rsidRPr="00B84B0C">
              <w:rPr>
                <w:rFonts w:cs="Arial"/>
                <w:b/>
                <w:sz w:val="12"/>
                <w:szCs w:val="12"/>
              </w:rPr>
              <w:t>ventures</w:t>
            </w:r>
            <w:r w:rsidRPr="00B84B0C">
              <w:rPr>
                <w:rFonts w:cs="Arial"/>
                <w:b/>
                <w:sz w:val="12"/>
                <w:szCs w:val="12"/>
                <w:vertAlign w:val="superscript"/>
              </w:rPr>
              <w:t>(</w:t>
            </w:r>
            <w:proofErr w:type="gramEnd"/>
            <w:r w:rsidRPr="00B84B0C">
              <w:rPr>
                <w:rFonts w:cs="Arial"/>
                <w:b/>
                <w:sz w:val="12"/>
                <w:szCs w:val="12"/>
                <w:vertAlign w:val="superscript"/>
              </w:rPr>
              <w:t>2)</w:t>
            </w:r>
          </w:p>
        </w:tc>
      </w:tr>
      <w:tr w:rsidR="009C72AA" w:rsidRPr="00B84B0C" w14:paraId="52C44726"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7" w:type="dxa"/>
            <w:gridSpan w:val="3"/>
            <w:tcBorders>
              <w:top w:val="single" w:sz="2" w:space="0" w:color="8EAADB" w:themeColor="accent5" w:themeTint="99"/>
              <w:bottom w:val="nil"/>
            </w:tcBorders>
            <w:shd w:val="clear" w:color="auto" w:fill="FFFFFF" w:themeFill="background1"/>
          </w:tcPr>
          <w:p w14:paraId="55E0B65F" w14:textId="77777777" w:rsidR="009C72AA" w:rsidRPr="00B84B0C" w:rsidRDefault="009C72AA" w:rsidP="009C72AA">
            <w:pPr>
              <w:pStyle w:val="08-Tabelageral"/>
              <w:jc w:val="left"/>
              <w:rPr>
                <w:rFonts w:cs="Arial"/>
              </w:rPr>
            </w:pPr>
            <w:r w:rsidRPr="00B84B0C">
              <w:rPr>
                <w:rFonts w:cs="Arial"/>
              </w:rPr>
              <w:t>Income</w:t>
            </w:r>
          </w:p>
        </w:tc>
        <w:tc>
          <w:tcPr>
            <w:tcW w:w="1227" w:type="dxa"/>
            <w:tcBorders>
              <w:top w:val="single" w:sz="2" w:space="0" w:color="8EAADB" w:themeColor="accent5" w:themeTint="99"/>
              <w:bottom w:val="nil"/>
            </w:tcBorders>
            <w:shd w:val="clear" w:color="auto" w:fill="FFFFFF" w:themeFill="background1"/>
            <w:vAlign w:val="center"/>
          </w:tcPr>
          <w:p w14:paraId="28C145D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339" w:type="dxa"/>
            <w:tcBorders>
              <w:top w:val="single" w:sz="2" w:space="0" w:color="8EAADB" w:themeColor="accent5" w:themeTint="99"/>
              <w:bottom w:val="nil"/>
            </w:tcBorders>
            <w:shd w:val="clear" w:color="auto" w:fill="FFFFFF" w:themeFill="background1"/>
          </w:tcPr>
          <w:p w14:paraId="199FF43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84B0C">
              <w:rPr>
                <w:rFonts w:cs="Arial"/>
                <w:b/>
                <w:szCs w:val="14"/>
              </w:rPr>
              <w:t xml:space="preserve"> </w:t>
            </w:r>
          </w:p>
        </w:tc>
        <w:tc>
          <w:tcPr>
            <w:tcW w:w="1339" w:type="dxa"/>
            <w:tcBorders>
              <w:top w:val="single" w:sz="2" w:space="0" w:color="8EAADB" w:themeColor="accent5" w:themeTint="99"/>
              <w:bottom w:val="nil"/>
            </w:tcBorders>
            <w:shd w:val="clear" w:color="auto" w:fill="FFFFFF" w:themeFill="background1"/>
          </w:tcPr>
          <w:p w14:paraId="28697A1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447" w:type="dxa"/>
            <w:tcBorders>
              <w:top w:val="single" w:sz="2" w:space="0" w:color="8EAADB" w:themeColor="accent5" w:themeTint="99"/>
            </w:tcBorders>
            <w:shd w:val="clear" w:color="auto" w:fill="FFFFFF" w:themeFill="background1"/>
          </w:tcPr>
          <w:p w14:paraId="717C909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r>
      <w:tr w:rsidR="009C72AA" w:rsidRPr="00B84B0C" w14:paraId="11BF342F"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7" w:type="dxa"/>
            <w:gridSpan w:val="3"/>
            <w:tcBorders>
              <w:top w:val="nil"/>
              <w:bottom w:val="nil"/>
            </w:tcBorders>
            <w:shd w:val="clear" w:color="auto" w:fill="D9E2F3"/>
          </w:tcPr>
          <w:p w14:paraId="4EEA6986" w14:textId="77777777" w:rsidR="009C72AA" w:rsidRPr="00B84B0C" w:rsidRDefault="009C72AA" w:rsidP="009C72AA">
            <w:pPr>
              <w:pStyle w:val="08-Tabelageral"/>
              <w:jc w:val="left"/>
              <w:rPr>
                <w:rFonts w:cs="Arial"/>
                <w:b w:val="0"/>
              </w:rPr>
            </w:pPr>
            <w:proofErr w:type="spellStart"/>
            <w:r w:rsidRPr="00B84B0C">
              <w:rPr>
                <w:rFonts w:cs="Arial"/>
                <w:b w:val="0"/>
              </w:rPr>
              <w:t>Interest</w:t>
            </w:r>
            <w:proofErr w:type="spellEnd"/>
            <w:r w:rsidRPr="00B84B0C">
              <w:rPr>
                <w:rFonts w:cs="Arial"/>
                <w:b w:val="0"/>
              </w:rPr>
              <w:t xml:space="preserve"> </w:t>
            </w:r>
            <w:proofErr w:type="spellStart"/>
            <w:r w:rsidRPr="00B84B0C">
              <w:rPr>
                <w:rFonts w:cs="Arial"/>
                <w:b w:val="0"/>
              </w:rPr>
              <w:t>earnings</w:t>
            </w:r>
            <w:proofErr w:type="spellEnd"/>
            <w:r w:rsidRPr="00B84B0C">
              <w:rPr>
                <w:rFonts w:cs="Arial"/>
                <w:b w:val="0"/>
              </w:rPr>
              <w:t xml:space="preserve"> </w:t>
            </w:r>
            <w:proofErr w:type="spellStart"/>
            <w:r w:rsidRPr="00B84B0C">
              <w:rPr>
                <w:rFonts w:cs="Arial"/>
                <w:b w:val="0"/>
              </w:rPr>
              <w:t>of</w:t>
            </w:r>
            <w:proofErr w:type="spellEnd"/>
            <w:r w:rsidRPr="00B84B0C">
              <w:rPr>
                <w:rFonts w:cs="Arial"/>
                <w:b w:val="0"/>
              </w:rPr>
              <w:t xml:space="preserve"> financial </w:t>
            </w:r>
            <w:proofErr w:type="spellStart"/>
            <w:r w:rsidRPr="00B84B0C">
              <w:rPr>
                <w:rFonts w:cs="Arial"/>
                <w:b w:val="0"/>
              </w:rPr>
              <w:t>instruments</w:t>
            </w:r>
            <w:proofErr w:type="spellEnd"/>
          </w:p>
        </w:tc>
        <w:tc>
          <w:tcPr>
            <w:tcW w:w="1227" w:type="dxa"/>
            <w:tcBorders>
              <w:top w:val="nil"/>
              <w:bottom w:val="nil"/>
            </w:tcBorders>
            <w:shd w:val="clear" w:color="auto" w:fill="D9E2F3"/>
            <w:vAlign w:val="center"/>
          </w:tcPr>
          <w:p w14:paraId="11DF290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65,199</w:t>
            </w:r>
          </w:p>
        </w:tc>
        <w:tc>
          <w:tcPr>
            <w:tcW w:w="1339" w:type="dxa"/>
            <w:tcBorders>
              <w:top w:val="nil"/>
              <w:bottom w:val="nil"/>
            </w:tcBorders>
            <w:shd w:val="clear" w:color="auto" w:fill="D9E2F3"/>
            <w:vAlign w:val="center"/>
          </w:tcPr>
          <w:p w14:paraId="3935A1D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D9E2F3"/>
          </w:tcPr>
          <w:p w14:paraId="598FC7E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53,715</w:t>
            </w:r>
          </w:p>
        </w:tc>
        <w:tc>
          <w:tcPr>
            <w:tcW w:w="1447" w:type="dxa"/>
            <w:shd w:val="clear" w:color="auto" w:fill="D9E2F3"/>
          </w:tcPr>
          <w:p w14:paraId="7BF56F6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r>
      <w:tr w:rsidR="009C72AA" w:rsidRPr="00B84B0C" w14:paraId="24977A5F"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7" w:type="dxa"/>
            <w:gridSpan w:val="3"/>
            <w:tcBorders>
              <w:top w:val="nil"/>
              <w:bottom w:val="nil"/>
            </w:tcBorders>
            <w:shd w:val="clear" w:color="auto" w:fill="FFFFFF" w:themeFill="background1"/>
          </w:tcPr>
          <w:p w14:paraId="6F41B56E" w14:textId="77777777" w:rsidR="009C72AA" w:rsidRPr="00B84B0C" w:rsidRDefault="009C72AA" w:rsidP="009C72AA">
            <w:pPr>
              <w:pStyle w:val="08-Tabelageral"/>
              <w:jc w:val="left"/>
              <w:rPr>
                <w:rFonts w:cs="Arial"/>
                <w:b w:val="0"/>
              </w:rPr>
            </w:pPr>
            <w:r w:rsidRPr="00B84B0C">
              <w:rPr>
                <w:rFonts w:cs="Arial"/>
                <w:b w:val="0"/>
              </w:rPr>
              <w:t xml:space="preserve">Income </w:t>
            </w:r>
            <w:proofErr w:type="spellStart"/>
            <w:r w:rsidRPr="00B84B0C">
              <w:rPr>
                <w:rFonts w:cs="Arial"/>
                <w:b w:val="0"/>
              </w:rPr>
              <w:t>from</w:t>
            </w:r>
            <w:proofErr w:type="spellEnd"/>
            <w:r w:rsidRPr="00B84B0C">
              <w:rPr>
                <w:rFonts w:cs="Arial"/>
                <w:b w:val="0"/>
              </w:rPr>
              <w:t xml:space="preserve"> </w:t>
            </w:r>
            <w:proofErr w:type="spellStart"/>
            <w:r w:rsidRPr="00B84B0C">
              <w:rPr>
                <w:rFonts w:cs="Arial"/>
                <w:b w:val="0"/>
              </w:rPr>
              <w:t>commission</w:t>
            </w:r>
            <w:proofErr w:type="spellEnd"/>
          </w:p>
        </w:tc>
        <w:tc>
          <w:tcPr>
            <w:tcW w:w="1227" w:type="dxa"/>
            <w:tcBorders>
              <w:top w:val="nil"/>
              <w:bottom w:val="nil"/>
            </w:tcBorders>
            <w:shd w:val="clear" w:color="auto" w:fill="FFFFFF" w:themeFill="background1"/>
            <w:vAlign w:val="center"/>
          </w:tcPr>
          <w:p w14:paraId="46DA2C4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FFFFFF" w:themeFill="background1"/>
            <w:vAlign w:val="center"/>
          </w:tcPr>
          <w:p w14:paraId="3AE2832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844,560</w:t>
            </w:r>
          </w:p>
        </w:tc>
        <w:tc>
          <w:tcPr>
            <w:tcW w:w="1339" w:type="dxa"/>
            <w:tcBorders>
              <w:top w:val="nil"/>
              <w:bottom w:val="nil"/>
            </w:tcBorders>
            <w:shd w:val="clear" w:color="auto" w:fill="FFFFFF" w:themeFill="background1"/>
          </w:tcPr>
          <w:p w14:paraId="1ECF4332"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c>
          <w:tcPr>
            <w:tcW w:w="1447" w:type="dxa"/>
            <w:shd w:val="clear" w:color="auto" w:fill="FFFFFF" w:themeFill="background1"/>
          </w:tcPr>
          <w:p w14:paraId="10519395"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762,179</w:t>
            </w:r>
          </w:p>
        </w:tc>
      </w:tr>
      <w:tr w:rsidR="009C72AA" w:rsidRPr="00B84B0C" w14:paraId="3EBB9DA2"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7" w:type="dxa"/>
            <w:gridSpan w:val="3"/>
            <w:tcBorders>
              <w:top w:val="nil"/>
              <w:bottom w:val="nil"/>
            </w:tcBorders>
            <w:shd w:val="clear" w:color="auto" w:fill="D9E2F3"/>
          </w:tcPr>
          <w:p w14:paraId="623E4DAD" w14:textId="77777777" w:rsidR="009C72AA" w:rsidRPr="00B84B0C" w:rsidRDefault="009C72AA" w:rsidP="009C72AA">
            <w:pPr>
              <w:pStyle w:val="08-Tabelageral"/>
              <w:jc w:val="left"/>
              <w:rPr>
                <w:rFonts w:cs="Arial"/>
                <w:b w:val="0"/>
              </w:rPr>
            </w:pPr>
            <w:proofErr w:type="spellStart"/>
            <w:r w:rsidRPr="00B84B0C">
              <w:rPr>
                <w:rFonts w:cs="Arial"/>
                <w:b w:val="0"/>
              </w:rPr>
              <w:t>Personnel</w:t>
            </w:r>
            <w:proofErr w:type="spellEnd"/>
            <w:r w:rsidRPr="00B84B0C">
              <w:rPr>
                <w:rFonts w:cs="Arial"/>
                <w:b w:val="0"/>
              </w:rPr>
              <w:t xml:space="preserve"> </w:t>
            </w:r>
            <w:proofErr w:type="spellStart"/>
            <w:r w:rsidRPr="00B84B0C">
              <w:rPr>
                <w:rFonts w:cs="Arial"/>
                <w:b w:val="0"/>
              </w:rPr>
              <w:t>expenses</w:t>
            </w:r>
            <w:proofErr w:type="spellEnd"/>
          </w:p>
        </w:tc>
        <w:tc>
          <w:tcPr>
            <w:tcW w:w="1227" w:type="dxa"/>
            <w:tcBorders>
              <w:top w:val="nil"/>
              <w:bottom w:val="nil"/>
            </w:tcBorders>
            <w:shd w:val="clear" w:color="auto" w:fill="D9E2F3"/>
            <w:vAlign w:val="center"/>
          </w:tcPr>
          <w:p w14:paraId="0B36C46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(15,435)</w:t>
            </w:r>
          </w:p>
        </w:tc>
        <w:tc>
          <w:tcPr>
            <w:tcW w:w="1339" w:type="dxa"/>
            <w:tcBorders>
              <w:top w:val="nil"/>
              <w:bottom w:val="nil"/>
            </w:tcBorders>
            <w:shd w:val="clear" w:color="auto" w:fill="D9E2F3"/>
            <w:vAlign w:val="center"/>
          </w:tcPr>
          <w:p w14:paraId="4F19AC7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D9E2F3"/>
          </w:tcPr>
          <w:p w14:paraId="26FA0D2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(13,128)</w:t>
            </w:r>
          </w:p>
        </w:tc>
        <w:tc>
          <w:tcPr>
            <w:tcW w:w="1447" w:type="dxa"/>
            <w:shd w:val="clear" w:color="auto" w:fill="D9E2F3"/>
          </w:tcPr>
          <w:p w14:paraId="61D836C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r>
      <w:tr w:rsidR="009C72AA" w:rsidRPr="00B84B0C" w14:paraId="342EE169" w14:textId="77777777" w:rsidTr="009C72AA">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7" w:type="dxa"/>
            <w:gridSpan w:val="3"/>
            <w:tcBorders>
              <w:top w:val="nil"/>
              <w:bottom w:val="nil"/>
            </w:tcBorders>
            <w:shd w:val="clear" w:color="auto" w:fill="FFFFFF" w:themeFill="background1"/>
          </w:tcPr>
          <w:p w14:paraId="3E9B220C" w14:textId="77777777" w:rsidR="009C72AA" w:rsidRPr="00B84B0C" w:rsidRDefault="009C72AA" w:rsidP="009C72AA">
            <w:pPr>
              <w:pStyle w:val="08-Tabelageral"/>
              <w:jc w:val="left"/>
              <w:rPr>
                <w:rFonts w:cs="Arial"/>
                <w:b w:val="0"/>
              </w:rPr>
            </w:pPr>
            <w:proofErr w:type="spellStart"/>
            <w:r w:rsidRPr="00B84B0C">
              <w:rPr>
                <w:rFonts w:cs="Arial"/>
                <w:b w:val="0"/>
              </w:rPr>
              <w:t>Administrative</w:t>
            </w:r>
            <w:proofErr w:type="spellEnd"/>
            <w:r w:rsidRPr="00B84B0C">
              <w:rPr>
                <w:rFonts w:cs="Arial"/>
                <w:b w:val="0"/>
              </w:rPr>
              <w:t xml:space="preserve"> </w:t>
            </w:r>
            <w:proofErr w:type="spellStart"/>
            <w:r w:rsidRPr="00B84B0C">
              <w:rPr>
                <w:rFonts w:cs="Arial"/>
                <w:b w:val="0"/>
              </w:rPr>
              <w:t>expenses</w:t>
            </w:r>
            <w:proofErr w:type="spellEnd"/>
            <w:r w:rsidRPr="00B84B0C">
              <w:rPr>
                <w:rFonts w:cs="Arial"/>
                <w:b w:val="0"/>
              </w:rPr>
              <w:t>/</w:t>
            </w:r>
            <w:proofErr w:type="spellStart"/>
            <w:r w:rsidRPr="00B84B0C">
              <w:rPr>
                <w:rFonts w:cs="Arial"/>
                <w:b w:val="0"/>
              </w:rPr>
              <w:t>costs</w:t>
            </w:r>
            <w:proofErr w:type="spellEnd"/>
            <w:r w:rsidRPr="00B84B0C">
              <w:rPr>
                <w:rFonts w:cs="Arial"/>
                <w:b w:val="0"/>
              </w:rPr>
              <w:t xml:space="preserve"> </w:t>
            </w:r>
            <w:proofErr w:type="spellStart"/>
            <w:r w:rsidRPr="00B84B0C">
              <w:rPr>
                <w:rFonts w:cs="Arial"/>
                <w:b w:val="0"/>
              </w:rPr>
              <w:t>of</w:t>
            </w:r>
            <w:proofErr w:type="spellEnd"/>
            <w:r w:rsidRPr="00B84B0C">
              <w:rPr>
                <w:rFonts w:cs="Arial"/>
                <w:b w:val="0"/>
              </w:rPr>
              <w:t xml:space="preserve"> </w:t>
            </w:r>
            <w:proofErr w:type="spellStart"/>
            <w:r w:rsidRPr="00B84B0C">
              <w:rPr>
                <w:rFonts w:cs="Arial"/>
                <w:b w:val="0"/>
              </w:rPr>
              <w:t>services</w:t>
            </w:r>
            <w:proofErr w:type="spellEnd"/>
            <w:r w:rsidRPr="00B84B0C">
              <w:rPr>
                <w:rFonts w:cs="Arial"/>
                <w:b w:val="0"/>
              </w:rPr>
              <w:t xml:space="preserve"> </w:t>
            </w:r>
            <w:proofErr w:type="spellStart"/>
            <w:r w:rsidRPr="00B84B0C">
              <w:rPr>
                <w:rFonts w:cs="Arial"/>
                <w:b w:val="0"/>
              </w:rPr>
              <w:t>provided</w:t>
            </w:r>
            <w:proofErr w:type="spellEnd"/>
            <w:r w:rsidRPr="00B84B0C">
              <w:rPr>
                <w:rFonts w:cs="Arial"/>
                <w:b w:val="0"/>
              </w:rPr>
              <w:t xml:space="preserve"> </w:t>
            </w:r>
            <w:r w:rsidRPr="00B84B0C">
              <w:rPr>
                <w:rFonts w:cs="Arial"/>
                <w:b w:val="0"/>
                <w:vertAlign w:val="superscript"/>
              </w:rPr>
              <w:t>(3)</w:t>
            </w:r>
          </w:p>
        </w:tc>
        <w:tc>
          <w:tcPr>
            <w:tcW w:w="1227" w:type="dxa"/>
            <w:tcBorders>
              <w:top w:val="nil"/>
              <w:bottom w:val="nil"/>
            </w:tcBorders>
            <w:shd w:val="clear" w:color="auto" w:fill="FFFFFF" w:themeFill="background1"/>
            <w:vAlign w:val="center"/>
          </w:tcPr>
          <w:p w14:paraId="60760A2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(47,919)</w:t>
            </w:r>
          </w:p>
        </w:tc>
        <w:tc>
          <w:tcPr>
            <w:tcW w:w="1339" w:type="dxa"/>
            <w:tcBorders>
              <w:top w:val="nil"/>
              <w:bottom w:val="nil"/>
            </w:tcBorders>
            <w:shd w:val="clear" w:color="auto" w:fill="FFFFFF" w:themeFill="background1"/>
            <w:vAlign w:val="center"/>
          </w:tcPr>
          <w:p w14:paraId="2B70C50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w:t>
            </w:r>
          </w:p>
        </w:tc>
        <w:tc>
          <w:tcPr>
            <w:tcW w:w="1339" w:type="dxa"/>
            <w:tcBorders>
              <w:top w:val="nil"/>
              <w:bottom w:val="nil"/>
            </w:tcBorders>
            <w:shd w:val="clear" w:color="auto" w:fill="FFFFFF" w:themeFill="background1"/>
          </w:tcPr>
          <w:p w14:paraId="20425F6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(41,462)</w:t>
            </w:r>
          </w:p>
        </w:tc>
        <w:tc>
          <w:tcPr>
            <w:tcW w:w="1447" w:type="dxa"/>
            <w:shd w:val="clear" w:color="auto" w:fill="FFFFFF" w:themeFill="background1"/>
          </w:tcPr>
          <w:p w14:paraId="2D51BF9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B84B0C">
              <w:rPr>
                <w:rFonts w:cs="Arial"/>
                <w:szCs w:val="14"/>
              </w:rPr>
              <w:t>--</w:t>
            </w:r>
          </w:p>
        </w:tc>
      </w:tr>
      <w:tr w:rsidR="009C72AA" w:rsidRPr="00B84B0C" w14:paraId="602F0692" w14:textId="77777777" w:rsidTr="009C72AA">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87" w:type="dxa"/>
            <w:gridSpan w:val="3"/>
            <w:tcBorders>
              <w:top w:val="nil"/>
              <w:bottom w:val="single" w:sz="4" w:space="0" w:color="B4C6E7" w:themeColor="accent5" w:themeTint="66"/>
            </w:tcBorders>
            <w:shd w:val="clear" w:color="auto" w:fill="D9E2F3"/>
          </w:tcPr>
          <w:p w14:paraId="058A5AC8" w14:textId="77777777" w:rsidR="009C72AA" w:rsidRPr="00B84B0C" w:rsidRDefault="009C72AA" w:rsidP="009C72AA">
            <w:pPr>
              <w:pStyle w:val="08-Tabelageral"/>
              <w:jc w:val="left"/>
              <w:rPr>
                <w:rFonts w:cs="Arial"/>
                <w:b w:val="0"/>
              </w:rPr>
            </w:pPr>
            <w:proofErr w:type="spellStart"/>
            <w:r w:rsidRPr="00B84B0C">
              <w:rPr>
                <w:rFonts w:cs="Arial"/>
                <w:b w:val="0"/>
              </w:rPr>
              <w:t>Monetary</w:t>
            </w:r>
            <w:proofErr w:type="spellEnd"/>
            <w:r w:rsidRPr="00B84B0C">
              <w:rPr>
                <w:rFonts w:cs="Arial"/>
                <w:b w:val="0"/>
              </w:rPr>
              <w:t xml:space="preserve"> </w:t>
            </w:r>
            <w:proofErr w:type="spellStart"/>
            <w:r w:rsidRPr="00B84B0C">
              <w:rPr>
                <w:rFonts w:cs="Arial"/>
                <w:b w:val="0"/>
              </w:rPr>
              <w:t>liabilities</w:t>
            </w:r>
            <w:proofErr w:type="spellEnd"/>
            <w:r w:rsidRPr="00B84B0C">
              <w:rPr>
                <w:rFonts w:cs="Arial"/>
                <w:b w:val="0"/>
              </w:rPr>
              <w:t xml:space="preserve"> </w:t>
            </w:r>
            <w:proofErr w:type="spellStart"/>
            <w:r w:rsidRPr="00B84B0C">
              <w:rPr>
                <w:rFonts w:cs="Arial"/>
                <w:b w:val="0"/>
              </w:rPr>
              <w:t>changes</w:t>
            </w:r>
            <w:proofErr w:type="spellEnd"/>
          </w:p>
        </w:tc>
        <w:tc>
          <w:tcPr>
            <w:tcW w:w="1227" w:type="dxa"/>
            <w:tcBorders>
              <w:top w:val="nil"/>
              <w:bottom w:val="single" w:sz="4" w:space="0" w:color="B4C6E7" w:themeColor="accent5" w:themeTint="66"/>
            </w:tcBorders>
            <w:shd w:val="clear" w:color="auto" w:fill="D9E2F3"/>
            <w:vAlign w:val="center"/>
          </w:tcPr>
          <w:p w14:paraId="27C951C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(16,477)</w:t>
            </w:r>
          </w:p>
        </w:tc>
        <w:tc>
          <w:tcPr>
            <w:tcW w:w="1339" w:type="dxa"/>
            <w:tcBorders>
              <w:top w:val="nil"/>
              <w:bottom w:val="single" w:sz="4" w:space="0" w:color="B4C6E7" w:themeColor="accent5" w:themeTint="66"/>
            </w:tcBorders>
            <w:shd w:val="clear" w:color="auto" w:fill="D9E2F3"/>
            <w:vAlign w:val="center"/>
          </w:tcPr>
          <w:p w14:paraId="7152C55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w:t>
            </w:r>
          </w:p>
        </w:tc>
        <w:tc>
          <w:tcPr>
            <w:tcW w:w="1339" w:type="dxa"/>
            <w:tcBorders>
              <w:top w:val="nil"/>
              <w:bottom w:val="single" w:sz="4" w:space="0" w:color="B4C6E7" w:themeColor="accent5" w:themeTint="66"/>
            </w:tcBorders>
            <w:shd w:val="clear" w:color="auto" w:fill="D9E2F3"/>
          </w:tcPr>
          <w:p w14:paraId="0F6A4F9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(8,864)</w:t>
            </w:r>
          </w:p>
        </w:tc>
        <w:tc>
          <w:tcPr>
            <w:tcW w:w="1447" w:type="dxa"/>
            <w:tcBorders>
              <w:top w:val="nil"/>
              <w:bottom w:val="single" w:sz="4" w:space="0" w:color="B4C6E7" w:themeColor="accent5" w:themeTint="66"/>
            </w:tcBorders>
            <w:shd w:val="clear" w:color="auto" w:fill="D9E2F3"/>
          </w:tcPr>
          <w:p w14:paraId="7C7CF0C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B84B0C">
              <w:rPr>
                <w:rFonts w:cs="Arial"/>
                <w:szCs w:val="14"/>
              </w:rPr>
              <w:t>--</w:t>
            </w:r>
          </w:p>
        </w:tc>
      </w:tr>
    </w:tbl>
    <w:p w14:paraId="071BF312" w14:textId="77777777" w:rsidR="009C72AA" w:rsidRPr="00B84B0C" w:rsidRDefault="009C72AA" w:rsidP="009C72AA">
      <w:pPr>
        <w:pStyle w:val="07-Legenda"/>
        <w:numPr>
          <w:ilvl w:val="0"/>
          <w:numId w:val="38"/>
        </w:numPr>
        <w:ind w:hanging="720"/>
        <w:rPr>
          <w:rFonts w:cs="Arial"/>
        </w:rPr>
      </w:pPr>
      <w:r w:rsidRPr="00B84B0C">
        <w:rPr>
          <w:rFonts w:cs="Arial"/>
          <w:lang w:val="en-US"/>
        </w:rPr>
        <w:t xml:space="preserve">Banco do </w:t>
      </w:r>
      <w:proofErr w:type="spellStart"/>
      <w:r w:rsidRPr="00B84B0C">
        <w:rPr>
          <w:rFonts w:cs="Arial"/>
          <w:lang w:val="en-US"/>
        </w:rPr>
        <w:t>Brasil</w:t>
      </w:r>
      <w:proofErr w:type="spellEnd"/>
      <w:r w:rsidRPr="00B84B0C">
        <w:rPr>
          <w:rFonts w:cs="Arial"/>
          <w:lang w:val="en-US"/>
        </w:rPr>
        <w:t xml:space="preserve"> </w:t>
      </w:r>
      <w:proofErr w:type="gramStart"/>
      <w:r w:rsidRPr="00B84B0C">
        <w:rPr>
          <w:rFonts w:cs="Arial"/>
          <w:lang w:val="en-US"/>
        </w:rPr>
        <w:t>S,A</w:t>
      </w:r>
      <w:proofErr w:type="gramEnd"/>
      <w:r w:rsidRPr="00B84B0C">
        <w:rPr>
          <w:rFonts w:cs="Arial"/>
          <w:lang w:val="en-US"/>
        </w:rPr>
        <w:t>,</w:t>
      </w:r>
    </w:p>
    <w:p w14:paraId="5648BFD2" w14:textId="77777777" w:rsidR="009C72AA" w:rsidRPr="00B84B0C" w:rsidRDefault="009C72AA" w:rsidP="009C72AA">
      <w:pPr>
        <w:pStyle w:val="07-Legenda"/>
        <w:numPr>
          <w:ilvl w:val="0"/>
          <w:numId w:val="38"/>
        </w:numPr>
        <w:tabs>
          <w:tab w:val="clear" w:pos="284"/>
          <w:tab w:val="left" w:pos="851"/>
        </w:tabs>
        <w:ind w:left="284" w:hanging="284"/>
        <w:rPr>
          <w:rFonts w:cs="Arial"/>
          <w:lang w:val="en-US"/>
        </w:rPr>
      </w:pPr>
      <w:r w:rsidRPr="00B84B0C">
        <w:rPr>
          <w:rFonts w:cs="Arial"/>
          <w:lang w:val="en-US"/>
        </w:rPr>
        <w:t xml:space="preserve">Related companies BB MAPFRE </w:t>
      </w:r>
      <w:proofErr w:type="spellStart"/>
      <w:r w:rsidRPr="00B84B0C">
        <w:rPr>
          <w:rFonts w:cs="Arial"/>
          <w:lang w:val="en-US"/>
        </w:rPr>
        <w:t>Participações</w:t>
      </w:r>
      <w:proofErr w:type="spellEnd"/>
      <w:r w:rsidRPr="00B84B0C">
        <w:rPr>
          <w:rFonts w:cs="Arial"/>
          <w:lang w:val="en-US"/>
        </w:rPr>
        <w:t xml:space="preserve"> S.A. and its subsidiaries, </w:t>
      </w:r>
      <w:proofErr w:type="spellStart"/>
      <w:r w:rsidRPr="00B84B0C">
        <w:rPr>
          <w:rFonts w:cs="Arial"/>
          <w:lang w:val="en-US"/>
        </w:rPr>
        <w:t>Brasilprev</w:t>
      </w:r>
      <w:proofErr w:type="spellEnd"/>
      <w:r w:rsidRPr="00B84B0C">
        <w:rPr>
          <w:rFonts w:cs="Arial"/>
          <w:lang w:val="en-US"/>
        </w:rPr>
        <w:t xml:space="preserve"> </w:t>
      </w:r>
      <w:proofErr w:type="spellStart"/>
      <w:r w:rsidRPr="00B84B0C">
        <w:rPr>
          <w:rFonts w:cs="Arial"/>
          <w:lang w:val="en-US"/>
        </w:rPr>
        <w:t>Seguros</w:t>
      </w:r>
      <w:proofErr w:type="spellEnd"/>
      <w:r w:rsidRPr="00B84B0C">
        <w:rPr>
          <w:rFonts w:cs="Arial"/>
          <w:lang w:val="en-US"/>
        </w:rPr>
        <w:t xml:space="preserve"> e </w:t>
      </w:r>
      <w:proofErr w:type="spellStart"/>
      <w:r w:rsidRPr="00B84B0C">
        <w:rPr>
          <w:rFonts w:cs="Arial"/>
          <w:lang w:val="en-US"/>
        </w:rPr>
        <w:t>Previdência</w:t>
      </w:r>
      <w:proofErr w:type="spellEnd"/>
      <w:r w:rsidRPr="00B84B0C">
        <w:rPr>
          <w:rFonts w:cs="Arial"/>
          <w:lang w:val="en-US"/>
        </w:rPr>
        <w:t xml:space="preserve"> S.A. </w:t>
      </w:r>
      <w:proofErr w:type="spellStart"/>
      <w:r w:rsidRPr="00B84B0C">
        <w:rPr>
          <w:rFonts w:cs="Arial"/>
          <w:lang w:val="en-US"/>
        </w:rPr>
        <w:t>Brasilcap</w:t>
      </w:r>
      <w:proofErr w:type="spellEnd"/>
      <w:r w:rsidRPr="00B84B0C">
        <w:rPr>
          <w:rFonts w:cs="Arial"/>
          <w:lang w:val="en-US"/>
        </w:rPr>
        <w:t xml:space="preserve"> </w:t>
      </w:r>
      <w:proofErr w:type="spellStart"/>
      <w:r w:rsidRPr="00B84B0C">
        <w:rPr>
          <w:rFonts w:cs="Arial"/>
          <w:lang w:val="en-US"/>
        </w:rPr>
        <w:t>Capitalização</w:t>
      </w:r>
      <w:proofErr w:type="spellEnd"/>
      <w:r w:rsidRPr="00B84B0C">
        <w:rPr>
          <w:rFonts w:cs="Arial"/>
          <w:lang w:val="en-US"/>
        </w:rPr>
        <w:t xml:space="preserve"> S.A. </w:t>
      </w:r>
      <w:proofErr w:type="spellStart"/>
      <w:r w:rsidRPr="00B84B0C">
        <w:rPr>
          <w:rFonts w:cs="Arial"/>
          <w:lang w:val="en-US"/>
        </w:rPr>
        <w:t>Brasildental</w:t>
      </w:r>
      <w:proofErr w:type="spellEnd"/>
      <w:r w:rsidRPr="00B84B0C">
        <w:rPr>
          <w:rFonts w:cs="Arial"/>
          <w:lang w:val="en-US"/>
        </w:rPr>
        <w:t xml:space="preserve"> S.A. and IRB-</w:t>
      </w:r>
      <w:proofErr w:type="spellStart"/>
      <w:r w:rsidRPr="00B84B0C">
        <w:rPr>
          <w:rFonts w:cs="Arial"/>
          <w:lang w:val="en-US"/>
        </w:rPr>
        <w:t>Brasil</w:t>
      </w:r>
      <w:proofErr w:type="spellEnd"/>
      <w:r w:rsidRPr="00B84B0C">
        <w:rPr>
          <w:rFonts w:cs="Arial"/>
          <w:lang w:val="en-US"/>
        </w:rPr>
        <w:t xml:space="preserve"> (until 07/23/2019 as per Note 2).</w:t>
      </w:r>
    </w:p>
    <w:p w14:paraId="3FF3C3AA" w14:textId="77777777" w:rsidR="009C72AA" w:rsidRPr="00B84B0C" w:rsidRDefault="009C72AA" w:rsidP="009C72AA">
      <w:pPr>
        <w:pStyle w:val="07-Legenda"/>
        <w:numPr>
          <w:ilvl w:val="0"/>
          <w:numId w:val="38"/>
        </w:numPr>
        <w:tabs>
          <w:tab w:val="clear" w:pos="284"/>
          <w:tab w:val="left" w:pos="851"/>
        </w:tabs>
        <w:ind w:left="284" w:hanging="284"/>
        <w:rPr>
          <w:rFonts w:cs="Arial"/>
          <w:lang w:val="en-US"/>
        </w:rPr>
      </w:pPr>
      <w:r w:rsidRPr="00B84B0C">
        <w:rPr>
          <w:rFonts w:cs="Arial"/>
          <w:lang w:val="en-US"/>
        </w:rPr>
        <w:t xml:space="preserve">Refers to expenses as sharing contract customer data, use of staff, distribution network and resource materials technological and administrative, between the Banco do </w:t>
      </w:r>
      <w:proofErr w:type="spellStart"/>
      <w:r w:rsidRPr="00B84B0C">
        <w:rPr>
          <w:rFonts w:cs="Arial"/>
          <w:lang w:val="en-US"/>
        </w:rPr>
        <w:t>Brasil</w:t>
      </w:r>
      <w:proofErr w:type="spellEnd"/>
      <w:r w:rsidRPr="00B84B0C">
        <w:rPr>
          <w:rFonts w:cs="Arial"/>
          <w:lang w:val="en-US"/>
        </w:rPr>
        <w:t xml:space="preserve">, BB </w:t>
      </w:r>
      <w:proofErr w:type="spellStart"/>
      <w:r w:rsidRPr="00B84B0C">
        <w:rPr>
          <w:rFonts w:cs="Arial"/>
          <w:lang w:val="en-US"/>
        </w:rPr>
        <w:t>Seguridade</w:t>
      </w:r>
      <w:proofErr w:type="spellEnd"/>
      <w:r w:rsidRPr="00B84B0C">
        <w:rPr>
          <w:rFonts w:cs="Arial"/>
          <w:lang w:val="en-US"/>
        </w:rPr>
        <w:t xml:space="preserve">, BB </w:t>
      </w:r>
      <w:proofErr w:type="spellStart"/>
      <w:r w:rsidRPr="00B84B0C">
        <w:rPr>
          <w:rFonts w:cs="Arial"/>
          <w:lang w:val="en-US"/>
        </w:rPr>
        <w:t>Corretora</w:t>
      </w:r>
      <w:proofErr w:type="spellEnd"/>
      <w:r w:rsidRPr="00B84B0C">
        <w:rPr>
          <w:rFonts w:cs="Arial"/>
          <w:lang w:val="en-US"/>
        </w:rPr>
        <w:t xml:space="preserve"> and BB </w:t>
      </w:r>
      <w:proofErr w:type="spellStart"/>
      <w:r w:rsidRPr="00B84B0C">
        <w:rPr>
          <w:rFonts w:cs="Arial"/>
          <w:lang w:val="en-US"/>
        </w:rPr>
        <w:t>Seguros</w:t>
      </w:r>
      <w:proofErr w:type="spellEnd"/>
      <w:r w:rsidRPr="00B84B0C">
        <w:rPr>
          <w:rFonts w:cs="Arial"/>
          <w:lang w:val="en-US"/>
        </w:rPr>
        <w:t>.</w:t>
      </w:r>
    </w:p>
    <w:p w14:paraId="05A62B93" w14:textId="77777777" w:rsidR="009C72AA" w:rsidRPr="00B84B0C" w:rsidRDefault="009C72AA" w:rsidP="009C72AA">
      <w:pPr>
        <w:pStyle w:val="07-Legenda"/>
        <w:tabs>
          <w:tab w:val="clear" w:pos="284"/>
          <w:tab w:val="left" w:pos="142"/>
        </w:tabs>
        <w:spacing w:before="0"/>
        <w:rPr>
          <w:rFonts w:cs="Arial"/>
          <w:szCs w:val="14"/>
        </w:rPr>
      </w:pPr>
    </w:p>
    <w:p w14:paraId="52E25F92" w14:textId="77777777" w:rsidR="009C72AA" w:rsidRPr="00B84B0C" w:rsidRDefault="009C72AA" w:rsidP="009C72AA">
      <w:pPr>
        <w:pStyle w:val="01-TtulodeNota"/>
        <w:spacing w:before="0" w:after="0"/>
        <w:jc w:val="right"/>
        <w:rPr>
          <w:rFonts w:cs="Arial"/>
          <w:sz w:val="14"/>
          <w:szCs w:val="14"/>
        </w:rPr>
      </w:pPr>
    </w:p>
    <w:p w14:paraId="51795495" w14:textId="77777777" w:rsidR="009C72AA" w:rsidRPr="00B84B0C" w:rsidRDefault="009C72AA" w:rsidP="009C72AA">
      <w:pPr>
        <w:pStyle w:val="01-TtulodeNota"/>
        <w:numPr>
          <w:ilvl w:val="0"/>
          <w:numId w:val="10"/>
        </w:numPr>
        <w:spacing w:before="0"/>
        <w:ind w:left="284" w:hanging="284"/>
        <w:jc w:val="left"/>
        <w:rPr>
          <w:rFonts w:cs="Arial"/>
          <w:color w:val="1F4E79" w:themeColor="accent1" w:themeShade="80"/>
        </w:rPr>
      </w:pPr>
      <w:proofErr w:type="spellStart"/>
      <w:r w:rsidRPr="00B84B0C">
        <w:rPr>
          <w:rFonts w:cs="Arial"/>
          <w:color w:val="1F4E79" w:themeColor="accent1" w:themeShade="80"/>
        </w:rPr>
        <w:t>Compensation</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Paid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to</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Employees</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and</w:t>
      </w:r>
      <w:proofErr w:type="spellEnd"/>
      <w:r w:rsidRPr="00B84B0C">
        <w:rPr>
          <w:rFonts w:cs="Arial"/>
          <w:color w:val="1F4E79" w:themeColor="accent1" w:themeShade="80"/>
        </w:rPr>
        <w:t xml:space="preserve"> </w:t>
      </w:r>
      <w:proofErr w:type="spellStart"/>
      <w:r w:rsidRPr="00B84B0C">
        <w:rPr>
          <w:rFonts w:cs="Arial"/>
          <w:color w:val="1F4E79" w:themeColor="accent1" w:themeShade="80"/>
        </w:rPr>
        <w:t>Directors</w:t>
      </w:r>
      <w:proofErr w:type="spellEnd"/>
    </w:p>
    <w:p w14:paraId="36AEAB3A" w14:textId="77777777" w:rsidR="009C72AA" w:rsidRPr="00B84B0C" w:rsidRDefault="009C72AA" w:rsidP="009C72AA">
      <w:pPr>
        <w:pStyle w:val="05-Textonormal"/>
        <w:rPr>
          <w:rFonts w:cs="Arial"/>
          <w:lang w:val="en-US"/>
        </w:rPr>
      </w:pPr>
      <w:r w:rsidRPr="00B84B0C">
        <w:rPr>
          <w:rFonts w:cs="Arial"/>
          <w:lang w:val="en-US"/>
        </w:rPr>
        <w:t xml:space="preserve">On April 15, 2016, an agreement of assignment of employees of Banco do </w:t>
      </w:r>
      <w:proofErr w:type="spellStart"/>
      <w:r w:rsidRPr="00B84B0C">
        <w:rPr>
          <w:rFonts w:cs="Arial"/>
          <w:lang w:val="en-US"/>
        </w:rPr>
        <w:t>Brasil</w:t>
      </w:r>
      <w:proofErr w:type="spellEnd"/>
      <w:r w:rsidRPr="00B84B0C">
        <w:rPr>
          <w:rFonts w:cs="Arial"/>
          <w:lang w:val="en-US"/>
        </w:rPr>
        <w:t xml:space="preserve"> </w:t>
      </w:r>
      <w:proofErr w:type="gramStart"/>
      <w:r w:rsidRPr="00B84B0C">
        <w:rPr>
          <w:rFonts w:cs="Arial"/>
          <w:lang w:val="en-US"/>
        </w:rPr>
        <w:t>S,A</w:t>
      </w:r>
      <w:proofErr w:type="gramEnd"/>
      <w:r w:rsidRPr="00B84B0C">
        <w:rPr>
          <w:rFonts w:cs="Arial"/>
          <w:lang w:val="en-US"/>
        </w:rPr>
        <w:t xml:space="preserve">, to BB </w:t>
      </w:r>
      <w:proofErr w:type="spellStart"/>
      <w:r w:rsidRPr="00B84B0C">
        <w:rPr>
          <w:rFonts w:cs="Arial"/>
          <w:lang w:val="en-US"/>
        </w:rPr>
        <w:t>Seguridade</w:t>
      </w:r>
      <w:proofErr w:type="spellEnd"/>
      <w:r w:rsidRPr="00B84B0C">
        <w:rPr>
          <w:rFonts w:cs="Arial"/>
          <w:lang w:val="en-US"/>
        </w:rPr>
        <w:t xml:space="preserve">, for the office of Director levels, Management and other positions of trust was signed, The assignment of employees are given in the form of availability, without charge, The Banco do </w:t>
      </w:r>
      <w:proofErr w:type="spellStart"/>
      <w:r w:rsidRPr="00B84B0C">
        <w:rPr>
          <w:rFonts w:cs="Arial"/>
          <w:lang w:val="en-US"/>
        </w:rPr>
        <w:t>Brasil</w:t>
      </w:r>
      <w:proofErr w:type="spellEnd"/>
      <w:r w:rsidRPr="00B84B0C">
        <w:rPr>
          <w:rFonts w:cs="Arial"/>
          <w:lang w:val="en-US"/>
        </w:rPr>
        <w:t xml:space="preserve"> S,A, continues to process the payroll of the transferred employees, receiving a monthly repayment of all current costs from BB </w:t>
      </w:r>
      <w:proofErr w:type="spellStart"/>
      <w:r w:rsidRPr="00B84B0C">
        <w:rPr>
          <w:rFonts w:cs="Arial"/>
          <w:lang w:val="en-US"/>
        </w:rPr>
        <w:t>Seguridade</w:t>
      </w:r>
      <w:proofErr w:type="spellEnd"/>
      <w:r w:rsidRPr="00B84B0C">
        <w:rPr>
          <w:rFonts w:cs="Arial"/>
          <w:lang w:val="en-US"/>
        </w:rPr>
        <w:t>.</w:t>
      </w:r>
    </w:p>
    <w:p w14:paraId="19A92670" w14:textId="77777777" w:rsidR="009C72AA" w:rsidRPr="00B84B0C" w:rsidRDefault="009C72AA" w:rsidP="009C72AA">
      <w:pPr>
        <w:pStyle w:val="05-Textonormal"/>
        <w:rPr>
          <w:rFonts w:cs="Arial"/>
          <w:lang w:val="en-US"/>
        </w:rPr>
      </w:pPr>
    </w:p>
    <w:p w14:paraId="09344333" w14:textId="77777777" w:rsidR="009C72AA" w:rsidRPr="00B84B0C" w:rsidRDefault="009C72AA" w:rsidP="009C72AA">
      <w:pPr>
        <w:pStyle w:val="01-TtulodeNota"/>
        <w:numPr>
          <w:ilvl w:val="0"/>
          <w:numId w:val="10"/>
        </w:numPr>
        <w:spacing w:before="0"/>
        <w:ind w:left="284" w:hanging="284"/>
        <w:jc w:val="left"/>
        <w:rPr>
          <w:rFonts w:cs="Arial"/>
          <w:color w:val="1F4E79" w:themeColor="accent1" w:themeShade="80"/>
        </w:rPr>
      </w:pPr>
      <w:r w:rsidRPr="00B84B0C">
        <w:rPr>
          <w:rFonts w:cs="Arial"/>
          <w:color w:val="1F4E79" w:themeColor="accent1" w:themeShade="80"/>
          <w:lang w:val="en-US"/>
        </w:rPr>
        <w:t>Remuneration of employees and managers</w:t>
      </w:r>
    </w:p>
    <w:p w14:paraId="3502AAF5" w14:textId="77777777" w:rsidR="009C72AA" w:rsidRPr="00B84B0C" w:rsidRDefault="009C72AA" w:rsidP="009C72AA">
      <w:pPr>
        <w:pStyle w:val="05-Textonormal"/>
        <w:spacing w:before="0" w:line="240" w:lineRule="auto"/>
        <w:rPr>
          <w:rFonts w:cs="Arial"/>
          <w:lang w:eastAsia="zh-CN"/>
        </w:rPr>
      </w:pPr>
      <w:r w:rsidRPr="00B84B0C">
        <w:rPr>
          <w:rFonts w:cs="Arial"/>
          <w:lang w:eastAsia="zh-CN"/>
        </w:rPr>
        <w:t xml:space="preserve">Monthly </w:t>
      </w:r>
      <w:proofErr w:type="spellStart"/>
      <w:r w:rsidRPr="00B84B0C">
        <w:rPr>
          <w:rFonts w:cs="Arial"/>
          <w:lang w:eastAsia="zh-CN"/>
        </w:rPr>
        <w:t>wages</w:t>
      </w:r>
      <w:proofErr w:type="spellEnd"/>
      <w:r w:rsidRPr="00B84B0C">
        <w:rPr>
          <w:rFonts w:cs="Arial"/>
          <w:lang w:eastAsia="zh-CN"/>
        </w:rPr>
        <w:t xml:space="preserve"> </w:t>
      </w:r>
      <w:proofErr w:type="spellStart"/>
      <w:r w:rsidRPr="00B84B0C">
        <w:rPr>
          <w:rFonts w:cs="Arial"/>
          <w:lang w:eastAsia="zh-CN"/>
        </w:rPr>
        <w:t>paid</w:t>
      </w:r>
      <w:proofErr w:type="spellEnd"/>
      <w:r w:rsidRPr="00B84B0C">
        <w:rPr>
          <w:rFonts w:cs="Arial"/>
          <w:lang w:eastAsia="zh-CN"/>
        </w:rPr>
        <w:t xml:space="preserve"> </w:t>
      </w:r>
      <w:proofErr w:type="spellStart"/>
      <w:r w:rsidRPr="00B84B0C">
        <w:rPr>
          <w:rFonts w:cs="Arial"/>
          <w:lang w:eastAsia="zh-CN"/>
        </w:rPr>
        <w:t>to</w:t>
      </w:r>
      <w:proofErr w:type="spellEnd"/>
      <w:r w:rsidRPr="00B84B0C">
        <w:rPr>
          <w:rFonts w:cs="Arial"/>
          <w:lang w:eastAsia="zh-CN"/>
        </w:rPr>
        <w:t xml:space="preserve"> </w:t>
      </w:r>
      <w:proofErr w:type="spellStart"/>
      <w:r w:rsidRPr="00B84B0C">
        <w:rPr>
          <w:rFonts w:cs="Arial"/>
          <w:lang w:eastAsia="zh-CN"/>
        </w:rPr>
        <w:t>employees</w:t>
      </w:r>
      <w:proofErr w:type="spellEnd"/>
      <w:r w:rsidRPr="00B84B0C">
        <w:rPr>
          <w:rFonts w:cs="Arial"/>
          <w:lang w:eastAsia="zh-CN"/>
        </w:rPr>
        <w:t xml:space="preserve"> </w:t>
      </w:r>
      <w:proofErr w:type="spellStart"/>
      <w:r w:rsidRPr="00B84B0C">
        <w:rPr>
          <w:rFonts w:cs="Arial"/>
          <w:lang w:eastAsia="zh-CN"/>
        </w:rPr>
        <w:t>and</w:t>
      </w:r>
      <w:proofErr w:type="spellEnd"/>
      <w:r w:rsidRPr="00B84B0C">
        <w:rPr>
          <w:rFonts w:cs="Arial"/>
          <w:lang w:eastAsia="zh-CN"/>
        </w:rPr>
        <w:t xml:space="preserve"> </w:t>
      </w:r>
      <w:proofErr w:type="spellStart"/>
      <w:r w:rsidRPr="00B84B0C">
        <w:rPr>
          <w:rFonts w:cs="Arial"/>
          <w:lang w:eastAsia="zh-CN"/>
        </w:rPr>
        <w:t>Directors</w:t>
      </w:r>
      <w:proofErr w:type="spellEnd"/>
      <w:r w:rsidRPr="00B84B0C">
        <w:rPr>
          <w:rFonts w:cs="Arial"/>
          <w:lang w:eastAsia="zh-CN"/>
        </w:rPr>
        <w:t xml:space="preserve"> </w:t>
      </w:r>
      <w:proofErr w:type="spellStart"/>
      <w:r w:rsidRPr="00B84B0C">
        <w:rPr>
          <w:rFonts w:cs="Arial"/>
          <w:lang w:eastAsia="zh-CN"/>
        </w:rPr>
        <w:t>of</w:t>
      </w:r>
      <w:proofErr w:type="spellEnd"/>
      <w:r w:rsidRPr="00B84B0C">
        <w:rPr>
          <w:rFonts w:cs="Arial"/>
          <w:lang w:eastAsia="zh-CN"/>
        </w:rPr>
        <w:t xml:space="preserve"> </w:t>
      </w:r>
      <w:proofErr w:type="spellStart"/>
      <w:r w:rsidRPr="00B84B0C">
        <w:rPr>
          <w:rFonts w:cs="Arial"/>
          <w:lang w:eastAsia="zh-CN"/>
        </w:rPr>
        <w:t>the</w:t>
      </w:r>
      <w:proofErr w:type="spellEnd"/>
      <w:r w:rsidRPr="00B84B0C">
        <w:rPr>
          <w:rFonts w:cs="Arial"/>
          <w:lang w:eastAsia="zh-CN"/>
        </w:rPr>
        <w:t xml:space="preserve"> BB Seguridade S.A.</w:t>
      </w:r>
    </w:p>
    <w:p w14:paraId="42655205" w14:textId="77777777" w:rsidR="009C72AA" w:rsidRPr="00B84B0C" w:rsidRDefault="009C72AA" w:rsidP="009C72AA">
      <w:pPr>
        <w:pStyle w:val="05-Textonormal"/>
        <w:spacing w:before="0" w:after="0" w:line="240" w:lineRule="auto"/>
        <w:jc w:val="right"/>
        <w:rPr>
          <w:rFonts w:cs="Arial"/>
          <w:b/>
          <w:sz w:val="14"/>
          <w:szCs w:val="14"/>
          <w:lang w:eastAsia="zh-CN"/>
        </w:rPr>
      </w:pPr>
      <w:r w:rsidRPr="00B84B0C">
        <w:rPr>
          <w:rFonts w:cs="Arial"/>
          <w:b/>
          <w:sz w:val="14"/>
          <w:szCs w:val="14"/>
          <w:lang w:eastAsia="zh-CN"/>
        </w:rPr>
        <w:tab/>
      </w:r>
      <w:r w:rsidRPr="00B84B0C">
        <w:rPr>
          <w:rFonts w:cs="Arial"/>
          <w:b/>
          <w:sz w:val="14"/>
          <w:szCs w:val="14"/>
          <w:lang w:eastAsia="zh-CN"/>
        </w:rPr>
        <w:tab/>
      </w:r>
      <w:r w:rsidRPr="00B84B0C">
        <w:rPr>
          <w:rFonts w:cs="Arial"/>
          <w:b/>
          <w:sz w:val="14"/>
          <w:szCs w:val="14"/>
        </w:rPr>
        <w:t>R$</w:t>
      </w:r>
    </w:p>
    <w:tbl>
      <w:tblPr>
        <w:tblStyle w:val="TabeladeLista6Colorida-nfase510"/>
        <w:tblW w:w="9639" w:type="dxa"/>
        <w:tblInd w:w="108" w:type="dxa"/>
        <w:tblLook w:val="04A0" w:firstRow="1" w:lastRow="0" w:firstColumn="1" w:lastColumn="0" w:noHBand="0" w:noVBand="1"/>
      </w:tblPr>
      <w:tblGrid>
        <w:gridCol w:w="2986"/>
        <w:gridCol w:w="604"/>
        <w:gridCol w:w="1411"/>
        <w:gridCol w:w="1412"/>
        <w:gridCol w:w="283"/>
        <w:gridCol w:w="1417"/>
        <w:gridCol w:w="1418"/>
        <w:gridCol w:w="108"/>
      </w:tblGrid>
      <w:tr w:rsidR="009C72AA" w:rsidRPr="00B84B0C" w14:paraId="486B6701" w14:textId="77777777" w:rsidTr="008D1A6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6413" w:type="dxa"/>
            <w:gridSpan w:val="4"/>
          </w:tcPr>
          <w:p w14:paraId="44085B90" w14:textId="77777777" w:rsidR="009C72AA" w:rsidRPr="00B84B0C" w:rsidRDefault="009C72AA" w:rsidP="009C72AA">
            <w:pPr>
              <w:keepNext/>
              <w:keepLines/>
              <w:spacing w:before="40" w:after="40"/>
              <w:jc w:val="right"/>
              <w:rPr>
                <w:rFonts w:cs="Arial"/>
                <w:b w:val="0"/>
                <w:spacing w:val="-2"/>
                <w:sz w:val="14"/>
                <w:szCs w:val="18"/>
              </w:rPr>
            </w:pPr>
          </w:p>
        </w:tc>
        <w:tc>
          <w:tcPr>
            <w:tcW w:w="283" w:type="dxa"/>
          </w:tcPr>
          <w:p w14:paraId="0FAD83AC" w14:textId="77777777" w:rsidR="009C72AA" w:rsidRPr="00B84B0C" w:rsidRDefault="009C72AA" w:rsidP="009C72AA">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p>
        </w:tc>
        <w:tc>
          <w:tcPr>
            <w:tcW w:w="1417" w:type="dxa"/>
          </w:tcPr>
          <w:p w14:paraId="0EA12797" w14:textId="77777777" w:rsidR="009C72AA" w:rsidRPr="00B84B0C" w:rsidRDefault="009C72AA" w:rsidP="009C72AA">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r w:rsidRPr="00B84B0C">
              <w:rPr>
                <w:rFonts w:cs="Arial"/>
                <w:spacing w:val="-2"/>
                <w:sz w:val="14"/>
                <w:szCs w:val="18"/>
              </w:rPr>
              <w:t>Mar 31, 2020</w:t>
            </w:r>
          </w:p>
        </w:tc>
        <w:tc>
          <w:tcPr>
            <w:tcW w:w="1526" w:type="dxa"/>
            <w:gridSpan w:val="2"/>
          </w:tcPr>
          <w:p w14:paraId="577897FB" w14:textId="77777777" w:rsidR="009C72AA" w:rsidRPr="00B84B0C" w:rsidRDefault="009C72AA" w:rsidP="009C72AA">
            <w:pPr>
              <w:keepNext/>
              <w:keepLines/>
              <w:spacing w:before="40" w:after="40"/>
              <w:jc w:val="right"/>
              <w:cnfStyle w:val="100000000000" w:firstRow="1" w:lastRow="0" w:firstColumn="0" w:lastColumn="0" w:oddVBand="0" w:evenVBand="0" w:oddHBand="0" w:evenHBand="0" w:firstRowFirstColumn="0" w:firstRowLastColumn="0" w:lastRowFirstColumn="0" w:lastRowLastColumn="0"/>
              <w:rPr>
                <w:rFonts w:cs="Arial"/>
                <w:b w:val="0"/>
                <w:spacing w:val="-2"/>
                <w:sz w:val="14"/>
                <w:szCs w:val="18"/>
              </w:rPr>
            </w:pPr>
            <w:proofErr w:type="spellStart"/>
            <w:r w:rsidRPr="00B84B0C">
              <w:rPr>
                <w:rFonts w:cs="Arial"/>
                <w:spacing w:val="-2"/>
                <w:sz w:val="14"/>
                <w:szCs w:val="18"/>
              </w:rPr>
              <w:t>Dec</w:t>
            </w:r>
            <w:proofErr w:type="spellEnd"/>
            <w:r w:rsidRPr="00B84B0C">
              <w:rPr>
                <w:rFonts w:cs="Arial"/>
                <w:spacing w:val="-2"/>
                <w:sz w:val="14"/>
                <w:szCs w:val="18"/>
              </w:rPr>
              <w:t xml:space="preserve"> 31, 2019</w:t>
            </w:r>
          </w:p>
        </w:tc>
      </w:tr>
      <w:tr w:rsidR="009C72AA" w:rsidRPr="00B84B0C" w14:paraId="6C28FDC6" w14:textId="77777777" w:rsidTr="008D1A6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Pr>
          <w:p w14:paraId="5B5B5DA4" w14:textId="77777777" w:rsidR="009C72AA" w:rsidRPr="00B84B0C" w:rsidRDefault="009C72AA" w:rsidP="009C72AA">
            <w:pPr>
              <w:pStyle w:val="08-Tabelageral"/>
              <w:jc w:val="left"/>
              <w:rPr>
                <w:rFonts w:cs="Arial"/>
                <w:b w:val="0"/>
              </w:rPr>
            </w:pPr>
            <w:proofErr w:type="spellStart"/>
            <w:r w:rsidRPr="00B84B0C">
              <w:rPr>
                <w:rFonts w:cs="Arial"/>
                <w:b w:val="0"/>
              </w:rPr>
              <w:t>Lowest</w:t>
            </w:r>
            <w:proofErr w:type="spellEnd"/>
            <w:r w:rsidRPr="00B84B0C">
              <w:rPr>
                <w:rFonts w:cs="Arial"/>
                <w:b w:val="0"/>
              </w:rPr>
              <w:t xml:space="preserve"> </w:t>
            </w:r>
            <w:proofErr w:type="spellStart"/>
            <w:r w:rsidRPr="00B84B0C">
              <w:rPr>
                <w:rFonts w:cs="Arial"/>
                <w:b w:val="0"/>
              </w:rPr>
              <w:t>salary</w:t>
            </w:r>
            <w:proofErr w:type="spellEnd"/>
          </w:p>
        </w:tc>
        <w:tc>
          <w:tcPr>
            <w:tcW w:w="604" w:type="dxa"/>
          </w:tcPr>
          <w:p w14:paraId="5B2432F8"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Pr>
          <w:p w14:paraId="16C43E7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2" w:type="dxa"/>
          </w:tcPr>
          <w:p w14:paraId="019E3EEB"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3" w:type="dxa"/>
          </w:tcPr>
          <w:p w14:paraId="2EE07A5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14:paraId="74C3161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B84B0C">
              <w:rPr>
                <w:rFonts w:cs="Arial"/>
              </w:rPr>
              <w:t>7,269.24</w:t>
            </w:r>
          </w:p>
        </w:tc>
        <w:tc>
          <w:tcPr>
            <w:tcW w:w="1526" w:type="dxa"/>
            <w:gridSpan w:val="2"/>
          </w:tcPr>
          <w:p w14:paraId="7B32EFDD"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7,269.24</w:t>
            </w:r>
          </w:p>
        </w:tc>
      </w:tr>
      <w:tr w:rsidR="009C72AA" w:rsidRPr="00B84B0C" w14:paraId="410F02DE" w14:textId="77777777" w:rsidTr="008D1A6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Pr>
          <w:p w14:paraId="7B9C84F2" w14:textId="77777777" w:rsidR="009C72AA" w:rsidRPr="00B84B0C" w:rsidRDefault="009C72AA" w:rsidP="009C72AA">
            <w:pPr>
              <w:pStyle w:val="08-Tabelageral"/>
              <w:jc w:val="left"/>
              <w:rPr>
                <w:rFonts w:cs="Arial"/>
                <w:b w:val="0"/>
              </w:rPr>
            </w:pPr>
            <w:proofErr w:type="spellStart"/>
            <w:r w:rsidRPr="00B84B0C">
              <w:rPr>
                <w:rFonts w:cs="Arial"/>
                <w:b w:val="0"/>
              </w:rPr>
              <w:t>Highest</w:t>
            </w:r>
            <w:proofErr w:type="spellEnd"/>
            <w:r w:rsidRPr="00B84B0C">
              <w:rPr>
                <w:rFonts w:cs="Arial"/>
                <w:b w:val="0"/>
              </w:rPr>
              <w:t xml:space="preserve"> </w:t>
            </w:r>
            <w:proofErr w:type="spellStart"/>
            <w:r w:rsidRPr="00B84B0C">
              <w:rPr>
                <w:rFonts w:cs="Arial"/>
                <w:b w:val="0"/>
              </w:rPr>
              <w:t>salary</w:t>
            </w:r>
            <w:proofErr w:type="spellEnd"/>
          </w:p>
        </w:tc>
        <w:tc>
          <w:tcPr>
            <w:tcW w:w="604" w:type="dxa"/>
          </w:tcPr>
          <w:p w14:paraId="3EA5270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60D7462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3DAA533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4A47BFD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3D97B143"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B84B0C">
              <w:rPr>
                <w:rFonts w:cs="Arial"/>
              </w:rPr>
              <w:t>37,930.12</w:t>
            </w:r>
          </w:p>
        </w:tc>
        <w:tc>
          <w:tcPr>
            <w:tcW w:w="1526" w:type="dxa"/>
            <w:gridSpan w:val="2"/>
          </w:tcPr>
          <w:p w14:paraId="7F78317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37,930.12</w:t>
            </w:r>
          </w:p>
        </w:tc>
      </w:tr>
      <w:tr w:rsidR="009C72AA" w:rsidRPr="00B84B0C" w14:paraId="43779111" w14:textId="77777777" w:rsidTr="008D1A6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Pr>
          <w:p w14:paraId="77EDC7B3" w14:textId="77777777" w:rsidR="009C72AA" w:rsidRPr="00B84B0C" w:rsidRDefault="009C72AA" w:rsidP="009C72AA">
            <w:pPr>
              <w:pStyle w:val="08-Tabelageral"/>
              <w:jc w:val="left"/>
              <w:rPr>
                <w:rFonts w:cs="Arial"/>
                <w:b w:val="0"/>
              </w:rPr>
            </w:pPr>
            <w:proofErr w:type="spellStart"/>
            <w:r w:rsidRPr="00B84B0C">
              <w:rPr>
                <w:rFonts w:cs="Arial"/>
                <w:b w:val="0"/>
              </w:rPr>
              <w:t>Average</w:t>
            </w:r>
            <w:proofErr w:type="spellEnd"/>
            <w:r w:rsidRPr="00B84B0C">
              <w:rPr>
                <w:rFonts w:cs="Arial"/>
                <w:b w:val="0"/>
              </w:rPr>
              <w:t xml:space="preserve"> </w:t>
            </w:r>
            <w:proofErr w:type="spellStart"/>
            <w:r w:rsidRPr="00B84B0C">
              <w:rPr>
                <w:rFonts w:cs="Arial"/>
                <w:b w:val="0"/>
              </w:rPr>
              <w:t>salary</w:t>
            </w:r>
            <w:proofErr w:type="spellEnd"/>
          </w:p>
        </w:tc>
        <w:tc>
          <w:tcPr>
            <w:tcW w:w="604" w:type="dxa"/>
          </w:tcPr>
          <w:p w14:paraId="7813220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1" w:type="dxa"/>
          </w:tcPr>
          <w:p w14:paraId="110E28AA"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2" w:type="dxa"/>
          </w:tcPr>
          <w:p w14:paraId="673AB07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3" w:type="dxa"/>
          </w:tcPr>
          <w:p w14:paraId="518F98B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Pr>
          <w:p w14:paraId="0CE3ABF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B84B0C">
              <w:rPr>
                <w:rFonts w:cs="Arial"/>
              </w:rPr>
              <w:t>15,345.32</w:t>
            </w:r>
          </w:p>
        </w:tc>
        <w:tc>
          <w:tcPr>
            <w:tcW w:w="1526" w:type="dxa"/>
            <w:gridSpan w:val="2"/>
          </w:tcPr>
          <w:p w14:paraId="154998C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14,979.54</w:t>
            </w:r>
          </w:p>
        </w:tc>
      </w:tr>
      <w:tr w:rsidR="009C72AA" w:rsidRPr="00B84B0C" w14:paraId="3FA6B332" w14:textId="77777777" w:rsidTr="008D1A6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Pr>
          <w:p w14:paraId="5D05138A" w14:textId="77777777" w:rsidR="009C72AA" w:rsidRPr="00B84B0C" w:rsidRDefault="009C72AA" w:rsidP="009C72AA">
            <w:pPr>
              <w:pStyle w:val="08-Tabelageral"/>
              <w:jc w:val="left"/>
              <w:rPr>
                <w:rFonts w:cs="Arial"/>
                <w:b w:val="0"/>
              </w:rPr>
            </w:pPr>
          </w:p>
        </w:tc>
        <w:tc>
          <w:tcPr>
            <w:tcW w:w="604" w:type="dxa"/>
          </w:tcPr>
          <w:p w14:paraId="26CB713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65C3543F"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1183EC1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0D05548D"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2089540E"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p>
        </w:tc>
        <w:tc>
          <w:tcPr>
            <w:tcW w:w="1526" w:type="dxa"/>
            <w:gridSpan w:val="2"/>
          </w:tcPr>
          <w:p w14:paraId="4F6A64B7"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9C72AA" w:rsidRPr="00B84B0C" w14:paraId="7D6949C7" w14:textId="77777777" w:rsidTr="008D1A6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Pr>
          <w:p w14:paraId="79356286" w14:textId="77777777" w:rsidR="009C72AA" w:rsidRPr="00B84B0C" w:rsidRDefault="009C72AA" w:rsidP="009C72AA">
            <w:pPr>
              <w:pStyle w:val="08-Tabelageral"/>
              <w:jc w:val="left"/>
              <w:rPr>
                <w:rFonts w:cs="Arial"/>
                <w:b w:val="0"/>
              </w:rPr>
            </w:pPr>
            <w:r w:rsidRPr="00B84B0C">
              <w:rPr>
                <w:rFonts w:cs="Arial"/>
                <w:b w:val="0"/>
              </w:rPr>
              <w:t xml:space="preserve">Management </w:t>
            </w:r>
          </w:p>
        </w:tc>
        <w:tc>
          <w:tcPr>
            <w:tcW w:w="604" w:type="dxa"/>
          </w:tcPr>
          <w:p w14:paraId="101194F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Pr>
          <w:p w14:paraId="0D8C529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2" w:type="dxa"/>
          </w:tcPr>
          <w:p w14:paraId="5B49780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3" w:type="dxa"/>
          </w:tcPr>
          <w:p w14:paraId="2C8E39C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14:paraId="674A3DB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p>
        </w:tc>
        <w:tc>
          <w:tcPr>
            <w:tcW w:w="1526" w:type="dxa"/>
            <w:gridSpan w:val="2"/>
          </w:tcPr>
          <w:p w14:paraId="262F3DF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C72AA" w:rsidRPr="00B84B0C" w14:paraId="473CB5CA" w14:textId="77777777" w:rsidTr="008D1A6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Pr>
          <w:p w14:paraId="4B404CB5" w14:textId="77777777" w:rsidR="009C72AA" w:rsidRPr="00B84B0C" w:rsidRDefault="009C72AA" w:rsidP="009C72AA">
            <w:pPr>
              <w:pStyle w:val="08-Tabelageral"/>
              <w:jc w:val="left"/>
              <w:rPr>
                <w:rFonts w:cs="Arial"/>
                <w:b w:val="0"/>
              </w:rPr>
            </w:pPr>
            <w:proofErr w:type="spellStart"/>
            <w:r w:rsidRPr="00B84B0C">
              <w:rPr>
                <w:rFonts w:cs="Arial"/>
                <w:b w:val="0"/>
              </w:rPr>
              <w:t>Director-President</w:t>
            </w:r>
            <w:proofErr w:type="spellEnd"/>
          </w:p>
        </w:tc>
        <w:tc>
          <w:tcPr>
            <w:tcW w:w="604" w:type="dxa"/>
          </w:tcPr>
          <w:p w14:paraId="7CCB878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271A5235"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37D075EC"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5348C13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2928423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B84B0C">
              <w:rPr>
                <w:rFonts w:cs="Arial"/>
              </w:rPr>
              <w:t>61,564.83</w:t>
            </w:r>
          </w:p>
        </w:tc>
        <w:tc>
          <w:tcPr>
            <w:tcW w:w="1526" w:type="dxa"/>
            <w:gridSpan w:val="2"/>
          </w:tcPr>
          <w:p w14:paraId="088090B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61,564.83</w:t>
            </w:r>
          </w:p>
        </w:tc>
      </w:tr>
      <w:tr w:rsidR="009C72AA" w:rsidRPr="00B84B0C" w14:paraId="4B4BDAFE" w14:textId="77777777" w:rsidTr="008D1A6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Pr>
          <w:p w14:paraId="7F16E324" w14:textId="77777777" w:rsidR="009C72AA" w:rsidRPr="00B84B0C" w:rsidRDefault="009C72AA" w:rsidP="009C72AA">
            <w:pPr>
              <w:pStyle w:val="08-Tabelageral"/>
              <w:jc w:val="left"/>
              <w:rPr>
                <w:rFonts w:cs="Arial"/>
                <w:b w:val="0"/>
              </w:rPr>
            </w:pPr>
            <w:proofErr w:type="spellStart"/>
            <w:r w:rsidRPr="00B84B0C">
              <w:rPr>
                <w:rFonts w:cs="Arial"/>
                <w:b w:val="0"/>
              </w:rPr>
              <w:t>Director</w:t>
            </w:r>
            <w:proofErr w:type="spellEnd"/>
          </w:p>
        </w:tc>
        <w:tc>
          <w:tcPr>
            <w:tcW w:w="604" w:type="dxa"/>
          </w:tcPr>
          <w:p w14:paraId="2C14D756"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1" w:type="dxa"/>
          </w:tcPr>
          <w:p w14:paraId="3695D07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2" w:type="dxa"/>
          </w:tcPr>
          <w:p w14:paraId="2C6A3C7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283" w:type="dxa"/>
          </w:tcPr>
          <w:p w14:paraId="029F858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417" w:type="dxa"/>
          </w:tcPr>
          <w:p w14:paraId="3CD1E75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B84B0C">
              <w:rPr>
                <w:rFonts w:cs="Arial"/>
              </w:rPr>
              <w:t>52,177.45</w:t>
            </w:r>
          </w:p>
        </w:tc>
        <w:tc>
          <w:tcPr>
            <w:tcW w:w="1526" w:type="dxa"/>
            <w:gridSpan w:val="2"/>
          </w:tcPr>
          <w:p w14:paraId="5BA45B3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52,177.45</w:t>
            </w:r>
          </w:p>
        </w:tc>
      </w:tr>
      <w:tr w:rsidR="009C72AA" w:rsidRPr="00B84B0C" w14:paraId="0405A6BF" w14:textId="77777777" w:rsidTr="008D1A6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86" w:type="dxa"/>
          </w:tcPr>
          <w:p w14:paraId="381D1AD7" w14:textId="77777777" w:rsidR="009C72AA" w:rsidRPr="00B84B0C" w:rsidRDefault="009C72AA" w:rsidP="009C72AA">
            <w:pPr>
              <w:pStyle w:val="08-Tabelageral"/>
              <w:jc w:val="left"/>
              <w:rPr>
                <w:rFonts w:cs="Arial"/>
                <w:b w:val="0"/>
              </w:rPr>
            </w:pPr>
          </w:p>
        </w:tc>
        <w:tc>
          <w:tcPr>
            <w:tcW w:w="604" w:type="dxa"/>
          </w:tcPr>
          <w:p w14:paraId="4F9B7868"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1A67008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7C8B1CB7"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7FD9A01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5ADFD697"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p>
        </w:tc>
        <w:tc>
          <w:tcPr>
            <w:tcW w:w="1526" w:type="dxa"/>
            <w:gridSpan w:val="2"/>
          </w:tcPr>
          <w:p w14:paraId="5838544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9C72AA" w:rsidRPr="00B84B0C" w14:paraId="4CF042F2" w14:textId="77777777" w:rsidTr="008D1A61">
        <w:trPr>
          <w:gridAfter w:val="1"/>
          <w:cnfStyle w:val="000000100000" w:firstRow="0" w:lastRow="0" w:firstColumn="0" w:lastColumn="0" w:oddVBand="0" w:evenVBand="0" w:oddHBand="1" w:evenHBand="0" w:firstRowFirstColumn="0" w:firstRowLastColumn="0" w:lastRowFirstColumn="0" w:lastRowLastColumn="0"/>
          <w:wAfter w:w="108" w:type="dxa"/>
          <w:trHeight w:val="227"/>
        </w:trPr>
        <w:tc>
          <w:tcPr>
            <w:cnfStyle w:val="001000000000" w:firstRow="0" w:lastRow="0" w:firstColumn="1" w:lastColumn="0" w:oddVBand="0" w:evenVBand="0" w:oddHBand="0" w:evenHBand="0" w:firstRowFirstColumn="0" w:firstRowLastColumn="0" w:lastRowFirstColumn="0" w:lastRowLastColumn="0"/>
            <w:tcW w:w="2986" w:type="dxa"/>
          </w:tcPr>
          <w:p w14:paraId="67DAB265" w14:textId="77777777" w:rsidR="009C72AA" w:rsidRPr="00B84B0C" w:rsidRDefault="009C72AA" w:rsidP="009C72AA">
            <w:pPr>
              <w:pStyle w:val="08-Tabelageral"/>
              <w:jc w:val="left"/>
              <w:rPr>
                <w:rFonts w:cs="Arial"/>
                <w:b w:val="0"/>
              </w:rPr>
            </w:pPr>
            <w:proofErr w:type="spellStart"/>
            <w:r w:rsidRPr="00B84B0C">
              <w:rPr>
                <w:rFonts w:cs="Arial"/>
                <w:b w:val="0"/>
              </w:rPr>
              <w:t>Council</w:t>
            </w:r>
            <w:proofErr w:type="spellEnd"/>
            <w:r w:rsidRPr="00B84B0C">
              <w:rPr>
                <w:rFonts w:cs="Arial"/>
                <w:b w:val="0"/>
              </w:rPr>
              <w:t xml:space="preserve"> </w:t>
            </w:r>
            <w:proofErr w:type="spellStart"/>
            <w:r w:rsidRPr="00B84B0C">
              <w:rPr>
                <w:rFonts w:cs="Arial"/>
                <w:b w:val="0"/>
              </w:rPr>
              <w:t>members</w:t>
            </w:r>
            <w:proofErr w:type="spellEnd"/>
          </w:p>
        </w:tc>
        <w:tc>
          <w:tcPr>
            <w:tcW w:w="604" w:type="dxa"/>
          </w:tcPr>
          <w:p w14:paraId="4BFAB1B2"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Pr>
          <w:p w14:paraId="6B7FCDC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2" w:type="dxa"/>
          </w:tcPr>
          <w:p w14:paraId="2107575E"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3" w:type="dxa"/>
          </w:tcPr>
          <w:p w14:paraId="31AF6A9F"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14:paraId="319A1574"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p>
        </w:tc>
        <w:tc>
          <w:tcPr>
            <w:tcW w:w="1418" w:type="dxa"/>
          </w:tcPr>
          <w:p w14:paraId="7F35C5C0"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C72AA" w:rsidRPr="00B84B0C" w14:paraId="66C611BF" w14:textId="77777777" w:rsidTr="008D1A61">
        <w:trPr>
          <w:gridAfter w:val="1"/>
          <w:cnfStyle w:val="000000010000" w:firstRow="0" w:lastRow="0" w:firstColumn="0" w:lastColumn="0" w:oddVBand="0" w:evenVBand="0" w:oddHBand="0" w:evenHBand="1" w:firstRowFirstColumn="0" w:firstRowLastColumn="0" w:lastRowFirstColumn="0" w:lastRowLastColumn="0"/>
          <w:wAfter w:w="108" w:type="dxa"/>
          <w:trHeight w:val="227"/>
        </w:trPr>
        <w:tc>
          <w:tcPr>
            <w:cnfStyle w:val="001000000000" w:firstRow="0" w:lastRow="0" w:firstColumn="1" w:lastColumn="0" w:oddVBand="0" w:evenVBand="0" w:oddHBand="0" w:evenHBand="0" w:firstRowFirstColumn="0" w:firstRowLastColumn="0" w:lastRowFirstColumn="0" w:lastRowLastColumn="0"/>
            <w:tcW w:w="2986" w:type="dxa"/>
          </w:tcPr>
          <w:p w14:paraId="384522D8" w14:textId="77777777" w:rsidR="009C72AA" w:rsidRPr="00B84B0C" w:rsidRDefault="009C72AA" w:rsidP="009C72AA">
            <w:pPr>
              <w:pStyle w:val="08-Tabelageral"/>
              <w:jc w:val="left"/>
              <w:rPr>
                <w:rFonts w:cs="Arial"/>
                <w:b w:val="0"/>
              </w:rPr>
            </w:pPr>
            <w:r w:rsidRPr="00B84B0C">
              <w:rPr>
                <w:rFonts w:cs="Arial"/>
                <w:b w:val="0"/>
              </w:rPr>
              <w:t xml:space="preserve">Board </w:t>
            </w:r>
            <w:proofErr w:type="spellStart"/>
            <w:r w:rsidRPr="00B84B0C">
              <w:rPr>
                <w:rFonts w:cs="Arial"/>
                <w:b w:val="0"/>
              </w:rPr>
              <w:t>of</w:t>
            </w:r>
            <w:proofErr w:type="spellEnd"/>
            <w:r w:rsidRPr="00B84B0C">
              <w:rPr>
                <w:rFonts w:cs="Arial"/>
                <w:b w:val="0"/>
              </w:rPr>
              <w:t xml:space="preserve"> </w:t>
            </w:r>
            <w:proofErr w:type="spellStart"/>
            <w:r w:rsidRPr="00B84B0C">
              <w:rPr>
                <w:rFonts w:cs="Arial"/>
                <w:b w:val="0"/>
              </w:rPr>
              <w:t>Directors</w:t>
            </w:r>
            <w:proofErr w:type="spellEnd"/>
          </w:p>
        </w:tc>
        <w:tc>
          <w:tcPr>
            <w:tcW w:w="604" w:type="dxa"/>
          </w:tcPr>
          <w:p w14:paraId="4F5685A5"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1" w:type="dxa"/>
          </w:tcPr>
          <w:p w14:paraId="4551E83A"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2" w:type="dxa"/>
          </w:tcPr>
          <w:p w14:paraId="7246D860"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283" w:type="dxa"/>
          </w:tcPr>
          <w:p w14:paraId="22E7DCE1"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417" w:type="dxa"/>
          </w:tcPr>
          <w:p w14:paraId="34115CE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B84B0C">
              <w:rPr>
                <w:rFonts w:cs="Arial"/>
              </w:rPr>
              <w:t>5,906.80</w:t>
            </w:r>
          </w:p>
        </w:tc>
        <w:tc>
          <w:tcPr>
            <w:tcW w:w="1418" w:type="dxa"/>
          </w:tcPr>
          <w:p w14:paraId="192620D4"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5,906.80</w:t>
            </w:r>
          </w:p>
        </w:tc>
      </w:tr>
      <w:tr w:rsidR="009C72AA" w:rsidRPr="00B84B0C" w14:paraId="6A6FB1DC" w14:textId="77777777" w:rsidTr="008D1A61">
        <w:trPr>
          <w:gridAfter w:val="1"/>
          <w:cnfStyle w:val="000000100000" w:firstRow="0" w:lastRow="0" w:firstColumn="0" w:lastColumn="0" w:oddVBand="0" w:evenVBand="0" w:oddHBand="1" w:evenHBand="0" w:firstRowFirstColumn="0" w:firstRowLastColumn="0" w:lastRowFirstColumn="0" w:lastRowLastColumn="0"/>
          <w:wAfter w:w="108" w:type="dxa"/>
          <w:trHeight w:val="227"/>
        </w:trPr>
        <w:tc>
          <w:tcPr>
            <w:cnfStyle w:val="001000000000" w:firstRow="0" w:lastRow="0" w:firstColumn="1" w:lastColumn="0" w:oddVBand="0" w:evenVBand="0" w:oddHBand="0" w:evenHBand="0" w:firstRowFirstColumn="0" w:firstRowLastColumn="0" w:lastRowFirstColumn="0" w:lastRowLastColumn="0"/>
            <w:tcW w:w="2986" w:type="dxa"/>
          </w:tcPr>
          <w:p w14:paraId="57A3B715" w14:textId="77777777" w:rsidR="009C72AA" w:rsidRPr="00B84B0C" w:rsidRDefault="009C72AA" w:rsidP="009C72AA">
            <w:pPr>
              <w:pStyle w:val="08-Tabelageral"/>
              <w:jc w:val="left"/>
              <w:rPr>
                <w:rFonts w:cs="Arial"/>
                <w:b w:val="0"/>
              </w:rPr>
            </w:pPr>
            <w:r w:rsidRPr="00B84B0C">
              <w:rPr>
                <w:rFonts w:cs="Arial"/>
                <w:b w:val="0"/>
              </w:rPr>
              <w:t xml:space="preserve">Fiscal </w:t>
            </w:r>
            <w:proofErr w:type="spellStart"/>
            <w:r w:rsidRPr="00B84B0C">
              <w:rPr>
                <w:rFonts w:cs="Arial"/>
                <w:b w:val="0"/>
              </w:rPr>
              <w:t>Council</w:t>
            </w:r>
            <w:proofErr w:type="spellEnd"/>
          </w:p>
        </w:tc>
        <w:tc>
          <w:tcPr>
            <w:tcW w:w="604" w:type="dxa"/>
          </w:tcPr>
          <w:p w14:paraId="3EB393A5"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1" w:type="dxa"/>
          </w:tcPr>
          <w:p w14:paraId="0A33F3D1"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2" w:type="dxa"/>
          </w:tcPr>
          <w:p w14:paraId="061D485C"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283" w:type="dxa"/>
          </w:tcPr>
          <w:p w14:paraId="2C6DA413"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17" w:type="dxa"/>
          </w:tcPr>
          <w:p w14:paraId="053C3EA7"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B84B0C">
              <w:rPr>
                <w:rFonts w:cs="Arial"/>
              </w:rPr>
              <w:t>5,906.80</w:t>
            </w:r>
          </w:p>
        </w:tc>
        <w:tc>
          <w:tcPr>
            <w:tcW w:w="1418" w:type="dxa"/>
          </w:tcPr>
          <w:p w14:paraId="733C46A9" w14:textId="77777777" w:rsidR="009C72AA" w:rsidRPr="00B84B0C" w:rsidRDefault="009C72AA" w:rsidP="009C72AA">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84B0C">
              <w:rPr>
                <w:rFonts w:cs="Arial"/>
              </w:rPr>
              <w:t>5,906.80</w:t>
            </w:r>
          </w:p>
        </w:tc>
      </w:tr>
      <w:tr w:rsidR="009C72AA" w:rsidRPr="00B84B0C" w14:paraId="4DB8C907" w14:textId="77777777" w:rsidTr="008D1A61">
        <w:trPr>
          <w:gridAfter w:val="1"/>
          <w:cnfStyle w:val="000000010000" w:firstRow="0" w:lastRow="0" w:firstColumn="0" w:lastColumn="0" w:oddVBand="0" w:evenVBand="0" w:oddHBand="0" w:evenHBand="1" w:firstRowFirstColumn="0" w:firstRowLastColumn="0" w:lastRowFirstColumn="0" w:lastRowLastColumn="0"/>
          <w:wAfter w:w="108" w:type="dxa"/>
          <w:trHeight w:val="227"/>
        </w:trPr>
        <w:tc>
          <w:tcPr>
            <w:cnfStyle w:val="001000000000" w:firstRow="0" w:lastRow="0" w:firstColumn="1" w:lastColumn="0" w:oddVBand="0" w:evenVBand="0" w:oddHBand="0" w:evenHBand="0" w:firstRowFirstColumn="0" w:firstRowLastColumn="0" w:lastRowFirstColumn="0" w:lastRowLastColumn="0"/>
            <w:tcW w:w="2986" w:type="dxa"/>
          </w:tcPr>
          <w:p w14:paraId="5A07377C" w14:textId="77777777" w:rsidR="009C72AA" w:rsidRPr="00B84B0C" w:rsidRDefault="009C72AA" w:rsidP="009C72AA">
            <w:pPr>
              <w:pStyle w:val="08-Tabelageral"/>
              <w:jc w:val="left"/>
              <w:rPr>
                <w:rFonts w:cs="Arial"/>
                <w:b w:val="0"/>
              </w:rPr>
            </w:pPr>
            <w:proofErr w:type="spellStart"/>
            <w:r w:rsidRPr="00B84B0C">
              <w:rPr>
                <w:rFonts w:cs="Arial"/>
                <w:b w:val="0"/>
              </w:rPr>
              <w:t>Audit</w:t>
            </w:r>
            <w:proofErr w:type="spellEnd"/>
            <w:r w:rsidRPr="00B84B0C">
              <w:rPr>
                <w:rFonts w:cs="Arial"/>
                <w:b w:val="0"/>
              </w:rPr>
              <w:t xml:space="preserve"> </w:t>
            </w:r>
            <w:proofErr w:type="spellStart"/>
            <w:r w:rsidRPr="00B84B0C">
              <w:rPr>
                <w:rFonts w:cs="Arial"/>
                <w:b w:val="0"/>
              </w:rPr>
              <w:t>Committee</w:t>
            </w:r>
            <w:proofErr w:type="spellEnd"/>
            <w:r w:rsidRPr="00B84B0C">
              <w:rPr>
                <w:rFonts w:cs="Arial"/>
                <w:b w:val="0"/>
              </w:rPr>
              <w:t xml:space="preserve"> - </w:t>
            </w:r>
            <w:proofErr w:type="spellStart"/>
            <w:r w:rsidRPr="00B84B0C">
              <w:rPr>
                <w:rFonts w:cs="Arial"/>
                <w:b w:val="0"/>
              </w:rPr>
              <w:t>Member</w:t>
            </w:r>
            <w:proofErr w:type="spellEnd"/>
          </w:p>
        </w:tc>
        <w:tc>
          <w:tcPr>
            <w:tcW w:w="604" w:type="dxa"/>
          </w:tcPr>
          <w:p w14:paraId="61E885D5"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1" w:type="dxa"/>
          </w:tcPr>
          <w:p w14:paraId="30632AE6"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412" w:type="dxa"/>
          </w:tcPr>
          <w:p w14:paraId="67719052"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283" w:type="dxa"/>
          </w:tcPr>
          <w:p w14:paraId="0ABA80AB"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417" w:type="dxa"/>
          </w:tcPr>
          <w:p w14:paraId="2FE6E2A9"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B84B0C">
              <w:rPr>
                <w:rFonts w:cs="Arial"/>
              </w:rPr>
              <w:t>9,868.90</w:t>
            </w:r>
          </w:p>
        </w:tc>
        <w:tc>
          <w:tcPr>
            <w:tcW w:w="1418" w:type="dxa"/>
          </w:tcPr>
          <w:p w14:paraId="47922C42" w14:textId="77777777" w:rsidR="009C72AA" w:rsidRPr="00B84B0C" w:rsidRDefault="009C72AA" w:rsidP="009C72AA">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84B0C">
              <w:rPr>
                <w:rFonts w:cs="Arial"/>
              </w:rPr>
              <w:t>9,868.90</w:t>
            </w:r>
          </w:p>
        </w:tc>
      </w:tr>
    </w:tbl>
    <w:p w14:paraId="4504DE58" w14:textId="77777777" w:rsidR="009C72AA" w:rsidRPr="00B84B0C" w:rsidRDefault="009C72AA" w:rsidP="009C72AA">
      <w:pPr>
        <w:pStyle w:val="05-Textonormal2"/>
        <w:spacing w:before="0" w:line="240" w:lineRule="auto"/>
        <w:rPr>
          <w:rFonts w:cs="Arial"/>
        </w:rPr>
      </w:pPr>
    </w:p>
    <w:p w14:paraId="3510A006" w14:textId="365B8F7D" w:rsidR="0034629D" w:rsidRPr="00B84B0C" w:rsidRDefault="0034629D" w:rsidP="00C91206">
      <w:pPr>
        <w:pStyle w:val="02-TtulodeNota"/>
        <w:rPr>
          <w:rFonts w:cs="Arial"/>
          <w:caps/>
          <w:color w:val="1F4E79" w:themeColor="accent1" w:themeShade="80"/>
          <w:kern w:val="20"/>
          <w:lang w:val="en-US"/>
        </w:rPr>
      </w:pPr>
      <w:bookmarkStart w:id="42" w:name="_Toc39131511"/>
      <w:r w:rsidRPr="00B84B0C">
        <w:rPr>
          <w:rFonts w:cs="Arial"/>
          <w:caps/>
          <w:color w:val="1F4E79" w:themeColor="accent1" w:themeShade="80"/>
          <w:lang w:val="en-US"/>
        </w:rPr>
        <w:t>2</w:t>
      </w:r>
      <w:r w:rsidR="00904B54" w:rsidRPr="00B84B0C">
        <w:rPr>
          <w:rFonts w:cs="Arial"/>
          <w:caps/>
          <w:color w:val="1F4E79" w:themeColor="accent1" w:themeShade="80"/>
          <w:lang w:val="en-US"/>
        </w:rPr>
        <w:t>7</w:t>
      </w:r>
      <w:r w:rsidRPr="00B84B0C">
        <w:rPr>
          <w:rFonts w:cs="Arial"/>
          <w:caps/>
          <w:color w:val="1F4E79" w:themeColor="accent1" w:themeShade="80"/>
          <w:lang w:val="en-US"/>
        </w:rPr>
        <w:t xml:space="preserve"> – </w:t>
      </w:r>
      <w:r w:rsidRPr="00B84B0C">
        <w:rPr>
          <w:rFonts w:cs="Arial"/>
          <w:caps/>
          <w:color w:val="1F4E79" w:themeColor="accent1" w:themeShade="80"/>
          <w:kern w:val="20"/>
          <w:lang w:val="en-US"/>
        </w:rPr>
        <w:t>Subsequent Event</w:t>
      </w:r>
      <w:bookmarkEnd w:id="42"/>
    </w:p>
    <w:p w14:paraId="59D7DDFF" w14:textId="77777777" w:rsidR="0034629D" w:rsidRPr="00B84B0C" w:rsidRDefault="0034629D" w:rsidP="00C91206">
      <w:pPr>
        <w:pStyle w:val="05-Textonormal2"/>
        <w:rPr>
          <w:rFonts w:cs="Arial"/>
          <w:b/>
          <w:color w:val="1F4E79" w:themeColor="accent1" w:themeShade="80"/>
          <w:lang w:val="en-US"/>
        </w:rPr>
      </w:pPr>
      <w:r w:rsidRPr="00B84B0C">
        <w:rPr>
          <w:rFonts w:cs="Arial"/>
          <w:b/>
          <w:color w:val="1F4E79" w:themeColor="accent1" w:themeShade="80"/>
          <w:lang w:val="en-US"/>
        </w:rPr>
        <w:t>Donation to combat Covid-</w:t>
      </w:r>
      <w:proofErr w:type="gramStart"/>
      <w:r w:rsidRPr="00B84B0C">
        <w:rPr>
          <w:rFonts w:cs="Arial"/>
          <w:b/>
          <w:color w:val="1F4E79" w:themeColor="accent1" w:themeShade="80"/>
          <w:lang w:val="en-US"/>
        </w:rPr>
        <w:t>19</w:t>
      </w:r>
      <w:proofErr w:type="gramEnd"/>
    </w:p>
    <w:p w14:paraId="496C54FB" w14:textId="77777777" w:rsidR="0034629D" w:rsidRPr="00B84B0C" w:rsidRDefault="0034629D" w:rsidP="00C91206">
      <w:pPr>
        <w:pStyle w:val="05-Textonormal2"/>
        <w:rPr>
          <w:rFonts w:cs="Arial"/>
          <w:lang w:val="en-US"/>
        </w:rPr>
      </w:pPr>
      <w:r w:rsidRPr="00B84B0C">
        <w:rPr>
          <w:rFonts w:cs="Arial"/>
          <w:lang w:val="en-US"/>
        </w:rPr>
        <w:t xml:space="preserve">On April 2, 2020, BB </w:t>
      </w:r>
      <w:proofErr w:type="spellStart"/>
      <w:r w:rsidRPr="00B84B0C">
        <w:rPr>
          <w:rFonts w:cs="Arial"/>
          <w:lang w:val="en-US"/>
        </w:rPr>
        <w:t>Seguridade</w:t>
      </w:r>
      <w:proofErr w:type="spellEnd"/>
      <w:r w:rsidRPr="00B84B0C">
        <w:rPr>
          <w:rFonts w:cs="Arial"/>
          <w:lang w:val="en-US"/>
        </w:rPr>
        <w:t xml:space="preserve"> </w:t>
      </w:r>
      <w:proofErr w:type="spellStart"/>
      <w:r w:rsidRPr="00B84B0C">
        <w:rPr>
          <w:rFonts w:cs="Arial"/>
          <w:lang w:val="en-US"/>
        </w:rPr>
        <w:t>Participações</w:t>
      </w:r>
      <w:proofErr w:type="spellEnd"/>
      <w:r w:rsidRPr="00B84B0C">
        <w:rPr>
          <w:rFonts w:cs="Arial"/>
          <w:lang w:val="en-US"/>
        </w:rPr>
        <w:t xml:space="preserve"> S.A approved the donation of up to R$ 40 million, through the Banco do </w:t>
      </w:r>
      <w:proofErr w:type="spellStart"/>
      <w:r w:rsidRPr="00B84B0C">
        <w:rPr>
          <w:rFonts w:cs="Arial"/>
          <w:lang w:val="en-US"/>
        </w:rPr>
        <w:t>Brasil</w:t>
      </w:r>
      <w:proofErr w:type="spellEnd"/>
      <w:r w:rsidRPr="00B84B0C">
        <w:rPr>
          <w:rFonts w:cs="Arial"/>
          <w:lang w:val="en-US"/>
        </w:rPr>
        <w:t xml:space="preserve"> Foundation - FBB, whose disbursements will occur, through BB </w:t>
      </w:r>
      <w:proofErr w:type="spellStart"/>
      <w:r w:rsidRPr="00B84B0C">
        <w:rPr>
          <w:rFonts w:cs="Arial"/>
          <w:lang w:val="en-US"/>
        </w:rPr>
        <w:t>Corretora</w:t>
      </w:r>
      <w:proofErr w:type="spellEnd"/>
      <w:r w:rsidRPr="00B84B0C">
        <w:rPr>
          <w:rFonts w:cs="Arial"/>
          <w:lang w:val="en-US"/>
        </w:rPr>
        <w:t>, according to the pace of demand from FBB.</w:t>
      </w:r>
    </w:p>
    <w:p w14:paraId="5C04F6C0" w14:textId="77777777" w:rsidR="0034629D" w:rsidRPr="00B84B0C" w:rsidRDefault="0034629D" w:rsidP="00C91206">
      <w:pPr>
        <w:pStyle w:val="05-Textonormal2"/>
        <w:rPr>
          <w:rFonts w:cs="Arial"/>
          <w:lang w:val="en-US"/>
        </w:rPr>
      </w:pPr>
      <w:r w:rsidRPr="00B84B0C">
        <w:rPr>
          <w:rFonts w:cs="Arial"/>
          <w:lang w:val="en-US"/>
        </w:rPr>
        <w:t>This donation aims to contain the effects of the advancement of the coronavirus, in which the amount will be destined to the supply of food, cleaning and hygiene products to people who are at risk or in a situation of social vulnerability in all regions of the country.</w:t>
      </w:r>
    </w:p>
    <w:p w14:paraId="0818B154" w14:textId="131CC15B" w:rsidR="00D01F17" w:rsidRDefault="0034629D" w:rsidP="0034629D">
      <w:pPr>
        <w:pStyle w:val="05-Textonormal2"/>
        <w:rPr>
          <w:rFonts w:cs="Arial"/>
          <w:lang w:val="en-US"/>
        </w:rPr>
      </w:pPr>
      <w:r w:rsidRPr="00B84B0C">
        <w:rPr>
          <w:rFonts w:cs="Arial"/>
          <w:lang w:val="en-US"/>
        </w:rPr>
        <w:t>During April, the amount of R $ 11,384 thousand was transferred.</w:t>
      </w:r>
    </w:p>
    <w:p w14:paraId="6F531686" w14:textId="77777777" w:rsidR="0002271C" w:rsidRDefault="0002271C" w:rsidP="00A86A67">
      <w:pPr>
        <w:spacing w:before="120" w:after="120" w:line="276" w:lineRule="auto"/>
        <w:jc w:val="both"/>
        <w:rPr>
          <w:rFonts w:eastAsia="MS Mincho" w:cs="Arial"/>
          <w:b/>
          <w:color w:val="1F4E79"/>
          <w:spacing w:val="-2"/>
          <w:sz w:val="20"/>
        </w:rPr>
        <w:sectPr w:rsidR="0002271C" w:rsidSect="00076CE6">
          <w:headerReference w:type="default" r:id="rId27"/>
          <w:pgSz w:w="11906" w:h="16838" w:code="9"/>
          <w:pgMar w:top="1134" w:right="1134" w:bottom="1134" w:left="1134" w:header="709" w:footer="283" w:gutter="0"/>
          <w:cols w:space="708"/>
          <w:titlePg/>
          <w:docGrid w:linePitch="360"/>
        </w:sectPr>
      </w:pPr>
    </w:p>
    <w:tbl>
      <w:tblPr>
        <w:tblW w:w="5385" w:type="dxa"/>
        <w:tblInd w:w="3118" w:type="dxa"/>
        <w:tblLayout w:type="fixed"/>
        <w:tblCellMar>
          <w:left w:w="113" w:type="dxa"/>
          <w:right w:w="113" w:type="dxa"/>
        </w:tblCellMar>
        <w:tblLook w:val="0000" w:firstRow="0" w:lastRow="0" w:firstColumn="0" w:lastColumn="0" w:noHBand="0" w:noVBand="0"/>
      </w:tblPr>
      <w:tblGrid>
        <w:gridCol w:w="5385"/>
      </w:tblGrid>
      <w:tr w:rsidR="0002271C" w:rsidRPr="00BE2387" w14:paraId="03FE0428" w14:textId="77777777" w:rsidTr="002C1F2F">
        <w:trPr>
          <w:cantSplit/>
          <w:trHeight w:val="3969"/>
        </w:trPr>
        <w:tc>
          <w:tcPr>
            <w:tcW w:w="5385" w:type="dxa"/>
          </w:tcPr>
          <w:p w14:paraId="3B990452" w14:textId="77777777" w:rsidR="0002271C" w:rsidRPr="00BE2387" w:rsidRDefault="0002271C" w:rsidP="002C1F2F">
            <w:pPr>
              <w:pStyle w:val="Normal1"/>
              <w:widowControl w:val="0"/>
              <w:spacing w:after="0" w:line="240" w:lineRule="auto"/>
              <w:ind w:left="0"/>
              <w:jc w:val="left"/>
              <w:rPr>
                <w:rFonts w:ascii="Verdana" w:hAnsi="Verdana"/>
                <w:b/>
                <w:sz w:val="40"/>
                <w:szCs w:val="40"/>
                <w:lang w:val="pt-BR"/>
              </w:rPr>
            </w:pPr>
            <w:r w:rsidRPr="00BE2387">
              <w:rPr>
                <w:rFonts w:ascii="Verdana" w:hAnsi="Verdana"/>
                <w:b/>
                <w:sz w:val="40"/>
                <w:szCs w:val="40"/>
                <w:lang w:val="pt-BR"/>
              </w:rPr>
              <w:lastRenderedPageBreak/>
              <w:t xml:space="preserve">BB Seguridade </w:t>
            </w:r>
            <w:r w:rsidRPr="00BE2387">
              <w:rPr>
                <w:rFonts w:ascii="Verdana" w:hAnsi="Verdana"/>
                <w:b/>
                <w:sz w:val="40"/>
                <w:szCs w:val="40"/>
                <w:lang w:val="pt-BR"/>
              </w:rPr>
              <w:br/>
              <w:t>Participações S.A.</w:t>
            </w:r>
          </w:p>
          <w:p w14:paraId="78478EA2" w14:textId="77777777" w:rsidR="0002271C" w:rsidRPr="00BE2387" w:rsidRDefault="0002271C" w:rsidP="002C1F2F">
            <w:pPr>
              <w:pStyle w:val="Descriodotrabalho"/>
              <w:widowControl w:val="0"/>
              <w:shd w:val="clear" w:color="EBEBEB" w:fill="auto"/>
              <w:spacing w:line="240" w:lineRule="auto"/>
              <w:rPr>
                <w:rFonts w:ascii="Verdana" w:eastAsia="Times New Roman" w:hAnsi="Verdana"/>
                <w:i w:val="0"/>
                <w:sz w:val="20"/>
                <w:lang w:val="pt-BR"/>
              </w:rPr>
            </w:pPr>
          </w:p>
          <w:p w14:paraId="6C37DCAD" w14:textId="77777777" w:rsidR="0002271C" w:rsidRPr="00BE2387" w:rsidRDefault="0002271C" w:rsidP="002C1F2F">
            <w:pPr>
              <w:pStyle w:val="Descriodotrabalho"/>
              <w:widowControl w:val="0"/>
              <w:shd w:val="clear" w:color="EBEBEB" w:fill="auto"/>
              <w:spacing w:line="240" w:lineRule="auto"/>
              <w:rPr>
                <w:rFonts w:ascii="Verdana" w:eastAsia="Times New Roman" w:hAnsi="Verdana"/>
                <w:i w:val="0"/>
                <w:sz w:val="20"/>
              </w:rPr>
            </w:pPr>
            <w:r w:rsidRPr="00BE2387">
              <w:rPr>
                <w:rFonts w:ascii="Verdana" w:eastAsia="Times New Roman" w:hAnsi="Verdana"/>
                <w:i w:val="0"/>
                <w:sz w:val="20"/>
              </w:rPr>
              <w:t xml:space="preserve">Individual and </w:t>
            </w:r>
            <w:proofErr w:type="gramStart"/>
            <w:r w:rsidRPr="00BE2387">
              <w:rPr>
                <w:rFonts w:ascii="Verdana" w:eastAsia="Times New Roman" w:hAnsi="Verdana"/>
                <w:i w:val="0"/>
                <w:sz w:val="20"/>
              </w:rPr>
              <w:t>Consolidated</w:t>
            </w:r>
            <w:proofErr w:type="gramEnd"/>
            <w:r w:rsidRPr="00BE2387">
              <w:rPr>
                <w:rFonts w:ascii="Verdana" w:eastAsia="Times New Roman" w:hAnsi="Verdana"/>
                <w:i w:val="0"/>
                <w:sz w:val="20"/>
              </w:rPr>
              <w:t xml:space="preserve"> </w:t>
            </w:r>
            <w:r w:rsidRPr="00BE2387">
              <w:rPr>
                <w:rFonts w:ascii="Verdana" w:eastAsia="Times New Roman" w:hAnsi="Verdana"/>
                <w:i w:val="0"/>
                <w:sz w:val="20"/>
              </w:rPr>
              <w:br/>
              <w:t xml:space="preserve">Interim Financial Statements </w:t>
            </w:r>
            <w:r w:rsidRPr="00BE2387">
              <w:rPr>
                <w:rFonts w:ascii="Verdana" w:eastAsia="Times New Roman" w:hAnsi="Verdana"/>
                <w:i w:val="0"/>
                <w:sz w:val="20"/>
              </w:rPr>
              <w:br/>
              <w:t>for the Three-month</w:t>
            </w:r>
            <w:r>
              <w:rPr>
                <w:rFonts w:ascii="Verdana" w:eastAsia="Times New Roman" w:hAnsi="Verdana"/>
                <w:i w:val="0"/>
                <w:sz w:val="20"/>
              </w:rPr>
              <w:t>s</w:t>
            </w:r>
            <w:r w:rsidRPr="00BE2387">
              <w:rPr>
                <w:rFonts w:ascii="Verdana" w:eastAsia="Times New Roman" w:hAnsi="Verdana"/>
                <w:i w:val="0"/>
                <w:sz w:val="20"/>
              </w:rPr>
              <w:t xml:space="preserve"> Period Ended </w:t>
            </w:r>
            <w:r w:rsidRPr="00BE2387">
              <w:rPr>
                <w:rFonts w:ascii="Verdana" w:eastAsia="Times New Roman" w:hAnsi="Verdana"/>
                <w:i w:val="0"/>
                <w:sz w:val="20"/>
              </w:rPr>
              <w:br/>
              <w:t xml:space="preserve">March 31, 2020 and </w:t>
            </w:r>
            <w:r w:rsidRPr="00BE2387">
              <w:rPr>
                <w:rFonts w:ascii="Verdana" w:eastAsia="Times New Roman" w:hAnsi="Verdana"/>
                <w:i w:val="0"/>
                <w:sz w:val="20"/>
              </w:rPr>
              <w:br/>
              <w:t xml:space="preserve">Report on Review of Interim </w:t>
            </w:r>
            <w:r w:rsidRPr="00BE2387">
              <w:rPr>
                <w:rFonts w:ascii="Verdana" w:eastAsia="Times New Roman" w:hAnsi="Verdana"/>
                <w:i w:val="0"/>
                <w:sz w:val="20"/>
              </w:rPr>
              <w:br/>
              <w:t>Financial Statements</w:t>
            </w:r>
          </w:p>
          <w:p w14:paraId="3619D48E" w14:textId="77777777" w:rsidR="0002271C" w:rsidRPr="00BE2387" w:rsidRDefault="0002271C" w:rsidP="002C1F2F">
            <w:pPr>
              <w:pStyle w:val="DTT"/>
              <w:widowControl w:val="0"/>
              <w:rPr>
                <w:rFonts w:ascii="Verdana" w:hAnsi="Verdana"/>
                <w:sz w:val="16"/>
                <w:szCs w:val="16"/>
              </w:rPr>
            </w:pPr>
          </w:p>
          <w:p w14:paraId="17FC213B" w14:textId="77777777" w:rsidR="0002271C" w:rsidRDefault="0002271C" w:rsidP="002C1F2F">
            <w:pPr>
              <w:pStyle w:val="DTT"/>
              <w:widowControl w:val="0"/>
              <w:rPr>
                <w:rFonts w:ascii="Verdana" w:hAnsi="Verdana"/>
                <w:sz w:val="16"/>
                <w:szCs w:val="16"/>
              </w:rPr>
            </w:pPr>
          </w:p>
          <w:p w14:paraId="3E939F83" w14:textId="77777777" w:rsidR="0002271C" w:rsidRPr="00BE2387" w:rsidRDefault="0002271C" w:rsidP="002C1F2F">
            <w:pPr>
              <w:pStyle w:val="DTT"/>
              <w:widowControl w:val="0"/>
              <w:rPr>
                <w:rFonts w:ascii="Verdana" w:hAnsi="Verdana"/>
                <w:sz w:val="16"/>
                <w:szCs w:val="16"/>
              </w:rPr>
            </w:pPr>
          </w:p>
          <w:p w14:paraId="405B3E94" w14:textId="77777777" w:rsidR="0002271C" w:rsidRPr="00BE2387" w:rsidRDefault="0002271C" w:rsidP="002C1F2F">
            <w:pPr>
              <w:pStyle w:val="DTT"/>
              <w:widowControl w:val="0"/>
              <w:rPr>
                <w:rFonts w:ascii="Verdana" w:hAnsi="Verdana"/>
                <w:sz w:val="16"/>
                <w:szCs w:val="16"/>
              </w:rPr>
            </w:pPr>
          </w:p>
          <w:p w14:paraId="077C9361" w14:textId="77777777" w:rsidR="0002271C" w:rsidRPr="00BE2387" w:rsidRDefault="0002271C" w:rsidP="002C1F2F">
            <w:pPr>
              <w:pStyle w:val="DTT"/>
              <w:widowControl w:val="0"/>
              <w:rPr>
                <w:rFonts w:ascii="Verdana" w:hAnsi="Verdana"/>
                <w:sz w:val="16"/>
                <w:szCs w:val="16"/>
              </w:rPr>
            </w:pPr>
          </w:p>
          <w:p w14:paraId="512E9B06" w14:textId="77777777" w:rsidR="0002271C" w:rsidRPr="00BE2387" w:rsidRDefault="0002271C" w:rsidP="002C1F2F">
            <w:pPr>
              <w:pStyle w:val="DTT"/>
              <w:widowControl w:val="0"/>
              <w:rPr>
                <w:rFonts w:ascii="Verdana" w:hAnsi="Verdana"/>
                <w:sz w:val="20"/>
              </w:rPr>
            </w:pPr>
            <w:r w:rsidRPr="00BE2387">
              <w:rPr>
                <w:rFonts w:ascii="Verdana" w:hAnsi="Verdana"/>
                <w:sz w:val="16"/>
                <w:szCs w:val="16"/>
              </w:rPr>
              <w:t xml:space="preserve">Deloitte </w:t>
            </w:r>
            <w:proofErr w:type="spellStart"/>
            <w:r w:rsidRPr="00BE2387">
              <w:rPr>
                <w:rFonts w:ascii="Verdana" w:hAnsi="Verdana"/>
                <w:sz w:val="16"/>
                <w:szCs w:val="16"/>
              </w:rPr>
              <w:t>Touche</w:t>
            </w:r>
            <w:proofErr w:type="spellEnd"/>
            <w:r w:rsidRPr="00BE2387">
              <w:rPr>
                <w:rFonts w:ascii="Verdana" w:hAnsi="Verdana"/>
                <w:sz w:val="16"/>
                <w:szCs w:val="16"/>
              </w:rPr>
              <w:t xml:space="preserve"> Tohmatsu </w:t>
            </w:r>
            <w:proofErr w:type="spellStart"/>
            <w:r w:rsidRPr="00BE2387">
              <w:rPr>
                <w:rFonts w:ascii="Verdana" w:hAnsi="Verdana"/>
                <w:sz w:val="16"/>
                <w:szCs w:val="16"/>
              </w:rPr>
              <w:t>Auditores</w:t>
            </w:r>
            <w:proofErr w:type="spellEnd"/>
            <w:r w:rsidRPr="00BE2387">
              <w:rPr>
                <w:rFonts w:ascii="Verdana" w:hAnsi="Verdana"/>
                <w:sz w:val="16"/>
                <w:szCs w:val="16"/>
              </w:rPr>
              <w:t xml:space="preserve"> </w:t>
            </w:r>
            <w:proofErr w:type="spellStart"/>
            <w:r w:rsidRPr="00BE2387">
              <w:rPr>
                <w:rFonts w:ascii="Verdana" w:hAnsi="Verdana"/>
                <w:sz w:val="16"/>
                <w:szCs w:val="16"/>
              </w:rPr>
              <w:t>Independentes</w:t>
            </w:r>
            <w:proofErr w:type="spellEnd"/>
          </w:p>
        </w:tc>
      </w:tr>
    </w:tbl>
    <w:p w14:paraId="42F2373E" w14:textId="77777777" w:rsidR="0002271C" w:rsidRPr="00245CCF" w:rsidRDefault="0002271C" w:rsidP="0002271C">
      <w:pPr>
        <w:widowControl w:val="0"/>
        <w:rPr>
          <w:rFonts w:ascii="Verdana" w:hAnsi="Verdana"/>
          <w:sz w:val="20"/>
          <w:szCs w:val="20"/>
        </w:rPr>
      </w:pPr>
      <w:bookmarkStart w:id="43" w:name="Start"/>
      <w:bookmarkEnd w:id="43"/>
      <w:r w:rsidRPr="00245CCF">
        <w:rPr>
          <w:rFonts w:ascii="Verdana" w:hAnsi="Verdana"/>
          <w:b/>
          <w:i/>
          <w:noProof/>
          <w:sz w:val="20"/>
          <w:szCs w:val="20"/>
          <w:lang w:eastAsia="pt-BR"/>
        </w:rPr>
        <mc:AlternateContent>
          <mc:Choice Requires="wps">
            <w:drawing>
              <wp:anchor distT="0" distB="0" distL="114300" distR="114300" simplePos="0" relativeHeight="251648512" behindDoc="0" locked="0" layoutInCell="1" allowOverlap="1" wp14:anchorId="098AEFD7" wp14:editId="321FB13F">
                <wp:simplePos x="0" y="0"/>
                <wp:positionH relativeFrom="column">
                  <wp:posOffset>1884680</wp:posOffset>
                </wp:positionH>
                <wp:positionV relativeFrom="paragraph">
                  <wp:posOffset>-3031048</wp:posOffset>
                </wp:positionV>
                <wp:extent cx="3440430" cy="4635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463550"/>
                        </a:xfrm>
                        <a:prstGeom prst="rect">
                          <a:avLst/>
                        </a:prstGeom>
                        <a:noFill/>
                        <a:ln>
                          <a:noFill/>
                        </a:ln>
                        <a:extLst>
                          <a:ext uri="{909E8E84-426E-40DD-AFC4-6F175D3DCCD1}">
                            <a14:hiddenFill xmlns:a14="http://schemas.microsoft.com/office/drawing/2010/main">
                              <a:solidFill>
                                <a:srgbClr val="F49100"/>
                              </a:solidFill>
                            </a14:hiddenFill>
                          </a:ext>
                          <a:ext uri="{91240B29-F687-4F45-9708-019B960494DF}">
                            <a14:hiddenLine xmlns:a14="http://schemas.microsoft.com/office/drawing/2010/main" w="9525">
                              <a:solidFill>
                                <a:srgbClr val="F49100"/>
                              </a:solidFill>
                              <a:miter lim="800000"/>
                              <a:headEnd/>
                              <a:tailEnd/>
                            </a14:hiddenLine>
                          </a:ext>
                        </a:extLst>
                      </wps:spPr>
                      <wps:txbx>
                        <w:txbxContent>
                          <w:p w14:paraId="4D29E40C" w14:textId="77777777" w:rsidR="0002271C" w:rsidRPr="000E0B3E" w:rsidRDefault="0002271C" w:rsidP="0002271C">
                            <w:pPr>
                              <w:ind w:left="113"/>
                              <w:rPr>
                                <w:rFonts w:ascii="Verdana" w:hAnsi="Verdana"/>
                                <w:iCs/>
                                <w:sz w:val="20"/>
                                <w:szCs w:val="20"/>
                              </w:rPr>
                            </w:pPr>
                            <w:r w:rsidRPr="000E0B3E">
                              <w:rPr>
                                <w:rFonts w:ascii="Verdana" w:hAnsi="Verdana"/>
                                <w:iCs/>
                                <w:sz w:val="20"/>
                                <w:szCs w:val="20"/>
                              </w:rPr>
                              <w:t>(</w:t>
                            </w:r>
                            <w:proofErr w:type="spellStart"/>
                            <w:r w:rsidRPr="000E0B3E">
                              <w:rPr>
                                <w:rFonts w:ascii="Verdana" w:hAnsi="Verdana"/>
                                <w:iCs/>
                                <w:sz w:val="20"/>
                                <w:szCs w:val="20"/>
                              </w:rPr>
                              <w:t>Convenience</w:t>
                            </w:r>
                            <w:proofErr w:type="spellEnd"/>
                            <w:r w:rsidRPr="000E0B3E">
                              <w:rPr>
                                <w:rFonts w:ascii="Verdana" w:hAnsi="Verdana"/>
                                <w:iCs/>
                                <w:sz w:val="20"/>
                                <w:szCs w:val="20"/>
                              </w:rPr>
                              <w:t xml:space="preserve"> </w:t>
                            </w:r>
                            <w:proofErr w:type="spellStart"/>
                            <w:r w:rsidRPr="000E0B3E">
                              <w:rPr>
                                <w:rFonts w:ascii="Verdana" w:hAnsi="Verdana"/>
                                <w:iCs/>
                                <w:sz w:val="20"/>
                                <w:szCs w:val="20"/>
                              </w:rPr>
                              <w:t>Translation</w:t>
                            </w:r>
                            <w:proofErr w:type="spellEnd"/>
                            <w:r w:rsidRPr="000E0B3E">
                              <w:rPr>
                                <w:rFonts w:ascii="Verdana" w:hAnsi="Verdana"/>
                                <w:iCs/>
                                <w:sz w:val="20"/>
                                <w:szCs w:val="20"/>
                              </w:rPr>
                              <w:t xml:space="preserve"> </w:t>
                            </w:r>
                            <w:proofErr w:type="spellStart"/>
                            <w:r w:rsidRPr="000E0B3E">
                              <w:rPr>
                                <w:rFonts w:ascii="Verdana" w:hAnsi="Verdana"/>
                                <w:iCs/>
                                <w:sz w:val="20"/>
                                <w:szCs w:val="20"/>
                              </w:rPr>
                              <w:t>into</w:t>
                            </w:r>
                            <w:proofErr w:type="spellEnd"/>
                            <w:r w:rsidRPr="000E0B3E">
                              <w:rPr>
                                <w:rFonts w:ascii="Verdana" w:hAnsi="Verdana"/>
                                <w:iCs/>
                                <w:sz w:val="20"/>
                                <w:szCs w:val="20"/>
                              </w:rPr>
                              <w:t xml:space="preserve"> </w:t>
                            </w:r>
                            <w:proofErr w:type="spellStart"/>
                            <w:r w:rsidRPr="000E0B3E">
                              <w:rPr>
                                <w:rFonts w:ascii="Verdana" w:hAnsi="Verdana"/>
                                <w:iCs/>
                                <w:sz w:val="20"/>
                                <w:szCs w:val="20"/>
                              </w:rPr>
                              <w:t>English</w:t>
                            </w:r>
                            <w:proofErr w:type="spellEnd"/>
                            <w:r w:rsidRPr="000E0B3E">
                              <w:rPr>
                                <w:rFonts w:ascii="Verdana" w:hAnsi="Verdana"/>
                                <w:iCs/>
                                <w:sz w:val="20"/>
                                <w:szCs w:val="20"/>
                              </w:rPr>
                              <w:t xml:space="preserve"> </w:t>
                            </w:r>
                            <w:proofErr w:type="spellStart"/>
                            <w:r w:rsidRPr="000E0B3E">
                              <w:rPr>
                                <w:rFonts w:ascii="Verdana" w:hAnsi="Verdana"/>
                                <w:iCs/>
                                <w:sz w:val="20"/>
                                <w:szCs w:val="20"/>
                              </w:rPr>
                              <w:t>from</w:t>
                            </w:r>
                            <w:proofErr w:type="spellEnd"/>
                            <w:r>
                              <w:rPr>
                                <w:rFonts w:ascii="Verdana" w:hAnsi="Verdana"/>
                                <w:iCs/>
                                <w:sz w:val="20"/>
                                <w:szCs w:val="20"/>
                              </w:rPr>
                              <w:br/>
                            </w:r>
                            <w:proofErr w:type="spellStart"/>
                            <w:r w:rsidRPr="000E0B3E">
                              <w:rPr>
                                <w:rFonts w:ascii="Verdana" w:hAnsi="Verdana"/>
                                <w:iCs/>
                                <w:sz w:val="20"/>
                                <w:szCs w:val="20"/>
                              </w:rPr>
                              <w:t>the</w:t>
                            </w:r>
                            <w:proofErr w:type="spellEnd"/>
                            <w:r w:rsidRPr="000E0B3E">
                              <w:rPr>
                                <w:rFonts w:ascii="Verdana" w:hAnsi="Verdana"/>
                                <w:iCs/>
                                <w:sz w:val="20"/>
                                <w:szCs w:val="20"/>
                              </w:rPr>
                              <w:t xml:space="preserve"> Original </w:t>
                            </w:r>
                            <w:proofErr w:type="spellStart"/>
                            <w:r w:rsidRPr="000E0B3E">
                              <w:rPr>
                                <w:rFonts w:ascii="Verdana" w:hAnsi="Verdana"/>
                                <w:iCs/>
                                <w:sz w:val="20"/>
                                <w:szCs w:val="20"/>
                              </w:rPr>
                              <w:t>Previously</w:t>
                            </w:r>
                            <w:proofErr w:type="spellEnd"/>
                            <w:r w:rsidRPr="000E0B3E">
                              <w:rPr>
                                <w:rFonts w:ascii="Verdana" w:hAnsi="Verdana"/>
                                <w:iCs/>
                                <w:sz w:val="20"/>
                                <w:szCs w:val="20"/>
                              </w:rPr>
                              <w:t xml:space="preserve"> </w:t>
                            </w:r>
                            <w:proofErr w:type="spellStart"/>
                            <w:r w:rsidRPr="000E0B3E">
                              <w:rPr>
                                <w:rFonts w:ascii="Verdana" w:hAnsi="Verdana"/>
                                <w:iCs/>
                                <w:sz w:val="20"/>
                                <w:szCs w:val="20"/>
                              </w:rPr>
                              <w:t>Issued</w:t>
                            </w:r>
                            <w:proofErr w:type="spellEnd"/>
                            <w:r w:rsidRPr="000E0B3E">
                              <w:rPr>
                                <w:rFonts w:ascii="Verdana" w:hAnsi="Verdana"/>
                                <w:iCs/>
                                <w:sz w:val="20"/>
                                <w:szCs w:val="20"/>
                              </w:rPr>
                              <w:t xml:space="preserve"> in </w:t>
                            </w:r>
                            <w:proofErr w:type="spellStart"/>
                            <w:r w:rsidRPr="000E0B3E">
                              <w:rPr>
                                <w:rFonts w:ascii="Verdana" w:hAnsi="Verdana"/>
                                <w:iCs/>
                                <w:sz w:val="20"/>
                                <w:szCs w:val="20"/>
                              </w:rPr>
                              <w:t>Portuguese</w:t>
                            </w:r>
                            <w:proofErr w:type="spellEnd"/>
                            <w:r w:rsidRPr="000E0B3E">
                              <w:rPr>
                                <w:rFonts w:ascii="Verdana" w:hAnsi="Verdana"/>
                                <w:i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AEFD7" id="_x0000_t202" coordsize="21600,21600" o:spt="202" path="m,l,21600r21600,l21600,xe">
                <v:stroke joinstyle="miter"/>
                <v:path gradientshapeok="t" o:connecttype="rect"/>
              </v:shapetype>
              <v:shape id="Text Box 5" o:spid="_x0000_s1026" type="#_x0000_t202" style="position:absolute;margin-left:148.4pt;margin-top:-238.65pt;width:270.9pt;height:3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" filled="f" fillcolor="#f49100" stroked="f" strokecolor="#f49100">
                <v:textbox>
                  <w:txbxContent>
                    <w:p w14:paraId="4D29E40C" w14:textId="77777777" w:rsidR="0002271C" w:rsidRPr="000E0B3E" w:rsidRDefault="0002271C" w:rsidP="0002271C">
                      <w:pPr>
                        <w:ind w:left="113"/>
                        <w:rPr>
                          <w:rFonts w:ascii="Verdana" w:hAnsi="Verdana"/>
                          <w:iCs/>
                          <w:sz w:val="20"/>
                          <w:szCs w:val="20"/>
                        </w:rPr>
                      </w:pPr>
                      <w:r w:rsidRPr="000E0B3E">
                        <w:rPr>
                          <w:rFonts w:ascii="Verdana" w:hAnsi="Verdana"/>
                          <w:iCs/>
                          <w:sz w:val="20"/>
                          <w:szCs w:val="20"/>
                        </w:rPr>
                        <w:t>(</w:t>
                      </w:r>
                      <w:proofErr w:type="spellStart"/>
                      <w:r w:rsidRPr="000E0B3E">
                        <w:rPr>
                          <w:rFonts w:ascii="Verdana" w:hAnsi="Verdana"/>
                          <w:iCs/>
                          <w:sz w:val="20"/>
                          <w:szCs w:val="20"/>
                        </w:rPr>
                        <w:t>Convenience</w:t>
                      </w:r>
                      <w:proofErr w:type="spellEnd"/>
                      <w:r w:rsidRPr="000E0B3E">
                        <w:rPr>
                          <w:rFonts w:ascii="Verdana" w:hAnsi="Verdana"/>
                          <w:iCs/>
                          <w:sz w:val="20"/>
                          <w:szCs w:val="20"/>
                        </w:rPr>
                        <w:t xml:space="preserve"> </w:t>
                      </w:r>
                      <w:proofErr w:type="spellStart"/>
                      <w:r w:rsidRPr="000E0B3E">
                        <w:rPr>
                          <w:rFonts w:ascii="Verdana" w:hAnsi="Verdana"/>
                          <w:iCs/>
                          <w:sz w:val="20"/>
                          <w:szCs w:val="20"/>
                        </w:rPr>
                        <w:t>Translation</w:t>
                      </w:r>
                      <w:proofErr w:type="spellEnd"/>
                      <w:r w:rsidRPr="000E0B3E">
                        <w:rPr>
                          <w:rFonts w:ascii="Verdana" w:hAnsi="Verdana"/>
                          <w:iCs/>
                          <w:sz w:val="20"/>
                          <w:szCs w:val="20"/>
                        </w:rPr>
                        <w:t xml:space="preserve"> </w:t>
                      </w:r>
                      <w:proofErr w:type="spellStart"/>
                      <w:r w:rsidRPr="000E0B3E">
                        <w:rPr>
                          <w:rFonts w:ascii="Verdana" w:hAnsi="Verdana"/>
                          <w:iCs/>
                          <w:sz w:val="20"/>
                          <w:szCs w:val="20"/>
                        </w:rPr>
                        <w:t>into</w:t>
                      </w:r>
                      <w:proofErr w:type="spellEnd"/>
                      <w:r w:rsidRPr="000E0B3E">
                        <w:rPr>
                          <w:rFonts w:ascii="Verdana" w:hAnsi="Verdana"/>
                          <w:iCs/>
                          <w:sz w:val="20"/>
                          <w:szCs w:val="20"/>
                        </w:rPr>
                        <w:t xml:space="preserve"> </w:t>
                      </w:r>
                      <w:proofErr w:type="spellStart"/>
                      <w:r w:rsidRPr="000E0B3E">
                        <w:rPr>
                          <w:rFonts w:ascii="Verdana" w:hAnsi="Verdana"/>
                          <w:iCs/>
                          <w:sz w:val="20"/>
                          <w:szCs w:val="20"/>
                        </w:rPr>
                        <w:t>English</w:t>
                      </w:r>
                      <w:proofErr w:type="spellEnd"/>
                      <w:r w:rsidRPr="000E0B3E">
                        <w:rPr>
                          <w:rFonts w:ascii="Verdana" w:hAnsi="Verdana"/>
                          <w:iCs/>
                          <w:sz w:val="20"/>
                          <w:szCs w:val="20"/>
                        </w:rPr>
                        <w:t xml:space="preserve"> </w:t>
                      </w:r>
                      <w:proofErr w:type="spellStart"/>
                      <w:r w:rsidRPr="000E0B3E">
                        <w:rPr>
                          <w:rFonts w:ascii="Verdana" w:hAnsi="Verdana"/>
                          <w:iCs/>
                          <w:sz w:val="20"/>
                          <w:szCs w:val="20"/>
                        </w:rPr>
                        <w:t>from</w:t>
                      </w:r>
                      <w:proofErr w:type="spellEnd"/>
                      <w:r>
                        <w:rPr>
                          <w:rFonts w:ascii="Verdana" w:hAnsi="Verdana"/>
                          <w:iCs/>
                          <w:sz w:val="20"/>
                          <w:szCs w:val="20"/>
                        </w:rPr>
                        <w:br/>
                      </w:r>
                      <w:proofErr w:type="spellStart"/>
                      <w:r w:rsidRPr="000E0B3E">
                        <w:rPr>
                          <w:rFonts w:ascii="Verdana" w:hAnsi="Verdana"/>
                          <w:iCs/>
                          <w:sz w:val="20"/>
                          <w:szCs w:val="20"/>
                        </w:rPr>
                        <w:t>the</w:t>
                      </w:r>
                      <w:proofErr w:type="spellEnd"/>
                      <w:r w:rsidRPr="000E0B3E">
                        <w:rPr>
                          <w:rFonts w:ascii="Verdana" w:hAnsi="Verdana"/>
                          <w:iCs/>
                          <w:sz w:val="20"/>
                          <w:szCs w:val="20"/>
                        </w:rPr>
                        <w:t xml:space="preserve"> Original </w:t>
                      </w:r>
                      <w:proofErr w:type="spellStart"/>
                      <w:r w:rsidRPr="000E0B3E">
                        <w:rPr>
                          <w:rFonts w:ascii="Verdana" w:hAnsi="Verdana"/>
                          <w:iCs/>
                          <w:sz w:val="20"/>
                          <w:szCs w:val="20"/>
                        </w:rPr>
                        <w:t>Previously</w:t>
                      </w:r>
                      <w:proofErr w:type="spellEnd"/>
                      <w:r w:rsidRPr="000E0B3E">
                        <w:rPr>
                          <w:rFonts w:ascii="Verdana" w:hAnsi="Verdana"/>
                          <w:iCs/>
                          <w:sz w:val="20"/>
                          <w:szCs w:val="20"/>
                        </w:rPr>
                        <w:t xml:space="preserve"> </w:t>
                      </w:r>
                      <w:proofErr w:type="spellStart"/>
                      <w:r w:rsidRPr="000E0B3E">
                        <w:rPr>
                          <w:rFonts w:ascii="Verdana" w:hAnsi="Verdana"/>
                          <w:iCs/>
                          <w:sz w:val="20"/>
                          <w:szCs w:val="20"/>
                        </w:rPr>
                        <w:t>Issued</w:t>
                      </w:r>
                      <w:proofErr w:type="spellEnd"/>
                      <w:r w:rsidRPr="000E0B3E">
                        <w:rPr>
                          <w:rFonts w:ascii="Verdana" w:hAnsi="Verdana"/>
                          <w:iCs/>
                          <w:sz w:val="20"/>
                          <w:szCs w:val="20"/>
                        </w:rPr>
                        <w:t xml:space="preserve"> in </w:t>
                      </w:r>
                      <w:proofErr w:type="spellStart"/>
                      <w:r w:rsidRPr="000E0B3E">
                        <w:rPr>
                          <w:rFonts w:ascii="Verdana" w:hAnsi="Verdana"/>
                          <w:iCs/>
                          <w:sz w:val="20"/>
                          <w:szCs w:val="20"/>
                        </w:rPr>
                        <w:t>Portuguese</w:t>
                      </w:r>
                      <w:proofErr w:type="spellEnd"/>
                      <w:r w:rsidRPr="000E0B3E">
                        <w:rPr>
                          <w:rFonts w:ascii="Verdana" w:hAnsi="Verdana"/>
                          <w:iCs/>
                          <w:sz w:val="20"/>
                          <w:szCs w:val="20"/>
                        </w:rPr>
                        <w:t>)</w:t>
                      </w:r>
                    </w:p>
                  </w:txbxContent>
                </v:textbox>
              </v:shape>
            </w:pict>
          </mc:Fallback>
        </mc:AlternateContent>
      </w:r>
    </w:p>
    <w:p w14:paraId="613E0EA7" w14:textId="77777777" w:rsidR="0002271C" w:rsidRPr="00245CCF" w:rsidRDefault="0002271C" w:rsidP="0002271C">
      <w:pPr>
        <w:widowControl w:val="0"/>
        <w:rPr>
          <w:rFonts w:ascii="Verdana" w:hAnsi="Verdana"/>
          <w:sz w:val="20"/>
          <w:szCs w:val="20"/>
        </w:rPr>
        <w:sectPr w:rsidR="0002271C" w:rsidRPr="00245CCF" w:rsidSect="0002271C">
          <w:headerReference w:type="even" r:id="rId28"/>
          <w:headerReference w:type="default" r:id="rId29"/>
          <w:footerReference w:type="even" r:id="rId30"/>
          <w:headerReference w:type="first" r:id="rId31"/>
          <w:pgSz w:w="11907" w:h="16840" w:code="9"/>
          <w:pgMar w:top="3402" w:right="1134" w:bottom="1134" w:left="1134" w:header="850" w:footer="567" w:gutter="0"/>
          <w:pgNumType w:start="1"/>
          <w:cols w:space="720"/>
          <w:titlePg/>
          <w:docGrid w:linePitch="326"/>
        </w:sectPr>
      </w:pPr>
    </w:p>
    <w:p w14:paraId="24C5014C" w14:textId="77777777" w:rsidR="0002271C" w:rsidRPr="00392A37" w:rsidRDefault="0002271C" w:rsidP="0002271C">
      <w:pPr>
        <w:widowControl w:val="0"/>
        <w:spacing w:before="1440" w:after="200"/>
        <w:rPr>
          <w:rFonts w:ascii="Verdana" w:hAnsi="Verdana"/>
          <w:sz w:val="20"/>
          <w:szCs w:val="20"/>
        </w:rPr>
      </w:pPr>
      <w:r w:rsidRPr="00245CCF">
        <w:rPr>
          <w:rFonts w:ascii="Verdana" w:hAnsi="Verdana"/>
          <w:sz w:val="20"/>
          <w:szCs w:val="20"/>
        </w:rPr>
        <w:lastRenderedPageBreak/>
        <w:t>(</w:t>
      </w:r>
      <w:proofErr w:type="spellStart"/>
      <w:r w:rsidRPr="00392A37">
        <w:rPr>
          <w:rFonts w:ascii="Verdana" w:hAnsi="Verdana"/>
          <w:sz w:val="20"/>
          <w:szCs w:val="20"/>
        </w:rPr>
        <w:t>Convenience</w:t>
      </w:r>
      <w:proofErr w:type="spellEnd"/>
      <w:r w:rsidRPr="00392A37">
        <w:rPr>
          <w:rFonts w:ascii="Verdana" w:hAnsi="Verdana"/>
          <w:sz w:val="20"/>
          <w:szCs w:val="20"/>
        </w:rPr>
        <w:t xml:space="preserve"> </w:t>
      </w:r>
      <w:proofErr w:type="spellStart"/>
      <w:r w:rsidRPr="00392A37">
        <w:rPr>
          <w:rFonts w:ascii="Verdana" w:hAnsi="Verdana"/>
          <w:sz w:val="20"/>
          <w:szCs w:val="20"/>
        </w:rPr>
        <w:t>Translation</w:t>
      </w:r>
      <w:proofErr w:type="spellEnd"/>
      <w:r w:rsidRPr="00392A37">
        <w:rPr>
          <w:rFonts w:ascii="Verdana" w:hAnsi="Verdana"/>
          <w:sz w:val="20"/>
          <w:szCs w:val="20"/>
        </w:rPr>
        <w:t xml:space="preserve"> </w:t>
      </w:r>
      <w:proofErr w:type="spellStart"/>
      <w:r w:rsidRPr="00392A37">
        <w:rPr>
          <w:rFonts w:ascii="Verdana" w:hAnsi="Verdana"/>
          <w:sz w:val="20"/>
          <w:szCs w:val="20"/>
        </w:rPr>
        <w:t>into</w:t>
      </w:r>
      <w:proofErr w:type="spellEnd"/>
      <w:r w:rsidRPr="00392A37">
        <w:rPr>
          <w:rFonts w:ascii="Verdana" w:hAnsi="Verdana"/>
          <w:sz w:val="20"/>
          <w:szCs w:val="20"/>
        </w:rPr>
        <w:t xml:space="preserve"> </w:t>
      </w:r>
      <w:proofErr w:type="spellStart"/>
      <w:r w:rsidRPr="00392A37">
        <w:rPr>
          <w:rFonts w:ascii="Verdana" w:hAnsi="Verdana"/>
          <w:sz w:val="20"/>
          <w:szCs w:val="20"/>
        </w:rPr>
        <w:t>English</w:t>
      </w:r>
      <w:proofErr w:type="spellEnd"/>
      <w:r w:rsidRPr="00392A37">
        <w:rPr>
          <w:rFonts w:ascii="Verdana" w:hAnsi="Verdana"/>
          <w:sz w:val="20"/>
          <w:szCs w:val="20"/>
        </w:rPr>
        <w:t xml:space="preserve"> </w:t>
      </w:r>
      <w:proofErr w:type="spellStart"/>
      <w:r w:rsidRPr="00392A37">
        <w:rPr>
          <w:rFonts w:ascii="Verdana" w:hAnsi="Verdana"/>
          <w:sz w:val="20"/>
          <w:szCs w:val="20"/>
        </w:rPr>
        <w:t>from</w:t>
      </w:r>
      <w:proofErr w:type="spellEnd"/>
      <w:r w:rsidRPr="00392A37">
        <w:rPr>
          <w:rFonts w:ascii="Verdana" w:hAnsi="Verdana"/>
          <w:sz w:val="20"/>
          <w:szCs w:val="20"/>
        </w:rPr>
        <w:t xml:space="preserve"> </w:t>
      </w:r>
      <w:proofErr w:type="spellStart"/>
      <w:r w:rsidRPr="00392A37">
        <w:rPr>
          <w:rFonts w:ascii="Verdana" w:hAnsi="Verdana"/>
          <w:sz w:val="20"/>
          <w:szCs w:val="20"/>
        </w:rPr>
        <w:t>the</w:t>
      </w:r>
      <w:proofErr w:type="spellEnd"/>
      <w:r w:rsidRPr="00392A37">
        <w:rPr>
          <w:rFonts w:ascii="Verdana" w:hAnsi="Verdana"/>
          <w:sz w:val="20"/>
          <w:szCs w:val="20"/>
        </w:rPr>
        <w:t xml:space="preserve"> Original </w:t>
      </w:r>
      <w:proofErr w:type="spellStart"/>
      <w:r w:rsidRPr="00392A37">
        <w:rPr>
          <w:rFonts w:ascii="Verdana" w:hAnsi="Verdana"/>
          <w:sz w:val="20"/>
          <w:szCs w:val="20"/>
        </w:rPr>
        <w:t>Previously</w:t>
      </w:r>
      <w:proofErr w:type="spellEnd"/>
      <w:r w:rsidRPr="00392A37">
        <w:rPr>
          <w:rFonts w:ascii="Verdana" w:hAnsi="Verdana"/>
          <w:sz w:val="20"/>
          <w:szCs w:val="20"/>
        </w:rPr>
        <w:t xml:space="preserve"> </w:t>
      </w:r>
      <w:proofErr w:type="spellStart"/>
      <w:r w:rsidRPr="00392A37">
        <w:rPr>
          <w:rFonts w:ascii="Verdana" w:hAnsi="Verdana"/>
          <w:sz w:val="20"/>
          <w:szCs w:val="20"/>
        </w:rPr>
        <w:t>Issued</w:t>
      </w:r>
      <w:proofErr w:type="spellEnd"/>
      <w:r w:rsidRPr="00392A37">
        <w:rPr>
          <w:rFonts w:ascii="Verdana" w:hAnsi="Verdana"/>
          <w:sz w:val="20"/>
          <w:szCs w:val="20"/>
        </w:rPr>
        <w:t xml:space="preserve"> in </w:t>
      </w:r>
      <w:proofErr w:type="spellStart"/>
      <w:r w:rsidRPr="00392A37">
        <w:rPr>
          <w:rFonts w:ascii="Verdana" w:hAnsi="Verdana"/>
          <w:sz w:val="20"/>
          <w:szCs w:val="20"/>
        </w:rPr>
        <w:t>Portuguese</w:t>
      </w:r>
      <w:proofErr w:type="spellEnd"/>
      <w:r w:rsidRPr="00392A37">
        <w:rPr>
          <w:rFonts w:ascii="Verdana" w:hAnsi="Verdana"/>
          <w:sz w:val="20"/>
          <w:szCs w:val="20"/>
        </w:rPr>
        <w:t>)</w:t>
      </w:r>
    </w:p>
    <w:p w14:paraId="34CF9847" w14:textId="77777777" w:rsidR="0002271C" w:rsidRPr="00392A37" w:rsidRDefault="0002271C" w:rsidP="0002271C">
      <w:pPr>
        <w:pStyle w:val="17TEXTOcorpojustificado"/>
        <w:widowControl w:val="0"/>
        <w:spacing w:after="200" w:line="240" w:lineRule="auto"/>
        <w:jc w:val="left"/>
        <w:outlineLvl w:val="0"/>
        <w:rPr>
          <w:rFonts w:ascii="Verdana" w:hAnsi="Verdana"/>
          <w:sz w:val="20"/>
          <w:u w:val="single"/>
          <w:lang w:eastAsia="pt-BR"/>
        </w:rPr>
      </w:pPr>
      <w:r w:rsidRPr="00392A37">
        <w:rPr>
          <w:rFonts w:ascii="Verdana" w:hAnsi="Verdana"/>
          <w:sz w:val="20"/>
          <w:u w:val="single"/>
          <w:lang w:eastAsia="pt-BR"/>
        </w:rPr>
        <w:t>REPORT ON REVIEW OF INTERIM FINANCIAL STATEMENTS</w:t>
      </w:r>
    </w:p>
    <w:p w14:paraId="1B11A334" w14:textId="77777777" w:rsidR="0002271C" w:rsidRPr="00245CCF" w:rsidRDefault="0002271C" w:rsidP="0002271C">
      <w:pPr>
        <w:widowControl w:val="0"/>
        <w:rPr>
          <w:rFonts w:ascii="Verdana" w:hAnsi="Verdana"/>
          <w:sz w:val="20"/>
          <w:szCs w:val="20"/>
        </w:rPr>
      </w:pPr>
      <w:proofErr w:type="spellStart"/>
      <w:r w:rsidRPr="00392A37">
        <w:rPr>
          <w:rFonts w:ascii="Verdana" w:hAnsi="Verdana"/>
          <w:sz w:val="20"/>
          <w:szCs w:val="20"/>
        </w:rPr>
        <w:t>To</w:t>
      </w:r>
      <w:proofErr w:type="spellEnd"/>
      <w:r w:rsidRPr="00392A37">
        <w:rPr>
          <w:rFonts w:ascii="Verdana" w:hAnsi="Verdana"/>
          <w:sz w:val="20"/>
          <w:szCs w:val="20"/>
        </w:rPr>
        <w:t xml:space="preserve"> </w:t>
      </w:r>
      <w:proofErr w:type="spellStart"/>
      <w:r w:rsidRPr="00392A37">
        <w:rPr>
          <w:rFonts w:ascii="Verdana" w:hAnsi="Verdana"/>
          <w:sz w:val="20"/>
          <w:szCs w:val="20"/>
        </w:rPr>
        <w:t>the</w:t>
      </w:r>
      <w:proofErr w:type="spellEnd"/>
      <w:r w:rsidRPr="00392A37">
        <w:rPr>
          <w:rFonts w:ascii="Verdana" w:hAnsi="Verdana"/>
          <w:sz w:val="20"/>
          <w:szCs w:val="20"/>
        </w:rPr>
        <w:t xml:space="preserve"> Board </w:t>
      </w:r>
      <w:proofErr w:type="spellStart"/>
      <w:r w:rsidRPr="00392A37">
        <w:rPr>
          <w:rFonts w:ascii="Verdana" w:hAnsi="Verdana"/>
          <w:sz w:val="20"/>
          <w:szCs w:val="20"/>
        </w:rPr>
        <w:t>of</w:t>
      </w:r>
      <w:proofErr w:type="spellEnd"/>
      <w:r w:rsidRPr="00392A37">
        <w:rPr>
          <w:rFonts w:ascii="Verdana" w:hAnsi="Verdana"/>
          <w:sz w:val="20"/>
          <w:szCs w:val="20"/>
        </w:rPr>
        <w:t xml:space="preserve"> </w:t>
      </w:r>
      <w:proofErr w:type="spellStart"/>
      <w:r w:rsidRPr="00392A37">
        <w:rPr>
          <w:rFonts w:ascii="Verdana" w:hAnsi="Verdana"/>
          <w:sz w:val="20"/>
          <w:szCs w:val="20"/>
        </w:rPr>
        <w:t>Directors</w:t>
      </w:r>
      <w:proofErr w:type="spellEnd"/>
      <w:r w:rsidRPr="00392A37">
        <w:rPr>
          <w:rFonts w:ascii="Verdana" w:hAnsi="Verdana"/>
          <w:sz w:val="20"/>
          <w:szCs w:val="20"/>
        </w:rPr>
        <w:t xml:space="preserve">, Management </w:t>
      </w:r>
      <w:proofErr w:type="spellStart"/>
      <w:r w:rsidRPr="00392A37">
        <w:rPr>
          <w:rFonts w:ascii="Verdana" w:hAnsi="Verdana"/>
          <w:sz w:val="20"/>
          <w:szCs w:val="20"/>
        </w:rPr>
        <w:t>and</w:t>
      </w:r>
      <w:proofErr w:type="spellEnd"/>
      <w:r w:rsidRPr="00392A37">
        <w:rPr>
          <w:rFonts w:ascii="Verdana" w:hAnsi="Verdana"/>
          <w:sz w:val="20"/>
          <w:szCs w:val="20"/>
        </w:rPr>
        <w:t xml:space="preserve"> </w:t>
      </w:r>
      <w:proofErr w:type="spellStart"/>
      <w:r w:rsidRPr="00392A37">
        <w:rPr>
          <w:rFonts w:ascii="Verdana" w:hAnsi="Verdana"/>
          <w:sz w:val="20"/>
          <w:szCs w:val="20"/>
        </w:rPr>
        <w:t>Shareholders</w:t>
      </w:r>
      <w:proofErr w:type="spellEnd"/>
      <w:r w:rsidRPr="00392A37">
        <w:rPr>
          <w:rFonts w:ascii="Verdana" w:hAnsi="Verdana"/>
          <w:sz w:val="20"/>
          <w:szCs w:val="20"/>
        </w:rPr>
        <w:t xml:space="preserve"> </w:t>
      </w:r>
      <w:proofErr w:type="spellStart"/>
      <w:r w:rsidRPr="00392A37">
        <w:rPr>
          <w:rFonts w:ascii="Verdana" w:hAnsi="Verdana"/>
          <w:sz w:val="20"/>
          <w:szCs w:val="20"/>
        </w:rPr>
        <w:t>of</w:t>
      </w:r>
      <w:proofErr w:type="spellEnd"/>
    </w:p>
    <w:p w14:paraId="0EAEB957" w14:textId="77777777" w:rsidR="0002271C" w:rsidRPr="00275812" w:rsidRDefault="0002271C" w:rsidP="0002271C">
      <w:pPr>
        <w:pStyle w:val="17TEXTOcorpojustificado"/>
        <w:widowControl w:val="0"/>
        <w:spacing w:line="240" w:lineRule="auto"/>
        <w:jc w:val="left"/>
        <w:rPr>
          <w:rFonts w:ascii="Verdana" w:hAnsi="Verdana"/>
          <w:sz w:val="20"/>
          <w:lang w:val="pt-BR"/>
        </w:rPr>
      </w:pPr>
      <w:r w:rsidRPr="00275812">
        <w:rPr>
          <w:rFonts w:ascii="Verdana" w:hAnsi="Verdana"/>
          <w:sz w:val="20"/>
          <w:lang w:val="pt-BR"/>
        </w:rPr>
        <w:t>BB Seguridade Participações S.A.</w:t>
      </w:r>
    </w:p>
    <w:p w14:paraId="600901F7" w14:textId="77777777" w:rsidR="0002271C" w:rsidRPr="00A44C0F" w:rsidRDefault="0002271C" w:rsidP="0002271C">
      <w:pPr>
        <w:pStyle w:val="17TEXTOcorpojustificado"/>
        <w:widowControl w:val="0"/>
        <w:spacing w:before="200" w:after="200" w:line="240" w:lineRule="auto"/>
        <w:jc w:val="left"/>
        <w:rPr>
          <w:rFonts w:ascii="Verdana" w:hAnsi="Verdana"/>
          <w:b/>
          <w:sz w:val="20"/>
        </w:rPr>
      </w:pPr>
      <w:r w:rsidRPr="00A44C0F">
        <w:rPr>
          <w:rFonts w:ascii="Verdana" w:hAnsi="Verdana"/>
          <w:b/>
          <w:sz w:val="20"/>
        </w:rPr>
        <w:t>Introduction</w:t>
      </w:r>
    </w:p>
    <w:p w14:paraId="549D45E2" w14:textId="77777777" w:rsidR="0002271C" w:rsidRPr="008A36AE" w:rsidRDefault="0002271C" w:rsidP="0002271C">
      <w:pPr>
        <w:widowControl w:val="0"/>
        <w:autoSpaceDE w:val="0"/>
        <w:autoSpaceDN w:val="0"/>
        <w:spacing w:after="200"/>
        <w:rPr>
          <w:rFonts w:ascii="Verdana" w:hAnsi="Verdana"/>
          <w:sz w:val="20"/>
          <w:szCs w:val="20"/>
          <w:lang w:eastAsia="pt-BR"/>
        </w:rPr>
      </w:pPr>
      <w:proofErr w:type="spellStart"/>
      <w:r w:rsidRPr="00392A37">
        <w:rPr>
          <w:rFonts w:ascii="Verdana" w:hAnsi="Verdana"/>
          <w:color w:val="000000"/>
          <w:sz w:val="20"/>
          <w:szCs w:val="20"/>
          <w:lang w:eastAsia="pt-BR"/>
        </w:rPr>
        <w:t>We</w:t>
      </w:r>
      <w:proofErr w:type="spellEnd"/>
      <w:r w:rsidRPr="00392A37">
        <w:rPr>
          <w:rFonts w:ascii="Verdana" w:hAnsi="Verdana"/>
          <w:color w:val="000000"/>
          <w:sz w:val="20"/>
          <w:szCs w:val="20"/>
          <w:lang w:eastAsia="pt-BR"/>
        </w:rPr>
        <w:t xml:space="preserve"> </w:t>
      </w:r>
      <w:proofErr w:type="spellStart"/>
      <w:r w:rsidRPr="00392A37">
        <w:rPr>
          <w:rFonts w:ascii="Verdana" w:hAnsi="Verdana"/>
          <w:color w:val="000000"/>
          <w:sz w:val="20"/>
          <w:szCs w:val="20"/>
          <w:lang w:eastAsia="pt-BR"/>
        </w:rPr>
        <w:t>have</w:t>
      </w:r>
      <w:proofErr w:type="spellEnd"/>
      <w:r w:rsidRPr="00245CCF">
        <w:rPr>
          <w:rFonts w:ascii="Verdana" w:hAnsi="Verdana"/>
          <w:color w:val="000000"/>
          <w:sz w:val="20"/>
          <w:szCs w:val="20"/>
          <w:lang w:eastAsia="pt-BR"/>
        </w:rPr>
        <w:t xml:space="preserve"> </w:t>
      </w:r>
      <w:proofErr w:type="spellStart"/>
      <w:r w:rsidRPr="00245CCF">
        <w:rPr>
          <w:rFonts w:ascii="Verdana" w:hAnsi="Verdana"/>
          <w:color w:val="000000"/>
          <w:sz w:val="20"/>
          <w:szCs w:val="20"/>
          <w:lang w:eastAsia="pt-BR"/>
        </w:rPr>
        <w:t>reviewed</w:t>
      </w:r>
      <w:proofErr w:type="spellEnd"/>
      <w:r w:rsidRPr="00245CCF">
        <w:rPr>
          <w:rFonts w:ascii="Verdana" w:hAnsi="Verdana"/>
          <w:color w:val="000000"/>
          <w:sz w:val="20"/>
          <w:szCs w:val="20"/>
          <w:lang w:eastAsia="pt-BR"/>
        </w:rPr>
        <w:t xml:space="preserve"> </w:t>
      </w:r>
      <w:proofErr w:type="spellStart"/>
      <w:r w:rsidRPr="00245CCF">
        <w:rPr>
          <w:rFonts w:ascii="Verdana" w:hAnsi="Verdana"/>
          <w:color w:val="000000"/>
          <w:sz w:val="20"/>
          <w:szCs w:val="20"/>
          <w:lang w:eastAsia="pt-BR"/>
        </w:rPr>
        <w:t>the</w:t>
      </w:r>
      <w:proofErr w:type="spellEnd"/>
      <w:r w:rsidRPr="00245CCF">
        <w:rPr>
          <w:rFonts w:ascii="Verdana" w:hAnsi="Verdana"/>
          <w:color w:val="000000"/>
          <w:sz w:val="20"/>
          <w:szCs w:val="20"/>
          <w:lang w:eastAsia="pt-BR"/>
        </w:rPr>
        <w:t xml:space="preserve"> </w:t>
      </w:r>
      <w:proofErr w:type="spellStart"/>
      <w:r w:rsidRPr="00245CCF">
        <w:rPr>
          <w:rFonts w:ascii="Verdana" w:hAnsi="Verdana"/>
          <w:color w:val="000000"/>
          <w:sz w:val="20"/>
          <w:szCs w:val="20"/>
          <w:lang w:eastAsia="pt-BR"/>
        </w:rPr>
        <w:t>accompanying</w:t>
      </w:r>
      <w:proofErr w:type="spellEnd"/>
      <w:r w:rsidRPr="00245CCF">
        <w:rPr>
          <w:rFonts w:ascii="Verdana" w:hAnsi="Verdana"/>
          <w:color w:val="000000"/>
          <w:sz w:val="20"/>
          <w:szCs w:val="20"/>
          <w:lang w:eastAsia="pt-BR"/>
        </w:rPr>
        <w:t xml:space="preserve"> individual </w:t>
      </w:r>
      <w:proofErr w:type="spellStart"/>
      <w:r w:rsidRPr="00245CCF">
        <w:rPr>
          <w:rFonts w:ascii="Verdana" w:hAnsi="Verdana"/>
          <w:color w:val="000000"/>
          <w:sz w:val="20"/>
          <w:szCs w:val="20"/>
          <w:lang w:eastAsia="pt-BR"/>
        </w:rPr>
        <w:t>and</w:t>
      </w:r>
      <w:proofErr w:type="spellEnd"/>
      <w:r w:rsidRPr="00245CCF">
        <w:rPr>
          <w:rFonts w:ascii="Verdana" w:hAnsi="Verdana"/>
          <w:color w:val="000000"/>
          <w:sz w:val="20"/>
          <w:szCs w:val="20"/>
          <w:lang w:eastAsia="pt-BR"/>
        </w:rPr>
        <w:t xml:space="preserve"> </w:t>
      </w:r>
      <w:proofErr w:type="spellStart"/>
      <w:r w:rsidRPr="00245CCF">
        <w:rPr>
          <w:rFonts w:ascii="Verdana" w:hAnsi="Verdana"/>
          <w:color w:val="000000"/>
          <w:sz w:val="20"/>
          <w:szCs w:val="20"/>
          <w:lang w:eastAsia="pt-BR"/>
        </w:rPr>
        <w:t>consolidated</w:t>
      </w:r>
      <w:proofErr w:type="spellEnd"/>
      <w:r w:rsidRPr="00245CCF">
        <w:rPr>
          <w:rFonts w:ascii="Verdana" w:hAnsi="Verdana"/>
          <w:color w:val="000000"/>
          <w:sz w:val="20"/>
          <w:szCs w:val="20"/>
          <w:lang w:eastAsia="pt-BR"/>
        </w:rPr>
        <w:t xml:space="preserve"> interim financial </w:t>
      </w:r>
      <w:proofErr w:type="spellStart"/>
      <w:r w:rsidRPr="00245CCF">
        <w:rPr>
          <w:rFonts w:ascii="Verdana" w:hAnsi="Verdana"/>
          <w:color w:val="000000"/>
          <w:sz w:val="20"/>
          <w:szCs w:val="20"/>
          <w:lang w:eastAsia="pt-BR"/>
        </w:rPr>
        <w:t>statements</w:t>
      </w:r>
      <w:proofErr w:type="spellEnd"/>
      <w:r w:rsidRPr="00245CCF">
        <w:rPr>
          <w:rFonts w:ascii="Verdana" w:hAnsi="Verdana"/>
          <w:color w:val="000000"/>
          <w:sz w:val="20"/>
          <w:szCs w:val="20"/>
          <w:lang w:eastAsia="pt-BR"/>
        </w:rPr>
        <w:t xml:space="preserve"> </w:t>
      </w:r>
      <w:proofErr w:type="spellStart"/>
      <w:r w:rsidRPr="00245CCF">
        <w:rPr>
          <w:rFonts w:ascii="Verdana" w:hAnsi="Verdana"/>
          <w:color w:val="000000"/>
          <w:sz w:val="20"/>
          <w:szCs w:val="20"/>
          <w:lang w:eastAsia="pt-BR"/>
        </w:rPr>
        <w:t>of</w:t>
      </w:r>
      <w:proofErr w:type="spellEnd"/>
      <w:r w:rsidRPr="00245CCF">
        <w:rPr>
          <w:rFonts w:ascii="Verdana" w:hAnsi="Verdana"/>
          <w:color w:val="000000"/>
          <w:sz w:val="20"/>
          <w:szCs w:val="20"/>
          <w:lang w:eastAsia="pt-BR"/>
        </w:rPr>
        <w:t xml:space="preserve"> </w:t>
      </w:r>
      <w:r w:rsidRPr="00245CCF">
        <w:rPr>
          <w:rFonts w:ascii="Verdana" w:hAnsi="Verdana"/>
          <w:sz w:val="20"/>
        </w:rPr>
        <w:t>BB Seguridade Participações S.A.</w:t>
      </w:r>
      <w:r w:rsidRPr="00245CCF">
        <w:rPr>
          <w:rFonts w:ascii="Verdana" w:hAnsi="Verdana"/>
          <w:sz w:val="20"/>
          <w:szCs w:val="20"/>
        </w:rPr>
        <w:t xml:space="preserve"> (“</w:t>
      </w:r>
      <w:proofErr w:type="spellStart"/>
      <w:r w:rsidRPr="00245CCF">
        <w:rPr>
          <w:rFonts w:ascii="Verdana" w:hAnsi="Verdana"/>
          <w:sz w:val="20"/>
          <w:szCs w:val="20"/>
        </w:rPr>
        <w:t>Company</w:t>
      </w:r>
      <w:proofErr w:type="spellEnd"/>
      <w:r w:rsidRPr="00245CCF">
        <w:rPr>
          <w:rFonts w:ascii="Verdana" w:hAnsi="Verdana"/>
          <w:sz w:val="20"/>
          <w:szCs w:val="20"/>
        </w:rPr>
        <w:t>”),</w:t>
      </w:r>
      <w:r w:rsidRPr="00245CCF">
        <w:rPr>
          <w:rFonts w:ascii="Verdana" w:hAnsi="Verdana"/>
          <w:sz w:val="20"/>
          <w:szCs w:val="20"/>
          <w:lang w:eastAsia="pt-BR"/>
        </w:rPr>
        <w:t xml:space="preserve"> </w:t>
      </w:r>
      <w:proofErr w:type="spellStart"/>
      <w:r w:rsidRPr="00245CCF">
        <w:rPr>
          <w:rFonts w:ascii="Verdana" w:hAnsi="Verdana"/>
          <w:sz w:val="20"/>
          <w:szCs w:val="20"/>
          <w:lang w:eastAsia="pt-BR"/>
        </w:rPr>
        <w:t>which</w:t>
      </w:r>
      <w:proofErr w:type="spellEnd"/>
      <w:r w:rsidRPr="00245CCF">
        <w:rPr>
          <w:rFonts w:ascii="Verdana" w:hAnsi="Verdana"/>
          <w:sz w:val="20"/>
          <w:szCs w:val="20"/>
          <w:lang w:eastAsia="pt-BR"/>
        </w:rPr>
        <w:t xml:space="preserve"> </w:t>
      </w:r>
      <w:proofErr w:type="spellStart"/>
      <w:r w:rsidRPr="00245CCF">
        <w:rPr>
          <w:rFonts w:ascii="Verdana" w:hAnsi="Verdana"/>
          <w:sz w:val="20"/>
          <w:szCs w:val="20"/>
          <w:lang w:eastAsia="pt-BR"/>
        </w:rPr>
        <w:t>comprises</w:t>
      </w:r>
      <w:proofErr w:type="spellEnd"/>
      <w:r w:rsidRPr="00245CCF">
        <w:rPr>
          <w:rFonts w:ascii="Verdana" w:hAnsi="Verdana"/>
          <w:sz w:val="20"/>
          <w:szCs w:val="20"/>
          <w:lang w:eastAsia="pt-BR"/>
        </w:rPr>
        <w:t xml:space="preserve"> </w:t>
      </w:r>
      <w:proofErr w:type="spellStart"/>
      <w:r w:rsidRPr="00245CCF">
        <w:rPr>
          <w:rFonts w:ascii="Verdana" w:hAnsi="Verdana"/>
          <w:sz w:val="20"/>
          <w:szCs w:val="20"/>
          <w:lang w:eastAsia="pt-BR"/>
        </w:rPr>
        <w:t>the</w:t>
      </w:r>
      <w:proofErr w:type="spellEnd"/>
      <w:r w:rsidRPr="00245CCF">
        <w:rPr>
          <w:rFonts w:ascii="Verdana" w:hAnsi="Verdana"/>
          <w:sz w:val="20"/>
          <w:szCs w:val="20"/>
          <w:lang w:eastAsia="pt-BR"/>
        </w:rPr>
        <w:t xml:space="preserve"> balance </w:t>
      </w:r>
      <w:proofErr w:type="spellStart"/>
      <w:r w:rsidRPr="00245CCF">
        <w:rPr>
          <w:rFonts w:ascii="Verdana" w:hAnsi="Verdana"/>
          <w:sz w:val="20"/>
          <w:szCs w:val="20"/>
          <w:lang w:eastAsia="pt-BR"/>
        </w:rPr>
        <w:t>sheet</w:t>
      </w:r>
      <w:proofErr w:type="spellEnd"/>
      <w:r w:rsidRPr="00245CCF">
        <w:rPr>
          <w:rFonts w:ascii="Verdana" w:hAnsi="Verdana"/>
          <w:sz w:val="20"/>
          <w:szCs w:val="20"/>
          <w:lang w:eastAsia="pt-BR"/>
        </w:rPr>
        <w:t xml:space="preserve"> as </w:t>
      </w:r>
      <w:proofErr w:type="spellStart"/>
      <w:r w:rsidRPr="00245CCF">
        <w:rPr>
          <w:rFonts w:ascii="Verdana" w:hAnsi="Verdana"/>
          <w:sz w:val="20"/>
          <w:szCs w:val="20"/>
          <w:lang w:eastAsia="pt-BR"/>
        </w:rPr>
        <w:t>at</w:t>
      </w:r>
      <w:proofErr w:type="spellEnd"/>
      <w:r w:rsidRPr="00245CCF">
        <w:rPr>
          <w:rFonts w:ascii="Verdana" w:hAnsi="Verdana"/>
          <w:sz w:val="20"/>
          <w:szCs w:val="20"/>
          <w:lang w:eastAsia="pt-BR"/>
        </w:rPr>
        <w:t xml:space="preserve"> </w:t>
      </w:r>
      <w:proofErr w:type="spellStart"/>
      <w:r>
        <w:rPr>
          <w:rFonts w:ascii="Verdana" w:hAnsi="Verdana"/>
          <w:sz w:val="20"/>
          <w:szCs w:val="20"/>
          <w:lang w:eastAsia="pt-BR"/>
        </w:rPr>
        <w:t>March</w:t>
      </w:r>
      <w:proofErr w:type="spellEnd"/>
      <w:r w:rsidRPr="00245CCF">
        <w:rPr>
          <w:rFonts w:ascii="Verdana" w:hAnsi="Verdana"/>
          <w:sz w:val="20"/>
          <w:szCs w:val="20"/>
          <w:lang w:eastAsia="pt-BR"/>
        </w:rPr>
        <w:t xml:space="preserve"> 3</w:t>
      </w:r>
      <w:r>
        <w:rPr>
          <w:rFonts w:ascii="Verdana" w:hAnsi="Verdana"/>
          <w:sz w:val="20"/>
          <w:szCs w:val="20"/>
          <w:lang w:eastAsia="pt-BR"/>
        </w:rPr>
        <w:t>1</w:t>
      </w:r>
      <w:r w:rsidRPr="00245CCF">
        <w:rPr>
          <w:rFonts w:ascii="Verdana" w:hAnsi="Verdana"/>
          <w:sz w:val="20"/>
          <w:szCs w:val="20"/>
          <w:lang w:eastAsia="pt-BR"/>
        </w:rPr>
        <w:t>, 20</w:t>
      </w:r>
      <w:r>
        <w:rPr>
          <w:rFonts w:ascii="Verdana" w:hAnsi="Verdana"/>
          <w:sz w:val="20"/>
          <w:szCs w:val="20"/>
          <w:lang w:eastAsia="pt-BR"/>
        </w:rPr>
        <w:t>20</w:t>
      </w:r>
      <w:r w:rsidRPr="00245CCF">
        <w:rPr>
          <w:rFonts w:ascii="Verdana" w:hAnsi="Verdana"/>
          <w:sz w:val="20"/>
          <w:szCs w:val="20"/>
          <w:lang w:eastAsia="pt-BR"/>
        </w:rPr>
        <w:t xml:space="preserve">, </w:t>
      </w:r>
      <w:proofErr w:type="spellStart"/>
      <w:r w:rsidRPr="00245CCF">
        <w:rPr>
          <w:rFonts w:ascii="Verdana" w:hAnsi="Verdana"/>
          <w:sz w:val="20"/>
          <w:szCs w:val="20"/>
          <w:lang w:eastAsia="pt-BR"/>
        </w:rPr>
        <w:t>and</w:t>
      </w:r>
      <w:proofErr w:type="spellEnd"/>
      <w:r w:rsidRPr="00245CCF">
        <w:rPr>
          <w:rFonts w:ascii="Verdana" w:hAnsi="Verdana"/>
          <w:sz w:val="20"/>
          <w:szCs w:val="20"/>
          <w:lang w:eastAsia="pt-BR"/>
        </w:rPr>
        <w:t xml:space="preserve"> </w:t>
      </w:r>
      <w:proofErr w:type="spellStart"/>
      <w:r w:rsidRPr="00245CCF">
        <w:rPr>
          <w:rFonts w:ascii="Verdana" w:hAnsi="Verdana"/>
          <w:sz w:val="20"/>
          <w:szCs w:val="20"/>
          <w:lang w:eastAsia="pt-BR"/>
        </w:rPr>
        <w:t>the</w:t>
      </w:r>
      <w:proofErr w:type="spellEnd"/>
      <w:r w:rsidRPr="00245CCF">
        <w:rPr>
          <w:rFonts w:ascii="Verdana" w:hAnsi="Verdana"/>
          <w:sz w:val="20"/>
          <w:szCs w:val="20"/>
          <w:lang w:eastAsia="pt-BR"/>
        </w:rPr>
        <w:t xml:space="preserve"> </w:t>
      </w:r>
      <w:proofErr w:type="spellStart"/>
      <w:r w:rsidRPr="00245CCF">
        <w:rPr>
          <w:rFonts w:ascii="Verdana" w:hAnsi="Verdana"/>
          <w:sz w:val="20"/>
          <w:szCs w:val="20"/>
          <w:lang w:eastAsia="pt-BR"/>
        </w:rPr>
        <w:t>related</w:t>
      </w:r>
      <w:proofErr w:type="spellEnd"/>
      <w:r w:rsidRPr="00245CCF">
        <w:rPr>
          <w:rFonts w:ascii="Verdana" w:hAnsi="Verdana"/>
          <w:sz w:val="20"/>
          <w:szCs w:val="20"/>
          <w:lang w:eastAsia="pt-BR"/>
        </w:rPr>
        <w:t xml:space="preserve"> </w:t>
      </w:r>
      <w:proofErr w:type="spellStart"/>
      <w:r w:rsidRPr="008A36AE">
        <w:rPr>
          <w:rFonts w:ascii="Verdana" w:hAnsi="Verdana"/>
          <w:sz w:val="20"/>
          <w:szCs w:val="20"/>
          <w:lang w:eastAsia="pt-BR"/>
        </w:rPr>
        <w:t>statements</w:t>
      </w:r>
      <w:proofErr w:type="spellEnd"/>
      <w:r w:rsidRPr="008A36AE">
        <w:rPr>
          <w:rFonts w:ascii="Verdana" w:hAnsi="Verdana"/>
          <w:sz w:val="20"/>
          <w:szCs w:val="20"/>
          <w:lang w:eastAsia="pt-BR"/>
        </w:rPr>
        <w:t xml:space="preserve"> </w:t>
      </w:r>
      <w:proofErr w:type="spellStart"/>
      <w:r w:rsidRPr="008A36AE">
        <w:rPr>
          <w:rFonts w:ascii="Verdana" w:hAnsi="Verdana"/>
          <w:sz w:val="20"/>
          <w:szCs w:val="20"/>
          <w:lang w:eastAsia="pt-BR"/>
        </w:rPr>
        <w:t>of</w:t>
      </w:r>
      <w:proofErr w:type="spellEnd"/>
      <w:r w:rsidRPr="008A36AE">
        <w:rPr>
          <w:rFonts w:ascii="Verdana" w:hAnsi="Verdana"/>
          <w:sz w:val="20"/>
          <w:szCs w:val="20"/>
          <w:lang w:eastAsia="pt-BR"/>
        </w:rPr>
        <w:t xml:space="preserve"> income</w:t>
      </w:r>
      <w:r>
        <w:rPr>
          <w:rFonts w:ascii="Verdana" w:hAnsi="Verdana"/>
          <w:sz w:val="20"/>
          <w:szCs w:val="20"/>
          <w:lang w:eastAsia="pt-BR"/>
        </w:rPr>
        <w:t>,</w:t>
      </w:r>
      <w:r w:rsidRPr="008A36AE">
        <w:rPr>
          <w:rFonts w:ascii="Verdana" w:hAnsi="Verdana"/>
          <w:sz w:val="20"/>
          <w:szCs w:val="20"/>
          <w:lang w:eastAsia="pt-BR"/>
        </w:rPr>
        <w:t xml:space="preserve"> </w:t>
      </w:r>
      <w:proofErr w:type="spellStart"/>
      <w:r w:rsidRPr="008A36AE">
        <w:rPr>
          <w:rFonts w:ascii="Verdana" w:hAnsi="Verdana"/>
          <w:sz w:val="20"/>
          <w:szCs w:val="20"/>
          <w:lang w:eastAsia="pt-BR"/>
        </w:rPr>
        <w:t>of</w:t>
      </w:r>
      <w:proofErr w:type="spellEnd"/>
      <w:r w:rsidRPr="008A36AE">
        <w:rPr>
          <w:rFonts w:ascii="Verdana" w:hAnsi="Verdana"/>
          <w:sz w:val="20"/>
          <w:szCs w:val="20"/>
          <w:lang w:eastAsia="pt-BR"/>
        </w:rPr>
        <w:t xml:space="preserve"> </w:t>
      </w:r>
      <w:proofErr w:type="spellStart"/>
      <w:r w:rsidRPr="008A36AE">
        <w:rPr>
          <w:rFonts w:ascii="Verdana" w:hAnsi="Verdana"/>
          <w:sz w:val="20"/>
          <w:szCs w:val="20"/>
          <w:lang w:eastAsia="pt-BR"/>
        </w:rPr>
        <w:t>comprehensive</w:t>
      </w:r>
      <w:proofErr w:type="spellEnd"/>
      <w:r w:rsidRPr="008A36AE">
        <w:rPr>
          <w:rFonts w:ascii="Verdana" w:hAnsi="Verdana"/>
          <w:sz w:val="20"/>
          <w:szCs w:val="20"/>
          <w:lang w:eastAsia="pt-BR"/>
        </w:rPr>
        <w:t xml:space="preserve"> income</w:t>
      </w:r>
      <w:r>
        <w:rPr>
          <w:rFonts w:ascii="Verdana" w:hAnsi="Verdana"/>
          <w:sz w:val="20"/>
          <w:szCs w:val="20"/>
          <w:lang w:eastAsia="pt-BR"/>
        </w:rPr>
        <w:t>,</w:t>
      </w:r>
      <w:r w:rsidRPr="008A36AE">
        <w:rPr>
          <w:rFonts w:ascii="Verdana" w:hAnsi="Verdana"/>
          <w:sz w:val="20"/>
          <w:szCs w:val="20"/>
          <w:lang w:eastAsia="pt-BR"/>
        </w:rPr>
        <w:t xml:space="preserve"> </w:t>
      </w:r>
      <w:proofErr w:type="spellStart"/>
      <w:r w:rsidRPr="008A36AE">
        <w:rPr>
          <w:rFonts w:ascii="Verdana" w:hAnsi="Verdana"/>
          <w:sz w:val="20"/>
          <w:szCs w:val="20"/>
          <w:lang w:eastAsia="pt-BR"/>
        </w:rPr>
        <w:t>of</w:t>
      </w:r>
      <w:proofErr w:type="spellEnd"/>
      <w:r w:rsidRPr="008A36AE">
        <w:rPr>
          <w:rFonts w:ascii="Verdana" w:hAnsi="Verdana"/>
          <w:sz w:val="20"/>
          <w:szCs w:val="20"/>
          <w:lang w:eastAsia="pt-BR"/>
        </w:rPr>
        <w:t xml:space="preserve"> </w:t>
      </w:r>
      <w:proofErr w:type="spellStart"/>
      <w:r w:rsidRPr="008A36AE">
        <w:rPr>
          <w:rFonts w:ascii="Verdana" w:hAnsi="Verdana"/>
          <w:sz w:val="20"/>
          <w:szCs w:val="20"/>
          <w:lang w:eastAsia="pt-BR"/>
        </w:rPr>
        <w:t>changes</w:t>
      </w:r>
      <w:proofErr w:type="spellEnd"/>
      <w:r w:rsidRPr="008A36AE">
        <w:rPr>
          <w:rFonts w:ascii="Verdana" w:hAnsi="Verdana"/>
          <w:sz w:val="20"/>
          <w:szCs w:val="20"/>
          <w:lang w:eastAsia="pt-BR"/>
        </w:rPr>
        <w:t xml:space="preserve"> in </w:t>
      </w:r>
      <w:proofErr w:type="spellStart"/>
      <w:r w:rsidRPr="008A36AE">
        <w:rPr>
          <w:rFonts w:ascii="Verdana" w:hAnsi="Verdana"/>
          <w:sz w:val="20"/>
          <w:szCs w:val="20"/>
          <w:lang w:eastAsia="pt-BR"/>
        </w:rPr>
        <w:t>equity</w:t>
      </w:r>
      <w:proofErr w:type="spellEnd"/>
      <w:r>
        <w:rPr>
          <w:rFonts w:ascii="Verdana" w:hAnsi="Verdana"/>
          <w:sz w:val="20"/>
          <w:szCs w:val="20"/>
          <w:lang w:eastAsia="pt-BR"/>
        </w:rPr>
        <w:t>,</w:t>
      </w:r>
      <w:r w:rsidRPr="008A36AE">
        <w:rPr>
          <w:rFonts w:ascii="Verdana" w:hAnsi="Verdana"/>
          <w:sz w:val="20"/>
          <w:szCs w:val="20"/>
          <w:lang w:eastAsia="pt-BR"/>
        </w:rPr>
        <w:t xml:space="preserve"> </w:t>
      </w:r>
      <w:proofErr w:type="spellStart"/>
      <w:r w:rsidRPr="008A36AE">
        <w:rPr>
          <w:rFonts w:ascii="Verdana" w:hAnsi="Verdana"/>
          <w:sz w:val="20"/>
          <w:szCs w:val="20"/>
          <w:lang w:eastAsia="pt-BR"/>
        </w:rPr>
        <w:t>and</w:t>
      </w:r>
      <w:proofErr w:type="spellEnd"/>
      <w:r w:rsidRPr="008A36AE">
        <w:rPr>
          <w:rFonts w:ascii="Verdana" w:hAnsi="Verdana"/>
          <w:sz w:val="20"/>
          <w:szCs w:val="20"/>
          <w:lang w:eastAsia="pt-BR"/>
        </w:rPr>
        <w:t xml:space="preserve"> </w:t>
      </w:r>
      <w:proofErr w:type="spellStart"/>
      <w:r w:rsidRPr="008A36AE">
        <w:rPr>
          <w:rFonts w:ascii="Verdana" w:hAnsi="Verdana"/>
          <w:sz w:val="20"/>
          <w:szCs w:val="20"/>
          <w:lang w:eastAsia="pt-BR"/>
        </w:rPr>
        <w:t>of</w:t>
      </w:r>
      <w:proofErr w:type="spellEnd"/>
      <w:r w:rsidRPr="008A36AE">
        <w:rPr>
          <w:rFonts w:ascii="Verdana" w:hAnsi="Verdana"/>
          <w:sz w:val="20"/>
          <w:szCs w:val="20"/>
          <w:lang w:eastAsia="pt-BR"/>
        </w:rPr>
        <w:t xml:space="preserve"> cash </w:t>
      </w:r>
      <w:proofErr w:type="spellStart"/>
      <w:r w:rsidRPr="008A36AE">
        <w:rPr>
          <w:rFonts w:ascii="Verdana" w:hAnsi="Verdana"/>
          <w:sz w:val="20"/>
          <w:szCs w:val="20"/>
          <w:lang w:eastAsia="pt-BR"/>
        </w:rPr>
        <w:t>flows</w:t>
      </w:r>
      <w:proofErr w:type="spellEnd"/>
      <w:r w:rsidRPr="008A36AE">
        <w:rPr>
          <w:rFonts w:ascii="Verdana" w:hAnsi="Verdana"/>
          <w:sz w:val="20"/>
          <w:szCs w:val="20"/>
          <w:lang w:eastAsia="pt-BR"/>
        </w:rPr>
        <w:t xml:space="preserve"> for </w:t>
      </w:r>
      <w:proofErr w:type="spellStart"/>
      <w:r w:rsidRPr="008A36AE">
        <w:rPr>
          <w:rFonts w:ascii="Verdana" w:hAnsi="Verdana"/>
          <w:sz w:val="20"/>
          <w:szCs w:val="20"/>
          <w:lang w:eastAsia="pt-BR"/>
        </w:rPr>
        <w:t>the</w:t>
      </w:r>
      <w:proofErr w:type="spellEnd"/>
      <w:r w:rsidRPr="008A36AE">
        <w:rPr>
          <w:rFonts w:ascii="Verdana" w:hAnsi="Verdana"/>
          <w:sz w:val="20"/>
          <w:szCs w:val="20"/>
          <w:lang w:eastAsia="pt-BR"/>
        </w:rPr>
        <w:t xml:space="preserve"> </w:t>
      </w:r>
      <w:proofErr w:type="spellStart"/>
      <w:r>
        <w:rPr>
          <w:rFonts w:ascii="Verdana" w:hAnsi="Verdana"/>
          <w:sz w:val="20"/>
          <w:szCs w:val="20"/>
          <w:lang w:eastAsia="pt-BR"/>
        </w:rPr>
        <w:t>three</w:t>
      </w:r>
      <w:r w:rsidRPr="008A36AE">
        <w:rPr>
          <w:rFonts w:ascii="Verdana" w:hAnsi="Verdana"/>
          <w:sz w:val="20"/>
          <w:szCs w:val="20"/>
          <w:lang w:eastAsia="pt-BR"/>
        </w:rPr>
        <w:t>-month</w:t>
      </w:r>
      <w:r>
        <w:rPr>
          <w:rFonts w:ascii="Verdana" w:hAnsi="Verdana"/>
          <w:sz w:val="20"/>
          <w:szCs w:val="20"/>
          <w:lang w:eastAsia="pt-BR"/>
        </w:rPr>
        <w:t>s</w:t>
      </w:r>
      <w:proofErr w:type="spellEnd"/>
      <w:r w:rsidRPr="008A36AE">
        <w:rPr>
          <w:rFonts w:ascii="Verdana" w:hAnsi="Verdana"/>
          <w:sz w:val="20"/>
          <w:szCs w:val="20"/>
          <w:lang w:eastAsia="pt-BR"/>
        </w:rPr>
        <w:t xml:space="preserve"> </w:t>
      </w:r>
      <w:proofErr w:type="spellStart"/>
      <w:r w:rsidRPr="008A36AE">
        <w:rPr>
          <w:rFonts w:ascii="Verdana" w:hAnsi="Verdana"/>
          <w:sz w:val="20"/>
          <w:szCs w:val="20"/>
          <w:lang w:eastAsia="pt-BR"/>
        </w:rPr>
        <w:t>period</w:t>
      </w:r>
      <w:proofErr w:type="spellEnd"/>
      <w:r w:rsidRPr="008A36AE">
        <w:rPr>
          <w:rFonts w:ascii="Verdana" w:hAnsi="Verdana"/>
          <w:sz w:val="20"/>
          <w:szCs w:val="20"/>
          <w:lang w:eastAsia="pt-BR"/>
        </w:rPr>
        <w:t xml:space="preserve"> </w:t>
      </w:r>
      <w:proofErr w:type="spellStart"/>
      <w:r w:rsidRPr="008A36AE">
        <w:rPr>
          <w:rFonts w:ascii="Verdana" w:hAnsi="Verdana"/>
          <w:sz w:val="20"/>
          <w:szCs w:val="20"/>
          <w:lang w:eastAsia="pt-BR"/>
        </w:rPr>
        <w:t>then</w:t>
      </w:r>
      <w:proofErr w:type="spellEnd"/>
      <w:r w:rsidRPr="008A36AE">
        <w:rPr>
          <w:rFonts w:ascii="Verdana" w:hAnsi="Verdana"/>
          <w:sz w:val="20"/>
          <w:szCs w:val="20"/>
          <w:lang w:eastAsia="pt-BR"/>
        </w:rPr>
        <w:t xml:space="preserve"> </w:t>
      </w:r>
      <w:proofErr w:type="spellStart"/>
      <w:r w:rsidRPr="008A36AE">
        <w:rPr>
          <w:rFonts w:ascii="Verdana" w:hAnsi="Verdana"/>
          <w:sz w:val="20"/>
          <w:szCs w:val="20"/>
          <w:lang w:eastAsia="pt-BR"/>
        </w:rPr>
        <w:t>ended</w:t>
      </w:r>
      <w:proofErr w:type="spellEnd"/>
      <w:r w:rsidRPr="008A36AE">
        <w:rPr>
          <w:rFonts w:ascii="Verdana" w:hAnsi="Verdana"/>
          <w:sz w:val="20"/>
          <w:szCs w:val="20"/>
          <w:lang w:eastAsia="pt-BR"/>
        </w:rPr>
        <w:t xml:space="preserve">, </w:t>
      </w:r>
      <w:proofErr w:type="spellStart"/>
      <w:r w:rsidRPr="008A36AE">
        <w:rPr>
          <w:rFonts w:ascii="Verdana" w:hAnsi="Verdana"/>
          <w:sz w:val="20"/>
          <w:szCs w:val="20"/>
          <w:lang w:eastAsia="pt-BR"/>
        </w:rPr>
        <w:t>and</w:t>
      </w:r>
      <w:proofErr w:type="spellEnd"/>
      <w:r w:rsidRPr="008A36AE">
        <w:rPr>
          <w:rFonts w:ascii="Verdana" w:hAnsi="Verdana"/>
          <w:sz w:val="20"/>
          <w:szCs w:val="20"/>
          <w:lang w:eastAsia="pt-BR"/>
        </w:rPr>
        <w:t xml:space="preserve"> a </w:t>
      </w:r>
      <w:proofErr w:type="spellStart"/>
      <w:r w:rsidRPr="008A36AE">
        <w:rPr>
          <w:rFonts w:ascii="Verdana" w:hAnsi="Verdana"/>
          <w:sz w:val="20"/>
          <w:szCs w:val="20"/>
        </w:rPr>
        <w:t>summary</w:t>
      </w:r>
      <w:proofErr w:type="spellEnd"/>
      <w:r w:rsidRPr="008A36AE">
        <w:rPr>
          <w:rFonts w:ascii="Verdana" w:hAnsi="Verdana"/>
          <w:sz w:val="20"/>
          <w:szCs w:val="20"/>
        </w:rPr>
        <w:t xml:space="preserve"> </w:t>
      </w:r>
      <w:proofErr w:type="spellStart"/>
      <w:r w:rsidRPr="008A36AE">
        <w:rPr>
          <w:rFonts w:ascii="Verdana" w:hAnsi="Verdana"/>
          <w:sz w:val="20"/>
          <w:szCs w:val="20"/>
        </w:rPr>
        <w:t>of</w:t>
      </w:r>
      <w:proofErr w:type="spellEnd"/>
      <w:r w:rsidRPr="008A36AE">
        <w:rPr>
          <w:rFonts w:ascii="Verdana" w:hAnsi="Verdana"/>
          <w:sz w:val="20"/>
          <w:szCs w:val="20"/>
        </w:rPr>
        <w:t xml:space="preserve"> </w:t>
      </w:r>
      <w:proofErr w:type="spellStart"/>
      <w:r w:rsidRPr="008A36AE">
        <w:rPr>
          <w:rFonts w:ascii="Verdana" w:hAnsi="Verdana"/>
          <w:sz w:val="20"/>
          <w:szCs w:val="20"/>
        </w:rPr>
        <w:t>significant</w:t>
      </w:r>
      <w:proofErr w:type="spellEnd"/>
      <w:r w:rsidRPr="008A36AE">
        <w:rPr>
          <w:rFonts w:ascii="Verdana" w:hAnsi="Verdana"/>
          <w:sz w:val="20"/>
          <w:szCs w:val="20"/>
        </w:rPr>
        <w:t xml:space="preserve"> </w:t>
      </w:r>
      <w:proofErr w:type="spellStart"/>
      <w:r w:rsidRPr="008A36AE">
        <w:rPr>
          <w:rFonts w:ascii="Verdana" w:hAnsi="Verdana"/>
          <w:sz w:val="20"/>
          <w:szCs w:val="20"/>
        </w:rPr>
        <w:t>accounting</w:t>
      </w:r>
      <w:proofErr w:type="spellEnd"/>
      <w:r w:rsidRPr="008A36AE">
        <w:rPr>
          <w:rFonts w:ascii="Verdana" w:hAnsi="Verdana"/>
          <w:sz w:val="20"/>
          <w:szCs w:val="20"/>
        </w:rPr>
        <w:t xml:space="preserve"> </w:t>
      </w:r>
      <w:proofErr w:type="spellStart"/>
      <w:r>
        <w:rPr>
          <w:rFonts w:ascii="Verdana" w:hAnsi="Verdana"/>
          <w:sz w:val="20"/>
          <w:szCs w:val="20"/>
        </w:rPr>
        <w:t>practices</w:t>
      </w:r>
      <w:proofErr w:type="spellEnd"/>
      <w:r w:rsidRPr="008A36AE">
        <w:rPr>
          <w:rFonts w:ascii="Verdana" w:hAnsi="Verdana"/>
          <w:sz w:val="20"/>
          <w:szCs w:val="20"/>
        </w:rPr>
        <w:t xml:space="preserve"> </w:t>
      </w:r>
      <w:proofErr w:type="spellStart"/>
      <w:r w:rsidRPr="008A36AE">
        <w:rPr>
          <w:rFonts w:ascii="Verdana" w:hAnsi="Verdana"/>
          <w:sz w:val="20"/>
          <w:szCs w:val="20"/>
        </w:rPr>
        <w:t>and</w:t>
      </w:r>
      <w:proofErr w:type="spellEnd"/>
      <w:r w:rsidRPr="008A36AE">
        <w:rPr>
          <w:rFonts w:ascii="Verdana" w:hAnsi="Verdana"/>
          <w:sz w:val="20"/>
          <w:szCs w:val="20"/>
        </w:rPr>
        <w:t xml:space="preserve"> </w:t>
      </w:r>
      <w:proofErr w:type="spellStart"/>
      <w:r w:rsidRPr="008A36AE">
        <w:rPr>
          <w:rFonts w:ascii="Verdana" w:hAnsi="Verdana"/>
          <w:sz w:val="20"/>
          <w:szCs w:val="20"/>
        </w:rPr>
        <w:t>other</w:t>
      </w:r>
      <w:proofErr w:type="spellEnd"/>
      <w:r w:rsidRPr="008A36AE">
        <w:rPr>
          <w:rFonts w:ascii="Verdana" w:hAnsi="Verdana"/>
          <w:sz w:val="20"/>
          <w:szCs w:val="20"/>
        </w:rPr>
        <w:t xml:space="preserve"> </w:t>
      </w:r>
      <w:proofErr w:type="spellStart"/>
      <w:r w:rsidRPr="008A36AE">
        <w:rPr>
          <w:rFonts w:ascii="Verdana" w:hAnsi="Verdana"/>
          <w:sz w:val="20"/>
          <w:szCs w:val="20"/>
        </w:rPr>
        <w:t>explanatory</w:t>
      </w:r>
      <w:proofErr w:type="spellEnd"/>
      <w:r w:rsidRPr="008A36AE">
        <w:rPr>
          <w:rFonts w:ascii="Verdana" w:hAnsi="Verdana"/>
          <w:sz w:val="20"/>
          <w:szCs w:val="20"/>
        </w:rPr>
        <w:t xml:space="preserve"> notes.</w:t>
      </w:r>
    </w:p>
    <w:p w14:paraId="308ED12F" w14:textId="77777777" w:rsidR="0002271C" w:rsidRPr="008A36AE" w:rsidRDefault="0002271C" w:rsidP="0002271C">
      <w:pPr>
        <w:widowControl w:val="0"/>
        <w:spacing w:after="200"/>
        <w:rPr>
          <w:rFonts w:ascii="Verdana" w:hAnsi="Verdana"/>
          <w:sz w:val="20"/>
          <w:szCs w:val="20"/>
        </w:rPr>
      </w:pPr>
      <w:r w:rsidRPr="008A36AE">
        <w:rPr>
          <w:rFonts w:ascii="Verdana" w:hAnsi="Verdana"/>
          <w:sz w:val="20"/>
          <w:szCs w:val="20"/>
        </w:rPr>
        <w:t xml:space="preserve">Management </w:t>
      </w:r>
      <w:proofErr w:type="spellStart"/>
      <w:r w:rsidRPr="008A36AE">
        <w:rPr>
          <w:rFonts w:ascii="Verdana" w:hAnsi="Verdana"/>
          <w:sz w:val="20"/>
          <w:szCs w:val="20"/>
        </w:rPr>
        <w:t>is</w:t>
      </w:r>
      <w:proofErr w:type="spellEnd"/>
      <w:r w:rsidRPr="008A36AE">
        <w:rPr>
          <w:rFonts w:ascii="Verdana" w:hAnsi="Verdana"/>
          <w:sz w:val="20"/>
          <w:szCs w:val="20"/>
        </w:rPr>
        <w:t xml:space="preserve"> </w:t>
      </w:r>
      <w:proofErr w:type="spellStart"/>
      <w:r w:rsidRPr="008A36AE">
        <w:rPr>
          <w:rFonts w:ascii="Verdana" w:hAnsi="Verdana"/>
          <w:sz w:val="20"/>
          <w:szCs w:val="20"/>
        </w:rPr>
        <w:t>responsible</w:t>
      </w:r>
      <w:proofErr w:type="spellEnd"/>
      <w:r w:rsidRPr="008A36AE">
        <w:rPr>
          <w:rFonts w:ascii="Verdana" w:hAnsi="Verdana"/>
          <w:sz w:val="20"/>
          <w:szCs w:val="20"/>
        </w:rPr>
        <w:t xml:space="preserve"> for </w:t>
      </w:r>
      <w:proofErr w:type="spellStart"/>
      <w:r w:rsidRPr="008A36AE">
        <w:rPr>
          <w:rFonts w:ascii="Verdana" w:hAnsi="Verdana"/>
          <w:sz w:val="20"/>
          <w:szCs w:val="20"/>
        </w:rPr>
        <w:t>the</w:t>
      </w:r>
      <w:proofErr w:type="spellEnd"/>
      <w:r w:rsidRPr="008A36AE">
        <w:rPr>
          <w:rFonts w:ascii="Verdana" w:hAnsi="Verdana"/>
          <w:sz w:val="20"/>
          <w:szCs w:val="20"/>
        </w:rPr>
        <w:t xml:space="preserve"> </w:t>
      </w:r>
      <w:proofErr w:type="spellStart"/>
      <w:r w:rsidRPr="008A36AE">
        <w:rPr>
          <w:rFonts w:ascii="Verdana" w:hAnsi="Verdana"/>
          <w:sz w:val="20"/>
          <w:szCs w:val="20"/>
        </w:rPr>
        <w:t>preparation</w:t>
      </w:r>
      <w:proofErr w:type="spellEnd"/>
      <w:r w:rsidRPr="008A36AE">
        <w:rPr>
          <w:rFonts w:ascii="Verdana" w:hAnsi="Verdana"/>
          <w:sz w:val="20"/>
          <w:szCs w:val="20"/>
        </w:rPr>
        <w:t xml:space="preserve"> </w:t>
      </w:r>
      <w:proofErr w:type="spellStart"/>
      <w:r w:rsidRPr="008A36AE">
        <w:rPr>
          <w:rFonts w:ascii="Verdana" w:hAnsi="Verdana"/>
          <w:sz w:val="20"/>
          <w:szCs w:val="20"/>
        </w:rPr>
        <w:t>of</w:t>
      </w:r>
      <w:proofErr w:type="spellEnd"/>
      <w:r w:rsidRPr="008A36AE">
        <w:rPr>
          <w:rFonts w:ascii="Verdana" w:hAnsi="Verdana"/>
          <w:sz w:val="20"/>
          <w:szCs w:val="20"/>
        </w:rPr>
        <w:t xml:space="preserve"> </w:t>
      </w:r>
      <w:proofErr w:type="spellStart"/>
      <w:r w:rsidRPr="008A36AE">
        <w:rPr>
          <w:rFonts w:ascii="Verdana" w:hAnsi="Verdana"/>
          <w:sz w:val="20"/>
          <w:szCs w:val="20"/>
        </w:rPr>
        <w:t>these</w:t>
      </w:r>
      <w:proofErr w:type="spellEnd"/>
      <w:r w:rsidRPr="008A36AE">
        <w:rPr>
          <w:rFonts w:ascii="Verdana" w:hAnsi="Verdana"/>
          <w:sz w:val="20"/>
          <w:szCs w:val="20"/>
        </w:rPr>
        <w:t xml:space="preserve"> individual </w:t>
      </w:r>
      <w:proofErr w:type="spellStart"/>
      <w:r w:rsidRPr="008A36AE">
        <w:rPr>
          <w:rFonts w:ascii="Verdana" w:hAnsi="Verdana"/>
          <w:sz w:val="20"/>
          <w:szCs w:val="20"/>
        </w:rPr>
        <w:t>and</w:t>
      </w:r>
      <w:proofErr w:type="spellEnd"/>
      <w:r w:rsidRPr="008A36AE">
        <w:rPr>
          <w:rFonts w:ascii="Verdana" w:hAnsi="Verdana"/>
          <w:sz w:val="20"/>
          <w:szCs w:val="20"/>
        </w:rPr>
        <w:t xml:space="preserve"> </w:t>
      </w:r>
      <w:proofErr w:type="spellStart"/>
      <w:r w:rsidRPr="008A36AE">
        <w:rPr>
          <w:rFonts w:ascii="Verdana" w:hAnsi="Verdana"/>
          <w:sz w:val="20"/>
          <w:szCs w:val="20"/>
        </w:rPr>
        <w:t>consolidated</w:t>
      </w:r>
      <w:proofErr w:type="spellEnd"/>
      <w:r w:rsidRPr="008A36AE">
        <w:rPr>
          <w:rFonts w:ascii="Verdana" w:hAnsi="Verdana"/>
          <w:sz w:val="20"/>
          <w:szCs w:val="20"/>
        </w:rPr>
        <w:t xml:space="preserve"> interim financial </w:t>
      </w:r>
      <w:proofErr w:type="spellStart"/>
      <w:r w:rsidRPr="008A36AE">
        <w:rPr>
          <w:rFonts w:ascii="Verdana" w:hAnsi="Verdana"/>
          <w:sz w:val="20"/>
          <w:szCs w:val="20"/>
        </w:rPr>
        <w:t>statements</w:t>
      </w:r>
      <w:proofErr w:type="spellEnd"/>
      <w:r w:rsidRPr="008A36AE">
        <w:rPr>
          <w:rFonts w:ascii="Verdana" w:hAnsi="Verdana"/>
          <w:sz w:val="20"/>
          <w:szCs w:val="20"/>
        </w:rPr>
        <w:t xml:space="preserve"> in </w:t>
      </w:r>
      <w:proofErr w:type="spellStart"/>
      <w:r w:rsidRPr="008A36AE">
        <w:rPr>
          <w:rFonts w:ascii="Verdana" w:hAnsi="Verdana"/>
          <w:sz w:val="20"/>
          <w:szCs w:val="20"/>
        </w:rPr>
        <w:t>accordance</w:t>
      </w:r>
      <w:proofErr w:type="spellEnd"/>
      <w:r w:rsidRPr="008A36AE">
        <w:rPr>
          <w:rFonts w:ascii="Verdana" w:hAnsi="Verdana"/>
          <w:sz w:val="20"/>
          <w:szCs w:val="20"/>
        </w:rPr>
        <w:t xml:space="preserve"> </w:t>
      </w:r>
      <w:proofErr w:type="spellStart"/>
      <w:r w:rsidRPr="008A36AE">
        <w:rPr>
          <w:rFonts w:ascii="Verdana" w:hAnsi="Verdana"/>
          <w:sz w:val="20"/>
          <w:szCs w:val="20"/>
        </w:rPr>
        <w:t>with</w:t>
      </w:r>
      <w:proofErr w:type="spellEnd"/>
      <w:r w:rsidRPr="008A36AE">
        <w:rPr>
          <w:rFonts w:ascii="Verdana" w:hAnsi="Verdana"/>
          <w:sz w:val="20"/>
          <w:szCs w:val="20"/>
        </w:rPr>
        <w:t xml:space="preserve"> </w:t>
      </w:r>
      <w:proofErr w:type="spellStart"/>
      <w:r w:rsidRPr="008A36AE">
        <w:rPr>
          <w:rFonts w:ascii="Verdana" w:hAnsi="Verdana"/>
          <w:sz w:val="20"/>
          <w:szCs w:val="20"/>
        </w:rPr>
        <w:t>the</w:t>
      </w:r>
      <w:proofErr w:type="spellEnd"/>
      <w:r w:rsidRPr="008A36AE">
        <w:rPr>
          <w:rFonts w:ascii="Verdana" w:hAnsi="Verdana"/>
          <w:sz w:val="20"/>
          <w:szCs w:val="20"/>
        </w:rPr>
        <w:t xml:space="preserve"> </w:t>
      </w:r>
      <w:proofErr w:type="spellStart"/>
      <w:r w:rsidRPr="008A36AE">
        <w:rPr>
          <w:rFonts w:ascii="Verdana" w:hAnsi="Verdana"/>
          <w:sz w:val="20"/>
          <w:szCs w:val="20"/>
        </w:rPr>
        <w:t>accounting</w:t>
      </w:r>
      <w:proofErr w:type="spellEnd"/>
      <w:r w:rsidRPr="008A36AE">
        <w:rPr>
          <w:rFonts w:ascii="Verdana" w:hAnsi="Verdana"/>
          <w:sz w:val="20"/>
          <w:szCs w:val="20"/>
        </w:rPr>
        <w:t xml:space="preserve"> </w:t>
      </w:r>
      <w:proofErr w:type="spellStart"/>
      <w:r w:rsidRPr="008A36AE">
        <w:rPr>
          <w:rFonts w:ascii="Verdana" w:hAnsi="Verdana"/>
          <w:sz w:val="20"/>
          <w:szCs w:val="20"/>
        </w:rPr>
        <w:t>practices</w:t>
      </w:r>
      <w:proofErr w:type="spellEnd"/>
      <w:r w:rsidRPr="008A36AE">
        <w:rPr>
          <w:rFonts w:ascii="Verdana" w:hAnsi="Verdana"/>
          <w:sz w:val="20"/>
          <w:szCs w:val="20"/>
        </w:rPr>
        <w:t xml:space="preserve"> </w:t>
      </w:r>
      <w:proofErr w:type="spellStart"/>
      <w:r w:rsidRPr="008A36AE">
        <w:rPr>
          <w:rFonts w:ascii="Verdana" w:hAnsi="Verdana"/>
          <w:sz w:val="20"/>
          <w:szCs w:val="20"/>
        </w:rPr>
        <w:t>adopted</w:t>
      </w:r>
      <w:proofErr w:type="spellEnd"/>
      <w:r w:rsidRPr="008A36AE">
        <w:rPr>
          <w:rFonts w:ascii="Verdana" w:hAnsi="Verdana"/>
          <w:sz w:val="20"/>
          <w:szCs w:val="20"/>
        </w:rPr>
        <w:t xml:space="preserve"> in </w:t>
      </w:r>
      <w:proofErr w:type="spellStart"/>
      <w:r w:rsidRPr="008A36AE">
        <w:rPr>
          <w:rFonts w:ascii="Verdana" w:hAnsi="Verdana"/>
          <w:sz w:val="20"/>
          <w:szCs w:val="20"/>
        </w:rPr>
        <w:t>Brazil</w:t>
      </w:r>
      <w:proofErr w:type="spellEnd"/>
      <w:r w:rsidRPr="008A36AE">
        <w:rPr>
          <w:rFonts w:ascii="Verdana" w:hAnsi="Verdana"/>
          <w:sz w:val="20"/>
          <w:szCs w:val="20"/>
        </w:rPr>
        <w:t xml:space="preserve"> </w:t>
      </w:r>
      <w:proofErr w:type="spellStart"/>
      <w:r w:rsidRPr="008A36AE">
        <w:rPr>
          <w:rFonts w:ascii="Verdana" w:hAnsi="Verdana"/>
          <w:sz w:val="20"/>
          <w:szCs w:val="20"/>
        </w:rPr>
        <w:t>and</w:t>
      </w:r>
      <w:proofErr w:type="spellEnd"/>
      <w:r w:rsidRPr="008A36AE">
        <w:rPr>
          <w:rFonts w:ascii="Verdana" w:hAnsi="Verdana"/>
          <w:sz w:val="20"/>
          <w:szCs w:val="20"/>
        </w:rPr>
        <w:t xml:space="preserve"> </w:t>
      </w:r>
      <w:proofErr w:type="spellStart"/>
      <w:r w:rsidRPr="008A36AE">
        <w:rPr>
          <w:rFonts w:ascii="Verdana" w:hAnsi="Verdana"/>
          <w:sz w:val="20"/>
          <w:szCs w:val="20"/>
        </w:rPr>
        <w:t>the</w:t>
      </w:r>
      <w:proofErr w:type="spellEnd"/>
      <w:r w:rsidRPr="00392A37">
        <w:rPr>
          <w:rFonts w:ascii="Verdana" w:hAnsi="Verdana"/>
          <w:sz w:val="20"/>
          <w:szCs w:val="20"/>
        </w:rPr>
        <w:t xml:space="preserve"> </w:t>
      </w:r>
      <w:proofErr w:type="spellStart"/>
      <w:r w:rsidRPr="00392A37">
        <w:rPr>
          <w:rFonts w:ascii="Verdana" w:hAnsi="Verdana"/>
          <w:sz w:val="20"/>
          <w:szCs w:val="20"/>
        </w:rPr>
        <w:t>International</w:t>
      </w:r>
      <w:proofErr w:type="spellEnd"/>
      <w:r w:rsidRPr="00392A37">
        <w:rPr>
          <w:rFonts w:ascii="Verdana" w:hAnsi="Verdana"/>
          <w:sz w:val="20"/>
          <w:szCs w:val="20"/>
        </w:rPr>
        <w:t xml:space="preserve"> Financial </w:t>
      </w:r>
      <w:proofErr w:type="spellStart"/>
      <w:r w:rsidRPr="00392A37">
        <w:rPr>
          <w:rFonts w:ascii="Verdana" w:hAnsi="Verdana"/>
          <w:sz w:val="20"/>
          <w:szCs w:val="20"/>
        </w:rPr>
        <w:t>Reporting</w:t>
      </w:r>
      <w:proofErr w:type="spellEnd"/>
      <w:r w:rsidRPr="00392A37">
        <w:rPr>
          <w:rFonts w:ascii="Verdana" w:hAnsi="Verdana"/>
          <w:sz w:val="20"/>
          <w:szCs w:val="20"/>
        </w:rPr>
        <w:t xml:space="preserve"> Standards - IFRS, </w:t>
      </w:r>
      <w:r>
        <w:rPr>
          <w:rFonts w:ascii="Verdana" w:hAnsi="Verdana"/>
          <w:sz w:val="20"/>
          <w:szCs w:val="20"/>
        </w:rPr>
        <w:t xml:space="preserve">as </w:t>
      </w:r>
      <w:proofErr w:type="spellStart"/>
      <w:r w:rsidRPr="00392A37">
        <w:rPr>
          <w:rFonts w:ascii="Verdana" w:hAnsi="Verdana"/>
          <w:sz w:val="20"/>
          <w:szCs w:val="20"/>
        </w:rPr>
        <w:t>issued</w:t>
      </w:r>
      <w:proofErr w:type="spellEnd"/>
      <w:r w:rsidRPr="00392A37">
        <w:rPr>
          <w:rFonts w:ascii="Verdana" w:hAnsi="Verdana"/>
          <w:sz w:val="20"/>
          <w:szCs w:val="20"/>
        </w:rPr>
        <w:t xml:space="preserve"> </w:t>
      </w:r>
      <w:proofErr w:type="spellStart"/>
      <w:r w:rsidRPr="00392A37">
        <w:rPr>
          <w:rFonts w:ascii="Verdana" w:hAnsi="Verdana"/>
          <w:sz w:val="20"/>
          <w:szCs w:val="20"/>
        </w:rPr>
        <w:t>by</w:t>
      </w:r>
      <w:proofErr w:type="spellEnd"/>
      <w:r w:rsidRPr="00392A37">
        <w:rPr>
          <w:rFonts w:ascii="Verdana" w:hAnsi="Verdana"/>
          <w:sz w:val="20"/>
          <w:szCs w:val="20"/>
        </w:rPr>
        <w:t xml:space="preserve"> </w:t>
      </w:r>
      <w:proofErr w:type="spellStart"/>
      <w:r w:rsidRPr="00392A37">
        <w:rPr>
          <w:rFonts w:ascii="Verdana" w:hAnsi="Verdana"/>
          <w:sz w:val="20"/>
          <w:szCs w:val="20"/>
        </w:rPr>
        <w:t>the</w:t>
      </w:r>
      <w:proofErr w:type="spellEnd"/>
      <w:r w:rsidRPr="00392A37">
        <w:rPr>
          <w:rFonts w:ascii="Verdana" w:hAnsi="Verdana"/>
          <w:sz w:val="20"/>
          <w:szCs w:val="20"/>
        </w:rPr>
        <w:t xml:space="preserve"> </w:t>
      </w:r>
      <w:proofErr w:type="spellStart"/>
      <w:r w:rsidRPr="00392A37">
        <w:rPr>
          <w:rFonts w:ascii="Verdana" w:hAnsi="Verdana"/>
          <w:sz w:val="20"/>
          <w:szCs w:val="20"/>
        </w:rPr>
        <w:t>International</w:t>
      </w:r>
      <w:proofErr w:type="spellEnd"/>
      <w:r w:rsidRPr="00392A37">
        <w:rPr>
          <w:rFonts w:ascii="Verdana" w:hAnsi="Verdana"/>
          <w:sz w:val="20"/>
          <w:szCs w:val="20"/>
        </w:rPr>
        <w:t xml:space="preserve"> </w:t>
      </w:r>
      <w:proofErr w:type="spellStart"/>
      <w:r w:rsidRPr="00392A37">
        <w:rPr>
          <w:rFonts w:ascii="Verdana" w:hAnsi="Verdana"/>
          <w:sz w:val="20"/>
          <w:szCs w:val="20"/>
        </w:rPr>
        <w:t>Accounting</w:t>
      </w:r>
      <w:proofErr w:type="spellEnd"/>
      <w:r w:rsidRPr="00392A37">
        <w:rPr>
          <w:rFonts w:ascii="Verdana" w:hAnsi="Verdana"/>
          <w:sz w:val="20"/>
          <w:szCs w:val="20"/>
        </w:rPr>
        <w:t xml:space="preserve"> Standards Board - IASB. </w:t>
      </w:r>
      <w:proofErr w:type="spellStart"/>
      <w:r w:rsidRPr="00392A37">
        <w:rPr>
          <w:rFonts w:ascii="Verdana" w:hAnsi="Verdana"/>
          <w:color w:val="000000"/>
          <w:sz w:val="20"/>
          <w:szCs w:val="20"/>
          <w:lang w:eastAsia="pt-BR"/>
        </w:rPr>
        <w:t>Our</w:t>
      </w:r>
      <w:proofErr w:type="spellEnd"/>
      <w:r w:rsidRPr="00392A37">
        <w:rPr>
          <w:rFonts w:ascii="Verdana" w:hAnsi="Verdana"/>
          <w:color w:val="000000"/>
          <w:sz w:val="20"/>
          <w:szCs w:val="20"/>
          <w:lang w:eastAsia="pt-BR"/>
        </w:rPr>
        <w:t xml:space="preserve"> </w:t>
      </w:r>
      <w:proofErr w:type="spellStart"/>
      <w:r w:rsidRPr="00392A37">
        <w:rPr>
          <w:rFonts w:ascii="Verdana" w:hAnsi="Verdana"/>
          <w:color w:val="000000"/>
          <w:sz w:val="20"/>
          <w:szCs w:val="20"/>
          <w:lang w:eastAsia="pt-BR"/>
        </w:rPr>
        <w:t>responsibility</w:t>
      </w:r>
      <w:proofErr w:type="spellEnd"/>
      <w:r w:rsidRPr="00392A37">
        <w:rPr>
          <w:rFonts w:ascii="Verdana" w:hAnsi="Verdana"/>
          <w:color w:val="000000"/>
          <w:sz w:val="20"/>
          <w:szCs w:val="20"/>
          <w:lang w:eastAsia="pt-BR"/>
        </w:rPr>
        <w:t xml:space="preserve"> </w:t>
      </w:r>
      <w:proofErr w:type="spellStart"/>
      <w:r w:rsidRPr="00392A37">
        <w:rPr>
          <w:rFonts w:ascii="Verdana" w:hAnsi="Verdana"/>
          <w:color w:val="000000"/>
          <w:sz w:val="20"/>
          <w:szCs w:val="20"/>
          <w:lang w:eastAsia="pt-BR"/>
        </w:rPr>
        <w:t>is</w:t>
      </w:r>
      <w:proofErr w:type="spellEnd"/>
      <w:r w:rsidRPr="00392A37">
        <w:rPr>
          <w:rFonts w:ascii="Verdana" w:hAnsi="Verdana"/>
          <w:color w:val="000000"/>
          <w:sz w:val="20"/>
          <w:szCs w:val="20"/>
          <w:lang w:eastAsia="pt-BR"/>
        </w:rPr>
        <w:t xml:space="preserve"> </w:t>
      </w:r>
      <w:proofErr w:type="spellStart"/>
      <w:r w:rsidRPr="00392A37">
        <w:rPr>
          <w:rFonts w:ascii="Verdana" w:hAnsi="Verdana"/>
          <w:color w:val="000000"/>
          <w:sz w:val="20"/>
          <w:szCs w:val="20"/>
          <w:lang w:eastAsia="pt-BR"/>
        </w:rPr>
        <w:t>to</w:t>
      </w:r>
      <w:proofErr w:type="spellEnd"/>
      <w:r w:rsidRPr="00392A37">
        <w:rPr>
          <w:rFonts w:ascii="Verdana" w:hAnsi="Verdana"/>
          <w:color w:val="000000"/>
          <w:sz w:val="20"/>
          <w:szCs w:val="20"/>
          <w:lang w:eastAsia="pt-BR"/>
        </w:rPr>
        <w:t xml:space="preserve"> </w:t>
      </w:r>
      <w:proofErr w:type="spellStart"/>
      <w:r w:rsidRPr="00392A37">
        <w:rPr>
          <w:rFonts w:ascii="Verdana" w:hAnsi="Verdana"/>
          <w:color w:val="000000"/>
          <w:sz w:val="20"/>
          <w:szCs w:val="20"/>
          <w:lang w:eastAsia="pt-BR"/>
        </w:rPr>
        <w:t>express</w:t>
      </w:r>
      <w:proofErr w:type="spellEnd"/>
      <w:r w:rsidRPr="00392A37">
        <w:rPr>
          <w:rFonts w:ascii="Verdana" w:hAnsi="Verdana"/>
          <w:color w:val="000000"/>
          <w:sz w:val="20"/>
          <w:szCs w:val="20"/>
          <w:lang w:eastAsia="pt-BR"/>
        </w:rPr>
        <w:t xml:space="preserve"> a </w:t>
      </w:r>
      <w:proofErr w:type="spellStart"/>
      <w:r w:rsidRPr="00392A37">
        <w:rPr>
          <w:rFonts w:ascii="Verdana" w:hAnsi="Verdana"/>
          <w:color w:val="000000"/>
          <w:sz w:val="20"/>
          <w:szCs w:val="20"/>
          <w:lang w:eastAsia="pt-BR"/>
        </w:rPr>
        <w:t>conclusion</w:t>
      </w:r>
      <w:proofErr w:type="spellEnd"/>
      <w:r w:rsidRPr="00392A37">
        <w:rPr>
          <w:rFonts w:ascii="Verdana" w:hAnsi="Verdana"/>
          <w:color w:val="000000"/>
          <w:sz w:val="20"/>
          <w:szCs w:val="20"/>
          <w:lang w:eastAsia="pt-BR"/>
        </w:rPr>
        <w:t xml:space="preserve"> </w:t>
      </w:r>
      <w:proofErr w:type="spellStart"/>
      <w:r w:rsidRPr="00392A37">
        <w:rPr>
          <w:rFonts w:ascii="Verdana" w:hAnsi="Verdana"/>
          <w:color w:val="000000"/>
          <w:sz w:val="20"/>
          <w:szCs w:val="20"/>
          <w:lang w:eastAsia="pt-BR"/>
        </w:rPr>
        <w:t>on</w:t>
      </w:r>
      <w:proofErr w:type="spellEnd"/>
      <w:r w:rsidRPr="00392A37">
        <w:rPr>
          <w:rFonts w:ascii="Verdana" w:hAnsi="Verdana"/>
          <w:color w:val="000000"/>
          <w:sz w:val="20"/>
          <w:szCs w:val="20"/>
          <w:lang w:eastAsia="pt-BR"/>
        </w:rPr>
        <w:t xml:space="preserve"> </w:t>
      </w:r>
      <w:proofErr w:type="spellStart"/>
      <w:r w:rsidRPr="00392A37">
        <w:rPr>
          <w:rFonts w:ascii="Verdana" w:hAnsi="Verdana"/>
          <w:color w:val="000000"/>
          <w:sz w:val="20"/>
          <w:szCs w:val="20"/>
          <w:lang w:eastAsia="pt-BR"/>
        </w:rPr>
        <w:t>these</w:t>
      </w:r>
      <w:proofErr w:type="spellEnd"/>
      <w:r w:rsidRPr="00392A37">
        <w:rPr>
          <w:rFonts w:ascii="Verdana" w:hAnsi="Verdana"/>
          <w:color w:val="000000"/>
          <w:sz w:val="20"/>
          <w:szCs w:val="20"/>
          <w:lang w:eastAsia="pt-BR"/>
        </w:rPr>
        <w:t xml:space="preserve"> interim </w:t>
      </w:r>
      <w:r w:rsidRPr="008A36AE">
        <w:rPr>
          <w:rFonts w:ascii="Verdana" w:hAnsi="Verdana"/>
          <w:color w:val="000000"/>
          <w:sz w:val="20"/>
          <w:szCs w:val="20"/>
          <w:lang w:eastAsia="pt-BR"/>
        </w:rPr>
        <w:t xml:space="preserve">financial </w:t>
      </w:r>
      <w:proofErr w:type="spellStart"/>
      <w:r w:rsidRPr="008A36AE">
        <w:rPr>
          <w:rFonts w:ascii="Verdana" w:hAnsi="Verdana"/>
          <w:sz w:val="20"/>
          <w:szCs w:val="20"/>
        </w:rPr>
        <w:t>statements</w:t>
      </w:r>
      <w:proofErr w:type="spellEnd"/>
      <w:r w:rsidRPr="008A36AE">
        <w:rPr>
          <w:rFonts w:ascii="Verdana" w:hAnsi="Verdana"/>
          <w:sz w:val="20"/>
          <w:szCs w:val="20"/>
        </w:rPr>
        <w:t xml:space="preserve"> </w:t>
      </w:r>
      <w:proofErr w:type="spellStart"/>
      <w:r w:rsidRPr="008A36AE">
        <w:rPr>
          <w:rFonts w:ascii="Verdana" w:hAnsi="Verdana"/>
          <w:color w:val="000000"/>
          <w:sz w:val="20"/>
          <w:szCs w:val="20"/>
          <w:lang w:eastAsia="pt-BR"/>
        </w:rPr>
        <w:t>based</w:t>
      </w:r>
      <w:proofErr w:type="spellEnd"/>
      <w:r w:rsidRPr="008A36AE">
        <w:rPr>
          <w:rFonts w:ascii="Verdana" w:hAnsi="Verdana"/>
          <w:color w:val="000000"/>
          <w:sz w:val="20"/>
          <w:szCs w:val="20"/>
          <w:lang w:eastAsia="pt-BR"/>
        </w:rPr>
        <w:t xml:space="preserve"> </w:t>
      </w:r>
      <w:proofErr w:type="spellStart"/>
      <w:r w:rsidRPr="008A36AE">
        <w:rPr>
          <w:rFonts w:ascii="Verdana" w:hAnsi="Verdana"/>
          <w:color w:val="000000"/>
          <w:sz w:val="20"/>
          <w:szCs w:val="20"/>
          <w:lang w:eastAsia="pt-BR"/>
        </w:rPr>
        <w:t>on</w:t>
      </w:r>
      <w:proofErr w:type="spellEnd"/>
      <w:r w:rsidRPr="008A36AE">
        <w:rPr>
          <w:rFonts w:ascii="Verdana" w:hAnsi="Verdana"/>
          <w:color w:val="000000"/>
          <w:sz w:val="20"/>
          <w:szCs w:val="20"/>
          <w:lang w:eastAsia="pt-BR"/>
        </w:rPr>
        <w:t xml:space="preserve"> </w:t>
      </w:r>
      <w:proofErr w:type="spellStart"/>
      <w:r w:rsidRPr="008A36AE">
        <w:rPr>
          <w:rFonts w:ascii="Verdana" w:hAnsi="Verdana"/>
          <w:color w:val="000000"/>
          <w:sz w:val="20"/>
          <w:szCs w:val="20"/>
          <w:lang w:eastAsia="pt-BR"/>
        </w:rPr>
        <w:t>our</w:t>
      </w:r>
      <w:proofErr w:type="spellEnd"/>
      <w:r w:rsidRPr="008A36AE">
        <w:rPr>
          <w:rFonts w:ascii="Verdana" w:hAnsi="Verdana"/>
          <w:color w:val="000000"/>
          <w:sz w:val="20"/>
          <w:szCs w:val="20"/>
          <w:lang w:eastAsia="pt-BR"/>
        </w:rPr>
        <w:t xml:space="preserve"> review.</w:t>
      </w:r>
    </w:p>
    <w:p w14:paraId="71FBC8FE" w14:textId="77777777" w:rsidR="0002271C" w:rsidRPr="00245CCF" w:rsidRDefault="0002271C" w:rsidP="0002271C">
      <w:pPr>
        <w:pStyle w:val="Parecer"/>
        <w:widowControl w:val="0"/>
        <w:numPr>
          <w:ilvl w:val="0"/>
          <w:numId w:val="0"/>
        </w:numPr>
        <w:spacing w:after="200" w:line="240" w:lineRule="auto"/>
        <w:outlineLvl w:val="0"/>
        <w:rPr>
          <w:rFonts w:ascii="Verdana" w:hAnsi="Verdana"/>
          <w:color w:val="000000"/>
          <w:sz w:val="20"/>
          <w:szCs w:val="20"/>
        </w:rPr>
      </w:pPr>
      <w:r w:rsidRPr="008A36AE">
        <w:rPr>
          <w:rFonts w:ascii="Verdana" w:hAnsi="Verdana"/>
          <w:b/>
          <w:iCs/>
          <w:sz w:val="20"/>
          <w:szCs w:val="20"/>
        </w:rPr>
        <w:t>Scope of review</w:t>
      </w:r>
    </w:p>
    <w:p w14:paraId="635ABF11" w14:textId="77777777" w:rsidR="0002271C" w:rsidRPr="00245CCF" w:rsidRDefault="0002271C" w:rsidP="0002271C">
      <w:pPr>
        <w:widowControl w:val="0"/>
        <w:autoSpaceDE w:val="0"/>
        <w:autoSpaceDN w:val="0"/>
        <w:adjustRightInd w:val="0"/>
        <w:spacing w:after="200"/>
        <w:rPr>
          <w:rFonts w:ascii="Verdana" w:hAnsi="Verdana"/>
          <w:sz w:val="20"/>
          <w:szCs w:val="20"/>
        </w:rPr>
      </w:pPr>
      <w:proofErr w:type="spellStart"/>
      <w:r w:rsidRPr="00245CCF">
        <w:rPr>
          <w:rFonts w:ascii="Verdana" w:hAnsi="Verdana"/>
          <w:sz w:val="20"/>
          <w:szCs w:val="20"/>
        </w:rPr>
        <w:t>We</w:t>
      </w:r>
      <w:proofErr w:type="spellEnd"/>
      <w:r w:rsidRPr="00245CCF">
        <w:rPr>
          <w:rFonts w:ascii="Verdana" w:hAnsi="Verdana"/>
          <w:sz w:val="20"/>
          <w:szCs w:val="20"/>
        </w:rPr>
        <w:t xml:space="preserve"> </w:t>
      </w:r>
      <w:proofErr w:type="spellStart"/>
      <w:r w:rsidRPr="00245CCF">
        <w:rPr>
          <w:rFonts w:ascii="Verdana" w:hAnsi="Verdana"/>
          <w:sz w:val="20"/>
          <w:szCs w:val="20"/>
        </w:rPr>
        <w:t>conducted</w:t>
      </w:r>
      <w:proofErr w:type="spellEnd"/>
      <w:r w:rsidRPr="00245CCF">
        <w:rPr>
          <w:rFonts w:ascii="Verdana" w:hAnsi="Verdana"/>
          <w:sz w:val="20"/>
          <w:szCs w:val="20"/>
        </w:rPr>
        <w:t xml:space="preserve"> </w:t>
      </w:r>
      <w:proofErr w:type="spellStart"/>
      <w:r w:rsidRPr="00245CCF">
        <w:rPr>
          <w:rFonts w:ascii="Verdana" w:hAnsi="Verdana"/>
          <w:sz w:val="20"/>
          <w:szCs w:val="20"/>
        </w:rPr>
        <w:t>our</w:t>
      </w:r>
      <w:proofErr w:type="spellEnd"/>
      <w:r w:rsidRPr="00245CCF">
        <w:rPr>
          <w:rFonts w:ascii="Verdana" w:hAnsi="Verdana"/>
          <w:sz w:val="20"/>
          <w:szCs w:val="20"/>
        </w:rPr>
        <w:t xml:space="preserve"> review in </w:t>
      </w:r>
      <w:proofErr w:type="spellStart"/>
      <w:r w:rsidRPr="00245CCF">
        <w:rPr>
          <w:rFonts w:ascii="Verdana" w:hAnsi="Verdana"/>
          <w:sz w:val="20"/>
          <w:szCs w:val="20"/>
        </w:rPr>
        <w:t>accordance</w:t>
      </w:r>
      <w:proofErr w:type="spellEnd"/>
      <w:r w:rsidRPr="00245CCF">
        <w:rPr>
          <w:rFonts w:ascii="Verdana" w:hAnsi="Verdana"/>
          <w:sz w:val="20"/>
          <w:szCs w:val="20"/>
        </w:rPr>
        <w:t xml:space="preserve"> </w:t>
      </w:r>
      <w:proofErr w:type="spellStart"/>
      <w:r w:rsidRPr="00245CCF">
        <w:rPr>
          <w:rFonts w:ascii="Verdana" w:hAnsi="Verdana"/>
          <w:sz w:val="20"/>
          <w:szCs w:val="20"/>
        </w:rPr>
        <w:t>with</w:t>
      </w:r>
      <w:proofErr w:type="spellEnd"/>
      <w:r w:rsidRPr="00245CCF">
        <w:rPr>
          <w:rFonts w:ascii="Verdana" w:hAnsi="Verdana"/>
          <w:sz w:val="20"/>
          <w:szCs w:val="20"/>
        </w:rPr>
        <w:t xml:space="preserve"> </w:t>
      </w:r>
      <w:proofErr w:type="spellStart"/>
      <w:r w:rsidRPr="00245CCF">
        <w:rPr>
          <w:rFonts w:ascii="Verdana" w:hAnsi="Verdana"/>
          <w:sz w:val="20"/>
          <w:szCs w:val="20"/>
        </w:rPr>
        <w:t>Brazilian</w:t>
      </w:r>
      <w:proofErr w:type="spellEnd"/>
      <w:r w:rsidRPr="00245CCF">
        <w:rPr>
          <w:rFonts w:ascii="Verdana" w:hAnsi="Verdana"/>
          <w:sz w:val="20"/>
          <w:szCs w:val="20"/>
        </w:rPr>
        <w:t xml:space="preserve"> </w:t>
      </w:r>
      <w:proofErr w:type="spellStart"/>
      <w:r w:rsidRPr="00245CCF">
        <w:rPr>
          <w:rFonts w:ascii="Verdana" w:hAnsi="Verdana"/>
          <w:sz w:val="20"/>
          <w:szCs w:val="20"/>
        </w:rPr>
        <w:t>and</w:t>
      </w:r>
      <w:proofErr w:type="spellEnd"/>
      <w:r w:rsidRPr="00245CCF">
        <w:rPr>
          <w:rFonts w:ascii="Verdana" w:hAnsi="Verdana"/>
          <w:sz w:val="20"/>
          <w:szCs w:val="20"/>
        </w:rPr>
        <w:t xml:space="preserve"> </w:t>
      </w:r>
      <w:proofErr w:type="spellStart"/>
      <w:r w:rsidRPr="00245CCF">
        <w:rPr>
          <w:rFonts w:ascii="Verdana" w:hAnsi="Verdana"/>
          <w:sz w:val="20"/>
          <w:szCs w:val="20"/>
        </w:rPr>
        <w:t>international</w:t>
      </w:r>
      <w:proofErr w:type="spellEnd"/>
      <w:r w:rsidRPr="00245CCF">
        <w:rPr>
          <w:rFonts w:ascii="Verdana" w:hAnsi="Verdana"/>
          <w:sz w:val="20"/>
          <w:szCs w:val="20"/>
        </w:rPr>
        <w:t xml:space="preserve"> standards </w:t>
      </w:r>
      <w:proofErr w:type="spellStart"/>
      <w:r w:rsidRPr="00245CCF">
        <w:rPr>
          <w:rFonts w:ascii="Verdana" w:hAnsi="Verdana"/>
          <w:sz w:val="20"/>
          <w:szCs w:val="20"/>
        </w:rPr>
        <w:t>on</w:t>
      </w:r>
      <w:proofErr w:type="spellEnd"/>
      <w:r w:rsidRPr="00245CCF">
        <w:rPr>
          <w:rFonts w:ascii="Verdana" w:hAnsi="Verdana"/>
          <w:sz w:val="20"/>
          <w:szCs w:val="20"/>
        </w:rPr>
        <w:t xml:space="preserve"> review </w:t>
      </w:r>
      <w:proofErr w:type="spellStart"/>
      <w:r w:rsidRPr="00245CCF">
        <w:rPr>
          <w:rFonts w:ascii="Verdana" w:hAnsi="Verdana"/>
          <w:sz w:val="20"/>
          <w:szCs w:val="20"/>
        </w:rPr>
        <w:t>of</w:t>
      </w:r>
      <w:proofErr w:type="spellEnd"/>
      <w:r w:rsidRPr="00245CCF">
        <w:rPr>
          <w:rFonts w:ascii="Verdana" w:hAnsi="Verdana"/>
          <w:sz w:val="20"/>
          <w:szCs w:val="20"/>
        </w:rPr>
        <w:t xml:space="preserve"> interim financial </w:t>
      </w:r>
      <w:proofErr w:type="spellStart"/>
      <w:r w:rsidRPr="00245CCF">
        <w:rPr>
          <w:rFonts w:ascii="Verdana" w:hAnsi="Verdana"/>
          <w:sz w:val="20"/>
          <w:szCs w:val="20"/>
        </w:rPr>
        <w:t>statements</w:t>
      </w:r>
      <w:proofErr w:type="spellEnd"/>
      <w:r w:rsidRPr="00245CCF">
        <w:rPr>
          <w:rFonts w:ascii="Verdana" w:hAnsi="Verdana"/>
          <w:sz w:val="20"/>
          <w:szCs w:val="20"/>
        </w:rPr>
        <w:t xml:space="preserve"> (NBC TR </w:t>
      </w:r>
      <w:r w:rsidRPr="008A36AE">
        <w:rPr>
          <w:rFonts w:ascii="Verdana" w:hAnsi="Verdana"/>
          <w:sz w:val="20"/>
          <w:szCs w:val="20"/>
        </w:rPr>
        <w:t xml:space="preserve">2410 </w:t>
      </w:r>
      <w:proofErr w:type="spellStart"/>
      <w:r w:rsidRPr="008A36AE">
        <w:rPr>
          <w:rFonts w:ascii="Verdana" w:hAnsi="Verdana"/>
          <w:sz w:val="20"/>
          <w:szCs w:val="20"/>
        </w:rPr>
        <w:t>and</w:t>
      </w:r>
      <w:proofErr w:type="spellEnd"/>
      <w:r w:rsidRPr="008A36AE">
        <w:rPr>
          <w:rFonts w:ascii="Verdana" w:hAnsi="Verdana"/>
          <w:sz w:val="20"/>
          <w:szCs w:val="20"/>
        </w:rPr>
        <w:t xml:space="preserve"> ISRE 2410 - Review </w:t>
      </w:r>
      <w:proofErr w:type="spellStart"/>
      <w:r w:rsidRPr="008A36AE">
        <w:rPr>
          <w:rFonts w:ascii="Verdana" w:hAnsi="Verdana"/>
          <w:sz w:val="20"/>
          <w:szCs w:val="20"/>
        </w:rPr>
        <w:t>of</w:t>
      </w:r>
      <w:proofErr w:type="spellEnd"/>
      <w:r w:rsidRPr="008A36AE">
        <w:rPr>
          <w:rFonts w:ascii="Verdana" w:hAnsi="Verdana"/>
          <w:sz w:val="20"/>
          <w:szCs w:val="20"/>
        </w:rPr>
        <w:t xml:space="preserve"> Interim Financial </w:t>
      </w:r>
      <w:proofErr w:type="spellStart"/>
      <w:r w:rsidRPr="008A36AE">
        <w:rPr>
          <w:rFonts w:ascii="Verdana" w:hAnsi="Verdana"/>
          <w:sz w:val="20"/>
          <w:szCs w:val="20"/>
        </w:rPr>
        <w:t>Information</w:t>
      </w:r>
      <w:proofErr w:type="spellEnd"/>
      <w:r w:rsidRPr="008A36AE">
        <w:rPr>
          <w:rFonts w:ascii="Verdana" w:hAnsi="Verdana"/>
          <w:sz w:val="20"/>
          <w:szCs w:val="20"/>
        </w:rPr>
        <w:t xml:space="preserve"> </w:t>
      </w:r>
      <w:proofErr w:type="spellStart"/>
      <w:r w:rsidRPr="008A36AE">
        <w:rPr>
          <w:rFonts w:ascii="Verdana" w:hAnsi="Verdana"/>
          <w:sz w:val="20"/>
          <w:szCs w:val="20"/>
        </w:rPr>
        <w:t>Performed</w:t>
      </w:r>
      <w:proofErr w:type="spellEnd"/>
      <w:r w:rsidRPr="008A36AE">
        <w:rPr>
          <w:rFonts w:ascii="Verdana" w:hAnsi="Verdana"/>
          <w:sz w:val="20"/>
          <w:szCs w:val="20"/>
        </w:rPr>
        <w:t xml:space="preserve"> </w:t>
      </w:r>
      <w:proofErr w:type="spellStart"/>
      <w:r w:rsidRPr="008A36AE">
        <w:rPr>
          <w:rFonts w:ascii="Verdana" w:hAnsi="Verdana"/>
          <w:sz w:val="20"/>
          <w:szCs w:val="20"/>
        </w:rPr>
        <w:t>by</w:t>
      </w:r>
      <w:proofErr w:type="spellEnd"/>
      <w:r w:rsidRPr="008A36AE">
        <w:rPr>
          <w:rFonts w:ascii="Verdana" w:hAnsi="Verdana"/>
          <w:sz w:val="20"/>
          <w:szCs w:val="20"/>
        </w:rPr>
        <w:t xml:space="preserve"> </w:t>
      </w:r>
      <w:proofErr w:type="spellStart"/>
      <w:r w:rsidRPr="008A36AE">
        <w:rPr>
          <w:rFonts w:ascii="Verdana" w:hAnsi="Verdana"/>
          <w:sz w:val="20"/>
          <w:szCs w:val="20"/>
        </w:rPr>
        <w:t>the</w:t>
      </w:r>
      <w:proofErr w:type="spellEnd"/>
      <w:r w:rsidRPr="008A36AE">
        <w:rPr>
          <w:rFonts w:ascii="Verdana" w:hAnsi="Verdana"/>
          <w:sz w:val="20"/>
          <w:szCs w:val="20"/>
        </w:rPr>
        <w:t xml:space="preserve"> Independent Auditor </w:t>
      </w:r>
      <w:proofErr w:type="spellStart"/>
      <w:r w:rsidRPr="008A36AE">
        <w:rPr>
          <w:rFonts w:ascii="Verdana" w:hAnsi="Verdana"/>
          <w:sz w:val="20"/>
          <w:szCs w:val="20"/>
        </w:rPr>
        <w:t>of</w:t>
      </w:r>
      <w:proofErr w:type="spellEnd"/>
      <w:r w:rsidRPr="008A36AE">
        <w:rPr>
          <w:rFonts w:ascii="Verdana" w:hAnsi="Verdana"/>
          <w:sz w:val="20"/>
          <w:szCs w:val="20"/>
        </w:rPr>
        <w:t xml:space="preserve"> </w:t>
      </w:r>
      <w:proofErr w:type="spellStart"/>
      <w:r w:rsidRPr="008A36AE">
        <w:rPr>
          <w:rFonts w:ascii="Verdana" w:hAnsi="Verdana"/>
          <w:sz w:val="20"/>
          <w:szCs w:val="20"/>
        </w:rPr>
        <w:t>the</w:t>
      </w:r>
      <w:proofErr w:type="spellEnd"/>
      <w:r w:rsidRPr="008A36AE">
        <w:rPr>
          <w:rFonts w:ascii="Verdana" w:hAnsi="Verdana"/>
          <w:sz w:val="20"/>
          <w:szCs w:val="20"/>
        </w:rPr>
        <w:t xml:space="preserve"> </w:t>
      </w:r>
      <w:proofErr w:type="spellStart"/>
      <w:r w:rsidRPr="008A36AE">
        <w:rPr>
          <w:rFonts w:ascii="Verdana" w:hAnsi="Verdana"/>
          <w:sz w:val="20"/>
          <w:szCs w:val="20"/>
        </w:rPr>
        <w:t>Entity</w:t>
      </w:r>
      <w:proofErr w:type="spellEnd"/>
      <w:r w:rsidRPr="008A36AE">
        <w:rPr>
          <w:rFonts w:ascii="Verdana" w:hAnsi="Verdana"/>
          <w:sz w:val="20"/>
          <w:szCs w:val="20"/>
        </w:rPr>
        <w:t xml:space="preserve">, </w:t>
      </w:r>
      <w:proofErr w:type="spellStart"/>
      <w:r w:rsidRPr="008A36AE">
        <w:rPr>
          <w:rFonts w:ascii="Verdana" w:hAnsi="Verdana"/>
          <w:sz w:val="20"/>
          <w:szCs w:val="20"/>
        </w:rPr>
        <w:t>respectively</w:t>
      </w:r>
      <w:proofErr w:type="spellEnd"/>
      <w:r w:rsidRPr="008A36AE">
        <w:rPr>
          <w:rFonts w:ascii="Verdana" w:hAnsi="Verdana"/>
          <w:sz w:val="20"/>
          <w:szCs w:val="20"/>
        </w:rPr>
        <w:t xml:space="preserve">). A review </w:t>
      </w:r>
      <w:proofErr w:type="spellStart"/>
      <w:r w:rsidRPr="008A36AE">
        <w:rPr>
          <w:rFonts w:ascii="Verdana" w:hAnsi="Verdana"/>
          <w:sz w:val="20"/>
          <w:szCs w:val="20"/>
        </w:rPr>
        <w:t>of</w:t>
      </w:r>
      <w:proofErr w:type="spellEnd"/>
      <w:r w:rsidRPr="008A36AE">
        <w:rPr>
          <w:rFonts w:ascii="Verdana" w:hAnsi="Verdana"/>
          <w:sz w:val="20"/>
          <w:szCs w:val="20"/>
        </w:rPr>
        <w:t xml:space="preserve"> interim </w:t>
      </w:r>
      <w:r w:rsidRPr="008A36AE">
        <w:rPr>
          <w:rFonts w:ascii="Verdana" w:hAnsi="Verdana"/>
          <w:color w:val="000000"/>
          <w:sz w:val="20"/>
          <w:szCs w:val="20"/>
          <w:lang w:eastAsia="pt-BR"/>
        </w:rPr>
        <w:t xml:space="preserve">financial </w:t>
      </w:r>
      <w:proofErr w:type="spellStart"/>
      <w:r w:rsidRPr="008A36AE">
        <w:rPr>
          <w:rFonts w:ascii="Verdana" w:hAnsi="Verdana"/>
          <w:sz w:val="20"/>
          <w:szCs w:val="20"/>
        </w:rPr>
        <w:t>statements</w:t>
      </w:r>
      <w:proofErr w:type="spellEnd"/>
      <w:r w:rsidRPr="008A36AE">
        <w:rPr>
          <w:rFonts w:ascii="Verdana" w:hAnsi="Verdana"/>
          <w:sz w:val="20"/>
          <w:szCs w:val="20"/>
        </w:rPr>
        <w:t xml:space="preserve"> </w:t>
      </w:r>
      <w:proofErr w:type="spellStart"/>
      <w:r w:rsidRPr="008A36AE">
        <w:rPr>
          <w:rFonts w:ascii="Verdana" w:hAnsi="Verdana"/>
          <w:sz w:val="20"/>
          <w:szCs w:val="20"/>
        </w:rPr>
        <w:t>consists</w:t>
      </w:r>
      <w:proofErr w:type="spellEnd"/>
      <w:r w:rsidRPr="008A36AE">
        <w:rPr>
          <w:rFonts w:ascii="Verdana" w:hAnsi="Verdana"/>
          <w:sz w:val="20"/>
          <w:szCs w:val="20"/>
        </w:rPr>
        <w:t xml:space="preserve"> </w:t>
      </w:r>
      <w:proofErr w:type="spellStart"/>
      <w:r w:rsidRPr="008A36AE">
        <w:rPr>
          <w:rFonts w:ascii="Verdana" w:hAnsi="Verdana"/>
          <w:sz w:val="20"/>
          <w:szCs w:val="20"/>
        </w:rPr>
        <w:t>of</w:t>
      </w:r>
      <w:proofErr w:type="spellEnd"/>
      <w:r w:rsidRPr="008A36AE">
        <w:rPr>
          <w:rFonts w:ascii="Verdana" w:hAnsi="Verdana"/>
          <w:sz w:val="20"/>
          <w:szCs w:val="20"/>
        </w:rPr>
        <w:t xml:space="preserve"> making </w:t>
      </w:r>
      <w:proofErr w:type="spellStart"/>
      <w:r w:rsidRPr="008A36AE">
        <w:rPr>
          <w:rFonts w:ascii="Verdana" w:hAnsi="Verdana"/>
          <w:sz w:val="20"/>
          <w:szCs w:val="20"/>
        </w:rPr>
        <w:t>inquiries</w:t>
      </w:r>
      <w:proofErr w:type="spellEnd"/>
      <w:r w:rsidRPr="008A36AE">
        <w:rPr>
          <w:rFonts w:ascii="Verdana" w:hAnsi="Verdana"/>
          <w:sz w:val="20"/>
          <w:szCs w:val="20"/>
        </w:rPr>
        <w:t xml:space="preserve">, </w:t>
      </w:r>
      <w:proofErr w:type="spellStart"/>
      <w:r w:rsidRPr="008A36AE">
        <w:rPr>
          <w:rFonts w:ascii="Verdana" w:hAnsi="Verdana"/>
          <w:sz w:val="20"/>
          <w:szCs w:val="20"/>
        </w:rPr>
        <w:t>primarily</w:t>
      </w:r>
      <w:proofErr w:type="spellEnd"/>
      <w:r w:rsidRPr="008A36AE">
        <w:rPr>
          <w:rFonts w:ascii="Verdana" w:hAnsi="Verdana"/>
          <w:sz w:val="20"/>
          <w:szCs w:val="20"/>
        </w:rPr>
        <w:t xml:space="preserve"> </w:t>
      </w:r>
      <w:proofErr w:type="spellStart"/>
      <w:r w:rsidRPr="008A36AE">
        <w:rPr>
          <w:rFonts w:ascii="Verdana" w:hAnsi="Verdana"/>
          <w:sz w:val="20"/>
          <w:szCs w:val="20"/>
        </w:rPr>
        <w:t>of</w:t>
      </w:r>
      <w:proofErr w:type="spellEnd"/>
      <w:r w:rsidRPr="008A36AE">
        <w:rPr>
          <w:rFonts w:ascii="Verdana" w:hAnsi="Verdana"/>
          <w:sz w:val="20"/>
          <w:szCs w:val="20"/>
        </w:rPr>
        <w:t xml:space="preserve"> </w:t>
      </w:r>
      <w:proofErr w:type="spellStart"/>
      <w:r w:rsidRPr="008A36AE">
        <w:rPr>
          <w:rFonts w:ascii="Verdana" w:hAnsi="Verdana"/>
          <w:sz w:val="20"/>
          <w:szCs w:val="20"/>
        </w:rPr>
        <w:t>persons</w:t>
      </w:r>
      <w:proofErr w:type="spellEnd"/>
      <w:r w:rsidRPr="008A36AE">
        <w:rPr>
          <w:rFonts w:ascii="Verdana" w:hAnsi="Verdana"/>
          <w:sz w:val="20"/>
          <w:szCs w:val="20"/>
        </w:rPr>
        <w:t xml:space="preserve"> </w:t>
      </w:r>
      <w:proofErr w:type="spellStart"/>
      <w:r w:rsidRPr="008A36AE">
        <w:rPr>
          <w:rFonts w:ascii="Verdana" w:hAnsi="Verdana"/>
          <w:sz w:val="20"/>
          <w:szCs w:val="20"/>
        </w:rPr>
        <w:t>responsible</w:t>
      </w:r>
      <w:proofErr w:type="spellEnd"/>
      <w:r w:rsidRPr="008A36AE">
        <w:rPr>
          <w:rFonts w:ascii="Verdana" w:hAnsi="Verdana"/>
          <w:sz w:val="20"/>
          <w:szCs w:val="20"/>
        </w:rPr>
        <w:t xml:space="preserve"> for financial </w:t>
      </w:r>
      <w:proofErr w:type="spellStart"/>
      <w:r w:rsidRPr="008A36AE">
        <w:rPr>
          <w:rFonts w:ascii="Verdana" w:hAnsi="Verdana"/>
          <w:sz w:val="20"/>
          <w:szCs w:val="20"/>
        </w:rPr>
        <w:t>and</w:t>
      </w:r>
      <w:proofErr w:type="spellEnd"/>
      <w:r w:rsidRPr="008A36AE">
        <w:rPr>
          <w:rFonts w:ascii="Verdana" w:hAnsi="Verdana"/>
          <w:sz w:val="20"/>
          <w:szCs w:val="20"/>
        </w:rPr>
        <w:t xml:space="preserve"> </w:t>
      </w:r>
      <w:proofErr w:type="spellStart"/>
      <w:r w:rsidRPr="008A36AE">
        <w:rPr>
          <w:rFonts w:ascii="Verdana" w:hAnsi="Verdana"/>
          <w:sz w:val="20"/>
          <w:szCs w:val="20"/>
        </w:rPr>
        <w:t>accounting</w:t>
      </w:r>
      <w:proofErr w:type="spellEnd"/>
      <w:r w:rsidRPr="008A36AE">
        <w:rPr>
          <w:rFonts w:ascii="Verdana" w:hAnsi="Verdana"/>
          <w:sz w:val="20"/>
          <w:szCs w:val="20"/>
        </w:rPr>
        <w:t xml:space="preserve"> </w:t>
      </w:r>
      <w:proofErr w:type="spellStart"/>
      <w:r w:rsidRPr="008A36AE">
        <w:rPr>
          <w:rFonts w:ascii="Verdana" w:hAnsi="Verdana"/>
          <w:sz w:val="20"/>
          <w:szCs w:val="20"/>
        </w:rPr>
        <w:t>matters</w:t>
      </w:r>
      <w:proofErr w:type="spellEnd"/>
      <w:r w:rsidRPr="008A36AE">
        <w:rPr>
          <w:rFonts w:ascii="Verdana" w:hAnsi="Verdana"/>
          <w:sz w:val="20"/>
          <w:szCs w:val="20"/>
        </w:rPr>
        <w:t xml:space="preserve">, </w:t>
      </w:r>
      <w:proofErr w:type="spellStart"/>
      <w:r w:rsidRPr="008A36AE">
        <w:rPr>
          <w:rFonts w:ascii="Verdana" w:hAnsi="Verdana"/>
          <w:sz w:val="20"/>
          <w:szCs w:val="20"/>
        </w:rPr>
        <w:t>and</w:t>
      </w:r>
      <w:proofErr w:type="spellEnd"/>
      <w:r w:rsidRPr="008A36AE">
        <w:rPr>
          <w:rFonts w:ascii="Verdana" w:hAnsi="Verdana"/>
          <w:sz w:val="20"/>
          <w:szCs w:val="20"/>
        </w:rPr>
        <w:t xml:space="preserve"> </w:t>
      </w:r>
      <w:proofErr w:type="spellStart"/>
      <w:r w:rsidRPr="008A36AE">
        <w:rPr>
          <w:rFonts w:ascii="Verdana" w:hAnsi="Verdana"/>
          <w:sz w:val="20"/>
          <w:szCs w:val="20"/>
        </w:rPr>
        <w:t>applying</w:t>
      </w:r>
      <w:proofErr w:type="spellEnd"/>
      <w:r w:rsidRPr="008A36AE">
        <w:rPr>
          <w:rFonts w:ascii="Verdana" w:hAnsi="Verdana"/>
          <w:sz w:val="20"/>
          <w:szCs w:val="20"/>
        </w:rPr>
        <w:t xml:space="preserve"> </w:t>
      </w:r>
      <w:proofErr w:type="spellStart"/>
      <w:r w:rsidRPr="008A36AE">
        <w:rPr>
          <w:rFonts w:ascii="Verdana" w:hAnsi="Verdana"/>
          <w:sz w:val="20"/>
          <w:szCs w:val="20"/>
        </w:rPr>
        <w:t>analytical</w:t>
      </w:r>
      <w:proofErr w:type="spellEnd"/>
      <w:r w:rsidRPr="00245CCF">
        <w:rPr>
          <w:rFonts w:ascii="Verdana" w:hAnsi="Verdana"/>
          <w:sz w:val="20"/>
          <w:szCs w:val="20"/>
        </w:rPr>
        <w:t xml:space="preserve"> </w:t>
      </w:r>
      <w:proofErr w:type="spellStart"/>
      <w:r w:rsidRPr="00245CCF">
        <w:rPr>
          <w:rFonts w:ascii="Verdana" w:hAnsi="Verdana"/>
          <w:sz w:val="20"/>
          <w:szCs w:val="20"/>
        </w:rPr>
        <w:t>and</w:t>
      </w:r>
      <w:proofErr w:type="spellEnd"/>
      <w:r w:rsidRPr="00245CCF">
        <w:rPr>
          <w:rFonts w:ascii="Verdana" w:hAnsi="Verdana"/>
          <w:sz w:val="20"/>
          <w:szCs w:val="20"/>
        </w:rPr>
        <w:t xml:space="preserve"> </w:t>
      </w:r>
      <w:proofErr w:type="spellStart"/>
      <w:r w:rsidRPr="00245CCF">
        <w:rPr>
          <w:rFonts w:ascii="Verdana" w:hAnsi="Verdana"/>
          <w:sz w:val="20"/>
          <w:szCs w:val="20"/>
        </w:rPr>
        <w:t>other</w:t>
      </w:r>
      <w:proofErr w:type="spellEnd"/>
      <w:r w:rsidRPr="00245CCF">
        <w:rPr>
          <w:rFonts w:ascii="Verdana" w:hAnsi="Verdana"/>
          <w:sz w:val="20"/>
          <w:szCs w:val="20"/>
        </w:rPr>
        <w:t xml:space="preserve"> review procedures. A review </w:t>
      </w:r>
      <w:proofErr w:type="spellStart"/>
      <w:r w:rsidRPr="00245CCF">
        <w:rPr>
          <w:rFonts w:ascii="Verdana" w:hAnsi="Verdana"/>
          <w:sz w:val="20"/>
          <w:szCs w:val="20"/>
        </w:rPr>
        <w:t>is</w:t>
      </w:r>
      <w:proofErr w:type="spellEnd"/>
      <w:r w:rsidRPr="00245CCF">
        <w:rPr>
          <w:rFonts w:ascii="Verdana" w:hAnsi="Verdana"/>
          <w:sz w:val="20"/>
          <w:szCs w:val="20"/>
        </w:rPr>
        <w:t xml:space="preserve"> </w:t>
      </w:r>
      <w:proofErr w:type="spellStart"/>
      <w:r w:rsidRPr="00245CCF">
        <w:rPr>
          <w:rFonts w:ascii="Verdana" w:hAnsi="Verdana"/>
          <w:sz w:val="20"/>
          <w:szCs w:val="20"/>
        </w:rPr>
        <w:t>substantially</w:t>
      </w:r>
      <w:proofErr w:type="spellEnd"/>
      <w:r w:rsidRPr="00245CCF">
        <w:rPr>
          <w:rFonts w:ascii="Verdana" w:hAnsi="Verdana"/>
          <w:sz w:val="20"/>
          <w:szCs w:val="20"/>
        </w:rPr>
        <w:t xml:space="preserve"> </w:t>
      </w:r>
      <w:proofErr w:type="spellStart"/>
      <w:r w:rsidRPr="00245CCF">
        <w:rPr>
          <w:rFonts w:ascii="Verdana" w:hAnsi="Verdana"/>
          <w:sz w:val="20"/>
          <w:szCs w:val="20"/>
        </w:rPr>
        <w:t>less</w:t>
      </w:r>
      <w:proofErr w:type="spellEnd"/>
      <w:r w:rsidRPr="00245CCF">
        <w:rPr>
          <w:rFonts w:ascii="Verdana" w:hAnsi="Verdana"/>
          <w:sz w:val="20"/>
          <w:szCs w:val="20"/>
        </w:rPr>
        <w:t xml:space="preserve"> in </w:t>
      </w:r>
      <w:proofErr w:type="spellStart"/>
      <w:r w:rsidRPr="00245CCF">
        <w:rPr>
          <w:rFonts w:ascii="Verdana" w:hAnsi="Verdana"/>
          <w:sz w:val="20"/>
          <w:szCs w:val="20"/>
        </w:rPr>
        <w:t>scope</w:t>
      </w:r>
      <w:proofErr w:type="spellEnd"/>
      <w:r w:rsidRPr="00245CCF">
        <w:rPr>
          <w:rFonts w:ascii="Verdana" w:hAnsi="Verdana"/>
          <w:sz w:val="20"/>
          <w:szCs w:val="20"/>
        </w:rPr>
        <w:t xml:space="preserve"> </w:t>
      </w:r>
      <w:proofErr w:type="spellStart"/>
      <w:r w:rsidRPr="00245CCF">
        <w:rPr>
          <w:rFonts w:ascii="Verdana" w:hAnsi="Verdana"/>
          <w:sz w:val="20"/>
          <w:szCs w:val="20"/>
        </w:rPr>
        <w:t>than</w:t>
      </w:r>
      <w:proofErr w:type="spellEnd"/>
      <w:r w:rsidRPr="00245CCF">
        <w:rPr>
          <w:rFonts w:ascii="Verdana" w:hAnsi="Verdana"/>
          <w:sz w:val="20"/>
          <w:szCs w:val="20"/>
        </w:rPr>
        <w:t xml:space="preserve"> </w:t>
      </w:r>
      <w:proofErr w:type="spellStart"/>
      <w:r w:rsidRPr="00245CCF">
        <w:rPr>
          <w:rFonts w:ascii="Verdana" w:hAnsi="Verdana"/>
          <w:sz w:val="20"/>
          <w:szCs w:val="20"/>
        </w:rPr>
        <w:t>an</w:t>
      </w:r>
      <w:proofErr w:type="spellEnd"/>
      <w:r w:rsidRPr="00245CCF">
        <w:rPr>
          <w:rFonts w:ascii="Verdana" w:hAnsi="Verdana"/>
          <w:sz w:val="20"/>
          <w:szCs w:val="20"/>
        </w:rPr>
        <w:t xml:space="preserve"> </w:t>
      </w:r>
      <w:proofErr w:type="spellStart"/>
      <w:r w:rsidRPr="00245CCF">
        <w:rPr>
          <w:rFonts w:ascii="Verdana" w:hAnsi="Verdana"/>
          <w:sz w:val="20"/>
          <w:szCs w:val="20"/>
        </w:rPr>
        <w:t>audit</w:t>
      </w:r>
      <w:proofErr w:type="spellEnd"/>
      <w:r w:rsidRPr="00245CCF">
        <w:rPr>
          <w:rFonts w:ascii="Verdana" w:hAnsi="Verdana"/>
          <w:sz w:val="20"/>
          <w:szCs w:val="20"/>
        </w:rPr>
        <w:t xml:space="preserve"> </w:t>
      </w:r>
      <w:proofErr w:type="spellStart"/>
      <w:r w:rsidRPr="00245CCF">
        <w:rPr>
          <w:rFonts w:ascii="Verdana" w:hAnsi="Verdana"/>
          <w:sz w:val="20"/>
          <w:szCs w:val="20"/>
        </w:rPr>
        <w:t>conducted</w:t>
      </w:r>
      <w:proofErr w:type="spellEnd"/>
      <w:r w:rsidRPr="00245CCF">
        <w:rPr>
          <w:rFonts w:ascii="Verdana" w:hAnsi="Verdana"/>
          <w:sz w:val="20"/>
          <w:szCs w:val="20"/>
        </w:rPr>
        <w:t xml:space="preserve"> in </w:t>
      </w:r>
      <w:proofErr w:type="spellStart"/>
      <w:r w:rsidRPr="00245CCF">
        <w:rPr>
          <w:rFonts w:ascii="Verdana" w:hAnsi="Verdana"/>
          <w:sz w:val="20"/>
          <w:szCs w:val="20"/>
        </w:rPr>
        <w:t>accordance</w:t>
      </w:r>
      <w:proofErr w:type="spellEnd"/>
      <w:r w:rsidRPr="00245CCF">
        <w:rPr>
          <w:rFonts w:ascii="Verdana" w:hAnsi="Verdana"/>
          <w:sz w:val="20"/>
          <w:szCs w:val="20"/>
        </w:rPr>
        <w:t xml:space="preserve"> </w:t>
      </w:r>
      <w:proofErr w:type="spellStart"/>
      <w:r w:rsidRPr="00245CCF">
        <w:rPr>
          <w:rFonts w:ascii="Verdana" w:hAnsi="Verdana"/>
          <w:sz w:val="20"/>
          <w:szCs w:val="20"/>
        </w:rPr>
        <w:t>with</w:t>
      </w:r>
      <w:proofErr w:type="spellEnd"/>
      <w:r w:rsidRPr="00245CCF">
        <w:rPr>
          <w:rFonts w:ascii="Verdana" w:hAnsi="Verdana"/>
          <w:sz w:val="20"/>
          <w:szCs w:val="20"/>
        </w:rPr>
        <w:t xml:space="preserve"> standards </w:t>
      </w:r>
      <w:proofErr w:type="spellStart"/>
      <w:r w:rsidRPr="00245CCF">
        <w:rPr>
          <w:rFonts w:ascii="Verdana" w:hAnsi="Verdana"/>
          <w:sz w:val="20"/>
          <w:szCs w:val="20"/>
        </w:rPr>
        <w:t>on</w:t>
      </w:r>
      <w:proofErr w:type="spellEnd"/>
      <w:r w:rsidRPr="00245CCF">
        <w:rPr>
          <w:rFonts w:ascii="Verdana" w:hAnsi="Verdana"/>
          <w:sz w:val="20"/>
          <w:szCs w:val="20"/>
        </w:rPr>
        <w:t xml:space="preserve"> </w:t>
      </w:r>
      <w:proofErr w:type="spellStart"/>
      <w:r w:rsidRPr="00245CCF">
        <w:rPr>
          <w:rFonts w:ascii="Verdana" w:hAnsi="Verdana"/>
          <w:sz w:val="20"/>
          <w:szCs w:val="20"/>
        </w:rPr>
        <w:t>auditing</w:t>
      </w:r>
      <w:proofErr w:type="spellEnd"/>
      <w:r w:rsidRPr="00245CCF">
        <w:rPr>
          <w:rFonts w:ascii="Verdana" w:hAnsi="Verdana"/>
          <w:sz w:val="20"/>
          <w:szCs w:val="20"/>
        </w:rPr>
        <w:t xml:space="preserve"> </w:t>
      </w:r>
      <w:proofErr w:type="spellStart"/>
      <w:r w:rsidRPr="00245CCF">
        <w:rPr>
          <w:rFonts w:ascii="Verdana" w:hAnsi="Verdana"/>
          <w:sz w:val="20"/>
          <w:szCs w:val="20"/>
        </w:rPr>
        <w:t>and</w:t>
      </w:r>
      <w:proofErr w:type="spellEnd"/>
      <w:r w:rsidRPr="00245CCF">
        <w:rPr>
          <w:rFonts w:ascii="Verdana" w:hAnsi="Verdana"/>
          <w:sz w:val="20"/>
          <w:szCs w:val="20"/>
        </w:rPr>
        <w:t xml:space="preserve">, </w:t>
      </w:r>
      <w:proofErr w:type="spellStart"/>
      <w:r w:rsidRPr="00245CCF">
        <w:rPr>
          <w:rFonts w:ascii="Verdana" w:hAnsi="Verdana"/>
          <w:sz w:val="20"/>
          <w:szCs w:val="20"/>
        </w:rPr>
        <w:t>consequently</w:t>
      </w:r>
      <w:proofErr w:type="spellEnd"/>
      <w:r w:rsidRPr="00245CCF">
        <w:rPr>
          <w:rFonts w:ascii="Verdana" w:hAnsi="Verdana"/>
          <w:sz w:val="20"/>
          <w:szCs w:val="20"/>
        </w:rPr>
        <w:t xml:space="preserve">, does </w:t>
      </w:r>
      <w:proofErr w:type="spellStart"/>
      <w:r w:rsidRPr="00245CCF">
        <w:rPr>
          <w:rFonts w:ascii="Verdana" w:hAnsi="Verdana"/>
          <w:sz w:val="20"/>
          <w:szCs w:val="20"/>
        </w:rPr>
        <w:t>not</w:t>
      </w:r>
      <w:proofErr w:type="spellEnd"/>
      <w:r w:rsidRPr="00245CCF">
        <w:rPr>
          <w:rFonts w:ascii="Verdana" w:hAnsi="Verdana"/>
          <w:sz w:val="20"/>
          <w:szCs w:val="20"/>
        </w:rPr>
        <w:t xml:space="preserve"> </w:t>
      </w:r>
      <w:proofErr w:type="spellStart"/>
      <w:r w:rsidRPr="00245CCF">
        <w:rPr>
          <w:rFonts w:ascii="Verdana" w:hAnsi="Verdana"/>
          <w:sz w:val="20"/>
          <w:szCs w:val="20"/>
        </w:rPr>
        <w:t>enable</w:t>
      </w:r>
      <w:proofErr w:type="spellEnd"/>
      <w:r w:rsidRPr="00245CCF">
        <w:rPr>
          <w:rFonts w:ascii="Verdana" w:hAnsi="Verdana"/>
          <w:sz w:val="20"/>
          <w:szCs w:val="20"/>
        </w:rPr>
        <w:t xml:space="preserve"> </w:t>
      </w:r>
      <w:proofErr w:type="spellStart"/>
      <w:r w:rsidRPr="00245CCF">
        <w:rPr>
          <w:rFonts w:ascii="Verdana" w:hAnsi="Verdana"/>
          <w:sz w:val="20"/>
          <w:szCs w:val="20"/>
        </w:rPr>
        <w:t>us</w:t>
      </w:r>
      <w:proofErr w:type="spellEnd"/>
      <w:r w:rsidRPr="00245CCF">
        <w:rPr>
          <w:rFonts w:ascii="Verdana" w:hAnsi="Verdana"/>
          <w:sz w:val="20"/>
          <w:szCs w:val="20"/>
        </w:rPr>
        <w:t xml:space="preserve"> </w:t>
      </w:r>
      <w:proofErr w:type="spellStart"/>
      <w:r w:rsidRPr="00245CCF">
        <w:rPr>
          <w:rFonts w:ascii="Verdana" w:hAnsi="Verdana"/>
          <w:sz w:val="20"/>
          <w:szCs w:val="20"/>
        </w:rPr>
        <w:t>to</w:t>
      </w:r>
      <w:proofErr w:type="spellEnd"/>
      <w:r w:rsidRPr="00245CCF">
        <w:rPr>
          <w:rFonts w:ascii="Verdana" w:hAnsi="Verdana"/>
          <w:sz w:val="20"/>
          <w:szCs w:val="20"/>
        </w:rPr>
        <w:t xml:space="preserve"> </w:t>
      </w:r>
      <w:proofErr w:type="spellStart"/>
      <w:r w:rsidRPr="00245CCF">
        <w:rPr>
          <w:rFonts w:ascii="Verdana" w:hAnsi="Verdana"/>
          <w:sz w:val="20"/>
          <w:szCs w:val="20"/>
        </w:rPr>
        <w:t>obtain</w:t>
      </w:r>
      <w:proofErr w:type="spellEnd"/>
      <w:r w:rsidRPr="00245CCF">
        <w:rPr>
          <w:rFonts w:ascii="Verdana" w:hAnsi="Verdana"/>
          <w:sz w:val="20"/>
          <w:szCs w:val="20"/>
        </w:rPr>
        <w:t xml:space="preserve"> </w:t>
      </w:r>
      <w:proofErr w:type="spellStart"/>
      <w:r w:rsidRPr="00245CCF">
        <w:rPr>
          <w:rFonts w:ascii="Verdana" w:hAnsi="Verdana"/>
          <w:sz w:val="20"/>
          <w:szCs w:val="20"/>
        </w:rPr>
        <w:t>assurance</w:t>
      </w:r>
      <w:proofErr w:type="spellEnd"/>
      <w:r w:rsidRPr="00245CCF">
        <w:rPr>
          <w:rFonts w:ascii="Verdana" w:hAnsi="Verdana"/>
          <w:sz w:val="20"/>
          <w:szCs w:val="20"/>
        </w:rPr>
        <w:t xml:space="preserve"> </w:t>
      </w:r>
      <w:proofErr w:type="spellStart"/>
      <w:r w:rsidRPr="00245CCF">
        <w:rPr>
          <w:rFonts w:ascii="Verdana" w:hAnsi="Verdana"/>
          <w:sz w:val="20"/>
          <w:szCs w:val="20"/>
        </w:rPr>
        <w:t>that</w:t>
      </w:r>
      <w:proofErr w:type="spellEnd"/>
      <w:r w:rsidRPr="00245CCF">
        <w:rPr>
          <w:rFonts w:ascii="Verdana" w:hAnsi="Verdana"/>
          <w:sz w:val="20"/>
          <w:szCs w:val="20"/>
        </w:rPr>
        <w:t xml:space="preserve"> </w:t>
      </w:r>
      <w:proofErr w:type="spellStart"/>
      <w:r w:rsidRPr="00245CCF">
        <w:rPr>
          <w:rFonts w:ascii="Verdana" w:hAnsi="Verdana"/>
          <w:sz w:val="20"/>
          <w:szCs w:val="20"/>
        </w:rPr>
        <w:t>we</w:t>
      </w:r>
      <w:proofErr w:type="spellEnd"/>
      <w:r w:rsidRPr="00245CCF">
        <w:rPr>
          <w:rFonts w:ascii="Verdana" w:hAnsi="Verdana"/>
          <w:sz w:val="20"/>
          <w:szCs w:val="20"/>
        </w:rPr>
        <w:t xml:space="preserve"> </w:t>
      </w:r>
      <w:proofErr w:type="spellStart"/>
      <w:r w:rsidRPr="00245CCF">
        <w:rPr>
          <w:rFonts w:ascii="Verdana" w:hAnsi="Verdana"/>
          <w:sz w:val="20"/>
          <w:szCs w:val="20"/>
        </w:rPr>
        <w:t>would</w:t>
      </w:r>
      <w:proofErr w:type="spellEnd"/>
      <w:r w:rsidRPr="00245CCF">
        <w:rPr>
          <w:rFonts w:ascii="Verdana" w:hAnsi="Verdana"/>
          <w:sz w:val="20"/>
          <w:szCs w:val="20"/>
        </w:rPr>
        <w:t xml:space="preserve"> </w:t>
      </w:r>
      <w:proofErr w:type="spellStart"/>
      <w:r w:rsidRPr="00245CCF">
        <w:rPr>
          <w:rFonts w:ascii="Verdana" w:hAnsi="Verdana"/>
          <w:sz w:val="20"/>
          <w:szCs w:val="20"/>
        </w:rPr>
        <w:t>become</w:t>
      </w:r>
      <w:proofErr w:type="spellEnd"/>
      <w:r w:rsidRPr="00245CCF">
        <w:rPr>
          <w:rFonts w:ascii="Verdana" w:hAnsi="Verdana"/>
          <w:sz w:val="20"/>
          <w:szCs w:val="20"/>
        </w:rPr>
        <w:t xml:space="preserve"> </w:t>
      </w:r>
      <w:proofErr w:type="spellStart"/>
      <w:r w:rsidRPr="00245CCF">
        <w:rPr>
          <w:rFonts w:ascii="Verdana" w:hAnsi="Verdana"/>
          <w:sz w:val="20"/>
          <w:szCs w:val="20"/>
        </w:rPr>
        <w:t>aware</w:t>
      </w:r>
      <w:proofErr w:type="spellEnd"/>
      <w:r w:rsidRPr="00245CCF">
        <w:rPr>
          <w:rFonts w:ascii="Verdana" w:hAnsi="Verdana"/>
          <w:sz w:val="20"/>
          <w:szCs w:val="20"/>
        </w:rPr>
        <w:t xml:space="preserve"> </w:t>
      </w:r>
      <w:proofErr w:type="spellStart"/>
      <w:r w:rsidRPr="00245CCF">
        <w:rPr>
          <w:rFonts w:ascii="Verdana" w:hAnsi="Verdana"/>
          <w:sz w:val="20"/>
          <w:szCs w:val="20"/>
        </w:rPr>
        <w:t>of</w:t>
      </w:r>
      <w:proofErr w:type="spellEnd"/>
      <w:r w:rsidRPr="00245CCF">
        <w:rPr>
          <w:rFonts w:ascii="Verdana" w:hAnsi="Verdana"/>
          <w:sz w:val="20"/>
          <w:szCs w:val="20"/>
        </w:rPr>
        <w:t xml:space="preserve"> </w:t>
      </w:r>
      <w:proofErr w:type="spellStart"/>
      <w:r w:rsidRPr="00245CCF">
        <w:rPr>
          <w:rFonts w:ascii="Verdana" w:hAnsi="Verdana"/>
          <w:sz w:val="20"/>
          <w:szCs w:val="20"/>
        </w:rPr>
        <w:t>all</w:t>
      </w:r>
      <w:proofErr w:type="spellEnd"/>
      <w:r w:rsidRPr="00245CCF">
        <w:rPr>
          <w:rFonts w:ascii="Verdana" w:hAnsi="Verdana"/>
          <w:sz w:val="20"/>
          <w:szCs w:val="20"/>
        </w:rPr>
        <w:t xml:space="preserve"> </w:t>
      </w:r>
      <w:proofErr w:type="spellStart"/>
      <w:r w:rsidRPr="00245CCF">
        <w:rPr>
          <w:rFonts w:ascii="Verdana" w:hAnsi="Verdana"/>
          <w:sz w:val="20"/>
          <w:szCs w:val="20"/>
        </w:rPr>
        <w:t>significant</w:t>
      </w:r>
      <w:proofErr w:type="spellEnd"/>
      <w:r w:rsidRPr="00245CCF">
        <w:rPr>
          <w:rFonts w:ascii="Verdana" w:hAnsi="Verdana"/>
          <w:sz w:val="20"/>
          <w:szCs w:val="20"/>
        </w:rPr>
        <w:t xml:space="preserve"> </w:t>
      </w:r>
      <w:proofErr w:type="spellStart"/>
      <w:r w:rsidRPr="00245CCF">
        <w:rPr>
          <w:rFonts w:ascii="Verdana" w:hAnsi="Verdana"/>
          <w:sz w:val="20"/>
          <w:szCs w:val="20"/>
        </w:rPr>
        <w:t>matters</w:t>
      </w:r>
      <w:proofErr w:type="spellEnd"/>
      <w:r w:rsidRPr="00245CCF">
        <w:rPr>
          <w:rFonts w:ascii="Verdana" w:hAnsi="Verdana"/>
          <w:sz w:val="20"/>
          <w:szCs w:val="20"/>
        </w:rPr>
        <w:t xml:space="preserve"> </w:t>
      </w:r>
      <w:proofErr w:type="spellStart"/>
      <w:r w:rsidRPr="00245CCF">
        <w:rPr>
          <w:rFonts w:ascii="Verdana" w:hAnsi="Verdana"/>
          <w:sz w:val="20"/>
          <w:szCs w:val="20"/>
        </w:rPr>
        <w:t>that</w:t>
      </w:r>
      <w:proofErr w:type="spellEnd"/>
      <w:r w:rsidRPr="00245CCF">
        <w:rPr>
          <w:rFonts w:ascii="Verdana" w:hAnsi="Verdana"/>
          <w:sz w:val="20"/>
          <w:szCs w:val="20"/>
        </w:rPr>
        <w:t xml:space="preserve"> </w:t>
      </w:r>
      <w:proofErr w:type="spellStart"/>
      <w:r w:rsidRPr="00245CCF">
        <w:rPr>
          <w:rFonts w:ascii="Verdana" w:hAnsi="Verdana"/>
          <w:sz w:val="20"/>
          <w:szCs w:val="20"/>
        </w:rPr>
        <w:t>might</w:t>
      </w:r>
      <w:proofErr w:type="spellEnd"/>
      <w:r w:rsidRPr="00245CCF">
        <w:rPr>
          <w:rFonts w:ascii="Verdana" w:hAnsi="Verdana"/>
          <w:sz w:val="20"/>
          <w:szCs w:val="20"/>
        </w:rPr>
        <w:t xml:space="preserve"> </w:t>
      </w:r>
      <w:proofErr w:type="spellStart"/>
      <w:r w:rsidRPr="00245CCF">
        <w:rPr>
          <w:rFonts w:ascii="Verdana" w:hAnsi="Verdana"/>
          <w:sz w:val="20"/>
          <w:szCs w:val="20"/>
        </w:rPr>
        <w:t>be</w:t>
      </w:r>
      <w:proofErr w:type="spellEnd"/>
      <w:r w:rsidRPr="00245CCF">
        <w:rPr>
          <w:rFonts w:ascii="Verdana" w:hAnsi="Verdana"/>
          <w:sz w:val="20"/>
          <w:szCs w:val="20"/>
        </w:rPr>
        <w:t xml:space="preserve"> </w:t>
      </w:r>
      <w:proofErr w:type="spellStart"/>
      <w:r w:rsidRPr="00245CCF">
        <w:rPr>
          <w:rFonts w:ascii="Verdana" w:hAnsi="Verdana"/>
          <w:sz w:val="20"/>
          <w:szCs w:val="20"/>
        </w:rPr>
        <w:t>identified</w:t>
      </w:r>
      <w:proofErr w:type="spellEnd"/>
      <w:r w:rsidRPr="00245CCF">
        <w:rPr>
          <w:rFonts w:ascii="Verdana" w:hAnsi="Verdana"/>
          <w:sz w:val="20"/>
          <w:szCs w:val="20"/>
        </w:rPr>
        <w:t xml:space="preserve"> in </w:t>
      </w:r>
      <w:proofErr w:type="spellStart"/>
      <w:r w:rsidRPr="00245CCF">
        <w:rPr>
          <w:rFonts w:ascii="Verdana" w:hAnsi="Verdana"/>
          <w:sz w:val="20"/>
          <w:szCs w:val="20"/>
        </w:rPr>
        <w:t>an</w:t>
      </w:r>
      <w:proofErr w:type="spellEnd"/>
      <w:r w:rsidRPr="00245CCF">
        <w:rPr>
          <w:rFonts w:ascii="Verdana" w:hAnsi="Verdana"/>
          <w:sz w:val="20"/>
          <w:szCs w:val="20"/>
        </w:rPr>
        <w:t xml:space="preserve"> </w:t>
      </w:r>
      <w:proofErr w:type="spellStart"/>
      <w:r w:rsidRPr="00245CCF">
        <w:rPr>
          <w:rFonts w:ascii="Verdana" w:hAnsi="Verdana"/>
          <w:sz w:val="20"/>
          <w:szCs w:val="20"/>
        </w:rPr>
        <w:t>audit</w:t>
      </w:r>
      <w:proofErr w:type="spellEnd"/>
      <w:r w:rsidRPr="00245CCF">
        <w:rPr>
          <w:rFonts w:ascii="Verdana" w:hAnsi="Verdana"/>
          <w:sz w:val="20"/>
          <w:szCs w:val="20"/>
        </w:rPr>
        <w:t xml:space="preserve">. </w:t>
      </w:r>
      <w:proofErr w:type="spellStart"/>
      <w:r w:rsidRPr="00245CCF">
        <w:rPr>
          <w:rFonts w:ascii="Verdana" w:hAnsi="Verdana"/>
          <w:sz w:val="20"/>
          <w:szCs w:val="20"/>
        </w:rPr>
        <w:t>Accordingly</w:t>
      </w:r>
      <w:proofErr w:type="spellEnd"/>
      <w:r w:rsidRPr="00245CCF">
        <w:rPr>
          <w:rFonts w:ascii="Verdana" w:hAnsi="Verdana"/>
          <w:sz w:val="20"/>
          <w:szCs w:val="20"/>
        </w:rPr>
        <w:t xml:space="preserve">, </w:t>
      </w:r>
      <w:proofErr w:type="spellStart"/>
      <w:r w:rsidRPr="00245CCF">
        <w:rPr>
          <w:rFonts w:ascii="Verdana" w:hAnsi="Verdana"/>
          <w:sz w:val="20"/>
          <w:szCs w:val="20"/>
        </w:rPr>
        <w:t>we</w:t>
      </w:r>
      <w:proofErr w:type="spellEnd"/>
      <w:r w:rsidRPr="00245CCF">
        <w:rPr>
          <w:rFonts w:ascii="Verdana" w:hAnsi="Verdana"/>
          <w:sz w:val="20"/>
          <w:szCs w:val="20"/>
        </w:rPr>
        <w:t xml:space="preserve"> do </w:t>
      </w:r>
      <w:proofErr w:type="spellStart"/>
      <w:r w:rsidRPr="00245CCF">
        <w:rPr>
          <w:rFonts w:ascii="Verdana" w:hAnsi="Verdana"/>
          <w:sz w:val="20"/>
          <w:szCs w:val="20"/>
        </w:rPr>
        <w:t>not</w:t>
      </w:r>
      <w:proofErr w:type="spellEnd"/>
      <w:r w:rsidRPr="00245CCF">
        <w:rPr>
          <w:rFonts w:ascii="Verdana" w:hAnsi="Verdana"/>
          <w:sz w:val="20"/>
          <w:szCs w:val="20"/>
        </w:rPr>
        <w:t xml:space="preserve"> </w:t>
      </w:r>
      <w:proofErr w:type="spellStart"/>
      <w:r w:rsidRPr="00245CCF">
        <w:rPr>
          <w:rFonts w:ascii="Verdana" w:hAnsi="Verdana"/>
          <w:sz w:val="20"/>
          <w:szCs w:val="20"/>
        </w:rPr>
        <w:t>express</w:t>
      </w:r>
      <w:proofErr w:type="spellEnd"/>
      <w:r w:rsidRPr="00245CCF">
        <w:rPr>
          <w:rFonts w:ascii="Verdana" w:hAnsi="Verdana"/>
          <w:sz w:val="20"/>
          <w:szCs w:val="20"/>
        </w:rPr>
        <w:t xml:space="preserve"> </w:t>
      </w:r>
      <w:proofErr w:type="spellStart"/>
      <w:r w:rsidRPr="00245CCF">
        <w:rPr>
          <w:rFonts w:ascii="Verdana" w:hAnsi="Verdana"/>
          <w:sz w:val="20"/>
          <w:szCs w:val="20"/>
        </w:rPr>
        <w:t>an</w:t>
      </w:r>
      <w:proofErr w:type="spellEnd"/>
      <w:r w:rsidRPr="00245CCF">
        <w:rPr>
          <w:rFonts w:ascii="Verdana" w:hAnsi="Verdana"/>
          <w:sz w:val="20"/>
          <w:szCs w:val="20"/>
        </w:rPr>
        <w:t xml:space="preserve"> </w:t>
      </w:r>
      <w:proofErr w:type="spellStart"/>
      <w:r w:rsidRPr="00245CCF">
        <w:rPr>
          <w:rFonts w:ascii="Verdana" w:hAnsi="Verdana"/>
          <w:sz w:val="20"/>
          <w:szCs w:val="20"/>
        </w:rPr>
        <w:t>audit</w:t>
      </w:r>
      <w:proofErr w:type="spellEnd"/>
      <w:r w:rsidRPr="00245CCF">
        <w:rPr>
          <w:rFonts w:ascii="Verdana" w:hAnsi="Verdana"/>
          <w:sz w:val="20"/>
          <w:szCs w:val="20"/>
        </w:rPr>
        <w:t xml:space="preserve"> </w:t>
      </w:r>
      <w:proofErr w:type="spellStart"/>
      <w:r w:rsidRPr="00245CCF">
        <w:rPr>
          <w:rFonts w:ascii="Verdana" w:hAnsi="Verdana"/>
          <w:sz w:val="20"/>
          <w:szCs w:val="20"/>
        </w:rPr>
        <w:t>opinion</w:t>
      </w:r>
      <w:proofErr w:type="spellEnd"/>
      <w:r w:rsidRPr="00245CCF">
        <w:rPr>
          <w:rFonts w:ascii="Verdana" w:hAnsi="Verdana"/>
          <w:sz w:val="20"/>
          <w:szCs w:val="20"/>
        </w:rPr>
        <w:t>.</w:t>
      </w:r>
    </w:p>
    <w:p w14:paraId="2B60E6B0" w14:textId="77777777" w:rsidR="0002271C" w:rsidRPr="00245CCF" w:rsidRDefault="0002271C" w:rsidP="0002271C">
      <w:pPr>
        <w:pStyle w:val="Parecer"/>
        <w:widowControl w:val="0"/>
        <w:numPr>
          <w:ilvl w:val="0"/>
          <w:numId w:val="0"/>
        </w:numPr>
        <w:spacing w:after="200" w:line="240" w:lineRule="auto"/>
        <w:outlineLvl w:val="0"/>
        <w:rPr>
          <w:rFonts w:ascii="Verdana" w:hAnsi="Verdana"/>
          <w:b/>
          <w:iCs/>
          <w:sz w:val="20"/>
          <w:szCs w:val="20"/>
        </w:rPr>
      </w:pPr>
      <w:r w:rsidRPr="00245CCF">
        <w:rPr>
          <w:rFonts w:ascii="Verdana" w:hAnsi="Verdana"/>
          <w:b/>
          <w:iCs/>
          <w:sz w:val="20"/>
          <w:szCs w:val="20"/>
        </w:rPr>
        <w:t xml:space="preserve">Conclusion on the individual and consolidated interim financial </w:t>
      </w:r>
      <w:proofErr w:type="gramStart"/>
      <w:r w:rsidRPr="00245CCF">
        <w:rPr>
          <w:rFonts w:ascii="Verdana" w:hAnsi="Verdana"/>
          <w:b/>
          <w:iCs/>
          <w:sz w:val="20"/>
          <w:szCs w:val="20"/>
        </w:rPr>
        <w:t>statements</w:t>
      </w:r>
      <w:proofErr w:type="gramEnd"/>
    </w:p>
    <w:p w14:paraId="3F7EBCEA" w14:textId="77777777" w:rsidR="0002271C" w:rsidRDefault="0002271C" w:rsidP="0002271C">
      <w:pPr>
        <w:widowControl w:val="0"/>
        <w:spacing w:after="200"/>
        <w:rPr>
          <w:rFonts w:ascii="Verdana" w:hAnsi="Verdana"/>
          <w:sz w:val="20"/>
          <w:szCs w:val="20"/>
        </w:rPr>
      </w:pPr>
      <w:proofErr w:type="spellStart"/>
      <w:r w:rsidRPr="00245CCF">
        <w:rPr>
          <w:rFonts w:ascii="Verdana" w:hAnsi="Verdana"/>
          <w:sz w:val="20"/>
          <w:szCs w:val="20"/>
        </w:rPr>
        <w:t>Based</w:t>
      </w:r>
      <w:proofErr w:type="spellEnd"/>
      <w:r w:rsidRPr="00245CCF">
        <w:rPr>
          <w:rFonts w:ascii="Verdana" w:hAnsi="Verdana"/>
          <w:sz w:val="20"/>
          <w:szCs w:val="20"/>
        </w:rPr>
        <w:t xml:space="preserve"> </w:t>
      </w:r>
      <w:proofErr w:type="spellStart"/>
      <w:r w:rsidRPr="00245CCF">
        <w:rPr>
          <w:rFonts w:ascii="Verdana" w:hAnsi="Verdana"/>
          <w:sz w:val="20"/>
          <w:szCs w:val="20"/>
        </w:rPr>
        <w:t>on</w:t>
      </w:r>
      <w:proofErr w:type="spellEnd"/>
      <w:r w:rsidRPr="00245CCF">
        <w:rPr>
          <w:rFonts w:ascii="Verdana" w:hAnsi="Verdana"/>
          <w:sz w:val="20"/>
          <w:szCs w:val="20"/>
        </w:rPr>
        <w:t xml:space="preserve"> </w:t>
      </w:r>
      <w:proofErr w:type="spellStart"/>
      <w:r w:rsidRPr="00245CCF">
        <w:rPr>
          <w:rFonts w:ascii="Verdana" w:hAnsi="Verdana"/>
          <w:sz w:val="20"/>
          <w:szCs w:val="20"/>
        </w:rPr>
        <w:t>our</w:t>
      </w:r>
      <w:proofErr w:type="spellEnd"/>
      <w:r w:rsidRPr="00245CCF">
        <w:rPr>
          <w:rFonts w:ascii="Verdana" w:hAnsi="Verdana"/>
          <w:sz w:val="20"/>
          <w:szCs w:val="20"/>
        </w:rPr>
        <w:t xml:space="preserve"> review, </w:t>
      </w:r>
      <w:proofErr w:type="spellStart"/>
      <w:r w:rsidRPr="00245CCF">
        <w:rPr>
          <w:rFonts w:ascii="Verdana" w:hAnsi="Verdana"/>
          <w:sz w:val="20"/>
          <w:szCs w:val="20"/>
        </w:rPr>
        <w:t>nothing</w:t>
      </w:r>
      <w:proofErr w:type="spellEnd"/>
      <w:r w:rsidRPr="00245CCF">
        <w:rPr>
          <w:rFonts w:ascii="Verdana" w:hAnsi="Verdana"/>
          <w:sz w:val="20"/>
          <w:szCs w:val="20"/>
        </w:rPr>
        <w:t xml:space="preserve"> </w:t>
      </w:r>
      <w:proofErr w:type="spellStart"/>
      <w:r w:rsidRPr="00245CCF">
        <w:rPr>
          <w:rFonts w:ascii="Verdana" w:hAnsi="Verdana"/>
          <w:sz w:val="20"/>
          <w:szCs w:val="20"/>
        </w:rPr>
        <w:t>has</w:t>
      </w:r>
      <w:proofErr w:type="spellEnd"/>
      <w:r w:rsidRPr="00245CCF">
        <w:rPr>
          <w:rFonts w:ascii="Verdana" w:hAnsi="Verdana"/>
          <w:sz w:val="20"/>
          <w:szCs w:val="20"/>
        </w:rPr>
        <w:t xml:space="preserve"> come </w:t>
      </w:r>
      <w:proofErr w:type="spellStart"/>
      <w:r w:rsidRPr="00245CCF">
        <w:rPr>
          <w:rFonts w:ascii="Verdana" w:hAnsi="Verdana"/>
          <w:sz w:val="20"/>
          <w:szCs w:val="20"/>
        </w:rPr>
        <w:t>to</w:t>
      </w:r>
      <w:proofErr w:type="spellEnd"/>
      <w:r w:rsidRPr="00245CCF">
        <w:rPr>
          <w:rFonts w:ascii="Verdana" w:hAnsi="Verdana"/>
          <w:sz w:val="20"/>
          <w:szCs w:val="20"/>
        </w:rPr>
        <w:t xml:space="preserve"> </w:t>
      </w:r>
      <w:proofErr w:type="spellStart"/>
      <w:r w:rsidRPr="00245CCF">
        <w:rPr>
          <w:rFonts w:ascii="Verdana" w:hAnsi="Verdana"/>
          <w:sz w:val="20"/>
          <w:szCs w:val="20"/>
        </w:rPr>
        <w:t>our</w:t>
      </w:r>
      <w:proofErr w:type="spellEnd"/>
      <w:r w:rsidRPr="00245CCF">
        <w:rPr>
          <w:rFonts w:ascii="Verdana" w:hAnsi="Verdana"/>
          <w:sz w:val="20"/>
          <w:szCs w:val="20"/>
        </w:rPr>
        <w:t xml:space="preserve"> </w:t>
      </w:r>
      <w:proofErr w:type="spellStart"/>
      <w:r w:rsidRPr="00245CCF">
        <w:rPr>
          <w:rFonts w:ascii="Verdana" w:hAnsi="Verdana"/>
          <w:sz w:val="20"/>
          <w:szCs w:val="20"/>
        </w:rPr>
        <w:t>attention</w:t>
      </w:r>
      <w:proofErr w:type="spellEnd"/>
      <w:r w:rsidRPr="00245CCF">
        <w:rPr>
          <w:rFonts w:ascii="Verdana" w:hAnsi="Verdana"/>
          <w:sz w:val="20"/>
          <w:szCs w:val="20"/>
        </w:rPr>
        <w:t xml:space="preserve"> </w:t>
      </w:r>
      <w:proofErr w:type="spellStart"/>
      <w:r w:rsidRPr="00245CCF">
        <w:rPr>
          <w:rFonts w:ascii="Verdana" w:hAnsi="Verdana"/>
          <w:sz w:val="20"/>
          <w:szCs w:val="20"/>
        </w:rPr>
        <w:t>that</w:t>
      </w:r>
      <w:proofErr w:type="spellEnd"/>
      <w:r w:rsidRPr="00245CCF">
        <w:rPr>
          <w:rFonts w:ascii="Verdana" w:hAnsi="Verdana"/>
          <w:sz w:val="20"/>
          <w:szCs w:val="20"/>
        </w:rPr>
        <w:t xml:space="preserve"> causes </w:t>
      </w:r>
      <w:proofErr w:type="spellStart"/>
      <w:r w:rsidRPr="00245CCF">
        <w:rPr>
          <w:rFonts w:ascii="Verdana" w:hAnsi="Verdana"/>
          <w:sz w:val="20"/>
          <w:szCs w:val="20"/>
        </w:rPr>
        <w:t>us</w:t>
      </w:r>
      <w:proofErr w:type="spellEnd"/>
      <w:r w:rsidRPr="00245CCF">
        <w:rPr>
          <w:rFonts w:ascii="Verdana" w:hAnsi="Verdana"/>
          <w:sz w:val="20"/>
          <w:szCs w:val="20"/>
        </w:rPr>
        <w:t xml:space="preserve"> </w:t>
      </w:r>
      <w:proofErr w:type="spellStart"/>
      <w:r w:rsidRPr="00245CCF">
        <w:rPr>
          <w:rFonts w:ascii="Verdana" w:hAnsi="Verdana"/>
          <w:sz w:val="20"/>
          <w:szCs w:val="20"/>
        </w:rPr>
        <w:t>to</w:t>
      </w:r>
      <w:proofErr w:type="spellEnd"/>
      <w:r w:rsidRPr="00245CCF">
        <w:rPr>
          <w:rFonts w:ascii="Verdana" w:hAnsi="Verdana"/>
          <w:sz w:val="20"/>
          <w:szCs w:val="20"/>
        </w:rPr>
        <w:t xml:space="preserve"> </w:t>
      </w:r>
      <w:proofErr w:type="spellStart"/>
      <w:r w:rsidRPr="00245CCF">
        <w:rPr>
          <w:rFonts w:ascii="Verdana" w:hAnsi="Verdana"/>
          <w:sz w:val="20"/>
          <w:szCs w:val="20"/>
        </w:rPr>
        <w:t>believe</w:t>
      </w:r>
      <w:proofErr w:type="spellEnd"/>
      <w:r w:rsidRPr="00245CCF">
        <w:rPr>
          <w:rFonts w:ascii="Verdana" w:hAnsi="Verdana"/>
          <w:sz w:val="20"/>
          <w:szCs w:val="20"/>
        </w:rPr>
        <w:t xml:space="preserve"> </w:t>
      </w:r>
      <w:proofErr w:type="spellStart"/>
      <w:r w:rsidRPr="00245CCF">
        <w:rPr>
          <w:rFonts w:ascii="Verdana" w:hAnsi="Verdana"/>
          <w:sz w:val="20"/>
          <w:szCs w:val="20"/>
        </w:rPr>
        <w:t>that</w:t>
      </w:r>
      <w:proofErr w:type="spellEnd"/>
      <w:r w:rsidRPr="00245CCF">
        <w:rPr>
          <w:rFonts w:ascii="Verdana" w:hAnsi="Verdana"/>
          <w:sz w:val="20"/>
          <w:szCs w:val="20"/>
        </w:rPr>
        <w:t xml:space="preserve"> </w:t>
      </w:r>
      <w:proofErr w:type="spellStart"/>
      <w:r w:rsidRPr="00245CCF">
        <w:rPr>
          <w:rFonts w:ascii="Verdana" w:hAnsi="Verdana"/>
          <w:sz w:val="20"/>
          <w:szCs w:val="20"/>
        </w:rPr>
        <w:t>the</w:t>
      </w:r>
      <w:proofErr w:type="spellEnd"/>
      <w:r w:rsidRPr="00245CCF">
        <w:rPr>
          <w:rFonts w:ascii="Verdana" w:hAnsi="Verdana"/>
          <w:sz w:val="20"/>
          <w:szCs w:val="20"/>
        </w:rPr>
        <w:t xml:space="preserve"> </w:t>
      </w:r>
      <w:proofErr w:type="spellStart"/>
      <w:r w:rsidRPr="00245CCF">
        <w:rPr>
          <w:rFonts w:ascii="Verdana" w:hAnsi="Verdana"/>
          <w:sz w:val="20"/>
          <w:szCs w:val="20"/>
        </w:rPr>
        <w:t>aforementioned</w:t>
      </w:r>
      <w:proofErr w:type="spellEnd"/>
      <w:r w:rsidRPr="00245CCF">
        <w:rPr>
          <w:rFonts w:ascii="Verdana" w:hAnsi="Verdana"/>
          <w:sz w:val="20"/>
          <w:szCs w:val="20"/>
        </w:rPr>
        <w:t xml:space="preserve"> </w:t>
      </w:r>
      <w:proofErr w:type="spellStart"/>
      <w:r w:rsidRPr="00245CCF">
        <w:rPr>
          <w:rFonts w:ascii="Verdana" w:hAnsi="Verdana"/>
          <w:sz w:val="20"/>
          <w:szCs w:val="20"/>
        </w:rPr>
        <w:t>accompanying</w:t>
      </w:r>
      <w:proofErr w:type="spellEnd"/>
      <w:r w:rsidRPr="00245CCF">
        <w:rPr>
          <w:rFonts w:ascii="Verdana" w:hAnsi="Verdana"/>
          <w:sz w:val="20"/>
          <w:szCs w:val="20"/>
        </w:rPr>
        <w:t xml:space="preserve"> individual </w:t>
      </w:r>
      <w:proofErr w:type="spellStart"/>
      <w:r w:rsidRPr="00245CCF">
        <w:rPr>
          <w:rFonts w:ascii="Verdana" w:hAnsi="Verdana"/>
          <w:sz w:val="20"/>
          <w:szCs w:val="20"/>
        </w:rPr>
        <w:t>and</w:t>
      </w:r>
      <w:proofErr w:type="spellEnd"/>
      <w:r w:rsidRPr="00245CCF">
        <w:rPr>
          <w:rFonts w:ascii="Verdana" w:hAnsi="Verdana"/>
          <w:sz w:val="20"/>
          <w:szCs w:val="20"/>
        </w:rPr>
        <w:t xml:space="preserve"> </w:t>
      </w:r>
      <w:proofErr w:type="spellStart"/>
      <w:r w:rsidRPr="00245CCF">
        <w:rPr>
          <w:rFonts w:ascii="Verdana" w:hAnsi="Verdana"/>
          <w:sz w:val="20"/>
          <w:szCs w:val="20"/>
        </w:rPr>
        <w:t>consolidated</w:t>
      </w:r>
      <w:proofErr w:type="spellEnd"/>
      <w:r w:rsidRPr="00245CCF">
        <w:rPr>
          <w:rFonts w:ascii="Verdana" w:hAnsi="Verdana"/>
          <w:sz w:val="20"/>
          <w:szCs w:val="20"/>
        </w:rPr>
        <w:t xml:space="preserve"> interim financial </w:t>
      </w:r>
      <w:proofErr w:type="spellStart"/>
      <w:r w:rsidRPr="00245CCF">
        <w:rPr>
          <w:rFonts w:ascii="Verdana" w:hAnsi="Verdana"/>
          <w:sz w:val="20"/>
          <w:szCs w:val="20"/>
        </w:rPr>
        <w:t>statements</w:t>
      </w:r>
      <w:proofErr w:type="spellEnd"/>
      <w:r w:rsidRPr="00245CCF">
        <w:rPr>
          <w:rFonts w:ascii="Verdana" w:hAnsi="Verdana"/>
          <w:sz w:val="20"/>
          <w:szCs w:val="20"/>
        </w:rPr>
        <w:t xml:space="preserve"> do </w:t>
      </w:r>
      <w:proofErr w:type="spellStart"/>
      <w:r w:rsidRPr="00245CCF">
        <w:rPr>
          <w:rFonts w:ascii="Verdana" w:hAnsi="Verdana"/>
          <w:sz w:val="20"/>
          <w:szCs w:val="20"/>
        </w:rPr>
        <w:t>not</w:t>
      </w:r>
      <w:proofErr w:type="spellEnd"/>
      <w:r w:rsidRPr="00245CCF">
        <w:rPr>
          <w:rFonts w:ascii="Verdana" w:hAnsi="Verdana"/>
          <w:sz w:val="20"/>
          <w:szCs w:val="20"/>
        </w:rPr>
        <w:t xml:space="preserve"> </w:t>
      </w:r>
      <w:proofErr w:type="spellStart"/>
      <w:r w:rsidRPr="00245CCF">
        <w:rPr>
          <w:rFonts w:ascii="Verdana" w:hAnsi="Verdana"/>
          <w:sz w:val="20"/>
          <w:szCs w:val="20"/>
        </w:rPr>
        <w:t>present</w:t>
      </w:r>
      <w:proofErr w:type="spellEnd"/>
      <w:r w:rsidRPr="00245CCF">
        <w:rPr>
          <w:rFonts w:ascii="Verdana" w:hAnsi="Verdana"/>
          <w:sz w:val="20"/>
          <w:szCs w:val="20"/>
        </w:rPr>
        <w:t xml:space="preserve">, in </w:t>
      </w:r>
      <w:proofErr w:type="spellStart"/>
      <w:r w:rsidRPr="00245CCF">
        <w:rPr>
          <w:rFonts w:ascii="Verdana" w:hAnsi="Verdana"/>
          <w:sz w:val="20"/>
          <w:szCs w:val="20"/>
        </w:rPr>
        <w:t>all</w:t>
      </w:r>
      <w:proofErr w:type="spellEnd"/>
      <w:r w:rsidRPr="00245CCF">
        <w:rPr>
          <w:rFonts w:ascii="Verdana" w:hAnsi="Verdana"/>
          <w:sz w:val="20"/>
          <w:szCs w:val="20"/>
        </w:rPr>
        <w:t xml:space="preserve"> material </w:t>
      </w:r>
      <w:proofErr w:type="spellStart"/>
      <w:r w:rsidRPr="00245CCF">
        <w:rPr>
          <w:rFonts w:ascii="Verdana" w:hAnsi="Verdana"/>
          <w:sz w:val="20"/>
          <w:szCs w:val="20"/>
        </w:rPr>
        <w:t>respects</w:t>
      </w:r>
      <w:proofErr w:type="spellEnd"/>
      <w:r w:rsidRPr="00245CCF">
        <w:rPr>
          <w:rFonts w:ascii="Verdana" w:hAnsi="Verdana"/>
          <w:sz w:val="20"/>
          <w:szCs w:val="20"/>
        </w:rPr>
        <w:t xml:space="preserve">, </w:t>
      </w:r>
      <w:proofErr w:type="spellStart"/>
      <w:r w:rsidRPr="00245CCF">
        <w:rPr>
          <w:rFonts w:ascii="Verdana" w:hAnsi="Verdana"/>
          <w:sz w:val="20"/>
          <w:szCs w:val="20"/>
        </w:rPr>
        <w:t>the</w:t>
      </w:r>
      <w:proofErr w:type="spellEnd"/>
      <w:r w:rsidRPr="00245CCF">
        <w:rPr>
          <w:rFonts w:ascii="Verdana" w:hAnsi="Verdana"/>
          <w:sz w:val="20"/>
          <w:szCs w:val="20"/>
        </w:rPr>
        <w:t xml:space="preserve"> individual </w:t>
      </w:r>
      <w:proofErr w:type="spellStart"/>
      <w:r w:rsidRPr="00245CCF">
        <w:rPr>
          <w:rFonts w:ascii="Verdana" w:hAnsi="Verdana"/>
          <w:sz w:val="20"/>
          <w:szCs w:val="20"/>
        </w:rPr>
        <w:t>and</w:t>
      </w:r>
      <w:proofErr w:type="spellEnd"/>
      <w:r w:rsidRPr="00245CCF">
        <w:rPr>
          <w:rFonts w:ascii="Verdana" w:hAnsi="Verdana"/>
          <w:sz w:val="20"/>
          <w:szCs w:val="20"/>
        </w:rPr>
        <w:t xml:space="preserve"> </w:t>
      </w:r>
      <w:proofErr w:type="spellStart"/>
      <w:r w:rsidRPr="00245CCF">
        <w:rPr>
          <w:rFonts w:ascii="Verdana" w:hAnsi="Verdana"/>
          <w:sz w:val="20"/>
          <w:szCs w:val="20"/>
        </w:rPr>
        <w:t>consolidated</w:t>
      </w:r>
      <w:proofErr w:type="spellEnd"/>
      <w:r w:rsidRPr="00245CCF">
        <w:rPr>
          <w:rFonts w:ascii="Verdana" w:hAnsi="Verdana"/>
          <w:sz w:val="20"/>
          <w:szCs w:val="20"/>
        </w:rPr>
        <w:t xml:space="preserve"> financial position </w:t>
      </w:r>
      <w:proofErr w:type="spellStart"/>
      <w:r w:rsidRPr="00245CCF">
        <w:rPr>
          <w:rFonts w:ascii="Verdana" w:hAnsi="Verdana"/>
          <w:sz w:val="20"/>
          <w:szCs w:val="20"/>
        </w:rPr>
        <w:t>of</w:t>
      </w:r>
      <w:proofErr w:type="spellEnd"/>
      <w:r w:rsidRPr="00245CCF">
        <w:rPr>
          <w:rFonts w:ascii="Verdana" w:hAnsi="Verdana"/>
          <w:sz w:val="20"/>
          <w:szCs w:val="20"/>
        </w:rPr>
        <w:t xml:space="preserve"> </w:t>
      </w:r>
      <w:r w:rsidRPr="00245CCF">
        <w:rPr>
          <w:rFonts w:ascii="Verdana" w:hAnsi="Verdana"/>
          <w:sz w:val="20"/>
        </w:rPr>
        <w:t>BB Seguridade Participações S.A.</w:t>
      </w:r>
      <w:r w:rsidRPr="00245CCF">
        <w:rPr>
          <w:rFonts w:ascii="Verdana" w:hAnsi="Verdana"/>
          <w:sz w:val="20"/>
          <w:szCs w:val="20"/>
        </w:rPr>
        <w:t xml:space="preserve"> as </w:t>
      </w:r>
      <w:proofErr w:type="spellStart"/>
      <w:r w:rsidRPr="00245CCF">
        <w:rPr>
          <w:rFonts w:ascii="Verdana" w:hAnsi="Verdana"/>
          <w:sz w:val="20"/>
          <w:szCs w:val="20"/>
        </w:rPr>
        <w:t>at</w:t>
      </w:r>
      <w:proofErr w:type="spellEnd"/>
      <w:r w:rsidRPr="00245CCF">
        <w:rPr>
          <w:rFonts w:ascii="Verdana" w:hAnsi="Verdana"/>
          <w:sz w:val="20"/>
          <w:szCs w:val="20"/>
        </w:rPr>
        <w:t xml:space="preserve"> </w:t>
      </w:r>
      <w:proofErr w:type="spellStart"/>
      <w:r>
        <w:rPr>
          <w:rFonts w:ascii="Verdana" w:hAnsi="Verdana"/>
          <w:sz w:val="20"/>
          <w:szCs w:val="20"/>
        </w:rPr>
        <w:t>March</w:t>
      </w:r>
      <w:proofErr w:type="spellEnd"/>
      <w:r w:rsidRPr="00245CCF">
        <w:rPr>
          <w:rFonts w:ascii="Verdana" w:hAnsi="Verdana"/>
          <w:sz w:val="20"/>
          <w:szCs w:val="20"/>
        </w:rPr>
        <w:t xml:space="preserve"> 3</w:t>
      </w:r>
      <w:r>
        <w:rPr>
          <w:rFonts w:ascii="Verdana" w:hAnsi="Verdana"/>
          <w:sz w:val="20"/>
          <w:szCs w:val="20"/>
        </w:rPr>
        <w:t>1</w:t>
      </w:r>
      <w:r w:rsidRPr="00245CCF">
        <w:rPr>
          <w:rFonts w:ascii="Verdana" w:hAnsi="Verdana"/>
          <w:sz w:val="20"/>
          <w:szCs w:val="20"/>
        </w:rPr>
        <w:t>, 20</w:t>
      </w:r>
      <w:r>
        <w:rPr>
          <w:rFonts w:ascii="Verdana" w:hAnsi="Verdana"/>
          <w:sz w:val="20"/>
          <w:szCs w:val="20"/>
        </w:rPr>
        <w:t>20</w:t>
      </w:r>
      <w:r w:rsidRPr="00245CCF">
        <w:rPr>
          <w:rFonts w:ascii="Verdana" w:hAnsi="Verdana"/>
          <w:sz w:val="20"/>
          <w:szCs w:val="20"/>
        </w:rPr>
        <w:t xml:space="preserve">, its individual </w:t>
      </w:r>
      <w:proofErr w:type="spellStart"/>
      <w:r w:rsidRPr="00245CCF">
        <w:rPr>
          <w:rFonts w:ascii="Verdana" w:hAnsi="Verdana"/>
          <w:sz w:val="20"/>
          <w:szCs w:val="20"/>
        </w:rPr>
        <w:t>and</w:t>
      </w:r>
      <w:proofErr w:type="spellEnd"/>
      <w:r w:rsidRPr="00245CCF">
        <w:rPr>
          <w:rFonts w:ascii="Verdana" w:hAnsi="Verdana"/>
          <w:sz w:val="20"/>
          <w:szCs w:val="20"/>
        </w:rPr>
        <w:t xml:space="preserve"> </w:t>
      </w:r>
      <w:proofErr w:type="spellStart"/>
      <w:r w:rsidRPr="00245CCF">
        <w:rPr>
          <w:rFonts w:ascii="Verdana" w:hAnsi="Verdana"/>
          <w:sz w:val="20"/>
          <w:szCs w:val="20"/>
        </w:rPr>
        <w:t>consolidated</w:t>
      </w:r>
      <w:proofErr w:type="spellEnd"/>
      <w:r w:rsidRPr="00245CCF">
        <w:rPr>
          <w:rFonts w:ascii="Verdana" w:hAnsi="Verdana"/>
          <w:sz w:val="20"/>
          <w:szCs w:val="20"/>
        </w:rPr>
        <w:t xml:space="preserve"> financial performance </w:t>
      </w:r>
      <w:proofErr w:type="spellStart"/>
      <w:r w:rsidRPr="00245CCF">
        <w:rPr>
          <w:rFonts w:ascii="Verdana" w:hAnsi="Verdana"/>
          <w:sz w:val="20"/>
          <w:szCs w:val="20"/>
        </w:rPr>
        <w:t>and</w:t>
      </w:r>
      <w:proofErr w:type="spellEnd"/>
      <w:r w:rsidRPr="00245CCF">
        <w:rPr>
          <w:rFonts w:ascii="Verdana" w:hAnsi="Verdana"/>
          <w:sz w:val="20"/>
          <w:szCs w:val="20"/>
        </w:rPr>
        <w:t xml:space="preserve"> its individual </w:t>
      </w:r>
      <w:proofErr w:type="spellStart"/>
      <w:r w:rsidRPr="00245CCF">
        <w:rPr>
          <w:rFonts w:ascii="Verdana" w:hAnsi="Verdana"/>
          <w:sz w:val="20"/>
          <w:szCs w:val="20"/>
        </w:rPr>
        <w:t>and</w:t>
      </w:r>
      <w:proofErr w:type="spellEnd"/>
      <w:r w:rsidRPr="00245CCF">
        <w:rPr>
          <w:rFonts w:ascii="Verdana" w:hAnsi="Verdana"/>
          <w:sz w:val="20"/>
          <w:szCs w:val="20"/>
        </w:rPr>
        <w:t xml:space="preserve"> </w:t>
      </w:r>
      <w:proofErr w:type="spellStart"/>
      <w:r w:rsidRPr="00245CCF">
        <w:rPr>
          <w:rFonts w:ascii="Verdana" w:hAnsi="Verdana"/>
          <w:sz w:val="20"/>
          <w:szCs w:val="20"/>
        </w:rPr>
        <w:t>consolidated</w:t>
      </w:r>
      <w:proofErr w:type="spellEnd"/>
      <w:r w:rsidRPr="00245CCF">
        <w:rPr>
          <w:rFonts w:ascii="Verdana" w:hAnsi="Verdana"/>
          <w:sz w:val="20"/>
          <w:szCs w:val="20"/>
        </w:rPr>
        <w:t xml:space="preserve"> cash </w:t>
      </w:r>
      <w:proofErr w:type="spellStart"/>
      <w:r w:rsidRPr="00245CCF">
        <w:rPr>
          <w:rFonts w:ascii="Verdana" w:hAnsi="Verdana"/>
          <w:sz w:val="20"/>
          <w:szCs w:val="20"/>
        </w:rPr>
        <w:t>flows</w:t>
      </w:r>
      <w:proofErr w:type="spellEnd"/>
      <w:r w:rsidRPr="00245CCF">
        <w:rPr>
          <w:rFonts w:ascii="Verdana" w:hAnsi="Verdana"/>
          <w:sz w:val="20"/>
          <w:szCs w:val="20"/>
        </w:rPr>
        <w:t xml:space="preserve"> for </w:t>
      </w:r>
      <w:proofErr w:type="spellStart"/>
      <w:r w:rsidRPr="00245CCF">
        <w:rPr>
          <w:rFonts w:ascii="Verdana" w:hAnsi="Verdana"/>
          <w:sz w:val="20"/>
          <w:szCs w:val="20"/>
        </w:rPr>
        <w:t>the</w:t>
      </w:r>
      <w:proofErr w:type="spellEnd"/>
      <w:r w:rsidRPr="00245CCF">
        <w:rPr>
          <w:rFonts w:ascii="Verdana" w:hAnsi="Verdana"/>
          <w:sz w:val="20"/>
          <w:szCs w:val="20"/>
        </w:rPr>
        <w:t xml:space="preserve"> </w:t>
      </w:r>
      <w:proofErr w:type="spellStart"/>
      <w:r>
        <w:rPr>
          <w:rFonts w:ascii="Verdana" w:hAnsi="Verdana"/>
          <w:sz w:val="20"/>
          <w:szCs w:val="20"/>
        </w:rPr>
        <w:t>three</w:t>
      </w:r>
      <w:r w:rsidRPr="00245CCF">
        <w:rPr>
          <w:rFonts w:ascii="Verdana" w:hAnsi="Verdana"/>
          <w:sz w:val="20"/>
          <w:szCs w:val="20"/>
        </w:rPr>
        <w:t>-month</w:t>
      </w:r>
      <w:r>
        <w:rPr>
          <w:rFonts w:ascii="Verdana" w:hAnsi="Verdana"/>
          <w:sz w:val="20"/>
          <w:szCs w:val="20"/>
        </w:rPr>
        <w:t>s</w:t>
      </w:r>
      <w:proofErr w:type="spellEnd"/>
      <w:r w:rsidRPr="00245CCF">
        <w:rPr>
          <w:rFonts w:ascii="Verdana" w:hAnsi="Verdana"/>
          <w:sz w:val="20"/>
          <w:szCs w:val="20"/>
        </w:rPr>
        <w:t xml:space="preserve"> </w:t>
      </w:r>
      <w:proofErr w:type="spellStart"/>
      <w:r w:rsidRPr="00245CCF">
        <w:rPr>
          <w:rFonts w:ascii="Verdana" w:hAnsi="Verdana"/>
          <w:sz w:val="20"/>
          <w:szCs w:val="20"/>
        </w:rPr>
        <w:t>period</w:t>
      </w:r>
      <w:proofErr w:type="spellEnd"/>
      <w:r w:rsidRPr="00245CCF">
        <w:rPr>
          <w:rFonts w:ascii="Verdana" w:hAnsi="Verdana"/>
          <w:sz w:val="20"/>
          <w:szCs w:val="20"/>
        </w:rPr>
        <w:t xml:space="preserve"> </w:t>
      </w:r>
      <w:proofErr w:type="spellStart"/>
      <w:r w:rsidRPr="00245CCF">
        <w:rPr>
          <w:rFonts w:ascii="Verdana" w:hAnsi="Verdana"/>
          <w:sz w:val="20"/>
          <w:szCs w:val="20"/>
        </w:rPr>
        <w:t>then</w:t>
      </w:r>
      <w:proofErr w:type="spellEnd"/>
      <w:r w:rsidRPr="00245CCF">
        <w:rPr>
          <w:rFonts w:ascii="Verdana" w:hAnsi="Verdana"/>
          <w:sz w:val="20"/>
          <w:szCs w:val="20"/>
        </w:rPr>
        <w:t xml:space="preserve"> </w:t>
      </w:r>
      <w:proofErr w:type="spellStart"/>
      <w:r w:rsidRPr="00245CCF">
        <w:rPr>
          <w:rFonts w:ascii="Verdana" w:hAnsi="Verdana"/>
          <w:sz w:val="20"/>
          <w:szCs w:val="20"/>
        </w:rPr>
        <w:t>ended</w:t>
      </w:r>
      <w:proofErr w:type="spellEnd"/>
      <w:r w:rsidRPr="00CD46DA">
        <w:rPr>
          <w:rFonts w:ascii="Verdana" w:hAnsi="Verdana"/>
          <w:sz w:val="20"/>
          <w:szCs w:val="20"/>
        </w:rPr>
        <w:t xml:space="preserve">, in </w:t>
      </w:r>
      <w:proofErr w:type="spellStart"/>
      <w:r w:rsidRPr="00CD46DA">
        <w:rPr>
          <w:rFonts w:ascii="Verdana" w:hAnsi="Verdana"/>
          <w:sz w:val="20"/>
          <w:szCs w:val="20"/>
        </w:rPr>
        <w:t>conformity</w:t>
      </w:r>
      <w:proofErr w:type="spellEnd"/>
      <w:r w:rsidRPr="00CD46DA">
        <w:rPr>
          <w:rFonts w:ascii="Verdana" w:hAnsi="Verdana"/>
          <w:sz w:val="20"/>
          <w:szCs w:val="20"/>
        </w:rPr>
        <w:t xml:space="preserve"> </w:t>
      </w:r>
      <w:proofErr w:type="spellStart"/>
      <w:r w:rsidRPr="00CD46DA">
        <w:rPr>
          <w:rFonts w:ascii="Verdana" w:hAnsi="Verdana"/>
          <w:sz w:val="20"/>
          <w:szCs w:val="20"/>
        </w:rPr>
        <w:t>with</w:t>
      </w:r>
      <w:proofErr w:type="spellEnd"/>
      <w:r w:rsidRPr="00CD46DA">
        <w:rPr>
          <w:rFonts w:ascii="Verdana" w:hAnsi="Verdana"/>
          <w:sz w:val="20"/>
          <w:szCs w:val="20"/>
        </w:rPr>
        <w:t xml:space="preserve"> </w:t>
      </w:r>
      <w:proofErr w:type="spellStart"/>
      <w:r w:rsidRPr="00CD46DA">
        <w:rPr>
          <w:rFonts w:ascii="Verdana" w:hAnsi="Verdana"/>
          <w:sz w:val="20"/>
          <w:szCs w:val="20"/>
        </w:rPr>
        <w:t>the</w:t>
      </w:r>
      <w:proofErr w:type="spellEnd"/>
      <w:r w:rsidRPr="00CD46DA">
        <w:rPr>
          <w:rFonts w:ascii="Verdana" w:hAnsi="Verdana"/>
          <w:sz w:val="20"/>
          <w:szCs w:val="20"/>
        </w:rPr>
        <w:t xml:space="preserve"> </w:t>
      </w:r>
      <w:proofErr w:type="spellStart"/>
      <w:r w:rsidRPr="00CD46DA">
        <w:rPr>
          <w:rFonts w:ascii="Verdana" w:hAnsi="Verdana"/>
          <w:sz w:val="20"/>
          <w:szCs w:val="20"/>
        </w:rPr>
        <w:t>accounting</w:t>
      </w:r>
      <w:proofErr w:type="spellEnd"/>
      <w:r w:rsidRPr="00CD46DA">
        <w:rPr>
          <w:rFonts w:ascii="Verdana" w:hAnsi="Verdana"/>
          <w:sz w:val="20"/>
          <w:szCs w:val="20"/>
        </w:rPr>
        <w:t xml:space="preserve"> </w:t>
      </w:r>
      <w:proofErr w:type="spellStart"/>
      <w:r w:rsidRPr="00CD46DA">
        <w:rPr>
          <w:rFonts w:ascii="Verdana" w:hAnsi="Verdana"/>
          <w:sz w:val="20"/>
          <w:szCs w:val="20"/>
        </w:rPr>
        <w:t>practices</w:t>
      </w:r>
      <w:proofErr w:type="spellEnd"/>
      <w:r w:rsidRPr="00CD46DA">
        <w:rPr>
          <w:rFonts w:ascii="Verdana" w:hAnsi="Verdana"/>
          <w:sz w:val="20"/>
          <w:szCs w:val="20"/>
        </w:rPr>
        <w:t xml:space="preserve"> </w:t>
      </w:r>
      <w:proofErr w:type="spellStart"/>
      <w:r w:rsidRPr="00CD46DA">
        <w:rPr>
          <w:rFonts w:ascii="Verdana" w:hAnsi="Verdana"/>
          <w:sz w:val="20"/>
          <w:szCs w:val="20"/>
        </w:rPr>
        <w:t>adopted</w:t>
      </w:r>
      <w:proofErr w:type="spellEnd"/>
      <w:r w:rsidRPr="00CD46DA">
        <w:rPr>
          <w:rFonts w:ascii="Verdana" w:hAnsi="Verdana"/>
          <w:sz w:val="20"/>
          <w:szCs w:val="20"/>
        </w:rPr>
        <w:t xml:space="preserve"> in </w:t>
      </w:r>
      <w:proofErr w:type="spellStart"/>
      <w:r w:rsidRPr="00CD46DA">
        <w:rPr>
          <w:rFonts w:ascii="Verdana" w:hAnsi="Verdana"/>
          <w:sz w:val="20"/>
          <w:szCs w:val="20"/>
        </w:rPr>
        <w:t>Brazil</w:t>
      </w:r>
      <w:proofErr w:type="spellEnd"/>
      <w:r>
        <w:rPr>
          <w:rFonts w:ascii="Verdana" w:hAnsi="Verdana"/>
          <w:sz w:val="20"/>
          <w:szCs w:val="20"/>
        </w:rPr>
        <w:t xml:space="preserve"> </w:t>
      </w:r>
      <w:proofErr w:type="spellStart"/>
      <w:r>
        <w:rPr>
          <w:rFonts w:ascii="Verdana" w:hAnsi="Verdana"/>
          <w:sz w:val="20"/>
          <w:szCs w:val="20"/>
        </w:rPr>
        <w:t>and</w:t>
      </w:r>
      <w:proofErr w:type="spellEnd"/>
      <w:r>
        <w:rPr>
          <w:rFonts w:ascii="Verdana" w:hAnsi="Verdana"/>
          <w:sz w:val="20"/>
          <w:szCs w:val="20"/>
        </w:rPr>
        <w:t xml:space="preserve"> </w:t>
      </w:r>
      <w:proofErr w:type="spellStart"/>
      <w:r w:rsidRPr="00CD46DA">
        <w:rPr>
          <w:rFonts w:ascii="Verdana" w:hAnsi="Verdana"/>
          <w:sz w:val="20"/>
          <w:szCs w:val="20"/>
        </w:rPr>
        <w:t>the</w:t>
      </w:r>
      <w:proofErr w:type="spellEnd"/>
      <w:r w:rsidRPr="00CD46DA">
        <w:rPr>
          <w:rFonts w:ascii="Verdana" w:hAnsi="Verdana"/>
          <w:sz w:val="20"/>
          <w:szCs w:val="20"/>
        </w:rPr>
        <w:t xml:space="preserve"> IFRS, </w:t>
      </w:r>
      <w:r>
        <w:rPr>
          <w:rFonts w:ascii="Verdana" w:hAnsi="Verdana"/>
          <w:sz w:val="20"/>
          <w:szCs w:val="20"/>
        </w:rPr>
        <w:t xml:space="preserve">as </w:t>
      </w:r>
      <w:proofErr w:type="spellStart"/>
      <w:r w:rsidRPr="00CD46DA">
        <w:rPr>
          <w:rFonts w:ascii="Verdana" w:hAnsi="Verdana"/>
          <w:sz w:val="20"/>
          <w:szCs w:val="20"/>
        </w:rPr>
        <w:t>issued</w:t>
      </w:r>
      <w:proofErr w:type="spellEnd"/>
      <w:r w:rsidRPr="00CD46DA">
        <w:rPr>
          <w:rFonts w:ascii="Verdana" w:hAnsi="Verdana"/>
          <w:sz w:val="20"/>
          <w:szCs w:val="20"/>
        </w:rPr>
        <w:t xml:space="preserve"> </w:t>
      </w:r>
      <w:proofErr w:type="spellStart"/>
      <w:r w:rsidRPr="00CD46DA">
        <w:rPr>
          <w:rFonts w:ascii="Verdana" w:hAnsi="Verdana"/>
          <w:sz w:val="20"/>
          <w:szCs w:val="20"/>
        </w:rPr>
        <w:t>by</w:t>
      </w:r>
      <w:proofErr w:type="spellEnd"/>
      <w:r w:rsidRPr="00CD46DA">
        <w:rPr>
          <w:rFonts w:ascii="Verdana" w:hAnsi="Verdana"/>
          <w:sz w:val="20"/>
          <w:szCs w:val="20"/>
        </w:rPr>
        <w:t xml:space="preserve"> IASB.</w:t>
      </w:r>
    </w:p>
    <w:p w14:paraId="7C2221B7" w14:textId="77777777" w:rsidR="0002271C" w:rsidRDefault="0002271C" w:rsidP="0002271C">
      <w:pPr>
        <w:rPr>
          <w:rFonts w:ascii="Verdana" w:hAnsi="Verdana"/>
          <w:sz w:val="20"/>
          <w:szCs w:val="20"/>
        </w:rPr>
      </w:pPr>
      <w:r>
        <w:rPr>
          <w:rFonts w:ascii="Verdana" w:hAnsi="Verdana"/>
          <w:sz w:val="20"/>
          <w:szCs w:val="20"/>
        </w:rPr>
        <w:br w:type="page"/>
      </w:r>
    </w:p>
    <w:p w14:paraId="447458F9" w14:textId="77777777" w:rsidR="0002271C" w:rsidRPr="00245CCF" w:rsidRDefault="0002271C" w:rsidP="0002271C">
      <w:pPr>
        <w:widowControl w:val="0"/>
        <w:spacing w:after="200"/>
        <w:rPr>
          <w:rFonts w:ascii="Verdana" w:hAnsi="Verdana"/>
          <w:b/>
          <w:iCs/>
          <w:sz w:val="20"/>
          <w:szCs w:val="20"/>
        </w:rPr>
      </w:pPr>
      <w:r w:rsidRPr="00245CCF">
        <w:rPr>
          <w:rFonts w:ascii="Verdana" w:hAnsi="Verdana"/>
          <w:b/>
          <w:iCs/>
          <w:sz w:val="20"/>
          <w:szCs w:val="20"/>
        </w:rPr>
        <w:lastRenderedPageBreak/>
        <w:t xml:space="preserve">Other </w:t>
      </w:r>
      <w:proofErr w:type="spellStart"/>
      <w:r w:rsidRPr="00245CCF">
        <w:rPr>
          <w:rFonts w:ascii="Verdana" w:hAnsi="Verdana"/>
          <w:b/>
          <w:iCs/>
          <w:sz w:val="20"/>
          <w:szCs w:val="20"/>
        </w:rPr>
        <w:t>matters</w:t>
      </w:r>
      <w:proofErr w:type="spellEnd"/>
    </w:p>
    <w:p w14:paraId="3E862D16" w14:textId="77777777" w:rsidR="0002271C" w:rsidRPr="00245CCF" w:rsidRDefault="0002271C" w:rsidP="0002271C">
      <w:pPr>
        <w:pStyle w:val="Parecer"/>
        <w:widowControl w:val="0"/>
        <w:numPr>
          <w:ilvl w:val="0"/>
          <w:numId w:val="0"/>
        </w:numPr>
        <w:spacing w:after="200" w:line="240" w:lineRule="auto"/>
        <w:outlineLvl w:val="0"/>
        <w:rPr>
          <w:rFonts w:ascii="Verdana" w:hAnsi="Verdana"/>
          <w:i/>
          <w:iCs/>
          <w:sz w:val="20"/>
          <w:szCs w:val="20"/>
        </w:rPr>
      </w:pPr>
      <w:r w:rsidRPr="00245CCF">
        <w:rPr>
          <w:rFonts w:ascii="Verdana" w:hAnsi="Verdana"/>
          <w:i/>
          <w:iCs/>
          <w:sz w:val="20"/>
          <w:szCs w:val="20"/>
        </w:rPr>
        <w:t xml:space="preserve">Interim statements of value </w:t>
      </w:r>
      <w:proofErr w:type="gramStart"/>
      <w:r w:rsidRPr="00245CCF">
        <w:rPr>
          <w:rFonts w:ascii="Verdana" w:hAnsi="Verdana"/>
          <w:i/>
          <w:iCs/>
          <w:sz w:val="20"/>
          <w:szCs w:val="20"/>
        </w:rPr>
        <w:t>added</w:t>
      </w:r>
      <w:proofErr w:type="gramEnd"/>
    </w:p>
    <w:p w14:paraId="3C7C7CA9" w14:textId="77777777" w:rsidR="0002271C" w:rsidRPr="00245CCF" w:rsidRDefault="0002271C" w:rsidP="0002271C">
      <w:pPr>
        <w:pStyle w:val="Parecer"/>
        <w:widowControl w:val="0"/>
        <w:numPr>
          <w:ilvl w:val="0"/>
          <w:numId w:val="0"/>
        </w:numPr>
        <w:spacing w:after="200" w:line="240" w:lineRule="auto"/>
        <w:rPr>
          <w:rFonts w:ascii="Verdana" w:hAnsi="Verdana"/>
          <w:sz w:val="20"/>
          <w:szCs w:val="20"/>
        </w:rPr>
      </w:pPr>
      <w:r w:rsidRPr="00245CCF">
        <w:rPr>
          <w:rFonts w:ascii="Verdana" w:hAnsi="Verdana"/>
          <w:sz w:val="20"/>
          <w:szCs w:val="20"/>
        </w:rPr>
        <w:t xml:space="preserve">We have also reviewed the individual and </w:t>
      </w:r>
      <w:r w:rsidRPr="0003506F">
        <w:rPr>
          <w:rFonts w:ascii="Verdana" w:hAnsi="Verdana"/>
          <w:sz w:val="20"/>
          <w:szCs w:val="20"/>
        </w:rPr>
        <w:t xml:space="preserve">consolidated interim statements of value added (“DVA”) for the </w:t>
      </w:r>
      <w:r>
        <w:rPr>
          <w:rFonts w:ascii="Verdana" w:hAnsi="Verdana"/>
          <w:sz w:val="20"/>
          <w:szCs w:val="20"/>
        </w:rPr>
        <w:t>three</w:t>
      </w:r>
      <w:r w:rsidRPr="0003506F">
        <w:rPr>
          <w:rFonts w:ascii="Verdana" w:hAnsi="Verdana"/>
          <w:sz w:val="20"/>
          <w:szCs w:val="20"/>
        </w:rPr>
        <w:t>-month</w:t>
      </w:r>
      <w:r>
        <w:rPr>
          <w:rFonts w:ascii="Verdana" w:hAnsi="Verdana"/>
          <w:sz w:val="20"/>
          <w:szCs w:val="20"/>
        </w:rPr>
        <w:t>s</w:t>
      </w:r>
      <w:r w:rsidRPr="0003506F">
        <w:rPr>
          <w:rFonts w:ascii="Verdana" w:hAnsi="Verdana"/>
          <w:sz w:val="20"/>
          <w:szCs w:val="20"/>
        </w:rPr>
        <w:t xml:space="preserve"> period ended </w:t>
      </w:r>
      <w:r>
        <w:rPr>
          <w:rFonts w:ascii="Verdana" w:hAnsi="Verdana"/>
          <w:sz w:val="20"/>
          <w:szCs w:val="20"/>
        </w:rPr>
        <w:t>March</w:t>
      </w:r>
      <w:r w:rsidRPr="0003506F">
        <w:rPr>
          <w:rFonts w:ascii="Verdana" w:hAnsi="Verdana"/>
          <w:sz w:val="20"/>
          <w:szCs w:val="20"/>
        </w:rPr>
        <w:t xml:space="preserve"> 3</w:t>
      </w:r>
      <w:r>
        <w:rPr>
          <w:rFonts w:ascii="Verdana" w:hAnsi="Verdana"/>
          <w:sz w:val="20"/>
          <w:szCs w:val="20"/>
        </w:rPr>
        <w:t>1</w:t>
      </w:r>
      <w:r w:rsidRPr="0003506F">
        <w:rPr>
          <w:rFonts w:ascii="Verdana" w:hAnsi="Verdana"/>
          <w:sz w:val="20"/>
          <w:szCs w:val="20"/>
        </w:rPr>
        <w:t>, 20</w:t>
      </w:r>
      <w:r>
        <w:rPr>
          <w:rFonts w:ascii="Verdana" w:hAnsi="Verdana"/>
          <w:sz w:val="20"/>
          <w:szCs w:val="20"/>
        </w:rPr>
        <w:t>20</w:t>
      </w:r>
      <w:r w:rsidRPr="0003506F">
        <w:rPr>
          <w:rFonts w:ascii="Verdana" w:hAnsi="Verdana"/>
          <w:sz w:val="20"/>
          <w:szCs w:val="20"/>
        </w:rPr>
        <w:t xml:space="preserve">, prepared under the responsibility of the Company’s </w:t>
      </w:r>
      <w:proofErr w:type="gramStart"/>
      <w:r w:rsidRPr="0003506F">
        <w:rPr>
          <w:rFonts w:ascii="Verdana" w:hAnsi="Verdana"/>
          <w:sz w:val="20"/>
          <w:szCs w:val="20"/>
        </w:rPr>
        <w:t>Management</w:t>
      </w:r>
      <w:proofErr w:type="gramEnd"/>
      <w:r w:rsidRPr="0003506F">
        <w:rPr>
          <w:rFonts w:ascii="Verdana" w:hAnsi="Verdana"/>
          <w:sz w:val="20"/>
          <w:szCs w:val="20"/>
        </w:rPr>
        <w:t xml:space="preserve"> and presented as supplemental information. These statements were subject to the same review procedures described above, </w:t>
      </w:r>
      <w:proofErr w:type="gramStart"/>
      <w:r w:rsidRPr="0003506F">
        <w:rPr>
          <w:rFonts w:ascii="Verdana" w:hAnsi="Verdana"/>
          <w:sz w:val="20"/>
          <w:szCs w:val="20"/>
        </w:rPr>
        <w:t>and,</w:t>
      </w:r>
      <w:proofErr w:type="gramEnd"/>
      <w:r w:rsidRPr="0003506F">
        <w:rPr>
          <w:rFonts w:ascii="Verdana" w:hAnsi="Verdana"/>
          <w:sz w:val="20"/>
          <w:szCs w:val="20"/>
        </w:rPr>
        <w:t xml:space="preserve"> based on</w:t>
      </w:r>
      <w:r w:rsidRPr="00245CCF">
        <w:rPr>
          <w:rFonts w:ascii="Verdana" w:hAnsi="Verdana"/>
          <w:sz w:val="20"/>
          <w:szCs w:val="20"/>
        </w:rPr>
        <w:t xml:space="preserve"> our review, nothing has come to our attention that causes us to believe that they were not prepared, in all material respects, consistently with the individual and consolidated interim financial statements taken as a whole.</w:t>
      </w:r>
    </w:p>
    <w:p w14:paraId="0EC726CE" w14:textId="77777777" w:rsidR="0002271C" w:rsidRPr="00245CCF" w:rsidRDefault="0002271C" w:rsidP="0002271C">
      <w:pPr>
        <w:pStyle w:val="Parecer"/>
        <w:widowControl w:val="0"/>
        <w:numPr>
          <w:ilvl w:val="0"/>
          <w:numId w:val="0"/>
        </w:numPr>
        <w:spacing w:after="200" w:line="240" w:lineRule="auto"/>
        <w:rPr>
          <w:rFonts w:ascii="Verdana" w:hAnsi="Verdana"/>
          <w:sz w:val="20"/>
          <w:szCs w:val="20"/>
        </w:rPr>
      </w:pPr>
      <w:r w:rsidRPr="00245CCF">
        <w:rPr>
          <w:rFonts w:ascii="Verdana" w:hAnsi="Verdana"/>
          <w:sz w:val="20"/>
          <w:szCs w:val="20"/>
        </w:rPr>
        <w:t xml:space="preserve">The accompanying individual and consolidated </w:t>
      </w:r>
      <w:r w:rsidRPr="00245CCF">
        <w:rPr>
          <w:rFonts w:ascii="Verdana" w:hAnsi="Verdana"/>
          <w:iCs/>
          <w:sz w:val="20"/>
          <w:szCs w:val="20"/>
        </w:rPr>
        <w:t xml:space="preserve">interim </w:t>
      </w:r>
      <w:r w:rsidRPr="00245CCF">
        <w:rPr>
          <w:rFonts w:ascii="Verdana" w:hAnsi="Verdana"/>
          <w:sz w:val="20"/>
          <w:szCs w:val="20"/>
        </w:rPr>
        <w:t>financial statements have been translated into English for the convenience of readers outside Brazil.</w:t>
      </w:r>
    </w:p>
    <w:p w14:paraId="09286449" w14:textId="77777777" w:rsidR="0002271C" w:rsidRPr="00245CCF" w:rsidRDefault="0002271C" w:rsidP="0002271C">
      <w:pPr>
        <w:pStyle w:val="17TEXTOcorpojustificado"/>
        <w:widowControl w:val="0"/>
        <w:spacing w:after="600" w:line="240" w:lineRule="auto"/>
        <w:jc w:val="left"/>
        <w:outlineLvl w:val="0"/>
        <w:rPr>
          <w:rFonts w:ascii="Verdana" w:hAnsi="Verdana"/>
          <w:sz w:val="20"/>
        </w:rPr>
      </w:pPr>
      <w:r w:rsidRPr="00245CCF">
        <w:rPr>
          <w:rFonts w:ascii="Verdana" w:hAnsi="Verdana"/>
          <w:sz w:val="20"/>
        </w:rPr>
        <w:t xml:space="preserve">Brasília, </w:t>
      </w:r>
      <w:r>
        <w:rPr>
          <w:rFonts w:ascii="Verdana" w:hAnsi="Verdana"/>
          <w:sz w:val="20"/>
        </w:rPr>
        <w:t>April</w:t>
      </w:r>
      <w:r w:rsidRPr="00245CCF">
        <w:rPr>
          <w:rFonts w:ascii="Verdana" w:hAnsi="Verdana"/>
          <w:sz w:val="20"/>
        </w:rPr>
        <w:t xml:space="preserve"> </w:t>
      </w:r>
      <w:r>
        <w:rPr>
          <w:rFonts w:ascii="Verdana" w:hAnsi="Verdana"/>
          <w:sz w:val="20"/>
        </w:rPr>
        <w:t>30</w:t>
      </w:r>
      <w:r w:rsidRPr="00245CCF">
        <w:rPr>
          <w:rFonts w:ascii="Verdana" w:hAnsi="Verdana"/>
          <w:sz w:val="20"/>
        </w:rPr>
        <w:t>, 20</w:t>
      </w:r>
      <w:r>
        <w:rPr>
          <w:rFonts w:ascii="Verdana" w:hAnsi="Verdana"/>
          <w:sz w:val="20"/>
        </w:rPr>
        <w:t>20</w:t>
      </w:r>
    </w:p>
    <w:tbl>
      <w:tblPr>
        <w:tblW w:w="9753" w:type="dxa"/>
        <w:tblInd w:w="-113" w:type="dxa"/>
        <w:tblCellMar>
          <w:left w:w="113" w:type="dxa"/>
          <w:right w:w="113" w:type="dxa"/>
        </w:tblCellMar>
        <w:tblLook w:val="0000" w:firstRow="0" w:lastRow="0" w:firstColumn="0" w:lastColumn="0" w:noHBand="0" w:noVBand="0"/>
      </w:tblPr>
      <w:tblGrid>
        <w:gridCol w:w="7343"/>
        <w:gridCol w:w="2410"/>
      </w:tblGrid>
      <w:tr w:rsidR="0002271C" w:rsidRPr="00245CCF" w14:paraId="5FF2380F" w14:textId="77777777" w:rsidTr="002C1F2F">
        <w:tc>
          <w:tcPr>
            <w:tcW w:w="7343" w:type="dxa"/>
          </w:tcPr>
          <w:p w14:paraId="6D9C07E1" w14:textId="77777777" w:rsidR="0002271C" w:rsidRPr="00245CCF" w:rsidRDefault="0002271C" w:rsidP="002C1F2F">
            <w:pPr>
              <w:pStyle w:val="Normal1"/>
              <w:widowControl w:val="0"/>
              <w:spacing w:after="0" w:line="240" w:lineRule="auto"/>
              <w:ind w:left="0"/>
              <w:jc w:val="left"/>
              <w:rPr>
                <w:rFonts w:ascii="Verdana" w:hAnsi="Verdana"/>
                <w:sz w:val="20"/>
                <w:szCs w:val="20"/>
              </w:rPr>
            </w:pPr>
            <w:r w:rsidRPr="00245CCF">
              <w:rPr>
                <w:rFonts w:ascii="Verdana" w:hAnsi="Verdana"/>
                <w:sz w:val="20"/>
                <w:szCs w:val="20"/>
              </w:rPr>
              <w:t>DELOITTE TOUCHE TOHMATSU</w:t>
            </w:r>
          </w:p>
        </w:tc>
        <w:tc>
          <w:tcPr>
            <w:tcW w:w="2410" w:type="dxa"/>
          </w:tcPr>
          <w:p w14:paraId="15E727E5" w14:textId="77777777" w:rsidR="0002271C" w:rsidRPr="00245CCF" w:rsidRDefault="0002271C" w:rsidP="002C1F2F">
            <w:pPr>
              <w:pStyle w:val="Normal1"/>
              <w:widowControl w:val="0"/>
              <w:spacing w:after="0" w:line="240" w:lineRule="auto"/>
              <w:ind w:left="1" w:hanging="1"/>
              <w:jc w:val="left"/>
              <w:rPr>
                <w:rFonts w:ascii="Verdana" w:hAnsi="Verdana"/>
                <w:sz w:val="20"/>
                <w:szCs w:val="20"/>
              </w:rPr>
            </w:pPr>
            <w:r w:rsidRPr="00245CCF">
              <w:rPr>
                <w:rFonts w:ascii="Verdana" w:eastAsia="Calibri" w:hAnsi="Verdana"/>
                <w:color w:val="000000"/>
                <w:sz w:val="20"/>
              </w:rPr>
              <w:t xml:space="preserve">Roberto Paulo </w:t>
            </w:r>
            <w:proofErr w:type="spellStart"/>
            <w:r w:rsidRPr="00245CCF">
              <w:rPr>
                <w:rFonts w:ascii="Verdana" w:eastAsia="Calibri" w:hAnsi="Verdana"/>
                <w:color w:val="000000"/>
                <w:sz w:val="20"/>
              </w:rPr>
              <w:t>Kenedi</w:t>
            </w:r>
            <w:proofErr w:type="spellEnd"/>
          </w:p>
        </w:tc>
      </w:tr>
      <w:tr w:rsidR="0002271C" w:rsidRPr="00245CCF" w14:paraId="2A79D8A7" w14:textId="77777777" w:rsidTr="002C1F2F">
        <w:tc>
          <w:tcPr>
            <w:tcW w:w="7343" w:type="dxa"/>
          </w:tcPr>
          <w:p w14:paraId="6A5D764E" w14:textId="77777777" w:rsidR="0002271C" w:rsidRPr="00245CCF" w:rsidRDefault="0002271C" w:rsidP="002C1F2F">
            <w:pPr>
              <w:pStyle w:val="Normal1"/>
              <w:widowControl w:val="0"/>
              <w:spacing w:after="0" w:line="240" w:lineRule="auto"/>
              <w:ind w:left="0"/>
              <w:jc w:val="left"/>
              <w:rPr>
                <w:rFonts w:ascii="Verdana" w:hAnsi="Verdana"/>
                <w:sz w:val="20"/>
                <w:szCs w:val="20"/>
              </w:rPr>
            </w:pPr>
            <w:proofErr w:type="spellStart"/>
            <w:r w:rsidRPr="00245CCF">
              <w:rPr>
                <w:rFonts w:ascii="Verdana" w:hAnsi="Verdana"/>
                <w:sz w:val="20"/>
                <w:szCs w:val="20"/>
              </w:rPr>
              <w:t>Auditores</w:t>
            </w:r>
            <w:proofErr w:type="spellEnd"/>
            <w:r w:rsidRPr="00245CCF">
              <w:rPr>
                <w:rFonts w:ascii="Verdana" w:hAnsi="Verdana"/>
                <w:sz w:val="20"/>
                <w:szCs w:val="20"/>
              </w:rPr>
              <w:t xml:space="preserve"> </w:t>
            </w:r>
            <w:proofErr w:type="spellStart"/>
            <w:r w:rsidRPr="00245CCF">
              <w:rPr>
                <w:rFonts w:ascii="Verdana" w:hAnsi="Verdana"/>
                <w:sz w:val="20"/>
                <w:szCs w:val="20"/>
              </w:rPr>
              <w:t>Independentes</w:t>
            </w:r>
            <w:proofErr w:type="spellEnd"/>
          </w:p>
        </w:tc>
        <w:tc>
          <w:tcPr>
            <w:tcW w:w="2410" w:type="dxa"/>
          </w:tcPr>
          <w:p w14:paraId="1E908CE4" w14:textId="77777777" w:rsidR="0002271C" w:rsidRPr="00245CCF" w:rsidRDefault="0002271C" w:rsidP="002C1F2F">
            <w:pPr>
              <w:pStyle w:val="Normal1"/>
              <w:widowControl w:val="0"/>
              <w:spacing w:after="0" w:line="240" w:lineRule="auto"/>
              <w:ind w:left="1" w:hanging="1"/>
              <w:jc w:val="left"/>
              <w:rPr>
                <w:rFonts w:ascii="Verdana" w:hAnsi="Verdana"/>
                <w:sz w:val="20"/>
                <w:szCs w:val="20"/>
              </w:rPr>
            </w:pPr>
            <w:r w:rsidRPr="00245CCF">
              <w:rPr>
                <w:rFonts w:ascii="Verdana" w:hAnsi="Verdana"/>
                <w:sz w:val="20"/>
                <w:szCs w:val="20"/>
              </w:rPr>
              <w:t>Engagement Partner</w:t>
            </w:r>
          </w:p>
        </w:tc>
      </w:tr>
    </w:tbl>
    <w:p w14:paraId="1F793FA2" w14:textId="18E919CB" w:rsidR="0002271C" w:rsidRPr="00245CCF" w:rsidRDefault="0002271C" w:rsidP="0002271C">
      <w:pPr>
        <w:rPr>
          <w:rFonts w:ascii="Verdana" w:hAnsi="Verdana"/>
          <w:sz w:val="20"/>
          <w:szCs w:val="10"/>
        </w:rPr>
      </w:pPr>
    </w:p>
    <w:p w14:paraId="08BF189D" w14:textId="77777777" w:rsidR="0002271C" w:rsidRDefault="0002271C" w:rsidP="00A86A67">
      <w:pPr>
        <w:spacing w:before="120" w:after="120" w:line="276" w:lineRule="auto"/>
        <w:jc w:val="both"/>
        <w:rPr>
          <w:rFonts w:eastAsia="MS Mincho" w:cs="Arial"/>
          <w:b/>
          <w:color w:val="1F4E79"/>
          <w:spacing w:val="-2"/>
          <w:sz w:val="20"/>
        </w:rPr>
        <w:sectPr w:rsidR="0002271C" w:rsidSect="00076CE6">
          <w:pgSz w:w="11906" w:h="16838" w:code="9"/>
          <w:pgMar w:top="1134" w:right="1134" w:bottom="1134" w:left="1134" w:header="709" w:footer="283" w:gutter="0"/>
          <w:cols w:space="708"/>
          <w:titlePg/>
          <w:docGrid w:linePitch="360"/>
        </w:sectPr>
      </w:pPr>
    </w:p>
    <w:p w14:paraId="23A7CD59" w14:textId="6194138E" w:rsidR="00A86A67" w:rsidRPr="00A86A67" w:rsidRDefault="00A86A67" w:rsidP="00A86A67">
      <w:pPr>
        <w:spacing w:before="120" w:after="120" w:line="276" w:lineRule="auto"/>
        <w:jc w:val="both"/>
        <w:rPr>
          <w:rFonts w:eastAsia="MS Mincho" w:cs="Arial"/>
          <w:b/>
          <w:color w:val="1F4E79"/>
          <w:spacing w:val="-2"/>
          <w:sz w:val="20"/>
        </w:rPr>
      </w:pPr>
      <w:proofErr w:type="spellStart"/>
      <w:r w:rsidRPr="00A86A67">
        <w:rPr>
          <w:rFonts w:eastAsia="MS Mincho" w:cs="Arial"/>
          <w:b/>
          <w:color w:val="1F4E79"/>
          <w:spacing w:val="-2"/>
          <w:sz w:val="20"/>
        </w:rPr>
        <w:lastRenderedPageBreak/>
        <w:t>Declaration</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of</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the</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Members</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of</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the</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Executive</w:t>
      </w:r>
      <w:proofErr w:type="spellEnd"/>
      <w:r w:rsidRPr="00A86A67">
        <w:rPr>
          <w:rFonts w:eastAsia="MS Mincho" w:cs="Arial"/>
          <w:b/>
          <w:color w:val="1F4E79"/>
          <w:spacing w:val="-2"/>
          <w:sz w:val="20"/>
        </w:rPr>
        <w:t xml:space="preserve"> Board </w:t>
      </w:r>
      <w:proofErr w:type="spellStart"/>
      <w:r w:rsidRPr="00A86A67">
        <w:rPr>
          <w:rFonts w:eastAsia="MS Mincho" w:cs="Arial"/>
          <w:b/>
          <w:color w:val="1F4E79"/>
          <w:spacing w:val="-2"/>
          <w:sz w:val="20"/>
        </w:rPr>
        <w:t>about</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the</w:t>
      </w:r>
      <w:proofErr w:type="spellEnd"/>
      <w:r w:rsidRPr="00A86A67">
        <w:rPr>
          <w:rFonts w:eastAsia="MS Mincho" w:cs="Arial"/>
          <w:b/>
          <w:color w:val="1F4E79"/>
          <w:spacing w:val="-2"/>
          <w:sz w:val="20"/>
        </w:rPr>
        <w:t xml:space="preserve"> Financial </w:t>
      </w:r>
      <w:proofErr w:type="spellStart"/>
      <w:r w:rsidRPr="00A86A67">
        <w:rPr>
          <w:rFonts w:eastAsia="MS Mincho" w:cs="Arial"/>
          <w:b/>
          <w:color w:val="1F4E79"/>
          <w:spacing w:val="-2"/>
          <w:sz w:val="20"/>
        </w:rPr>
        <w:t>Statements</w:t>
      </w:r>
      <w:proofErr w:type="spellEnd"/>
    </w:p>
    <w:p w14:paraId="777D8F05" w14:textId="77777777" w:rsidR="00A86A67" w:rsidRPr="00A86A67" w:rsidRDefault="00A86A67" w:rsidP="00A86A67">
      <w:pPr>
        <w:spacing w:after="140" w:line="290" w:lineRule="auto"/>
        <w:jc w:val="center"/>
        <w:rPr>
          <w:rFonts w:eastAsia="Times New Roman" w:cs="Times New Roman"/>
          <w:kern w:val="20"/>
          <w:sz w:val="20"/>
          <w:szCs w:val="20"/>
          <w:lang w:val="en-US" w:eastAsia="en-GB"/>
        </w:rPr>
      </w:pPr>
    </w:p>
    <w:p w14:paraId="26E49BCB" w14:textId="77777777" w:rsidR="00A86A67" w:rsidRPr="00A86A67" w:rsidRDefault="00A86A67" w:rsidP="00A86A67">
      <w:pPr>
        <w:spacing w:after="140" w:line="288" w:lineRule="auto"/>
        <w:jc w:val="both"/>
        <w:rPr>
          <w:rFonts w:eastAsia="Times New Roman" w:cs="Times New Roman"/>
          <w:kern w:val="20"/>
          <w:sz w:val="20"/>
          <w:szCs w:val="20"/>
          <w:lang w:val="en-US" w:eastAsia="en-GB"/>
        </w:rPr>
      </w:pPr>
      <w:r w:rsidRPr="00A86A67">
        <w:rPr>
          <w:rFonts w:eastAsia="Times New Roman" w:cs="Times New Roman"/>
          <w:kern w:val="20"/>
          <w:sz w:val="20"/>
          <w:szCs w:val="20"/>
          <w:lang w:val="en-US" w:eastAsia="en-GB"/>
        </w:rPr>
        <w:t xml:space="preserve">In accordance with article 25 of CVM Rule 480, dated December 07, 2009, I declare that I have reviewed the Financial Statements for the period ended </w:t>
      </w:r>
      <w:proofErr w:type="gramStart"/>
      <w:r w:rsidRPr="00A86A67">
        <w:rPr>
          <w:rFonts w:eastAsia="Times New Roman" w:cs="Times New Roman"/>
          <w:kern w:val="20"/>
          <w:sz w:val="20"/>
          <w:szCs w:val="20"/>
          <w:lang w:val="en-US" w:eastAsia="en-GB"/>
        </w:rPr>
        <w:t>in</w:t>
      </w:r>
      <w:proofErr w:type="gramEnd"/>
      <w:r w:rsidRPr="00A86A67">
        <w:rPr>
          <w:rFonts w:eastAsia="Times New Roman" w:cs="Times New Roman"/>
          <w:kern w:val="20"/>
          <w:sz w:val="20"/>
          <w:szCs w:val="20"/>
          <w:lang w:val="en-US" w:eastAsia="en-GB"/>
        </w:rPr>
        <w:t xml:space="preserve"> March 31, 2020 of the BB </w:t>
      </w:r>
      <w:proofErr w:type="spellStart"/>
      <w:r w:rsidRPr="00A86A67">
        <w:rPr>
          <w:rFonts w:eastAsia="Times New Roman" w:cs="Times New Roman"/>
          <w:kern w:val="20"/>
          <w:sz w:val="20"/>
          <w:szCs w:val="20"/>
          <w:lang w:val="en-US" w:eastAsia="en-GB"/>
        </w:rPr>
        <w:t>Seguridade</w:t>
      </w:r>
      <w:proofErr w:type="spellEnd"/>
      <w:r w:rsidRPr="00A86A67">
        <w:rPr>
          <w:rFonts w:eastAsia="Times New Roman" w:cs="Times New Roman"/>
          <w:kern w:val="20"/>
          <w:sz w:val="20"/>
          <w:szCs w:val="20"/>
          <w:lang w:val="en-US" w:eastAsia="en-GB"/>
        </w:rPr>
        <w:t xml:space="preserve"> </w:t>
      </w:r>
      <w:proofErr w:type="spellStart"/>
      <w:r w:rsidRPr="00A86A67">
        <w:rPr>
          <w:rFonts w:eastAsia="Times New Roman" w:cs="Times New Roman"/>
          <w:kern w:val="20"/>
          <w:sz w:val="20"/>
          <w:szCs w:val="20"/>
          <w:lang w:val="en-US" w:eastAsia="en-GB"/>
        </w:rPr>
        <w:t>Participações</w:t>
      </w:r>
      <w:proofErr w:type="spellEnd"/>
      <w:r w:rsidRPr="00A86A67">
        <w:rPr>
          <w:rFonts w:eastAsia="Times New Roman" w:cs="Times New Roman"/>
          <w:kern w:val="20"/>
          <w:sz w:val="20"/>
          <w:szCs w:val="20"/>
          <w:lang w:val="en-US" w:eastAsia="en-GB"/>
        </w:rPr>
        <w:t xml:space="preserve"> S.A. and, based on subsequent discussions, I agree that such statements reflect fairly, in all material respects, the financial position for the period presented.</w:t>
      </w:r>
    </w:p>
    <w:p w14:paraId="2B3980A8" w14:textId="77777777" w:rsidR="00A86A67" w:rsidRPr="00A86A67" w:rsidRDefault="00A86A67" w:rsidP="00A86A67">
      <w:pPr>
        <w:spacing w:after="140" w:line="288" w:lineRule="auto"/>
        <w:jc w:val="both"/>
        <w:rPr>
          <w:rFonts w:eastAsia="Times New Roman" w:cs="Times New Roman"/>
          <w:kern w:val="20"/>
          <w:sz w:val="20"/>
          <w:szCs w:val="20"/>
          <w:lang w:val="en-US" w:eastAsia="en-GB"/>
        </w:rPr>
      </w:pPr>
    </w:p>
    <w:p w14:paraId="58097290" w14:textId="77777777" w:rsidR="00A86A67" w:rsidRPr="00A86A67" w:rsidRDefault="00A86A67" w:rsidP="00A86A67">
      <w:pPr>
        <w:spacing w:after="140" w:line="288" w:lineRule="auto"/>
        <w:jc w:val="both"/>
        <w:rPr>
          <w:rFonts w:eastAsia="Times New Roman" w:cs="Times New Roman"/>
          <w:kern w:val="20"/>
          <w:sz w:val="20"/>
          <w:szCs w:val="20"/>
          <w:lang w:val="en-US" w:eastAsia="en-GB"/>
        </w:rPr>
      </w:pPr>
    </w:p>
    <w:p w14:paraId="7D7CEDBA" w14:textId="77777777" w:rsidR="00A86A67" w:rsidRPr="00A86A67" w:rsidRDefault="00A86A67" w:rsidP="00A86A67">
      <w:pPr>
        <w:spacing w:after="140" w:line="288" w:lineRule="auto"/>
        <w:jc w:val="both"/>
        <w:rPr>
          <w:rFonts w:eastAsia="Times New Roman" w:cs="Times New Roman"/>
          <w:kern w:val="20"/>
          <w:sz w:val="20"/>
          <w:szCs w:val="20"/>
          <w:lang w:eastAsia="en-GB"/>
        </w:rPr>
      </w:pPr>
      <w:r w:rsidRPr="00A86A67">
        <w:rPr>
          <w:rFonts w:eastAsia="Times New Roman" w:cs="Times New Roman"/>
          <w:kern w:val="20"/>
          <w:sz w:val="20"/>
          <w:szCs w:val="20"/>
          <w:lang w:eastAsia="en-GB"/>
        </w:rPr>
        <w:t>Brasília (DF), April 30, 2020.</w:t>
      </w:r>
    </w:p>
    <w:p w14:paraId="3CB8FC98" w14:textId="77777777" w:rsidR="00A86A67" w:rsidRPr="00A86A67" w:rsidRDefault="00A86A67" w:rsidP="00A86A67">
      <w:pPr>
        <w:spacing w:after="140" w:line="288" w:lineRule="auto"/>
        <w:jc w:val="both"/>
        <w:rPr>
          <w:rFonts w:eastAsia="Times New Roman" w:cs="Times New Roman"/>
          <w:kern w:val="20"/>
          <w:sz w:val="20"/>
          <w:szCs w:val="20"/>
          <w:lang w:eastAsia="en-GB"/>
        </w:rPr>
      </w:pPr>
    </w:p>
    <w:p w14:paraId="1FBF2F28" w14:textId="77777777" w:rsidR="00A86A67" w:rsidRPr="00A86A67" w:rsidRDefault="00A86A67" w:rsidP="00A86A67">
      <w:pPr>
        <w:spacing w:after="140" w:line="288" w:lineRule="auto"/>
        <w:jc w:val="both"/>
        <w:rPr>
          <w:rFonts w:eastAsia="Times New Roman" w:cs="Times New Roman"/>
          <w:kern w:val="20"/>
          <w:sz w:val="20"/>
          <w:szCs w:val="20"/>
          <w:lang w:eastAsia="en-GB"/>
        </w:rPr>
      </w:pPr>
    </w:p>
    <w:p w14:paraId="0480E681" w14:textId="77777777" w:rsidR="00A86A67" w:rsidRPr="00A86A67" w:rsidRDefault="00A86A67" w:rsidP="00A86A67">
      <w:pPr>
        <w:keepNext/>
        <w:spacing w:before="120" w:after="0" w:line="276" w:lineRule="auto"/>
        <w:jc w:val="both"/>
        <w:rPr>
          <w:rFonts w:eastAsia="Times New Roman" w:cs="Times New Roman"/>
          <w:snapToGrid w:val="0"/>
          <w:spacing w:val="-2"/>
          <w:sz w:val="20"/>
          <w:szCs w:val="20"/>
          <w:lang w:eastAsia="pt-BR"/>
        </w:rPr>
      </w:pPr>
      <w:r w:rsidRPr="00A86A67">
        <w:rPr>
          <w:rFonts w:eastAsia="Times New Roman" w:cs="Times New Roman"/>
          <w:snapToGrid w:val="0"/>
          <w:spacing w:val="-2"/>
          <w:sz w:val="20"/>
          <w:szCs w:val="18"/>
          <w:lang w:eastAsia="pt-BR"/>
        </w:rPr>
        <w:t xml:space="preserve">Bernardo de Azevedo Silva </w:t>
      </w:r>
      <w:proofErr w:type="spellStart"/>
      <w:r w:rsidRPr="00A86A67">
        <w:rPr>
          <w:rFonts w:eastAsia="Times New Roman" w:cs="Times New Roman"/>
          <w:snapToGrid w:val="0"/>
          <w:spacing w:val="-2"/>
          <w:sz w:val="20"/>
          <w:szCs w:val="18"/>
          <w:lang w:eastAsia="pt-BR"/>
        </w:rPr>
        <w:t>Rothe</w:t>
      </w:r>
      <w:proofErr w:type="spellEnd"/>
    </w:p>
    <w:p w14:paraId="60179597" w14:textId="77777777" w:rsidR="00A86A67" w:rsidRPr="00A86A67" w:rsidRDefault="00A86A67" w:rsidP="00A86A67">
      <w:pPr>
        <w:spacing w:after="0" w:line="240" w:lineRule="auto"/>
        <w:jc w:val="both"/>
        <w:rPr>
          <w:rFonts w:eastAsia="Times New Roman" w:cs="Times New Roman"/>
          <w:kern w:val="20"/>
          <w:sz w:val="20"/>
          <w:szCs w:val="20"/>
          <w:lang w:eastAsia="en-GB"/>
        </w:rPr>
      </w:pPr>
      <w:proofErr w:type="spellStart"/>
      <w:r w:rsidRPr="00A86A67">
        <w:rPr>
          <w:rFonts w:eastAsia="Times New Roman" w:cs="Times New Roman"/>
          <w:kern w:val="20"/>
          <w:sz w:val="20"/>
          <w:szCs w:val="20"/>
          <w:lang w:eastAsia="en-GB"/>
        </w:rPr>
        <w:t>Chief</w:t>
      </w:r>
      <w:proofErr w:type="spellEnd"/>
      <w:r w:rsidRPr="00A86A67">
        <w:rPr>
          <w:rFonts w:eastAsia="Times New Roman" w:cs="Times New Roman"/>
          <w:kern w:val="20"/>
          <w:sz w:val="20"/>
          <w:szCs w:val="20"/>
          <w:lang w:eastAsia="en-GB"/>
        </w:rPr>
        <w:t xml:space="preserve"> </w:t>
      </w:r>
      <w:proofErr w:type="spellStart"/>
      <w:r w:rsidRPr="00A86A67">
        <w:rPr>
          <w:rFonts w:eastAsia="Times New Roman" w:cs="Times New Roman"/>
          <w:kern w:val="20"/>
          <w:sz w:val="20"/>
          <w:szCs w:val="20"/>
          <w:lang w:eastAsia="en-GB"/>
        </w:rPr>
        <w:t>Executive</w:t>
      </w:r>
      <w:proofErr w:type="spellEnd"/>
      <w:r w:rsidRPr="00A86A67">
        <w:rPr>
          <w:rFonts w:eastAsia="Times New Roman" w:cs="Times New Roman"/>
          <w:kern w:val="20"/>
          <w:sz w:val="20"/>
          <w:szCs w:val="20"/>
          <w:lang w:eastAsia="en-GB"/>
        </w:rPr>
        <w:t xml:space="preserve"> Officer</w:t>
      </w:r>
    </w:p>
    <w:p w14:paraId="03D29A93" w14:textId="77777777" w:rsidR="00A86A67" w:rsidRPr="00A86A67" w:rsidRDefault="00A86A67" w:rsidP="00A86A67">
      <w:pPr>
        <w:spacing w:after="0" w:line="240" w:lineRule="auto"/>
        <w:jc w:val="both"/>
        <w:rPr>
          <w:rFonts w:eastAsia="Times New Roman" w:cs="Times New Roman"/>
          <w:kern w:val="20"/>
          <w:sz w:val="20"/>
          <w:szCs w:val="20"/>
          <w:lang w:val="en-US" w:eastAsia="en-GB"/>
        </w:rPr>
      </w:pPr>
      <w:r w:rsidRPr="00A86A67">
        <w:rPr>
          <w:rFonts w:eastAsia="Times New Roman" w:cs="Times New Roman"/>
          <w:kern w:val="20"/>
          <w:sz w:val="20"/>
          <w:szCs w:val="20"/>
          <w:lang w:val="en-US" w:eastAsia="en-GB"/>
        </w:rPr>
        <w:t>Chief Financial Officer</w:t>
      </w:r>
    </w:p>
    <w:p w14:paraId="4180AF47"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00D10147"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6D2AA308" w14:textId="77777777" w:rsidR="00A86A67" w:rsidRPr="00A86A67" w:rsidRDefault="00A86A67" w:rsidP="00A86A67">
      <w:pPr>
        <w:keepNext/>
        <w:spacing w:before="120" w:after="0" w:line="240" w:lineRule="auto"/>
        <w:jc w:val="both"/>
        <w:rPr>
          <w:rFonts w:eastAsia="Times New Roman" w:cs="Times New Roman"/>
          <w:snapToGrid w:val="0"/>
          <w:sz w:val="20"/>
          <w:szCs w:val="20"/>
          <w:lang w:eastAsia="pt-BR"/>
        </w:rPr>
      </w:pPr>
      <w:r w:rsidRPr="00A86A67">
        <w:rPr>
          <w:rFonts w:eastAsia="Times New Roman" w:cs="Times New Roman"/>
          <w:snapToGrid w:val="0"/>
          <w:sz w:val="20"/>
          <w:szCs w:val="20"/>
          <w:lang w:eastAsia="pt-BR"/>
        </w:rPr>
        <w:t xml:space="preserve">Pedro </w:t>
      </w:r>
      <w:proofErr w:type="spellStart"/>
      <w:r w:rsidRPr="00A86A67">
        <w:rPr>
          <w:rFonts w:eastAsia="Times New Roman" w:cs="Times New Roman"/>
          <w:snapToGrid w:val="0"/>
          <w:sz w:val="20"/>
          <w:szCs w:val="20"/>
          <w:lang w:eastAsia="pt-BR"/>
        </w:rPr>
        <w:t>Bramont</w:t>
      </w:r>
      <w:proofErr w:type="spellEnd"/>
    </w:p>
    <w:p w14:paraId="17BD6A7D"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r w:rsidRPr="00A86A67">
        <w:rPr>
          <w:rFonts w:eastAsia="Times New Roman" w:cs="Arial"/>
          <w:kern w:val="20"/>
          <w:sz w:val="20"/>
          <w:szCs w:val="20"/>
          <w:lang w:val="en-US" w:eastAsia="en-GB"/>
        </w:rPr>
        <w:t>Chief Strategy Officer</w:t>
      </w:r>
    </w:p>
    <w:p w14:paraId="58AAF0BC"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30E24666"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73B37252" w14:textId="77777777" w:rsidR="00A86A67" w:rsidRPr="00A86A67" w:rsidRDefault="00A86A67" w:rsidP="00A86A67">
      <w:pPr>
        <w:keepNext/>
        <w:spacing w:before="120" w:after="0" w:line="240" w:lineRule="auto"/>
        <w:jc w:val="both"/>
        <w:rPr>
          <w:rFonts w:eastAsia="Times New Roman" w:cs="Times New Roman"/>
          <w:snapToGrid w:val="0"/>
          <w:sz w:val="20"/>
          <w:szCs w:val="20"/>
          <w:lang w:eastAsia="pt-BR"/>
        </w:rPr>
      </w:pPr>
      <w:r w:rsidRPr="00A86A67">
        <w:rPr>
          <w:rFonts w:eastAsia="Times New Roman" w:cs="Times New Roman"/>
          <w:snapToGrid w:val="0"/>
          <w:sz w:val="20"/>
          <w:szCs w:val="20"/>
          <w:lang w:eastAsia="pt-BR"/>
        </w:rPr>
        <w:t xml:space="preserve">Reinaldo </w:t>
      </w:r>
      <w:proofErr w:type="spellStart"/>
      <w:r w:rsidRPr="00A86A67">
        <w:rPr>
          <w:rFonts w:eastAsia="Times New Roman" w:cs="Times New Roman"/>
          <w:snapToGrid w:val="0"/>
          <w:sz w:val="20"/>
          <w:szCs w:val="20"/>
          <w:lang w:eastAsia="pt-BR"/>
        </w:rPr>
        <w:t>Kazufumi</w:t>
      </w:r>
      <w:proofErr w:type="spellEnd"/>
      <w:r w:rsidRPr="00A86A67">
        <w:rPr>
          <w:rFonts w:eastAsia="Times New Roman" w:cs="Times New Roman"/>
          <w:snapToGrid w:val="0"/>
          <w:sz w:val="20"/>
          <w:szCs w:val="20"/>
          <w:lang w:eastAsia="pt-BR"/>
        </w:rPr>
        <w:t xml:space="preserve"> </w:t>
      </w:r>
      <w:proofErr w:type="spellStart"/>
      <w:r w:rsidRPr="00A86A67">
        <w:rPr>
          <w:rFonts w:eastAsia="Times New Roman" w:cs="Times New Roman"/>
          <w:snapToGrid w:val="0"/>
          <w:sz w:val="20"/>
          <w:szCs w:val="20"/>
          <w:lang w:eastAsia="pt-BR"/>
        </w:rPr>
        <w:t>Yokoyama</w:t>
      </w:r>
      <w:proofErr w:type="spellEnd"/>
    </w:p>
    <w:p w14:paraId="4635A7A1"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r w:rsidRPr="00A86A67">
        <w:rPr>
          <w:rFonts w:eastAsia="Times New Roman" w:cs="Arial"/>
          <w:kern w:val="20"/>
          <w:sz w:val="20"/>
          <w:szCs w:val="20"/>
          <w:lang w:val="en-US" w:eastAsia="en-GB"/>
        </w:rPr>
        <w:t>Chief Commercial Officer</w:t>
      </w:r>
    </w:p>
    <w:p w14:paraId="136C9E70"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1D7727F3" w14:textId="77777777" w:rsidR="00A86A67" w:rsidRPr="00A86A67" w:rsidRDefault="00A86A67" w:rsidP="00A86A67">
      <w:pPr>
        <w:spacing w:after="0" w:line="240" w:lineRule="auto"/>
        <w:rPr>
          <w:rFonts w:eastAsia="Times New Roman" w:cs="Arial"/>
          <w:sz w:val="20"/>
          <w:szCs w:val="20"/>
          <w:lang w:val="en-US" w:eastAsia="pt-BR"/>
        </w:rPr>
      </w:pPr>
      <w:r w:rsidRPr="00A86A67">
        <w:rPr>
          <w:rFonts w:eastAsia="Times New Roman" w:cs="Arial"/>
          <w:sz w:val="20"/>
          <w:szCs w:val="20"/>
          <w:lang w:val="en-US" w:eastAsia="pt-BR"/>
        </w:rPr>
        <w:br w:type="page"/>
      </w:r>
    </w:p>
    <w:p w14:paraId="7F444A53" w14:textId="1B1EBD74" w:rsidR="00A86A67" w:rsidRPr="00A86A67" w:rsidRDefault="00A86A67" w:rsidP="00A86A67">
      <w:pPr>
        <w:spacing w:after="140" w:line="290" w:lineRule="auto"/>
        <w:jc w:val="both"/>
        <w:rPr>
          <w:rFonts w:eastAsia="Times New Roman" w:cs="Times New Roman"/>
          <w:b/>
          <w:bCs/>
          <w:kern w:val="20"/>
          <w:sz w:val="20"/>
          <w:szCs w:val="20"/>
          <w:lang w:val="en-US" w:eastAsia="en-GB"/>
        </w:rPr>
      </w:pPr>
    </w:p>
    <w:p w14:paraId="79E44311" w14:textId="03A7A83C" w:rsidR="00A86A67" w:rsidRPr="00A86A67" w:rsidRDefault="00A86A67" w:rsidP="00A86A67">
      <w:pPr>
        <w:spacing w:before="120" w:after="120" w:line="276" w:lineRule="auto"/>
        <w:jc w:val="both"/>
        <w:rPr>
          <w:rFonts w:eastAsia="Times New Roman" w:cs="Times New Roman"/>
          <w:kern w:val="20"/>
          <w:sz w:val="20"/>
          <w:szCs w:val="24"/>
          <w:lang w:val="en" w:eastAsia="en-GB"/>
        </w:rPr>
      </w:pPr>
      <w:proofErr w:type="spellStart"/>
      <w:r w:rsidRPr="00A86A67">
        <w:rPr>
          <w:rFonts w:eastAsia="MS Mincho" w:cs="Arial"/>
          <w:b/>
          <w:color w:val="1F4E79"/>
          <w:spacing w:val="-2"/>
          <w:sz w:val="20"/>
        </w:rPr>
        <w:t>Statement</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of</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the</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Members</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of</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the</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Executive</w:t>
      </w:r>
      <w:proofErr w:type="spellEnd"/>
      <w:r w:rsidRPr="00A86A67">
        <w:rPr>
          <w:rFonts w:eastAsia="MS Mincho" w:cs="Arial"/>
          <w:b/>
          <w:color w:val="1F4E79"/>
          <w:spacing w:val="-2"/>
          <w:sz w:val="20"/>
        </w:rPr>
        <w:t xml:space="preserve"> Board </w:t>
      </w:r>
      <w:proofErr w:type="spellStart"/>
      <w:r w:rsidRPr="00A86A67">
        <w:rPr>
          <w:rFonts w:eastAsia="MS Mincho" w:cs="Arial"/>
          <w:b/>
          <w:color w:val="1F4E79"/>
          <w:spacing w:val="-2"/>
          <w:sz w:val="20"/>
        </w:rPr>
        <w:t>on</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the</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Report</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of</w:t>
      </w:r>
      <w:proofErr w:type="spellEnd"/>
      <w:r w:rsidRPr="00A86A67">
        <w:rPr>
          <w:rFonts w:eastAsia="MS Mincho" w:cs="Arial"/>
          <w:b/>
          <w:color w:val="1F4E79"/>
          <w:spacing w:val="-2"/>
          <w:sz w:val="20"/>
        </w:rPr>
        <w:t xml:space="preserve"> </w:t>
      </w:r>
      <w:proofErr w:type="spellStart"/>
      <w:r w:rsidRPr="00A86A67">
        <w:rPr>
          <w:rFonts w:eastAsia="MS Mincho" w:cs="Arial"/>
          <w:b/>
          <w:color w:val="1F4E79"/>
          <w:spacing w:val="-2"/>
          <w:sz w:val="20"/>
        </w:rPr>
        <w:t>the</w:t>
      </w:r>
      <w:proofErr w:type="spellEnd"/>
      <w:r w:rsidRPr="00A86A67">
        <w:rPr>
          <w:rFonts w:eastAsia="MS Mincho" w:cs="Arial"/>
          <w:b/>
          <w:color w:val="1F4E79"/>
          <w:spacing w:val="-2"/>
          <w:sz w:val="20"/>
        </w:rPr>
        <w:t xml:space="preserve"> Independent </w:t>
      </w:r>
      <w:proofErr w:type="spellStart"/>
      <w:r w:rsidRPr="00A86A67">
        <w:rPr>
          <w:rFonts w:eastAsia="MS Mincho" w:cs="Arial"/>
          <w:b/>
          <w:color w:val="1F4E79"/>
          <w:spacing w:val="-2"/>
          <w:sz w:val="20"/>
        </w:rPr>
        <w:t>Auditors</w:t>
      </w:r>
      <w:proofErr w:type="spellEnd"/>
      <w:r w:rsidRPr="00A86A67">
        <w:rPr>
          <w:rFonts w:eastAsia="MS Mincho" w:cs="Arial"/>
          <w:b/>
          <w:color w:val="1F4E79"/>
          <w:spacing w:val="-2"/>
          <w:sz w:val="20"/>
        </w:rPr>
        <w:t xml:space="preserve"> </w:t>
      </w:r>
      <w:r w:rsidRPr="00A86A67">
        <w:rPr>
          <w:rFonts w:eastAsia="MS Mincho" w:cs="Arial"/>
          <w:b/>
          <w:color w:val="1F4E79"/>
          <w:spacing w:val="-2"/>
          <w:sz w:val="20"/>
        </w:rPr>
        <w:br/>
      </w:r>
    </w:p>
    <w:p w14:paraId="44EDD930" w14:textId="77777777" w:rsidR="00A86A67" w:rsidRPr="00A86A67" w:rsidRDefault="00A86A67" w:rsidP="00A86A67">
      <w:pPr>
        <w:spacing w:after="140" w:line="288" w:lineRule="auto"/>
        <w:jc w:val="both"/>
        <w:rPr>
          <w:rFonts w:eastAsia="Times New Roman" w:cs="Times New Roman"/>
          <w:kern w:val="20"/>
          <w:sz w:val="20"/>
          <w:szCs w:val="24"/>
          <w:lang w:val="en" w:eastAsia="en-GB"/>
        </w:rPr>
      </w:pPr>
      <w:r w:rsidRPr="00A86A67">
        <w:rPr>
          <w:rFonts w:eastAsia="Times New Roman" w:cs="Times New Roman"/>
          <w:kern w:val="20"/>
          <w:sz w:val="20"/>
          <w:szCs w:val="24"/>
          <w:lang w:val="en" w:eastAsia="en-GB"/>
        </w:rPr>
        <w:t xml:space="preserve">In accordance with Article 25 of CVM Rule N. 480, dated 12.07.2009, I declare that based on my knowledge, the planning submitted by the auditors and the subsequent discussions on the audit results, I agree with the opinions expressed in the </w:t>
      </w:r>
      <w:r w:rsidRPr="00A86A67">
        <w:rPr>
          <w:rFonts w:eastAsia="Times New Roman" w:cs="Times New Roman"/>
          <w:kern w:val="20"/>
          <w:sz w:val="20"/>
          <w:szCs w:val="20"/>
          <w:lang w:eastAsia="en-GB"/>
        </w:rPr>
        <w:t xml:space="preserve">Deloitte Touche </w:t>
      </w:r>
      <w:proofErr w:type="spellStart"/>
      <w:r w:rsidRPr="00A86A67">
        <w:rPr>
          <w:rFonts w:eastAsia="Times New Roman" w:cs="Times New Roman"/>
          <w:kern w:val="20"/>
          <w:sz w:val="20"/>
          <w:szCs w:val="20"/>
          <w:lang w:eastAsia="en-GB"/>
        </w:rPr>
        <w:t>Tohmatsu</w:t>
      </w:r>
      <w:proofErr w:type="spellEnd"/>
      <w:r w:rsidRPr="00A86A67">
        <w:rPr>
          <w:rFonts w:eastAsia="Times New Roman" w:cs="Times New Roman"/>
          <w:kern w:val="20"/>
          <w:sz w:val="20"/>
          <w:szCs w:val="24"/>
          <w:lang w:val="en" w:eastAsia="en-GB"/>
        </w:rPr>
        <w:t xml:space="preserve"> Independent Auditors’ report, dated 04.30.2020, related to the financial statements of BB </w:t>
      </w:r>
      <w:proofErr w:type="spellStart"/>
      <w:r w:rsidRPr="00A86A67">
        <w:rPr>
          <w:rFonts w:eastAsia="Times New Roman" w:cs="Times New Roman"/>
          <w:kern w:val="20"/>
          <w:sz w:val="20"/>
          <w:szCs w:val="24"/>
          <w:lang w:val="en" w:eastAsia="en-GB"/>
        </w:rPr>
        <w:t>Seguridade</w:t>
      </w:r>
      <w:proofErr w:type="spellEnd"/>
      <w:r w:rsidRPr="00A86A67">
        <w:rPr>
          <w:rFonts w:eastAsia="Times New Roman" w:cs="Times New Roman"/>
          <w:kern w:val="20"/>
          <w:sz w:val="20"/>
          <w:szCs w:val="24"/>
          <w:lang w:val="en" w:eastAsia="en-GB"/>
        </w:rPr>
        <w:t xml:space="preserve"> </w:t>
      </w:r>
      <w:proofErr w:type="spellStart"/>
      <w:r w:rsidRPr="00A86A67">
        <w:rPr>
          <w:rFonts w:eastAsia="Times New Roman" w:cs="Times New Roman"/>
          <w:kern w:val="20"/>
          <w:sz w:val="20"/>
          <w:szCs w:val="24"/>
          <w:lang w:val="en" w:eastAsia="en-GB"/>
        </w:rPr>
        <w:t>Participações</w:t>
      </w:r>
      <w:proofErr w:type="spellEnd"/>
      <w:r w:rsidRPr="00A86A67">
        <w:rPr>
          <w:rFonts w:eastAsia="Times New Roman" w:cs="Times New Roman"/>
          <w:kern w:val="20"/>
          <w:sz w:val="20"/>
          <w:szCs w:val="24"/>
          <w:lang w:val="en" w:eastAsia="en-GB"/>
        </w:rPr>
        <w:t xml:space="preserve"> S.A. for the fiscal year ended 03.31.2020 there being no disagreement.</w:t>
      </w:r>
    </w:p>
    <w:p w14:paraId="73B1E392" w14:textId="77777777" w:rsidR="00A86A67" w:rsidRPr="00A86A67" w:rsidRDefault="00A86A67" w:rsidP="00A86A67">
      <w:pPr>
        <w:spacing w:after="140" w:line="288" w:lineRule="auto"/>
        <w:jc w:val="both"/>
        <w:rPr>
          <w:rFonts w:eastAsia="Times New Roman" w:cs="Times New Roman"/>
          <w:kern w:val="20"/>
          <w:sz w:val="20"/>
          <w:szCs w:val="24"/>
          <w:lang w:val="en" w:eastAsia="en-GB"/>
        </w:rPr>
      </w:pPr>
    </w:p>
    <w:p w14:paraId="0A744FC7" w14:textId="77777777" w:rsidR="00A86A67" w:rsidRPr="00A86A67" w:rsidRDefault="00A86A67" w:rsidP="00A86A67">
      <w:pPr>
        <w:spacing w:after="140" w:line="288" w:lineRule="auto"/>
        <w:jc w:val="both"/>
        <w:rPr>
          <w:rFonts w:eastAsia="Times New Roman" w:cs="Times New Roman"/>
          <w:kern w:val="20"/>
          <w:sz w:val="20"/>
          <w:szCs w:val="20"/>
          <w:lang w:eastAsia="en-GB"/>
        </w:rPr>
      </w:pPr>
      <w:r w:rsidRPr="00A86A67">
        <w:rPr>
          <w:rFonts w:eastAsia="Times New Roman" w:cs="Times New Roman"/>
          <w:kern w:val="20"/>
          <w:sz w:val="20"/>
          <w:szCs w:val="20"/>
          <w:lang w:eastAsia="en-GB"/>
        </w:rPr>
        <w:t>Brasília (DF), April 30, 2020.</w:t>
      </w:r>
    </w:p>
    <w:p w14:paraId="2B2542F6" w14:textId="77777777" w:rsidR="00A86A67" w:rsidRPr="00A86A67" w:rsidRDefault="00A86A67" w:rsidP="00A86A67">
      <w:pPr>
        <w:spacing w:after="140" w:line="288" w:lineRule="auto"/>
        <w:jc w:val="both"/>
        <w:rPr>
          <w:rFonts w:eastAsia="Times New Roman" w:cs="Times New Roman"/>
          <w:kern w:val="20"/>
          <w:sz w:val="20"/>
          <w:szCs w:val="20"/>
          <w:lang w:eastAsia="en-GB"/>
        </w:rPr>
      </w:pPr>
    </w:p>
    <w:p w14:paraId="4F869DA6" w14:textId="77777777" w:rsidR="00A86A67" w:rsidRPr="00A86A67" w:rsidRDefault="00A86A67" w:rsidP="00A86A67">
      <w:pPr>
        <w:spacing w:after="140" w:line="288" w:lineRule="auto"/>
        <w:jc w:val="both"/>
        <w:rPr>
          <w:rFonts w:eastAsia="Times New Roman" w:cs="Times New Roman"/>
          <w:kern w:val="20"/>
          <w:sz w:val="20"/>
          <w:szCs w:val="20"/>
          <w:lang w:eastAsia="en-GB"/>
        </w:rPr>
      </w:pPr>
    </w:p>
    <w:p w14:paraId="7A5AD1AD" w14:textId="77777777" w:rsidR="00A86A67" w:rsidRPr="00A86A67" w:rsidRDefault="00A86A67" w:rsidP="00A86A67">
      <w:pPr>
        <w:keepNext/>
        <w:spacing w:after="0" w:line="276" w:lineRule="auto"/>
        <w:jc w:val="both"/>
        <w:rPr>
          <w:rFonts w:eastAsia="Times New Roman" w:cs="Times New Roman"/>
          <w:snapToGrid w:val="0"/>
          <w:spacing w:val="-2"/>
          <w:sz w:val="20"/>
          <w:szCs w:val="20"/>
          <w:lang w:eastAsia="pt-BR"/>
        </w:rPr>
      </w:pPr>
      <w:r w:rsidRPr="00A86A67">
        <w:rPr>
          <w:rFonts w:eastAsia="Times New Roman" w:cs="Times New Roman"/>
          <w:snapToGrid w:val="0"/>
          <w:spacing w:val="-2"/>
          <w:sz w:val="20"/>
          <w:szCs w:val="18"/>
          <w:lang w:eastAsia="pt-BR"/>
        </w:rPr>
        <w:t xml:space="preserve">Bernardo de Azevedo Silva </w:t>
      </w:r>
      <w:proofErr w:type="spellStart"/>
      <w:r w:rsidRPr="00A86A67">
        <w:rPr>
          <w:rFonts w:eastAsia="Times New Roman" w:cs="Times New Roman"/>
          <w:snapToGrid w:val="0"/>
          <w:spacing w:val="-2"/>
          <w:sz w:val="20"/>
          <w:szCs w:val="18"/>
          <w:lang w:eastAsia="pt-BR"/>
        </w:rPr>
        <w:t>Rothe</w:t>
      </w:r>
      <w:proofErr w:type="spellEnd"/>
    </w:p>
    <w:p w14:paraId="092ADB07" w14:textId="77777777" w:rsidR="00A86A67" w:rsidRPr="00A86A67" w:rsidRDefault="00A86A67" w:rsidP="00A86A67">
      <w:pPr>
        <w:spacing w:after="0" w:line="288" w:lineRule="auto"/>
        <w:jc w:val="both"/>
        <w:rPr>
          <w:rFonts w:eastAsia="Times New Roman" w:cs="Times New Roman"/>
          <w:kern w:val="20"/>
          <w:sz w:val="20"/>
          <w:szCs w:val="20"/>
          <w:lang w:eastAsia="en-GB"/>
        </w:rPr>
      </w:pPr>
      <w:proofErr w:type="spellStart"/>
      <w:r w:rsidRPr="00A86A67">
        <w:rPr>
          <w:rFonts w:eastAsia="Times New Roman" w:cs="Times New Roman"/>
          <w:kern w:val="20"/>
          <w:sz w:val="20"/>
          <w:szCs w:val="20"/>
          <w:lang w:eastAsia="en-GB"/>
        </w:rPr>
        <w:t>Chief</w:t>
      </w:r>
      <w:proofErr w:type="spellEnd"/>
      <w:r w:rsidRPr="00A86A67">
        <w:rPr>
          <w:rFonts w:eastAsia="Times New Roman" w:cs="Times New Roman"/>
          <w:kern w:val="20"/>
          <w:sz w:val="20"/>
          <w:szCs w:val="20"/>
          <w:lang w:eastAsia="en-GB"/>
        </w:rPr>
        <w:t xml:space="preserve"> </w:t>
      </w:r>
      <w:proofErr w:type="spellStart"/>
      <w:r w:rsidRPr="00A86A67">
        <w:rPr>
          <w:rFonts w:eastAsia="Times New Roman" w:cs="Times New Roman"/>
          <w:kern w:val="20"/>
          <w:sz w:val="20"/>
          <w:szCs w:val="20"/>
          <w:lang w:eastAsia="en-GB"/>
        </w:rPr>
        <w:t>Executive</w:t>
      </w:r>
      <w:proofErr w:type="spellEnd"/>
      <w:r w:rsidRPr="00A86A67">
        <w:rPr>
          <w:rFonts w:eastAsia="Times New Roman" w:cs="Times New Roman"/>
          <w:kern w:val="20"/>
          <w:sz w:val="20"/>
          <w:szCs w:val="20"/>
          <w:lang w:eastAsia="en-GB"/>
        </w:rPr>
        <w:t xml:space="preserve"> Officer</w:t>
      </w:r>
    </w:p>
    <w:p w14:paraId="4C2154B6" w14:textId="77777777" w:rsidR="00A86A67" w:rsidRPr="00A86A67" w:rsidRDefault="00A86A67" w:rsidP="00A86A67">
      <w:pPr>
        <w:spacing w:after="0" w:line="288" w:lineRule="auto"/>
        <w:jc w:val="both"/>
        <w:rPr>
          <w:rFonts w:eastAsia="Times New Roman" w:cs="Times New Roman"/>
          <w:kern w:val="20"/>
          <w:sz w:val="20"/>
          <w:szCs w:val="20"/>
          <w:lang w:val="en-US" w:eastAsia="en-GB"/>
        </w:rPr>
      </w:pPr>
      <w:r w:rsidRPr="00A86A67">
        <w:rPr>
          <w:rFonts w:eastAsia="Times New Roman" w:cs="Times New Roman"/>
          <w:kern w:val="20"/>
          <w:sz w:val="20"/>
          <w:szCs w:val="20"/>
          <w:lang w:val="en-US" w:eastAsia="en-GB"/>
        </w:rPr>
        <w:t>Chief Financial Officer</w:t>
      </w:r>
    </w:p>
    <w:p w14:paraId="35BBBAA9"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7DF4B87D"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30567E1C" w14:textId="77777777" w:rsidR="00A86A67" w:rsidRPr="00A86A67" w:rsidRDefault="00A86A67" w:rsidP="00A86A67">
      <w:pPr>
        <w:keepNext/>
        <w:spacing w:before="120" w:after="0" w:line="240" w:lineRule="auto"/>
        <w:jc w:val="both"/>
        <w:rPr>
          <w:rFonts w:eastAsia="Times New Roman" w:cs="Times New Roman"/>
          <w:snapToGrid w:val="0"/>
          <w:sz w:val="20"/>
          <w:szCs w:val="20"/>
          <w:lang w:eastAsia="pt-BR"/>
        </w:rPr>
      </w:pPr>
      <w:r w:rsidRPr="00A86A67">
        <w:rPr>
          <w:rFonts w:eastAsia="Times New Roman" w:cs="Times New Roman"/>
          <w:snapToGrid w:val="0"/>
          <w:sz w:val="20"/>
          <w:szCs w:val="20"/>
          <w:lang w:eastAsia="pt-BR"/>
        </w:rPr>
        <w:t xml:space="preserve">Pedro </w:t>
      </w:r>
      <w:proofErr w:type="spellStart"/>
      <w:r w:rsidRPr="00A86A67">
        <w:rPr>
          <w:rFonts w:eastAsia="Times New Roman" w:cs="Times New Roman"/>
          <w:snapToGrid w:val="0"/>
          <w:sz w:val="20"/>
          <w:szCs w:val="20"/>
          <w:lang w:eastAsia="pt-BR"/>
        </w:rPr>
        <w:t>Bramont</w:t>
      </w:r>
      <w:proofErr w:type="spellEnd"/>
    </w:p>
    <w:p w14:paraId="0130C4D4"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r w:rsidRPr="00A86A67">
        <w:rPr>
          <w:rFonts w:eastAsia="Times New Roman" w:cs="Arial"/>
          <w:kern w:val="20"/>
          <w:sz w:val="20"/>
          <w:szCs w:val="20"/>
          <w:lang w:val="en-US" w:eastAsia="en-GB"/>
        </w:rPr>
        <w:t>Chief Strategy Officer</w:t>
      </w:r>
    </w:p>
    <w:p w14:paraId="46FBA586" w14:textId="77777777" w:rsidR="00A86A67" w:rsidRPr="00A86A67" w:rsidRDefault="00A86A67" w:rsidP="00A86A67">
      <w:pPr>
        <w:keepNext/>
        <w:spacing w:before="120" w:after="0" w:line="240" w:lineRule="auto"/>
        <w:jc w:val="both"/>
        <w:rPr>
          <w:rFonts w:eastAsia="Times New Roman" w:cs="Times New Roman"/>
          <w:snapToGrid w:val="0"/>
          <w:sz w:val="20"/>
          <w:szCs w:val="20"/>
          <w:lang w:eastAsia="pt-BR"/>
        </w:rPr>
      </w:pPr>
    </w:p>
    <w:p w14:paraId="3F09DB79" w14:textId="77777777" w:rsidR="00A86A67" w:rsidRPr="00A86A67" w:rsidRDefault="00A86A67" w:rsidP="00A86A67">
      <w:pPr>
        <w:keepNext/>
        <w:spacing w:before="120" w:after="0" w:line="240" w:lineRule="auto"/>
        <w:jc w:val="both"/>
        <w:rPr>
          <w:rFonts w:eastAsia="Times New Roman" w:cs="Times New Roman"/>
          <w:snapToGrid w:val="0"/>
          <w:sz w:val="20"/>
          <w:szCs w:val="20"/>
          <w:lang w:eastAsia="pt-BR"/>
        </w:rPr>
      </w:pPr>
    </w:p>
    <w:p w14:paraId="7835956F" w14:textId="77777777" w:rsidR="00A86A67" w:rsidRPr="00A86A67" w:rsidRDefault="00A86A67" w:rsidP="00A86A67">
      <w:pPr>
        <w:keepNext/>
        <w:spacing w:before="120" w:after="0" w:line="240" w:lineRule="auto"/>
        <w:jc w:val="both"/>
        <w:rPr>
          <w:rFonts w:eastAsia="Times New Roman" w:cs="Times New Roman"/>
          <w:snapToGrid w:val="0"/>
          <w:sz w:val="20"/>
          <w:szCs w:val="20"/>
          <w:lang w:eastAsia="pt-BR"/>
        </w:rPr>
      </w:pPr>
      <w:r w:rsidRPr="00A86A67">
        <w:rPr>
          <w:rFonts w:eastAsia="Times New Roman" w:cs="Times New Roman"/>
          <w:snapToGrid w:val="0"/>
          <w:sz w:val="20"/>
          <w:szCs w:val="20"/>
          <w:lang w:eastAsia="pt-BR"/>
        </w:rPr>
        <w:t xml:space="preserve">Reinaldo </w:t>
      </w:r>
      <w:proofErr w:type="spellStart"/>
      <w:r w:rsidRPr="00A86A67">
        <w:rPr>
          <w:rFonts w:eastAsia="Times New Roman" w:cs="Times New Roman"/>
          <w:snapToGrid w:val="0"/>
          <w:sz w:val="20"/>
          <w:szCs w:val="20"/>
          <w:lang w:eastAsia="pt-BR"/>
        </w:rPr>
        <w:t>Kazufumi</w:t>
      </w:r>
      <w:proofErr w:type="spellEnd"/>
      <w:r w:rsidRPr="00A86A67">
        <w:rPr>
          <w:rFonts w:eastAsia="Times New Roman" w:cs="Times New Roman"/>
          <w:snapToGrid w:val="0"/>
          <w:sz w:val="20"/>
          <w:szCs w:val="20"/>
          <w:lang w:eastAsia="pt-BR"/>
        </w:rPr>
        <w:t xml:space="preserve"> </w:t>
      </w:r>
      <w:proofErr w:type="spellStart"/>
      <w:r w:rsidRPr="00A86A67">
        <w:rPr>
          <w:rFonts w:eastAsia="Times New Roman" w:cs="Times New Roman"/>
          <w:snapToGrid w:val="0"/>
          <w:sz w:val="20"/>
          <w:szCs w:val="20"/>
          <w:lang w:eastAsia="pt-BR"/>
        </w:rPr>
        <w:t>Yokoyama</w:t>
      </w:r>
      <w:proofErr w:type="spellEnd"/>
    </w:p>
    <w:p w14:paraId="3AB2B36B"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r w:rsidRPr="00A86A67">
        <w:rPr>
          <w:rFonts w:eastAsia="Times New Roman" w:cs="Arial"/>
          <w:kern w:val="20"/>
          <w:sz w:val="20"/>
          <w:szCs w:val="20"/>
          <w:lang w:val="en-US" w:eastAsia="en-GB"/>
        </w:rPr>
        <w:t>Chief Commercial Officer</w:t>
      </w:r>
    </w:p>
    <w:p w14:paraId="7499DF84"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4E20CE60" w14:textId="77777777" w:rsidR="00A86A67" w:rsidRPr="00A86A67" w:rsidRDefault="00A86A67" w:rsidP="00A86A67">
      <w:pPr>
        <w:spacing w:before="120" w:after="0" w:line="240" w:lineRule="auto"/>
        <w:jc w:val="both"/>
        <w:rPr>
          <w:rFonts w:eastAsia="Times New Roman" w:cs="Arial"/>
          <w:kern w:val="20"/>
          <w:sz w:val="20"/>
          <w:szCs w:val="20"/>
          <w:lang w:val="en-US" w:eastAsia="en-GB"/>
        </w:rPr>
      </w:pPr>
    </w:p>
    <w:p w14:paraId="5B9A29CA" w14:textId="77777777" w:rsidR="00A86A67" w:rsidRPr="00A86A67" w:rsidRDefault="00A86A67" w:rsidP="00A86A67">
      <w:pPr>
        <w:spacing w:after="140" w:line="290" w:lineRule="auto"/>
        <w:jc w:val="both"/>
        <w:rPr>
          <w:rFonts w:eastAsia="Times New Roman" w:cs="Arial"/>
          <w:kern w:val="20"/>
          <w:sz w:val="20"/>
          <w:szCs w:val="20"/>
          <w:lang w:val="en-US" w:eastAsia="en-GB"/>
        </w:rPr>
      </w:pPr>
    </w:p>
    <w:p w14:paraId="44422052" w14:textId="77777777" w:rsidR="00A86A67" w:rsidRPr="00A86A67" w:rsidRDefault="00A86A67" w:rsidP="00A86A67">
      <w:pPr>
        <w:spacing w:after="140" w:line="290" w:lineRule="auto"/>
        <w:jc w:val="both"/>
        <w:rPr>
          <w:rFonts w:eastAsia="Times New Roman" w:cs="Times New Roman"/>
          <w:kern w:val="20"/>
          <w:sz w:val="20"/>
          <w:szCs w:val="20"/>
          <w:lang w:val="en-US" w:eastAsia="en-GB"/>
        </w:rPr>
      </w:pPr>
    </w:p>
    <w:p w14:paraId="37DEBFE2" w14:textId="77777777" w:rsidR="00A86A67" w:rsidRPr="00A86A67" w:rsidRDefault="00A86A67" w:rsidP="00A86A67">
      <w:pPr>
        <w:spacing w:after="140" w:line="290" w:lineRule="auto"/>
        <w:jc w:val="both"/>
        <w:rPr>
          <w:rFonts w:eastAsia="Times New Roman" w:cs="Arial"/>
          <w:kern w:val="20"/>
          <w:sz w:val="20"/>
          <w:szCs w:val="20"/>
          <w:lang w:val="en-US" w:eastAsia="en-GB"/>
        </w:rPr>
      </w:pPr>
    </w:p>
    <w:p w14:paraId="77740FA0" w14:textId="77777777" w:rsidR="00A86A67" w:rsidRPr="00A86A67" w:rsidRDefault="00A86A67" w:rsidP="00A86A67">
      <w:pPr>
        <w:spacing w:before="120" w:after="120" w:line="276" w:lineRule="auto"/>
        <w:jc w:val="both"/>
        <w:rPr>
          <w:rFonts w:eastAsia="MS Mincho" w:cs="Arial"/>
          <w:b/>
          <w:color w:val="1F4E79"/>
          <w:spacing w:val="-2"/>
          <w:sz w:val="20"/>
        </w:rPr>
      </w:pPr>
    </w:p>
    <w:p w14:paraId="4D062CA5" w14:textId="77777777" w:rsidR="0002271C" w:rsidRDefault="0002271C" w:rsidP="0002271C">
      <w:pPr>
        <w:spacing w:after="200" w:line="240" w:lineRule="auto"/>
        <w:rPr>
          <w:rFonts w:eastAsia="Times New Roman" w:cs="Times New Roman"/>
          <w:b/>
          <w:color w:val="1F4E79" w:themeColor="accent1" w:themeShade="80"/>
          <w:spacing w:val="-2"/>
          <w:sz w:val="20"/>
          <w:szCs w:val="20"/>
          <w:lang w:eastAsia="pt-BR"/>
        </w:rPr>
      </w:pPr>
      <w:r>
        <w:rPr>
          <w:rFonts w:eastAsia="Times New Roman" w:cs="Times New Roman"/>
          <w:b/>
          <w:color w:val="1F4E79" w:themeColor="accent1" w:themeShade="80"/>
          <w:spacing w:val="-2"/>
          <w:sz w:val="20"/>
          <w:szCs w:val="20"/>
          <w:lang w:eastAsia="pt-BR"/>
        </w:rPr>
        <w:br w:type="page"/>
      </w:r>
    </w:p>
    <w:p w14:paraId="622065E1" w14:textId="49BC0485" w:rsidR="0002271C" w:rsidRPr="0002271C" w:rsidRDefault="0002271C" w:rsidP="0002271C">
      <w:pPr>
        <w:spacing w:after="200" w:line="240" w:lineRule="auto"/>
        <w:rPr>
          <w:rFonts w:eastAsia="Times New Roman" w:cs="Times New Roman"/>
          <w:b/>
          <w:color w:val="1F4E79" w:themeColor="accent1" w:themeShade="80"/>
          <w:spacing w:val="-2"/>
          <w:sz w:val="20"/>
          <w:szCs w:val="20"/>
          <w:lang w:eastAsia="pt-BR"/>
        </w:rPr>
      </w:pPr>
      <w:r w:rsidRPr="0002271C">
        <w:rPr>
          <w:rFonts w:eastAsia="Times New Roman" w:cs="Times New Roman"/>
          <w:b/>
          <w:color w:val="1F4E79" w:themeColor="accent1" w:themeShade="80"/>
          <w:spacing w:val="-2"/>
          <w:sz w:val="20"/>
          <w:szCs w:val="20"/>
          <w:lang w:eastAsia="pt-BR"/>
        </w:rPr>
        <w:lastRenderedPageBreak/>
        <w:t>MEMBERS OF THE MANAGEMENT BODIES</w:t>
      </w:r>
    </w:p>
    <w:p w14:paraId="0FF165DF" w14:textId="77777777" w:rsidR="0002271C" w:rsidRPr="0002271C" w:rsidRDefault="0002271C" w:rsidP="0002271C">
      <w:pPr>
        <w:keepNext/>
        <w:spacing w:after="200" w:line="240" w:lineRule="auto"/>
        <w:rPr>
          <w:rFonts w:eastAsia="Times New Roman" w:cs="Times New Roman"/>
          <w:snapToGrid w:val="0"/>
          <w:spacing w:val="-2"/>
          <w:szCs w:val="18"/>
          <w:lang w:val="en-US" w:eastAsia="pt-BR"/>
        </w:rPr>
      </w:pPr>
    </w:p>
    <w:p w14:paraId="3ADDDC87" w14:textId="77777777" w:rsidR="0002271C" w:rsidRPr="0002271C" w:rsidRDefault="0002271C" w:rsidP="0002271C">
      <w:pPr>
        <w:spacing w:after="200" w:line="240" w:lineRule="auto"/>
        <w:rPr>
          <w:rFonts w:eastAsia="Times New Roman" w:cs="Times New Roman"/>
          <w:b/>
          <w:color w:val="1F4E79" w:themeColor="accent1" w:themeShade="80"/>
          <w:spacing w:val="-2"/>
          <w:sz w:val="20"/>
          <w:szCs w:val="20"/>
          <w:lang w:eastAsia="pt-BR"/>
        </w:rPr>
      </w:pPr>
      <w:r w:rsidRPr="0002271C">
        <w:rPr>
          <w:rFonts w:eastAsia="Times New Roman" w:cs="Times New Roman"/>
          <w:b/>
          <w:color w:val="1F4E79" w:themeColor="accent1" w:themeShade="80"/>
          <w:spacing w:val="-2"/>
          <w:sz w:val="20"/>
          <w:szCs w:val="20"/>
          <w:lang w:eastAsia="pt-BR"/>
        </w:rPr>
        <w:t>DIRECTOR-PRESIDENT</w:t>
      </w:r>
    </w:p>
    <w:p w14:paraId="6C61E994"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 xml:space="preserve">Bernardo de Azevedo Silva </w:t>
      </w:r>
      <w:proofErr w:type="spellStart"/>
      <w:r w:rsidRPr="0002271C">
        <w:rPr>
          <w:rFonts w:eastAsia="Times New Roman" w:cs="Times New Roman"/>
          <w:snapToGrid w:val="0"/>
          <w:spacing w:val="-2"/>
          <w:szCs w:val="18"/>
          <w:lang w:eastAsia="pt-BR"/>
        </w:rPr>
        <w:t>Rothe</w:t>
      </w:r>
      <w:proofErr w:type="spellEnd"/>
    </w:p>
    <w:p w14:paraId="034AB7FF" w14:textId="77777777" w:rsidR="0002271C" w:rsidRPr="0002271C" w:rsidRDefault="0002271C" w:rsidP="0002271C">
      <w:pPr>
        <w:keepNext/>
        <w:spacing w:after="200" w:line="240" w:lineRule="auto"/>
        <w:rPr>
          <w:rFonts w:eastAsia="Times New Roman" w:cs="Times New Roman"/>
          <w:snapToGrid w:val="0"/>
          <w:spacing w:val="-2"/>
          <w:szCs w:val="18"/>
          <w:lang w:eastAsia="pt-BR"/>
        </w:rPr>
      </w:pPr>
    </w:p>
    <w:p w14:paraId="64817465" w14:textId="77777777" w:rsidR="0002271C" w:rsidRPr="0002271C" w:rsidRDefault="0002271C" w:rsidP="0002271C">
      <w:pPr>
        <w:spacing w:after="200" w:line="240" w:lineRule="auto"/>
        <w:rPr>
          <w:rFonts w:eastAsia="Times New Roman" w:cs="Times New Roman"/>
          <w:b/>
          <w:color w:val="1F4E79" w:themeColor="accent1" w:themeShade="80"/>
          <w:spacing w:val="-2"/>
          <w:sz w:val="20"/>
          <w:szCs w:val="20"/>
          <w:lang w:eastAsia="pt-BR"/>
        </w:rPr>
      </w:pPr>
      <w:r w:rsidRPr="0002271C">
        <w:rPr>
          <w:rFonts w:eastAsia="Times New Roman" w:cs="Times New Roman"/>
          <w:b/>
          <w:color w:val="1F4E79" w:themeColor="accent1" w:themeShade="80"/>
          <w:spacing w:val="-2"/>
          <w:sz w:val="20"/>
          <w:szCs w:val="20"/>
          <w:lang w:eastAsia="pt-BR"/>
        </w:rPr>
        <w:t>DIRECTORS</w:t>
      </w:r>
    </w:p>
    <w:p w14:paraId="555B40D3"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 xml:space="preserve">Pedro </w:t>
      </w:r>
      <w:proofErr w:type="spellStart"/>
      <w:r w:rsidRPr="0002271C">
        <w:rPr>
          <w:rFonts w:eastAsia="Times New Roman" w:cs="Times New Roman"/>
          <w:snapToGrid w:val="0"/>
          <w:spacing w:val="-2"/>
          <w:szCs w:val="18"/>
          <w:lang w:eastAsia="pt-BR"/>
        </w:rPr>
        <w:t>Bramont</w:t>
      </w:r>
      <w:proofErr w:type="spellEnd"/>
    </w:p>
    <w:p w14:paraId="28D2D258"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 xml:space="preserve">Reinaldo </w:t>
      </w:r>
      <w:proofErr w:type="spellStart"/>
      <w:r w:rsidRPr="0002271C">
        <w:rPr>
          <w:rFonts w:eastAsia="Times New Roman" w:cs="Times New Roman"/>
          <w:snapToGrid w:val="0"/>
          <w:spacing w:val="-2"/>
          <w:szCs w:val="18"/>
          <w:lang w:eastAsia="pt-BR"/>
        </w:rPr>
        <w:t>Kazufumi</w:t>
      </w:r>
      <w:proofErr w:type="spellEnd"/>
      <w:r w:rsidRPr="0002271C">
        <w:rPr>
          <w:rFonts w:eastAsia="Times New Roman" w:cs="Times New Roman"/>
          <w:snapToGrid w:val="0"/>
          <w:spacing w:val="-2"/>
          <w:szCs w:val="18"/>
          <w:lang w:eastAsia="pt-BR"/>
        </w:rPr>
        <w:t xml:space="preserve"> </w:t>
      </w:r>
      <w:proofErr w:type="spellStart"/>
      <w:r w:rsidRPr="0002271C">
        <w:rPr>
          <w:rFonts w:eastAsia="Times New Roman" w:cs="Times New Roman"/>
          <w:snapToGrid w:val="0"/>
          <w:spacing w:val="-2"/>
          <w:szCs w:val="18"/>
          <w:lang w:eastAsia="pt-BR"/>
        </w:rPr>
        <w:t>Yokoyama</w:t>
      </w:r>
      <w:proofErr w:type="spellEnd"/>
    </w:p>
    <w:p w14:paraId="3ADC3ED4" w14:textId="77777777" w:rsidR="0002271C" w:rsidRPr="0002271C" w:rsidRDefault="0002271C" w:rsidP="0002271C">
      <w:pPr>
        <w:keepNext/>
        <w:spacing w:after="200" w:line="240" w:lineRule="auto"/>
        <w:rPr>
          <w:rFonts w:eastAsia="Times New Roman" w:cs="Times New Roman"/>
          <w:snapToGrid w:val="0"/>
          <w:spacing w:val="-2"/>
          <w:szCs w:val="18"/>
          <w:lang w:val="en-US" w:eastAsia="pt-BR"/>
        </w:rPr>
      </w:pPr>
    </w:p>
    <w:p w14:paraId="2E632215" w14:textId="77777777" w:rsidR="0002271C" w:rsidRPr="0002271C" w:rsidRDefault="0002271C" w:rsidP="0002271C">
      <w:pPr>
        <w:spacing w:after="200" w:line="240" w:lineRule="auto"/>
        <w:rPr>
          <w:rFonts w:eastAsia="Times New Roman" w:cs="Times New Roman"/>
          <w:b/>
          <w:color w:val="1F4E79" w:themeColor="accent1" w:themeShade="80"/>
          <w:spacing w:val="-2"/>
          <w:sz w:val="20"/>
          <w:szCs w:val="20"/>
          <w:lang w:eastAsia="pt-BR"/>
        </w:rPr>
      </w:pPr>
      <w:r w:rsidRPr="0002271C">
        <w:rPr>
          <w:rFonts w:eastAsia="Times New Roman" w:cs="Times New Roman"/>
          <w:b/>
          <w:color w:val="1F4E79" w:themeColor="accent1" w:themeShade="80"/>
          <w:spacing w:val="-2"/>
          <w:sz w:val="20"/>
          <w:szCs w:val="20"/>
          <w:lang w:eastAsia="pt-BR"/>
        </w:rPr>
        <w:t>BOARD OF DIRECTORS</w:t>
      </w:r>
    </w:p>
    <w:p w14:paraId="2C1F5C04"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Carlos Motta dos Santos (</w:t>
      </w:r>
      <w:proofErr w:type="spellStart"/>
      <w:r w:rsidRPr="0002271C">
        <w:rPr>
          <w:rFonts w:eastAsia="Times New Roman" w:cs="Times New Roman"/>
          <w:snapToGrid w:val="0"/>
          <w:spacing w:val="-2"/>
          <w:szCs w:val="18"/>
          <w:lang w:eastAsia="pt-BR"/>
        </w:rPr>
        <w:t>President</w:t>
      </w:r>
      <w:proofErr w:type="spellEnd"/>
      <w:r w:rsidRPr="0002271C">
        <w:rPr>
          <w:rFonts w:eastAsia="Times New Roman" w:cs="Times New Roman"/>
          <w:snapToGrid w:val="0"/>
          <w:spacing w:val="-2"/>
          <w:szCs w:val="18"/>
          <w:lang w:eastAsia="pt-BR"/>
        </w:rPr>
        <w:t>)</w:t>
      </w:r>
    </w:p>
    <w:p w14:paraId="4A19DDDE" w14:textId="77777777" w:rsidR="0002271C" w:rsidRPr="0002271C" w:rsidRDefault="0002271C" w:rsidP="0002271C">
      <w:pPr>
        <w:keepNext/>
        <w:spacing w:after="200" w:line="240" w:lineRule="auto"/>
        <w:rPr>
          <w:rFonts w:eastAsia="Times New Roman" w:cs="Arial"/>
          <w:spacing w:val="-2"/>
          <w:szCs w:val="18"/>
          <w:lang w:eastAsia="pt-BR"/>
        </w:rPr>
      </w:pPr>
      <w:r w:rsidRPr="0002271C">
        <w:rPr>
          <w:rFonts w:eastAsia="Times New Roman" w:cs="Arial"/>
          <w:spacing w:val="-2"/>
          <w:szCs w:val="18"/>
          <w:lang w:eastAsia="pt-BR"/>
        </w:rPr>
        <w:t xml:space="preserve">Arnaldo José </w:t>
      </w:r>
      <w:proofErr w:type="spellStart"/>
      <w:r w:rsidRPr="0002271C">
        <w:rPr>
          <w:rFonts w:eastAsia="Times New Roman" w:cs="Arial"/>
          <w:spacing w:val="-2"/>
          <w:szCs w:val="18"/>
          <w:lang w:eastAsia="pt-BR"/>
        </w:rPr>
        <w:t>Vollet</w:t>
      </w:r>
      <w:proofErr w:type="spellEnd"/>
    </w:p>
    <w:p w14:paraId="5D617460"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 xml:space="preserve">Bernardo de Azevedo Silva </w:t>
      </w:r>
      <w:proofErr w:type="spellStart"/>
      <w:r w:rsidRPr="0002271C">
        <w:rPr>
          <w:rFonts w:eastAsia="Times New Roman" w:cs="Times New Roman"/>
          <w:snapToGrid w:val="0"/>
          <w:spacing w:val="-2"/>
          <w:szCs w:val="18"/>
          <w:lang w:eastAsia="pt-BR"/>
        </w:rPr>
        <w:t>Rothe</w:t>
      </w:r>
      <w:proofErr w:type="spellEnd"/>
    </w:p>
    <w:p w14:paraId="7EBA61D6"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 xml:space="preserve">Bruno Silva </w:t>
      </w:r>
      <w:proofErr w:type="spellStart"/>
      <w:r w:rsidRPr="0002271C">
        <w:rPr>
          <w:rFonts w:eastAsia="Times New Roman" w:cs="Times New Roman"/>
          <w:snapToGrid w:val="0"/>
          <w:spacing w:val="-2"/>
          <w:szCs w:val="18"/>
          <w:lang w:eastAsia="pt-BR"/>
        </w:rPr>
        <w:t>Dalcolmo</w:t>
      </w:r>
      <w:proofErr w:type="spellEnd"/>
    </w:p>
    <w:p w14:paraId="4F483C36"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Isabel da Silva Ramos</w:t>
      </w:r>
    </w:p>
    <w:p w14:paraId="213ACBFF"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Mauro Ribeiro Neto</w:t>
      </w:r>
    </w:p>
    <w:p w14:paraId="67B0AA16" w14:textId="77777777" w:rsidR="0002271C" w:rsidRPr="0002271C" w:rsidRDefault="0002271C" w:rsidP="0002271C">
      <w:pPr>
        <w:keepNext/>
        <w:spacing w:after="200" w:line="240" w:lineRule="auto"/>
        <w:rPr>
          <w:rFonts w:eastAsia="Times New Roman" w:cs="Times New Roman"/>
          <w:snapToGrid w:val="0"/>
          <w:spacing w:val="-2"/>
          <w:szCs w:val="18"/>
          <w:lang w:eastAsia="pt-BR"/>
        </w:rPr>
      </w:pPr>
    </w:p>
    <w:p w14:paraId="7F79ED86" w14:textId="77777777" w:rsidR="0002271C" w:rsidRPr="0002271C" w:rsidRDefault="0002271C" w:rsidP="0002271C">
      <w:pPr>
        <w:spacing w:after="200" w:line="240" w:lineRule="auto"/>
        <w:rPr>
          <w:rFonts w:eastAsia="Times New Roman" w:cs="Times New Roman"/>
          <w:b/>
          <w:color w:val="1F4E79" w:themeColor="accent1" w:themeShade="80"/>
          <w:spacing w:val="-2"/>
          <w:sz w:val="20"/>
          <w:szCs w:val="20"/>
          <w:lang w:eastAsia="pt-BR"/>
        </w:rPr>
      </w:pPr>
      <w:r w:rsidRPr="0002271C">
        <w:rPr>
          <w:rFonts w:eastAsia="Times New Roman" w:cs="Times New Roman"/>
          <w:b/>
          <w:color w:val="1F4E79" w:themeColor="accent1" w:themeShade="80"/>
          <w:spacing w:val="-2"/>
          <w:sz w:val="20"/>
          <w:szCs w:val="20"/>
          <w:lang w:eastAsia="pt-BR"/>
        </w:rPr>
        <w:t>FISCAL COUNCIL</w:t>
      </w:r>
    </w:p>
    <w:p w14:paraId="039A1E3A"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 xml:space="preserve">Giorgio </w:t>
      </w:r>
      <w:proofErr w:type="spellStart"/>
      <w:r w:rsidRPr="0002271C">
        <w:rPr>
          <w:rFonts w:eastAsia="Times New Roman" w:cs="Times New Roman"/>
          <w:snapToGrid w:val="0"/>
          <w:spacing w:val="-2"/>
          <w:szCs w:val="18"/>
          <w:lang w:eastAsia="pt-BR"/>
        </w:rPr>
        <w:t>Bampi</w:t>
      </w:r>
      <w:proofErr w:type="spellEnd"/>
    </w:p>
    <w:p w14:paraId="4A8643F4"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Lucineia Possar</w:t>
      </w:r>
    </w:p>
    <w:p w14:paraId="1BE9B9EA" w14:textId="77777777" w:rsidR="0002271C" w:rsidRPr="0002271C" w:rsidRDefault="0002271C" w:rsidP="0002271C">
      <w:pPr>
        <w:keepNext/>
        <w:spacing w:after="200" w:line="240" w:lineRule="auto"/>
        <w:rPr>
          <w:rFonts w:eastAsia="Times New Roman" w:cs="Times New Roman"/>
          <w:snapToGrid w:val="0"/>
          <w:spacing w:val="-2"/>
          <w:szCs w:val="18"/>
          <w:lang w:eastAsia="pt-BR"/>
        </w:rPr>
      </w:pPr>
      <w:proofErr w:type="spellStart"/>
      <w:r w:rsidRPr="0002271C">
        <w:rPr>
          <w:rFonts w:eastAsia="Times New Roman" w:cs="Times New Roman"/>
          <w:snapToGrid w:val="0"/>
          <w:spacing w:val="-2"/>
          <w:szCs w:val="18"/>
          <w:lang w:eastAsia="pt-BR"/>
        </w:rPr>
        <w:t>Luis</w:t>
      </w:r>
      <w:proofErr w:type="spellEnd"/>
      <w:r w:rsidRPr="0002271C">
        <w:rPr>
          <w:rFonts w:eastAsia="Times New Roman" w:cs="Times New Roman"/>
          <w:snapToGrid w:val="0"/>
          <w:spacing w:val="-2"/>
          <w:szCs w:val="18"/>
          <w:lang w:eastAsia="pt-BR"/>
        </w:rPr>
        <w:t xml:space="preserve"> Felipe Vital Nunes Pereira</w:t>
      </w:r>
    </w:p>
    <w:p w14:paraId="708E0A6A" w14:textId="77777777" w:rsidR="0002271C" w:rsidRPr="0002271C" w:rsidRDefault="0002271C" w:rsidP="0002271C">
      <w:pPr>
        <w:keepNext/>
        <w:spacing w:after="200" w:line="240" w:lineRule="auto"/>
        <w:rPr>
          <w:rFonts w:eastAsia="Times New Roman" w:cs="Times New Roman"/>
          <w:snapToGrid w:val="0"/>
          <w:spacing w:val="-2"/>
          <w:szCs w:val="18"/>
          <w:lang w:eastAsia="pt-BR"/>
        </w:rPr>
      </w:pPr>
    </w:p>
    <w:p w14:paraId="14327E7E" w14:textId="77777777" w:rsidR="0002271C" w:rsidRPr="0002271C" w:rsidRDefault="0002271C" w:rsidP="0002271C">
      <w:pPr>
        <w:spacing w:after="200" w:line="240" w:lineRule="auto"/>
        <w:rPr>
          <w:rFonts w:eastAsia="Times New Roman" w:cs="Times New Roman"/>
          <w:b/>
          <w:color w:val="1F4E79" w:themeColor="accent1" w:themeShade="80"/>
          <w:spacing w:val="-2"/>
          <w:sz w:val="20"/>
          <w:szCs w:val="20"/>
          <w:lang w:eastAsia="pt-BR"/>
        </w:rPr>
      </w:pPr>
      <w:r w:rsidRPr="0002271C">
        <w:rPr>
          <w:rFonts w:eastAsia="Times New Roman" w:cs="Times New Roman"/>
          <w:b/>
          <w:color w:val="1F4E79" w:themeColor="accent1" w:themeShade="80"/>
          <w:spacing w:val="-2"/>
          <w:sz w:val="20"/>
          <w:szCs w:val="20"/>
          <w:lang w:eastAsia="pt-BR"/>
        </w:rPr>
        <w:t>AUDIT COMMITTEE</w:t>
      </w:r>
    </w:p>
    <w:p w14:paraId="702B7685" w14:textId="77777777" w:rsidR="0002271C" w:rsidRPr="0002271C" w:rsidRDefault="0002271C" w:rsidP="0002271C">
      <w:pPr>
        <w:keepNext/>
        <w:spacing w:after="200" w:line="240" w:lineRule="auto"/>
        <w:rPr>
          <w:rFonts w:eastAsia="MS Mincho"/>
          <w:snapToGrid w:val="0"/>
          <w:szCs w:val="18"/>
        </w:rPr>
      </w:pPr>
      <w:r w:rsidRPr="0002271C">
        <w:rPr>
          <w:rFonts w:eastAsia="MS Mincho"/>
          <w:snapToGrid w:val="0"/>
          <w:szCs w:val="18"/>
        </w:rPr>
        <w:t>Luiz Claudio Moraes</w:t>
      </w:r>
    </w:p>
    <w:p w14:paraId="4E6EC8D9" w14:textId="77777777" w:rsidR="0002271C" w:rsidRPr="0002271C" w:rsidRDefault="0002271C" w:rsidP="0002271C">
      <w:pPr>
        <w:keepNext/>
        <w:spacing w:after="200" w:line="240" w:lineRule="auto"/>
        <w:rPr>
          <w:rFonts w:eastAsia="MS Mincho" w:cs="Arial"/>
          <w:szCs w:val="18"/>
        </w:rPr>
      </w:pPr>
      <w:r w:rsidRPr="0002271C">
        <w:rPr>
          <w:rFonts w:eastAsia="MS Mincho" w:cs="Arial"/>
          <w:szCs w:val="18"/>
        </w:rPr>
        <w:t xml:space="preserve">Arnaldo José </w:t>
      </w:r>
      <w:proofErr w:type="spellStart"/>
      <w:r w:rsidRPr="0002271C">
        <w:rPr>
          <w:rFonts w:eastAsia="MS Mincho" w:cs="Arial"/>
          <w:szCs w:val="18"/>
        </w:rPr>
        <w:t>Vollet</w:t>
      </w:r>
      <w:proofErr w:type="spellEnd"/>
    </w:p>
    <w:p w14:paraId="0B1C027B" w14:textId="77777777" w:rsidR="0002271C" w:rsidRPr="0002271C" w:rsidRDefault="0002271C" w:rsidP="0002271C">
      <w:pPr>
        <w:keepNext/>
        <w:spacing w:after="200" w:line="240" w:lineRule="auto"/>
        <w:rPr>
          <w:rFonts w:eastAsia="MS Mincho" w:cs="Arial"/>
          <w:szCs w:val="18"/>
        </w:rPr>
      </w:pPr>
      <w:proofErr w:type="spellStart"/>
      <w:r w:rsidRPr="0002271C">
        <w:rPr>
          <w:rFonts w:eastAsia="MS Mincho" w:cs="Arial"/>
          <w:szCs w:val="18"/>
        </w:rPr>
        <w:t>Artemio</w:t>
      </w:r>
      <w:proofErr w:type="spellEnd"/>
      <w:r w:rsidRPr="0002271C">
        <w:rPr>
          <w:rFonts w:eastAsia="MS Mincho" w:cs="Arial"/>
          <w:szCs w:val="18"/>
        </w:rPr>
        <w:t xml:space="preserve"> </w:t>
      </w:r>
      <w:proofErr w:type="spellStart"/>
      <w:r w:rsidRPr="0002271C">
        <w:rPr>
          <w:rFonts w:eastAsia="MS Mincho" w:cs="Arial"/>
          <w:szCs w:val="18"/>
        </w:rPr>
        <w:t>Bertholini</w:t>
      </w:r>
      <w:proofErr w:type="spellEnd"/>
    </w:p>
    <w:p w14:paraId="4C97CD66" w14:textId="77777777" w:rsidR="0002271C" w:rsidRPr="0002271C" w:rsidRDefault="0002271C" w:rsidP="0002271C">
      <w:pPr>
        <w:keepNext/>
        <w:spacing w:after="200" w:line="240" w:lineRule="auto"/>
        <w:rPr>
          <w:rFonts w:eastAsia="MS Mincho" w:cs="Arial"/>
          <w:szCs w:val="18"/>
        </w:rPr>
      </w:pPr>
      <w:r w:rsidRPr="0002271C">
        <w:rPr>
          <w:rFonts w:eastAsia="MS Mincho" w:cs="Arial"/>
          <w:szCs w:val="18"/>
        </w:rPr>
        <w:t>Manoel Gimenes Ruy</w:t>
      </w:r>
    </w:p>
    <w:p w14:paraId="76AF9C0A" w14:textId="77777777" w:rsidR="0002271C" w:rsidRPr="0002271C" w:rsidRDefault="0002271C" w:rsidP="0002271C">
      <w:pPr>
        <w:keepNext/>
        <w:spacing w:after="200" w:line="240" w:lineRule="auto"/>
        <w:rPr>
          <w:rFonts w:eastAsia="MS Mincho" w:cs="Arial"/>
          <w:szCs w:val="18"/>
        </w:rPr>
      </w:pPr>
      <w:r w:rsidRPr="0002271C">
        <w:rPr>
          <w:rFonts w:eastAsia="MS Mincho" w:cs="Arial"/>
          <w:szCs w:val="18"/>
        </w:rPr>
        <w:t>Roberto Lamb</w:t>
      </w:r>
    </w:p>
    <w:p w14:paraId="4A02319B" w14:textId="77777777" w:rsidR="0002271C" w:rsidRPr="0002271C" w:rsidRDefault="0002271C" w:rsidP="0002271C">
      <w:pPr>
        <w:spacing w:after="200" w:line="240" w:lineRule="auto"/>
        <w:rPr>
          <w:rFonts w:eastAsia="Times New Roman" w:cs="Times New Roman"/>
          <w:b/>
          <w:spacing w:val="-2"/>
          <w:szCs w:val="18"/>
          <w:lang w:eastAsia="pt-BR"/>
        </w:rPr>
      </w:pPr>
    </w:p>
    <w:p w14:paraId="5135D875" w14:textId="77777777" w:rsidR="0002271C" w:rsidRPr="0002271C" w:rsidRDefault="0002271C" w:rsidP="0002271C">
      <w:pPr>
        <w:spacing w:after="200" w:line="240" w:lineRule="auto"/>
        <w:rPr>
          <w:rFonts w:eastAsia="Times New Roman" w:cs="Times New Roman"/>
          <w:b/>
          <w:color w:val="1F4E79" w:themeColor="accent1" w:themeShade="80"/>
          <w:spacing w:val="-2"/>
          <w:sz w:val="20"/>
          <w:szCs w:val="20"/>
          <w:lang w:eastAsia="pt-BR"/>
        </w:rPr>
      </w:pPr>
      <w:r w:rsidRPr="0002271C">
        <w:rPr>
          <w:rFonts w:eastAsia="Times New Roman" w:cs="Times New Roman"/>
          <w:b/>
          <w:color w:val="1F4E79" w:themeColor="accent1" w:themeShade="80"/>
          <w:spacing w:val="-2"/>
          <w:sz w:val="20"/>
          <w:szCs w:val="20"/>
          <w:lang w:eastAsia="pt-BR"/>
        </w:rPr>
        <w:t>ACCOUNTANT</w:t>
      </w:r>
    </w:p>
    <w:p w14:paraId="19BDCF7B"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Pedro Kiefer Braga</w:t>
      </w:r>
    </w:p>
    <w:p w14:paraId="21CD6665" w14:textId="77777777" w:rsidR="0002271C" w:rsidRPr="0002271C" w:rsidRDefault="0002271C" w:rsidP="0002271C">
      <w:pPr>
        <w:keepNext/>
        <w:spacing w:after="200" w:line="240" w:lineRule="auto"/>
        <w:rPr>
          <w:rFonts w:eastAsia="Times New Roman" w:cs="Times New Roman"/>
          <w:snapToGrid w:val="0"/>
          <w:spacing w:val="-2"/>
          <w:szCs w:val="18"/>
          <w:lang w:eastAsia="pt-BR"/>
        </w:rPr>
      </w:pPr>
      <w:r w:rsidRPr="0002271C">
        <w:rPr>
          <w:rFonts w:eastAsia="Times New Roman" w:cs="Times New Roman"/>
          <w:snapToGrid w:val="0"/>
          <w:spacing w:val="-2"/>
          <w:szCs w:val="18"/>
          <w:lang w:eastAsia="pt-BR"/>
        </w:rPr>
        <w:t>CRC-DF 020.786/O-0</w:t>
      </w:r>
    </w:p>
    <w:p w14:paraId="5FDDF9D2" w14:textId="77777777" w:rsidR="0002271C" w:rsidRPr="0002271C" w:rsidRDefault="0002271C" w:rsidP="0002271C">
      <w:pPr>
        <w:keepNext/>
        <w:spacing w:after="200" w:line="240" w:lineRule="auto"/>
        <w:rPr>
          <w:rFonts w:eastAsia="Times New Roman" w:cs="Times New Roman"/>
          <w:spacing w:val="-2"/>
          <w:szCs w:val="18"/>
          <w:lang w:eastAsia="pt-BR"/>
        </w:rPr>
      </w:pPr>
      <w:r w:rsidRPr="0002271C">
        <w:rPr>
          <w:rFonts w:eastAsia="Times New Roman" w:cs="Times New Roman"/>
          <w:snapToGrid w:val="0"/>
          <w:spacing w:val="-2"/>
          <w:szCs w:val="18"/>
          <w:lang w:eastAsia="pt-BR"/>
        </w:rPr>
        <w:t>CPF 027.782.029-43</w:t>
      </w:r>
    </w:p>
    <w:p w14:paraId="51326F43" w14:textId="77777777" w:rsidR="00A86A67" w:rsidRPr="00B84B0C" w:rsidRDefault="00A86A67" w:rsidP="0034629D">
      <w:pPr>
        <w:pStyle w:val="05-Textonormal2"/>
        <w:rPr>
          <w:rFonts w:cs="Arial"/>
        </w:rPr>
      </w:pPr>
    </w:p>
    <w:sectPr w:rsidR="00A86A67" w:rsidRPr="00B84B0C" w:rsidSect="00076CE6">
      <w:headerReference w:type="default" r:id="rId32"/>
      <w:headerReference w:type="first" r:id="rId33"/>
      <w:pgSz w:w="11906" w:h="16838" w:code="9"/>
      <w:pgMar w:top="1134" w:right="1134" w:bottom="1134" w:left="1134"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8441" w14:textId="77777777" w:rsidR="00C91206" w:rsidRDefault="00C91206" w:rsidP="001170F1">
      <w:pPr>
        <w:spacing w:after="0" w:line="240" w:lineRule="auto"/>
      </w:pPr>
      <w:r>
        <w:separator/>
      </w:r>
    </w:p>
  </w:endnote>
  <w:endnote w:type="continuationSeparator" w:id="0">
    <w:p w14:paraId="2EE9981F" w14:textId="77777777" w:rsidR="00C91206" w:rsidRDefault="00C91206" w:rsidP="0011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0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B8A3" w14:textId="77777777" w:rsidR="00C91206" w:rsidRDefault="00C91206">
    <w:pPr>
      <w:pStyle w:val="Rodap"/>
      <w:jc w:val="right"/>
    </w:pPr>
  </w:p>
  <w:p w14:paraId="439BFD30" w14:textId="77777777" w:rsidR="00C91206" w:rsidRDefault="00C9120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691D" w14:textId="77777777" w:rsidR="00C91206" w:rsidRDefault="00C9120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393550"/>
      <w:docPartObj>
        <w:docPartGallery w:val="Page Numbers (Bottom of Page)"/>
        <w:docPartUnique/>
      </w:docPartObj>
    </w:sdtPr>
    <w:sdtEndPr/>
    <w:sdtContent>
      <w:p w14:paraId="78BF3106" w14:textId="74A11C69" w:rsidR="00C91206" w:rsidRDefault="00C91206">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51072" behindDoc="0" locked="0" layoutInCell="1" allowOverlap="1" wp14:anchorId="5FE69F52" wp14:editId="635EE2E3">
                  <wp:simplePos x="0" y="0"/>
                  <wp:positionH relativeFrom="page">
                    <wp:posOffset>-1543050</wp:posOffset>
                  </wp:positionH>
                  <wp:positionV relativeFrom="paragraph">
                    <wp:posOffset>-161925</wp:posOffset>
                  </wp:positionV>
                  <wp:extent cx="9144000" cy="53340"/>
                  <wp:effectExtent l="0" t="0" r="0" b="3810"/>
                  <wp:wrapNone/>
                  <wp:docPr id="22"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63CA2679" id="Retângulo 14" o:spid="_x0000_s1026" style="position:absolute;margin-left:-121.5pt;margin-top:-12.75pt;width:10in;height: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" fillcolor="#f9dd16" stroked="f" strokeweight="1pt">
                  <w10:wrap anchorx="page"/>
                </v:rect>
              </w:pict>
            </mc:Fallback>
          </mc:AlternateContent>
        </w:r>
        <w:r>
          <w:fldChar w:fldCharType="begin"/>
        </w:r>
        <w:r>
          <w:instrText>PAGE   \* MERGEFORMAT</w:instrText>
        </w:r>
        <w:r>
          <w:fldChar w:fldCharType="separate"/>
        </w:r>
        <w:r w:rsidR="00237ECE">
          <w:rPr>
            <w:noProof/>
          </w:rPr>
          <w:t>3</w:t>
        </w:r>
        <w:r>
          <w:fldChar w:fldCharType="end"/>
        </w:r>
      </w:p>
    </w:sdtContent>
  </w:sdt>
  <w:p w14:paraId="59C8A572" w14:textId="348FADAA" w:rsidR="00C91206" w:rsidRDefault="00C9120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268283"/>
      <w:docPartObj>
        <w:docPartGallery w:val="Page Numbers (Bottom of Page)"/>
        <w:docPartUnique/>
      </w:docPartObj>
    </w:sdtPr>
    <w:sdtEndPr/>
    <w:sdtContent>
      <w:p w14:paraId="2D0B10C7" w14:textId="45BC8140" w:rsidR="00C91206" w:rsidRDefault="0038404A">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50048" behindDoc="0" locked="0" layoutInCell="1" allowOverlap="1" wp14:anchorId="4A25C5BB" wp14:editId="6A2DC75D">
                  <wp:simplePos x="0" y="0"/>
                  <wp:positionH relativeFrom="page">
                    <wp:posOffset>0</wp:posOffset>
                  </wp:positionH>
                  <wp:positionV relativeFrom="paragraph">
                    <wp:posOffset>-259081</wp:posOffset>
                  </wp:positionV>
                  <wp:extent cx="10668000" cy="45719"/>
                  <wp:effectExtent l="0" t="0" r="0" b="0"/>
                  <wp:wrapNone/>
                  <wp:docPr id="224" name="Retângulo 14"/>
                  <wp:cNvGraphicFramePr/>
                  <a:graphic xmlns:a="http://schemas.openxmlformats.org/drawingml/2006/main">
                    <a:graphicData uri="http://schemas.microsoft.com/office/word/2010/wordprocessingShape">
                      <wps:wsp>
                        <wps:cNvSpPr/>
                        <wps:spPr>
                          <a:xfrm flipV="1">
                            <a:off x="0" y="0"/>
                            <a:ext cx="10668000"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4B87C36D" id="Retângulo 14" o:spid="_x0000_s1026" style="position:absolute;margin-left:0;margin-top:-20.4pt;width:840pt;height:3.6pt;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" fillcolor="#f9dd16" stroked="f" strokeweight="1pt">
                  <w10:wrap anchorx="page"/>
                </v:rect>
              </w:pict>
            </mc:Fallback>
          </mc:AlternateContent>
        </w:r>
        <w:r w:rsidR="00C91206">
          <w:fldChar w:fldCharType="begin"/>
        </w:r>
        <w:r w:rsidR="00C91206">
          <w:instrText>PAGE   \* MERGEFORMAT</w:instrText>
        </w:r>
        <w:r w:rsidR="00C91206">
          <w:fldChar w:fldCharType="separate"/>
        </w:r>
        <w:r w:rsidR="00237ECE">
          <w:rPr>
            <w:noProof/>
          </w:rPr>
          <w:t>7</w:t>
        </w:r>
        <w:r w:rsidR="00C91206">
          <w:fldChar w:fldCharType="end"/>
        </w:r>
      </w:p>
    </w:sdtContent>
  </w:sdt>
  <w:p w14:paraId="1C8F759E" w14:textId="70FA19CB" w:rsidR="00C91206" w:rsidRDefault="00C91206">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665104"/>
      <w:docPartObj>
        <w:docPartGallery w:val="Page Numbers (Bottom of Page)"/>
        <w:docPartUnique/>
      </w:docPartObj>
    </w:sdtPr>
    <w:sdtEndPr/>
    <w:sdtContent>
      <w:p w14:paraId="4063FBBE" w14:textId="3F8E30CC" w:rsidR="00C91206" w:rsidRDefault="00076CE6">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77696" behindDoc="0" locked="0" layoutInCell="1" allowOverlap="1" wp14:anchorId="738F5430" wp14:editId="63B3EEC1">
                  <wp:simplePos x="0" y="0"/>
                  <wp:positionH relativeFrom="page">
                    <wp:posOffset>-3810</wp:posOffset>
                  </wp:positionH>
                  <wp:positionV relativeFrom="paragraph">
                    <wp:posOffset>-167640</wp:posOffset>
                  </wp:positionV>
                  <wp:extent cx="9144000" cy="53340"/>
                  <wp:effectExtent l="0" t="0" r="0" b="3810"/>
                  <wp:wrapNone/>
                  <wp:docPr id="40"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5BA63FD7" id="Retângulo 14" o:spid="_x0000_s1026" style="position:absolute;margin-left:-.3pt;margin-top:-13.2pt;width:10in;height:4.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" fillcolor="#f9dd16" stroked="f" strokeweight="1pt">
                  <w10:wrap anchorx="page"/>
                </v:rect>
              </w:pict>
            </mc:Fallback>
          </mc:AlternateContent>
        </w:r>
        <w:r w:rsidR="00C91206">
          <w:fldChar w:fldCharType="begin"/>
        </w:r>
        <w:r w:rsidR="00C91206">
          <w:instrText>PAGE   \* MERGEFORMAT</w:instrText>
        </w:r>
        <w:r w:rsidR="00C91206">
          <w:fldChar w:fldCharType="separate"/>
        </w:r>
        <w:r w:rsidR="00237ECE">
          <w:rPr>
            <w:noProof/>
          </w:rPr>
          <w:t>28</w:t>
        </w:r>
        <w:r w:rsidR="00C91206">
          <w:fldChar w:fldCharType="end"/>
        </w:r>
      </w:p>
    </w:sdtContent>
  </w:sdt>
  <w:p w14:paraId="56BD78DF" w14:textId="1CC4A8D8" w:rsidR="00C91206" w:rsidRDefault="00C91206">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623032"/>
      <w:docPartObj>
        <w:docPartGallery w:val="Page Numbers (Bottom of Page)"/>
        <w:docPartUnique/>
      </w:docPartObj>
    </w:sdtPr>
    <w:sdtEndPr/>
    <w:sdtContent>
      <w:p w14:paraId="77064AD7" w14:textId="77777777" w:rsidR="00C91206" w:rsidRDefault="00C91206">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69504" behindDoc="0" locked="0" layoutInCell="1" allowOverlap="1" wp14:anchorId="7D9D2994" wp14:editId="2098BA36">
                  <wp:simplePos x="0" y="0"/>
                  <wp:positionH relativeFrom="page">
                    <wp:align>left</wp:align>
                  </wp:positionH>
                  <wp:positionV relativeFrom="paragraph">
                    <wp:posOffset>2067</wp:posOffset>
                  </wp:positionV>
                  <wp:extent cx="5603132" cy="45719"/>
                  <wp:effectExtent l="0" t="0" r="0" b="0"/>
                  <wp:wrapNone/>
                  <wp:docPr id="54"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79409AFF" id="Retângulo 14" o:spid="_x0000_s1026" style="position:absolute;margin-left:0;margin-top:.15pt;width:441.2pt;height:3.6pt;flip:y;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47721DE7" w14:textId="77777777" w:rsidR="00C91206" w:rsidRDefault="00C91206">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783953"/>
      <w:docPartObj>
        <w:docPartGallery w:val="Page Numbers (Bottom of Page)"/>
        <w:docPartUnique/>
      </w:docPartObj>
    </w:sdtPr>
    <w:sdtEndPr/>
    <w:sdtContent>
      <w:p w14:paraId="1B19E5AC" w14:textId="504A453A" w:rsidR="00C91206" w:rsidRDefault="00C91206">
        <w:pPr>
          <w:pStyle w:val="Rodap"/>
          <w:jc w:val="right"/>
        </w:pPr>
        <w:r>
          <w:fldChar w:fldCharType="begin"/>
        </w:r>
        <w:r>
          <w:instrText>PAGE   \* MERGEFORMAT</w:instrText>
        </w:r>
        <w:r>
          <w:fldChar w:fldCharType="separate"/>
        </w:r>
        <w:r w:rsidR="00237ECE">
          <w:rPr>
            <w:noProof/>
          </w:rPr>
          <w:t>51</w:t>
        </w:r>
        <w:r>
          <w:fldChar w:fldCharType="end"/>
        </w:r>
      </w:p>
    </w:sdtContent>
  </w:sdt>
  <w:p w14:paraId="4B8CB6A6" w14:textId="59BF40EF" w:rsidR="00C91206" w:rsidRDefault="00076CE6" w:rsidP="00076CE6">
    <w:pPr>
      <w:pStyle w:val="Rodap"/>
      <w:tabs>
        <w:tab w:val="clear" w:pos="4252"/>
        <w:tab w:val="clear" w:pos="8504"/>
        <w:tab w:val="left" w:pos="7965"/>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436980"/>
      <w:docPartObj>
        <w:docPartGallery w:val="Page Numbers (Bottom of Page)"/>
        <w:docPartUnique/>
      </w:docPartObj>
    </w:sdtPr>
    <w:sdtEndPr/>
    <w:sdtContent>
      <w:p w14:paraId="5ABAF8F7" w14:textId="102AB61B" w:rsidR="00C91206" w:rsidRDefault="00C91206">
        <w:pPr>
          <w:pStyle w:val="Rodap"/>
          <w:jc w:val="right"/>
        </w:pPr>
        <w:r>
          <w:fldChar w:fldCharType="begin"/>
        </w:r>
        <w:r>
          <w:instrText>PAGE   \* MERGEFORMAT</w:instrText>
        </w:r>
        <w:r>
          <w:fldChar w:fldCharType="separate"/>
        </w:r>
        <w:r w:rsidR="00237ECE">
          <w:rPr>
            <w:noProof/>
          </w:rPr>
          <w:t>32</w:t>
        </w:r>
        <w:r>
          <w:fldChar w:fldCharType="end"/>
        </w:r>
      </w:p>
    </w:sdtContent>
  </w:sdt>
  <w:p w14:paraId="51EE120B" w14:textId="77777777" w:rsidR="00C91206" w:rsidRDefault="00C91206">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8E51" w14:textId="77777777" w:rsidR="0002271C" w:rsidRPr="003D2683" w:rsidRDefault="0002271C" w:rsidP="003D2683">
    <w:pPr>
      <w:pStyle w:val="Rodap"/>
      <w:widowControl w:val="0"/>
      <w:tabs>
        <w:tab w:val="right" w:pos="9638"/>
      </w:tabs>
      <w:rPr>
        <w:rFonts w:ascii="Verdana" w:hAnsi="Verdana"/>
        <w:sz w:val="16"/>
      </w:rPr>
    </w:pPr>
    <w:r w:rsidRPr="003D2683">
      <w:rPr>
        <w:rFonts w:ascii="Verdana" w:hAnsi="Verdana"/>
        <w:sz w:val="16"/>
      </w:rPr>
      <w:t xml:space="preserve">© 2019 Deloitte Touche </w:t>
    </w:r>
    <w:proofErr w:type="spellStart"/>
    <w:r w:rsidRPr="003D2683">
      <w:rPr>
        <w:rFonts w:ascii="Verdana" w:hAnsi="Verdana"/>
        <w:sz w:val="16"/>
      </w:rPr>
      <w:t>Tohmatsu</w:t>
    </w:r>
    <w:proofErr w:type="spellEnd"/>
    <w:r w:rsidRPr="003D2683">
      <w:rPr>
        <w:rFonts w:ascii="Verdana" w:hAnsi="Verdana"/>
        <w:sz w:val="16"/>
      </w:rPr>
      <w:t xml:space="preserve">. </w:t>
    </w:r>
    <w:proofErr w:type="spellStart"/>
    <w:r w:rsidRPr="003D2683">
      <w:rPr>
        <w:rFonts w:ascii="Verdana" w:hAnsi="Verdana"/>
        <w:sz w:val="16"/>
      </w:rPr>
      <w:t>All</w:t>
    </w:r>
    <w:proofErr w:type="spellEnd"/>
    <w:r w:rsidRPr="003D2683">
      <w:rPr>
        <w:rFonts w:ascii="Verdana" w:hAnsi="Verdana"/>
        <w:sz w:val="16"/>
      </w:rPr>
      <w:t xml:space="preserve"> </w:t>
    </w:r>
    <w:proofErr w:type="spellStart"/>
    <w:r w:rsidRPr="003D2683">
      <w:rPr>
        <w:rFonts w:ascii="Verdana" w:hAnsi="Verdana"/>
        <w:sz w:val="16"/>
      </w:rPr>
      <w:t>rights</w:t>
    </w:r>
    <w:proofErr w:type="spellEnd"/>
    <w:r w:rsidRPr="003D2683">
      <w:rPr>
        <w:rFonts w:ascii="Verdana" w:hAnsi="Verdana"/>
        <w:sz w:val="16"/>
      </w:rPr>
      <w:t xml:space="preserve"> </w:t>
    </w:r>
    <w:proofErr w:type="spellStart"/>
    <w:r w:rsidRPr="003D2683">
      <w:rPr>
        <w:rFonts w:ascii="Verdana" w:hAnsi="Verdana"/>
        <w:sz w:val="16"/>
      </w:rPr>
      <w:t>reserved</w:t>
    </w:r>
    <w:proofErr w:type="spellEnd"/>
    <w:r w:rsidRPr="003D2683">
      <w:rPr>
        <w:rFonts w:ascii="Verdana" w:hAnsi="Verdana"/>
        <w:sz w:val="16"/>
      </w:rPr>
      <w:t>.</w:t>
    </w:r>
    <w:r>
      <w:rPr>
        <w:rFonts w:ascii="Verdana" w:hAnsi="Verdana"/>
        <w:sz w:val="16"/>
      </w:rPr>
      <w:tab/>
    </w:r>
    <w:r w:rsidRPr="003D2683">
      <w:rPr>
        <w:rFonts w:ascii="Verdana" w:hAnsi="Verdana"/>
      </w:rPr>
      <w:fldChar w:fldCharType="begin"/>
    </w:r>
    <w:r w:rsidRPr="003D2683">
      <w:rPr>
        <w:rFonts w:ascii="Verdana" w:hAnsi="Verdana"/>
      </w:rPr>
      <w:instrText xml:space="preserve"> PAGE  \* Arabic  \* MERGEFORMAT </w:instrText>
    </w:r>
    <w:r w:rsidRPr="003D2683">
      <w:rPr>
        <w:rFonts w:ascii="Verdana" w:hAnsi="Verdana"/>
      </w:rPr>
      <w:fldChar w:fldCharType="separate"/>
    </w:r>
    <w:r>
      <w:rPr>
        <w:rFonts w:ascii="Verdana" w:hAnsi="Verdana"/>
        <w:noProof/>
      </w:rPr>
      <w:t>2</w:t>
    </w:r>
    <w:r w:rsidRPr="003D2683">
      <w:rPr>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62BB" w14:textId="77777777" w:rsidR="00C91206" w:rsidRDefault="00C91206" w:rsidP="001170F1">
      <w:pPr>
        <w:spacing w:after="0" w:line="240" w:lineRule="auto"/>
      </w:pPr>
      <w:r>
        <w:separator/>
      </w:r>
    </w:p>
  </w:footnote>
  <w:footnote w:type="continuationSeparator" w:id="0">
    <w:p w14:paraId="390B6C95" w14:textId="77777777" w:rsidR="00C91206" w:rsidRDefault="00C91206" w:rsidP="0011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3A13" w14:textId="77777777" w:rsidR="00C91206" w:rsidRDefault="00C91206">
    <w:pPr>
      <w:pStyle w:val="Cabealho"/>
    </w:pPr>
    <w:r w:rsidRPr="005D303B">
      <w:rPr>
        <w:b/>
        <w:noProof/>
        <w:color w:val="1F4E79" w:themeColor="accent1" w:themeShade="80"/>
        <w:lang w:eastAsia="pt-BR"/>
      </w:rPr>
      <mc:AlternateContent>
        <mc:Choice Requires="wps">
          <w:drawing>
            <wp:anchor distT="0" distB="0" distL="114300" distR="114300" simplePos="0" relativeHeight="251676672" behindDoc="0" locked="0" layoutInCell="1" allowOverlap="1" wp14:anchorId="6B754E49" wp14:editId="0E492B3A">
              <wp:simplePos x="0" y="0"/>
              <wp:positionH relativeFrom="page">
                <wp:posOffset>0</wp:posOffset>
              </wp:positionH>
              <wp:positionV relativeFrom="paragraph">
                <wp:posOffset>18415</wp:posOffset>
              </wp:positionV>
              <wp:extent cx="10691446" cy="52754"/>
              <wp:effectExtent l="0" t="0" r="0" b="4445"/>
              <wp:wrapNone/>
              <wp:docPr id="33" name="Retângulo 14"/>
              <wp:cNvGraphicFramePr/>
              <a:graphic xmlns:a="http://schemas.openxmlformats.org/drawingml/2006/main">
                <a:graphicData uri="http://schemas.microsoft.com/office/word/2010/wordprocessingShape">
                  <wps:wsp>
                    <wps:cNvSpPr/>
                    <wps:spPr>
                      <a:xfrm flipV="1">
                        <a:off x="0" y="0"/>
                        <a:ext cx="10691446" cy="52754"/>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E6892A8" id="Retângulo 14" o:spid="_x0000_s1026" style="position:absolute;margin-left:0;margin-top:1.45pt;width:841.85pt;height:4.15pt;flip:y;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" fillcolor="#f9dd16" stroked="f" strokeweight="1pt">
              <w10:wrap anchorx="page"/>
            </v:rect>
          </w:pict>
        </mc:Fallback>
      </mc:AlternateContent>
    </w:r>
    <w:r>
      <w:rPr>
        <w:noProof/>
        <w:sz w:val="20"/>
        <w:szCs w:val="20"/>
        <w:lang w:eastAsia="pt-BR"/>
      </w:rPr>
      <w:drawing>
        <wp:anchor distT="0" distB="0" distL="114300" distR="114300" simplePos="0" relativeHeight="251675648" behindDoc="0" locked="0" layoutInCell="1" allowOverlap="1" wp14:anchorId="280C0858" wp14:editId="70A8DB40">
          <wp:simplePos x="0" y="0"/>
          <wp:positionH relativeFrom="margin">
            <wp:posOffset>-440055</wp:posOffset>
          </wp:positionH>
          <wp:positionV relativeFrom="page">
            <wp:posOffset>120650</wp:posOffset>
          </wp:positionV>
          <wp:extent cx="967740" cy="198755"/>
          <wp:effectExtent l="0" t="0" r="3810" b="0"/>
          <wp:wrapNone/>
          <wp:docPr id="242" name="Imagem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254D35">
      <w:rPr>
        <w:noProof/>
        <w:sz w:val="20"/>
        <w:szCs w:val="20"/>
        <w:lang w:eastAsia="pt-BR"/>
      </w:rPr>
      <mc:AlternateContent>
        <mc:Choice Requires="wps">
          <w:drawing>
            <wp:anchor distT="0" distB="0" distL="114300" distR="114300" simplePos="0" relativeHeight="251674624" behindDoc="0" locked="0" layoutInCell="1" allowOverlap="1" wp14:anchorId="18F02ACD" wp14:editId="50A6BA63">
              <wp:simplePos x="0" y="0"/>
              <wp:positionH relativeFrom="page">
                <wp:posOffset>-25400</wp:posOffset>
              </wp:positionH>
              <wp:positionV relativeFrom="paragraph">
                <wp:posOffset>-450215</wp:posOffset>
              </wp:positionV>
              <wp:extent cx="7587615" cy="453390"/>
              <wp:effectExtent l="0" t="0" r="0" b="3810"/>
              <wp:wrapNone/>
              <wp:docPr id="238" name="Retângulo 238"/>
              <wp:cNvGraphicFramePr/>
              <a:graphic xmlns:a="http://schemas.openxmlformats.org/drawingml/2006/main">
                <a:graphicData uri="http://schemas.microsoft.com/office/word/2010/wordprocessingShape">
                  <wps:wsp>
                    <wps:cNvSpPr/>
                    <wps:spPr>
                      <a:xfrm>
                        <a:off x="0" y="0"/>
                        <a:ext cx="7587615" cy="453390"/>
                      </a:xfrm>
                      <a:prstGeom prst="rect">
                        <a:avLst/>
                      </a:prstGeom>
                      <a:solidFill>
                        <a:srgbClr val="0038A8"/>
                      </a:solidFill>
                      <a:ln w="12700" cap="flat" cmpd="sng" algn="ctr">
                        <a:noFill/>
                        <a:prstDash val="solid"/>
                        <a:miter lim="800000"/>
                      </a:ln>
                      <a:effectLst/>
                    </wps:spPr>
                    <wps:txbx>
                      <w:txbxContent>
                        <w:p w14:paraId="14291C90" w14:textId="77777777" w:rsidR="00C91206" w:rsidRPr="00E16BE7" w:rsidRDefault="00C91206" w:rsidP="00904B54">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p w14:paraId="5790392B" w14:textId="654B487F" w:rsidR="00C91206" w:rsidRPr="002D71EB" w:rsidRDefault="00C91206" w:rsidP="00C91206">
                          <w:pPr>
                            <w:jc w:val="right"/>
                            <w:rPr>
                              <w:rFonts w:cs="Arial"/>
                              <w:color w:val="FFFFFF" w:themeColor="background1"/>
                              <w:szCs w:val="18"/>
                            </w:rPr>
                          </w:pPr>
                          <w:r w:rsidRPr="002D71EB">
                            <w:rPr>
                              <w:rFonts w:cs="Arial"/>
                              <w:color w:val="FFFFFF" w:themeColor="background1"/>
                              <w:szCs w:val="18"/>
                            </w:rPr>
                            <w:t>.</w:t>
                          </w:r>
                        </w:p>
                        <w:p w14:paraId="52EE04F4" w14:textId="77777777" w:rsidR="00C91206" w:rsidRDefault="00C91206" w:rsidP="00C91206">
                          <w:pPr>
                            <w:ind w:left="708"/>
                            <w:jc w:val="right"/>
                          </w:pPr>
                          <w:r w:rsidRPr="00254D35">
                            <w:rPr>
                              <w:noProof/>
                              <w:lang w:eastAsia="pt-BR"/>
                            </w:rPr>
                            <w:drawing>
                              <wp:inline distT="0" distB="0" distL="0" distR="0" wp14:anchorId="1040F8C8" wp14:editId="2794D8F7">
                                <wp:extent cx="4742815" cy="40259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2815" cy="4025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02ACD" id="Retângulo 238" o:spid="_x0000_s1027" style="position:absolute;margin-left:-2pt;margin-top:-35.45pt;width:597.45pt;height:35.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" fillcolor="#0038a8" stroked="f" strokeweight="1pt">
              <v:textbox>
                <w:txbxContent>
                  <w:p w14:paraId="14291C90" w14:textId="77777777" w:rsidR="00C91206" w:rsidRPr="00E16BE7" w:rsidRDefault="00C91206" w:rsidP="00904B54">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p w14:paraId="5790392B" w14:textId="654B487F" w:rsidR="00C91206" w:rsidRPr="002D71EB" w:rsidRDefault="00C91206" w:rsidP="00C91206">
                    <w:pPr>
                      <w:jc w:val="right"/>
                      <w:rPr>
                        <w:rFonts w:cs="Arial"/>
                        <w:color w:val="FFFFFF" w:themeColor="background1"/>
                        <w:szCs w:val="18"/>
                      </w:rPr>
                    </w:pPr>
                    <w:r w:rsidRPr="002D71EB">
                      <w:rPr>
                        <w:rFonts w:cs="Arial"/>
                        <w:color w:val="FFFFFF" w:themeColor="background1"/>
                        <w:szCs w:val="18"/>
                      </w:rPr>
                      <w:t>.</w:t>
                    </w:r>
                  </w:p>
                  <w:p w14:paraId="52EE04F4" w14:textId="77777777" w:rsidR="00C91206" w:rsidRDefault="00C91206" w:rsidP="00C91206">
                    <w:pPr>
                      <w:ind w:left="708"/>
                      <w:jc w:val="right"/>
                    </w:pPr>
                    <w:r w:rsidRPr="00254D35">
                      <w:rPr>
                        <w:noProof/>
                        <w:lang w:eastAsia="pt-BR"/>
                      </w:rPr>
                      <w:drawing>
                        <wp:inline distT="0" distB="0" distL="0" distR="0" wp14:anchorId="1040F8C8" wp14:editId="2794D8F7">
                          <wp:extent cx="4742815" cy="402590"/>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2815" cy="402590"/>
                                  </a:xfrm>
                                  <a:prstGeom prst="rect">
                                    <a:avLst/>
                                  </a:prstGeom>
                                  <a:noFill/>
                                  <a:ln>
                                    <a:noFill/>
                                  </a:ln>
                                </pic:spPr>
                              </pic:pic>
                            </a:graphicData>
                          </a:graphic>
                        </wp:inline>
                      </w:drawing>
                    </w:r>
                  </w:p>
                </w:txbxContent>
              </v:textbox>
              <w10:wrap anchorx="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ECF8" w14:textId="2B5CD776" w:rsidR="00C91206" w:rsidRPr="00147488" w:rsidRDefault="002819C8" w:rsidP="00736E78">
    <w:pPr>
      <w:pStyle w:val="Cabealho"/>
      <w:tabs>
        <w:tab w:val="clear" w:pos="4252"/>
        <w:tab w:val="clear" w:pos="8504"/>
        <w:tab w:val="left" w:pos="5625"/>
      </w:tabs>
    </w:pPr>
    <w:r w:rsidRPr="005D303B">
      <w:rPr>
        <w:rFonts w:cs="Arial"/>
        <w:b/>
        <w:noProof/>
        <w:color w:val="1F4E79" w:themeColor="accent1" w:themeShade="80"/>
        <w:szCs w:val="18"/>
        <w:lang w:eastAsia="pt-BR"/>
      </w:rPr>
      <mc:AlternateContent>
        <mc:Choice Requires="wps">
          <w:drawing>
            <wp:anchor distT="0" distB="0" distL="114300" distR="114300" simplePos="0" relativeHeight="251654144" behindDoc="0" locked="0" layoutInCell="1" allowOverlap="1" wp14:anchorId="79C29F66" wp14:editId="06F8E0E2">
              <wp:simplePos x="0" y="0"/>
              <wp:positionH relativeFrom="page">
                <wp:posOffset>0</wp:posOffset>
              </wp:positionH>
              <wp:positionV relativeFrom="paragraph">
                <wp:posOffset>140335</wp:posOffset>
              </wp:positionV>
              <wp:extent cx="10687050" cy="66675"/>
              <wp:effectExtent l="0" t="0" r="0" b="0"/>
              <wp:wrapNone/>
              <wp:docPr id="252" name="Retângulo 14"/>
              <wp:cNvGraphicFramePr/>
              <a:graphic xmlns:a="http://schemas.openxmlformats.org/drawingml/2006/main">
                <a:graphicData uri="http://schemas.microsoft.com/office/word/2010/wordprocessingShape">
                  <wps:wsp>
                    <wps:cNvSpPr/>
                    <wps:spPr>
                      <a:xfrm>
                        <a:off x="0" y="0"/>
                        <a:ext cx="10687050" cy="66675"/>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D56C5B8" id="Retângulo 14" o:spid="_x0000_s1026" style="position:absolute;margin-left:0;margin-top:11.05pt;width:841.5pt;height:5.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" fillcolor="#f5e500" stroked="f" strokeweight="1pt">
              <w10:wrap anchorx="page"/>
            </v:rect>
          </w:pict>
        </mc:Fallback>
      </mc:AlternateContent>
    </w:r>
    <w:r>
      <w:rPr>
        <w:rFonts w:cs="Arial"/>
        <w:b/>
        <w:noProof/>
        <w:color w:val="1F4E79" w:themeColor="accent1" w:themeShade="80"/>
        <w:szCs w:val="18"/>
        <w:lang w:eastAsia="pt-BR"/>
      </w:rPr>
      <mc:AlternateContent>
        <mc:Choice Requires="wps">
          <w:drawing>
            <wp:anchor distT="0" distB="0" distL="114300" distR="114300" simplePos="0" relativeHeight="251655168" behindDoc="0" locked="0" layoutInCell="0" allowOverlap="1" wp14:anchorId="4F915FF7" wp14:editId="64945D95">
              <wp:simplePos x="0" y="0"/>
              <wp:positionH relativeFrom="page">
                <wp:posOffset>6248400</wp:posOffset>
              </wp:positionH>
              <wp:positionV relativeFrom="page">
                <wp:posOffset>19050</wp:posOffset>
              </wp:positionV>
              <wp:extent cx="4441730" cy="607978"/>
              <wp:effectExtent l="0" t="0" r="0" b="1905"/>
              <wp:wrapNone/>
              <wp:docPr id="251" name="MSIPCMd4874885a903e562d240bca3" descr="{&quot;HashCode&quot;:-14872923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4441730" cy="60797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140C61" w14:textId="77777777" w:rsidR="00C91206" w:rsidRPr="009C4F47" w:rsidRDefault="00C91206" w:rsidP="00736E78">
                          <w:pPr>
                            <w:spacing w:after="0"/>
                            <w:jc w:val="right"/>
                            <w:rPr>
                              <w:rFonts w:ascii="Calibri" w:hAnsi="Calibri" w:cs="Calibri"/>
                              <w:color w:val="FFFFFF" w:themeColor="background1"/>
                            </w:rPr>
                          </w:pPr>
                        </w:p>
                        <w:p w14:paraId="41B81280" w14:textId="77777777" w:rsidR="00076CE6" w:rsidRPr="00E16BE7" w:rsidRDefault="00076CE6" w:rsidP="00076CE6">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p w14:paraId="5CD0932D" w14:textId="724E524C" w:rsidR="00C91206" w:rsidRPr="009C4F47" w:rsidRDefault="00C91206" w:rsidP="00076CE6">
                          <w:pPr>
                            <w:spacing w:after="0"/>
                            <w:jc w:val="right"/>
                            <w:rPr>
                              <w:rFonts w:cs="Arial"/>
                              <w:color w:val="FFFFFF" w:themeColor="background1"/>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15FF7" id="_x0000_t202" coordsize="21600,21600" o:spt="202" path="m,l,21600r21600,l21600,xe">
              <v:stroke joinstyle="miter"/>
              <v:path gradientshapeok="t" o:connecttype="rect"/>
            </v:shapetype>
            <v:shape id="_x0000_s1039" type="#_x0000_t202" alt="{&quot;HashCode&quot;:-1487292391,&quot;Height&quot;:841.0,&quot;Width&quot;:595.0,&quot;Placement&quot;:&quot;Header&quot;,&quot;Index&quot;:&quot;FirstPage&quot;,&quot;Section&quot;:1,&quot;Top&quot;:0.0,&quot;Left&quot;:0.0}" style="position:absolute;margin-left:492pt;margin-top:1.5pt;width:349.75pt;height:47.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" o:allowincell="f" filled="f" stroked="f" strokeweight=".5pt">
              <v:textbox inset=",0,20pt,0">
                <w:txbxContent>
                  <w:p w14:paraId="25140C61" w14:textId="77777777" w:rsidR="00C91206" w:rsidRPr="009C4F47" w:rsidRDefault="00C91206" w:rsidP="00736E78">
                    <w:pPr>
                      <w:spacing w:after="0"/>
                      <w:jc w:val="right"/>
                      <w:rPr>
                        <w:rFonts w:ascii="Calibri" w:hAnsi="Calibri" w:cs="Calibri"/>
                        <w:color w:val="FFFFFF" w:themeColor="background1"/>
                      </w:rPr>
                    </w:pPr>
                  </w:p>
                  <w:p w14:paraId="41B81280" w14:textId="77777777" w:rsidR="00076CE6" w:rsidRPr="00E16BE7" w:rsidRDefault="00076CE6" w:rsidP="00076CE6">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p w14:paraId="5CD0932D" w14:textId="724E524C" w:rsidR="00C91206" w:rsidRPr="009C4F47" w:rsidRDefault="00C91206" w:rsidP="00076CE6">
                    <w:pPr>
                      <w:spacing w:after="0"/>
                      <w:jc w:val="right"/>
                      <w:rPr>
                        <w:rFonts w:cs="Arial"/>
                        <w:color w:val="FFFFFF" w:themeColor="background1"/>
                      </w:rPr>
                    </w:pPr>
                  </w:p>
                </w:txbxContent>
              </v:textbox>
              <w10:wrap anchorx="page" anchory="page"/>
            </v:shape>
          </w:pict>
        </mc:Fallback>
      </mc:AlternateContent>
    </w:r>
    <w:r w:rsidRPr="0069353A">
      <w:rPr>
        <w:noProof/>
        <w:sz w:val="20"/>
        <w:szCs w:val="20"/>
        <w:lang w:eastAsia="pt-BR"/>
      </w:rPr>
      <mc:AlternateContent>
        <mc:Choice Requires="wps">
          <w:drawing>
            <wp:anchor distT="0" distB="0" distL="114300" distR="114300" simplePos="0" relativeHeight="251652096" behindDoc="1" locked="0" layoutInCell="1" allowOverlap="1" wp14:anchorId="6F2692F2" wp14:editId="76FBB784">
              <wp:simplePos x="0" y="0"/>
              <wp:positionH relativeFrom="page">
                <wp:align>left</wp:align>
              </wp:positionH>
              <wp:positionV relativeFrom="paragraph">
                <wp:posOffset>-542925</wp:posOffset>
              </wp:positionV>
              <wp:extent cx="10687050" cy="657860"/>
              <wp:effectExtent l="0" t="0" r="0" b="8890"/>
              <wp:wrapThrough wrapText="bothSides">
                <wp:wrapPolygon edited="0">
                  <wp:start x="0" y="0"/>
                  <wp:lineTo x="0" y="21266"/>
                  <wp:lineTo x="21561" y="21266"/>
                  <wp:lineTo x="21561" y="0"/>
                  <wp:lineTo x="0" y="0"/>
                </wp:wrapPolygon>
              </wp:wrapThrough>
              <wp:docPr id="8" name="Retângulo 8"/>
              <wp:cNvGraphicFramePr/>
              <a:graphic xmlns:a="http://schemas.openxmlformats.org/drawingml/2006/main">
                <a:graphicData uri="http://schemas.microsoft.com/office/word/2010/wordprocessingShape">
                  <wps:wsp>
                    <wps:cNvSpPr/>
                    <wps:spPr>
                      <a:xfrm>
                        <a:off x="0" y="0"/>
                        <a:ext cx="10687050"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A2560" id="Retângulo 8" o:spid="_x0000_s1026" style="position:absolute;margin-left:0;margin-top:-42.75pt;width:841.5pt;height:51.8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" fillcolor="#0038a8" stroked="f" strokeweight="1pt">
              <w10:wrap type="through" anchorx="page"/>
            </v:rect>
          </w:pict>
        </mc:Fallback>
      </mc:AlternateContent>
    </w:r>
    <w:r w:rsidR="00C91206" w:rsidRPr="005D303B">
      <w:rPr>
        <w:rFonts w:cs="Arial"/>
        <w:b/>
        <w:noProof/>
        <w:color w:val="1F4E79" w:themeColor="accent1" w:themeShade="80"/>
        <w:szCs w:val="18"/>
        <w:lang w:eastAsia="pt-BR"/>
      </w:rPr>
      <w:drawing>
        <wp:anchor distT="0" distB="0" distL="114300" distR="114300" simplePos="0" relativeHeight="251653120" behindDoc="0" locked="0" layoutInCell="1" allowOverlap="1" wp14:anchorId="1259FB6F" wp14:editId="5FB10795">
          <wp:simplePos x="0" y="0"/>
          <wp:positionH relativeFrom="margin">
            <wp:posOffset>-447675</wp:posOffset>
          </wp:positionH>
          <wp:positionV relativeFrom="paragraph">
            <wp:posOffset>-353060</wp:posOffset>
          </wp:positionV>
          <wp:extent cx="1176020" cy="259080"/>
          <wp:effectExtent l="0" t="0" r="5080" b="7620"/>
          <wp:wrapNone/>
          <wp:docPr id="25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2DC5" w14:textId="38C412D3" w:rsidR="00C91206" w:rsidRDefault="00076CE6" w:rsidP="00926891">
    <w:pPr>
      <w:pStyle w:val="Cabealho"/>
      <w:tabs>
        <w:tab w:val="clear" w:pos="4252"/>
        <w:tab w:val="clear" w:pos="8504"/>
        <w:tab w:val="left" w:pos="5625"/>
      </w:tabs>
    </w:pPr>
    <w:r w:rsidRPr="005D303B">
      <w:rPr>
        <w:rFonts w:cs="Arial"/>
        <w:b/>
        <w:noProof/>
        <w:color w:val="1F4E79" w:themeColor="accent1" w:themeShade="80"/>
        <w:szCs w:val="18"/>
        <w:lang w:eastAsia="pt-BR"/>
      </w:rPr>
      <mc:AlternateContent>
        <mc:Choice Requires="wps">
          <w:drawing>
            <wp:anchor distT="0" distB="0" distL="114300" distR="114300" simplePos="0" relativeHeight="251664384" behindDoc="0" locked="0" layoutInCell="1" allowOverlap="1" wp14:anchorId="182C7A89" wp14:editId="445DE671">
              <wp:simplePos x="0" y="0"/>
              <wp:positionH relativeFrom="page">
                <wp:posOffset>-171450</wp:posOffset>
              </wp:positionH>
              <wp:positionV relativeFrom="paragraph">
                <wp:posOffset>47625</wp:posOffset>
              </wp:positionV>
              <wp:extent cx="10906125" cy="47625"/>
              <wp:effectExtent l="0" t="0" r="9525" b="9525"/>
              <wp:wrapNone/>
              <wp:docPr id="190" name="Retângulo 14"/>
              <wp:cNvGraphicFramePr/>
              <a:graphic xmlns:a="http://schemas.openxmlformats.org/drawingml/2006/main">
                <a:graphicData uri="http://schemas.microsoft.com/office/word/2010/wordprocessingShape">
                  <wps:wsp>
                    <wps:cNvSpPr/>
                    <wps:spPr>
                      <a:xfrm>
                        <a:off x="0" y="0"/>
                        <a:ext cx="10906125" cy="47625"/>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70A3BB24" id="Retângulo 14" o:spid="_x0000_s1026" style="position:absolute;margin-left:-13.5pt;margin-top:3.75pt;width:858.75pt;height: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" fillcolor="#f9dd16" stroked="f" strokeweight="1pt">
              <w10:wrap anchorx="page"/>
            </v:rect>
          </w:pict>
        </mc:Fallback>
      </mc:AlternateContent>
    </w:r>
    <w:r w:rsidR="00C91206">
      <w:rPr>
        <w:noProof/>
        <w:sz w:val="20"/>
        <w:szCs w:val="20"/>
        <w:lang w:eastAsia="pt-BR"/>
      </w:rPr>
      <mc:AlternateContent>
        <mc:Choice Requires="wps">
          <w:drawing>
            <wp:anchor distT="0" distB="0" distL="114300" distR="114300" simplePos="0" relativeHeight="251667456" behindDoc="0" locked="0" layoutInCell="1" allowOverlap="1" wp14:anchorId="7C81F24F" wp14:editId="2D2EF185">
              <wp:simplePos x="0" y="0"/>
              <wp:positionH relativeFrom="column">
                <wp:posOffset>1809750</wp:posOffset>
              </wp:positionH>
              <wp:positionV relativeFrom="paragraph">
                <wp:posOffset>-441325</wp:posOffset>
              </wp:positionV>
              <wp:extent cx="4958715" cy="402742"/>
              <wp:effectExtent l="0" t="0" r="0" b="0"/>
              <wp:wrapNone/>
              <wp:docPr id="247" name="Caixa de Texto 247"/>
              <wp:cNvGraphicFramePr/>
              <a:graphic xmlns:a="http://schemas.openxmlformats.org/drawingml/2006/main">
                <a:graphicData uri="http://schemas.microsoft.com/office/word/2010/wordprocessingShape">
                  <wps:wsp>
                    <wps:cNvSpPr txBox="1"/>
                    <wps:spPr>
                      <a:xfrm>
                        <a:off x="0" y="0"/>
                        <a:ext cx="4958715" cy="402742"/>
                      </a:xfrm>
                      <a:prstGeom prst="rect">
                        <a:avLst/>
                      </a:prstGeom>
                      <a:noFill/>
                      <a:ln w="6350">
                        <a:noFill/>
                      </a:ln>
                    </wps:spPr>
                    <wps:txbx>
                      <w:txbxContent>
                        <w:p w14:paraId="41CA02EF" w14:textId="4FC25675" w:rsidR="00C91206" w:rsidRPr="00E16BE7" w:rsidRDefault="00C91206" w:rsidP="006F7590">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1F24F" id="_x0000_t202" coordsize="21600,21600" o:spt="202" path="m,l,21600r21600,l21600,xe">
              <v:stroke joinstyle="miter"/>
              <v:path gradientshapeok="t" o:connecttype="rect"/>
            </v:shapetype>
            <v:shape id="Caixa de Texto 247" o:spid="_x0000_s1040" type="#_x0000_t202" style="position:absolute;margin-left:142.5pt;margin-top:-34.75pt;width:390.45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" filled="f" stroked="f" strokeweight=".5pt">
              <v:textbox>
                <w:txbxContent>
                  <w:p w14:paraId="41CA02EF" w14:textId="4FC25675" w:rsidR="00C91206" w:rsidRPr="00E16BE7" w:rsidRDefault="00C91206" w:rsidP="006F7590">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txbxContent>
              </v:textbox>
            </v:shape>
          </w:pict>
        </mc:Fallback>
      </mc:AlternateContent>
    </w:r>
    <w:r w:rsidR="00C91206">
      <w:rPr>
        <w:noProof/>
        <w:sz w:val="20"/>
        <w:szCs w:val="20"/>
        <w:lang w:eastAsia="pt-BR"/>
      </w:rPr>
      <w:drawing>
        <wp:anchor distT="0" distB="0" distL="114300" distR="114300" simplePos="0" relativeHeight="251665408" behindDoc="0" locked="0" layoutInCell="1" allowOverlap="1" wp14:anchorId="1D6DA11B" wp14:editId="78AEFCC3">
          <wp:simplePos x="0" y="0"/>
          <wp:positionH relativeFrom="margin">
            <wp:posOffset>-453390</wp:posOffset>
          </wp:positionH>
          <wp:positionV relativeFrom="paragraph">
            <wp:posOffset>-342265</wp:posOffset>
          </wp:positionV>
          <wp:extent cx="967740" cy="198755"/>
          <wp:effectExtent l="0" t="0" r="3810" b="0"/>
          <wp:wrapNone/>
          <wp:docPr id="194" name="Imagem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00C91206" w:rsidRPr="0069353A">
      <w:rPr>
        <w:noProof/>
        <w:sz w:val="20"/>
        <w:szCs w:val="20"/>
        <w:lang w:eastAsia="pt-BR"/>
      </w:rPr>
      <mc:AlternateContent>
        <mc:Choice Requires="wps">
          <w:drawing>
            <wp:anchor distT="0" distB="0" distL="114300" distR="114300" simplePos="0" relativeHeight="251662336" behindDoc="1" locked="0" layoutInCell="1" allowOverlap="1" wp14:anchorId="59311A5D" wp14:editId="3F338C26">
              <wp:simplePos x="0" y="0"/>
              <wp:positionH relativeFrom="page">
                <wp:align>right</wp:align>
              </wp:positionH>
              <wp:positionV relativeFrom="paragraph">
                <wp:posOffset>-540385</wp:posOffset>
              </wp:positionV>
              <wp:extent cx="10677525" cy="497840"/>
              <wp:effectExtent l="0" t="0" r="9525" b="0"/>
              <wp:wrapThrough wrapText="bothSides">
                <wp:wrapPolygon edited="0">
                  <wp:start x="0" y="0"/>
                  <wp:lineTo x="0" y="20663"/>
                  <wp:lineTo x="21581" y="20663"/>
                  <wp:lineTo x="21581" y="0"/>
                  <wp:lineTo x="0" y="0"/>
                </wp:wrapPolygon>
              </wp:wrapThrough>
              <wp:docPr id="192" name="Retângulo 192"/>
              <wp:cNvGraphicFramePr/>
              <a:graphic xmlns:a="http://schemas.openxmlformats.org/drawingml/2006/main">
                <a:graphicData uri="http://schemas.microsoft.com/office/word/2010/wordprocessingShape">
                  <wps:wsp>
                    <wps:cNvSpPr/>
                    <wps:spPr>
                      <a:xfrm>
                        <a:off x="0" y="0"/>
                        <a:ext cx="10677525" cy="49784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0AF42F" w14:textId="77777777" w:rsidR="00C91206" w:rsidRDefault="00C91206" w:rsidP="00926891">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11A5D" id="Retângulo 192" o:spid="_x0000_s1041" style="position:absolute;margin-left:789.55pt;margin-top:-42.55pt;width:840.75pt;height:39.2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" fillcolor="#0038a8" stroked="f" strokeweight="1pt">
              <v:textbox>
                <w:txbxContent>
                  <w:p w14:paraId="620AF42F" w14:textId="77777777" w:rsidR="00C91206" w:rsidRDefault="00C91206" w:rsidP="00926891">
                    <w:pPr>
                      <w:ind w:left="708"/>
                      <w:jc w:val="right"/>
                    </w:pPr>
                  </w:p>
                </w:txbxContent>
              </v:textbox>
              <w10:wrap type="through"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82D3" w14:textId="77777777" w:rsidR="0002271C" w:rsidRPr="009F67E2" w:rsidRDefault="0002271C" w:rsidP="00B412A9">
    <w:pPr>
      <w:pStyle w:val="Cabealho"/>
    </w:pPr>
    <w:r w:rsidRPr="00343033">
      <w:rPr>
        <w:rFonts w:cs="Arial"/>
        <w:szCs w:val="18"/>
      </w:rPr>
      <w:t xml:space="preserve">Deloitte Touche </w:t>
    </w:r>
    <w:proofErr w:type="spellStart"/>
    <w:r w:rsidRPr="00343033">
      <w:rPr>
        <w:rFonts w:cs="Arial"/>
        <w:szCs w:val="18"/>
      </w:rPr>
      <w:t>Tohmatsu</w:t>
    </w:r>
    <w:proofErr w:type="spellEnd"/>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4B9A" w14:textId="2F6DD35A" w:rsidR="0002271C" w:rsidRPr="0002271C" w:rsidRDefault="0002271C" w:rsidP="0002271C">
    <w:pPr>
      <w:pStyle w:val="Cabealho"/>
    </w:pPr>
    <w:r>
      <w:rPr>
        <w:noProof/>
      </w:rPr>
      <w:drawing>
        <wp:anchor distT="0" distB="0" distL="114300" distR="114300" simplePos="0" relativeHeight="251680768" behindDoc="0" locked="1" layoutInCell="1" allowOverlap="1" wp14:anchorId="6922AFE1" wp14:editId="1C421D61">
          <wp:simplePos x="0" y="0"/>
          <wp:positionH relativeFrom="page">
            <wp:posOffset>720090</wp:posOffset>
          </wp:positionH>
          <wp:positionV relativeFrom="page">
            <wp:posOffset>359410</wp:posOffset>
          </wp:positionV>
          <wp:extent cx="1151890" cy="215900"/>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1369" w14:textId="590593D7" w:rsidR="0002271C" w:rsidRPr="0002271C" w:rsidRDefault="0002271C" w:rsidP="0002271C">
    <w:pPr>
      <w:pStyle w:val="Cabealho"/>
    </w:pPr>
    <w:r w:rsidRPr="00523DF9">
      <w:rPr>
        <w:rFonts w:ascii="Verdana" w:hAnsi="Verdana"/>
        <w:noProof/>
        <w:sz w:val="11"/>
        <w:szCs w:val="11"/>
        <w:lang w:eastAsia="pt-BR"/>
      </w:rPr>
      <mc:AlternateContent>
        <mc:Choice Requires="wpg">
          <w:drawing>
            <wp:anchor distT="0" distB="0" distL="114300" distR="114300" simplePos="0" relativeHeight="251655680" behindDoc="0" locked="0" layoutInCell="1" allowOverlap="1" wp14:anchorId="46059125" wp14:editId="5E9E23D0">
              <wp:simplePos x="0" y="0"/>
              <wp:positionH relativeFrom="page">
                <wp:posOffset>720090</wp:posOffset>
              </wp:positionH>
              <wp:positionV relativeFrom="page">
                <wp:posOffset>539115</wp:posOffset>
              </wp:positionV>
              <wp:extent cx="6472619" cy="1304925"/>
              <wp:effectExtent l="0" t="0" r="4445" b="9525"/>
              <wp:wrapNone/>
              <wp:docPr id="9" name="Group 11"/>
              <wp:cNvGraphicFramePr/>
              <a:graphic xmlns:a="http://schemas.openxmlformats.org/drawingml/2006/main">
                <a:graphicData uri="http://schemas.microsoft.com/office/word/2010/wordprocessingGroup">
                  <wpg:wgp>
                    <wpg:cNvGrpSpPr/>
                    <wpg:grpSpPr>
                      <a:xfrm>
                        <a:off x="0" y="0"/>
                        <a:ext cx="6472619" cy="1304925"/>
                        <a:chOff x="0" y="-1"/>
                        <a:chExt cx="6473369" cy="1304925"/>
                      </a:xfrm>
                    </wpg:grpSpPr>
                    <wps:wsp>
                      <wps:cNvPr id="12" name="Text Box 12"/>
                      <wps:cNvSpPr txBox="1"/>
                      <wps:spPr>
                        <a:xfrm>
                          <a:off x="4781369" y="-1"/>
                          <a:ext cx="169200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75D7C8"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 xml:space="preserve">Deloitte Touche </w:t>
                            </w:r>
                            <w:proofErr w:type="spellStart"/>
                            <w:r w:rsidRPr="00BE2387">
                              <w:rPr>
                                <w:rFonts w:ascii="Verdana" w:eastAsia="Verdana" w:hAnsi="Verdana"/>
                                <w:sz w:val="14"/>
                              </w:rPr>
                              <w:t>Tohmatsu</w:t>
                            </w:r>
                            <w:proofErr w:type="spellEnd"/>
                          </w:p>
                          <w:p w14:paraId="15E4204D"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Setor Comercial Sul, Quadra 9,</w:t>
                            </w:r>
                            <w:r w:rsidRPr="00BE2387">
                              <w:rPr>
                                <w:rFonts w:ascii="Verdana" w:eastAsia="Verdana" w:hAnsi="Verdana"/>
                                <w:sz w:val="14"/>
                              </w:rPr>
                              <w:br/>
                              <w:t>Torre A, Ed. Parque Cidade Corporate, Sala 1104</w:t>
                            </w:r>
                            <w:r w:rsidRPr="00BE2387">
                              <w:rPr>
                                <w:rFonts w:ascii="Verdana" w:eastAsia="Verdana" w:hAnsi="Verdana"/>
                                <w:sz w:val="14"/>
                              </w:rPr>
                              <w:br/>
                              <w:t>70308-200 Brasília - DF</w:t>
                            </w:r>
                          </w:p>
                          <w:p w14:paraId="6BB7DB33"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Brasil</w:t>
                            </w:r>
                          </w:p>
                          <w:p w14:paraId="07611A55" w14:textId="77777777" w:rsidR="0002271C" w:rsidRPr="00BE2387" w:rsidRDefault="0002271C" w:rsidP="0002271C">
                            <w:pPr>
                              <w:spacing w:line="170" w:lineRule="atLeast"/>
                              <w:rPr>
                                <w:rFonts w:ascii="Verdana" w:eastAsia="Verdana" w:hAnsi="Verdana"/>
                                <w:sz w:val="14"/>
                              </w:rPr>
                            </w:pPr>
                          </w:p>
                          <w:p w14:paraId="333BEA73"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Tel.: + 55 (61) 3224-3924</w:t>
                            </w:r>
                          </w:p>
                          <w:p w14:paraId="1C9E00C4"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Fax: + 55 (61) 3226-6087</w:t>
                            </w:r>
                          </w:p>
                          <w:p w14:paraId="74902183"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www.deloitte.com.br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059125" id="Group 11" o:spid="_x0000_s1042" style="position:absolute;margin-left:56.7pt;margin-top:42.45pt;width:509.65pt;height:102.75pt;z-index:251655680;mso-position-horizontal-relative:page;mso-position-vertical-relative:page;mso-width-relative:margin;mso-height-relative:margin" coordorigin="" coordsize="64733,13049"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">
              <v:shapetype id="_x0000_t202" coordsize="21600,21600" o:spt="202" path="m,l,21600r21600,l21600,xe">
                <v:stroke joinstyle="miter"/>
                <v:path gradientshapeok="t" o:connecttype="rect"/>
              </v:shapetype>
              <v:shape id="Text Box 12" o:spid="_x0000_s1043" type="#_x0000_t202" style="position:absolute;left:47813;width:16920;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14:paraId="7A75D7C8"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 xml:space="preserve">Deloitte Touche </w:t>
                      </w:r>
                      <w:proofErr w:type="spellStart"/>
                      <w:r w:rsidRPr="00BE2387">
                        <w:rPr>
                          <w:rFonts w:ascii="Verdana" w:eastAsia="Verdana" w:hAnsi="Verdana"/>
                          <w:sz w:val="14"/>
                        </w:rPr>
                        <w:t>Tohmatsu</w:t>
                      </w:r>
                      <w:proofErr w:type="spellEnd"/>
                    </w:p>
                    <w:p w14:paraId="15E4204D"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Setor Comercial Sul, Quadra 9,</w:t>
                      </w:r>
                      <w:r w:rsidRPr="00BE2387">
                        <w:rPr>
                          <w:rFonts w:ascii="Verdana" w:eastAsia="Verdana" w:hAnsi="Verdana"/>
                          <w:sz w:val="14"/>
                        </w:rPr>
                        <w:br/>
                        <w:t>Torre A, Ed. Parque Cidade Corporate, Sala 1104</w:t>
                      </w:r>
                      <w:r w:rsidRPr="00BE2387">
                        <w:rPr>
                          <w:rFonts w:ascii="Verdana" w:eastAsia="Verdana" w:hAnsi="Verdana"/>
                          <w:sz w:val="14"/>
                        </w:rPr>
                        <w:br/>
                        <w:t>70308-200 Brasília - DF</w:t>
                      </w:r>
                    </w:p>
                    <w:p w14:paraId="6BB7DB33"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Brasil</w:t>
                      </w:r>
                    </w:p>
                    <w:p w14:paraId="07611A55" w14:textId="77777777" w:rsidR="0002271C" w:rsidRPr="00BE2387" w:rsidRDefault="0002271C" w:rsidP="0002271C">
                      <w:pPr>
                        <w:spacing w:line="170" w:lineRule="atLeast"/>
                        <w:rPr>
                          <w:rFonts w:ascii="Verdana" w:eastAsia="Verdana" w:hAnsi="Verdana"/>
                          <w:sz w:val="14"/>
                        </w:rPr>
                      </w:pPr>
                    </w:p>
                    <w:p w14:paraId="333BEA73"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Tel.: + 55 (61) 3224-3924</w:t>
                      </w:r>
                    </w:p>
                    <w:p w14:paraId="1C9E00C4"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Fax: + 55 (61) 3226-6087</w:t>
                      </w:r>
                    </w:p>
                    <w:p w14:paraId="74902183" w14:textId="77777777" w:rsidR="0002271C" w:rsidRPr="00BE2387" w:rsidRDefault="0002271C" w:rsidP="0002271C">
                      <w:pPr>
                        <w:spacing w:line="170" w:lineRule="atLeast"/>
                        <w:rPr>
                          <w:rFonts w:ascii="Verdana" w:eastAsia="Verdana" w:hAnsi="Verdana"/>
                          <w:sz w:val="14"/>
                        </w:rPr>
                      </w:pPr>
                      <w:r w:rsidRPr="00BE2387">
                        <w:rPr>
                          <w:rFonts w:ascii="Verdana" w:eastAsia="Verdana" w:hAnsi="Verdana"/>
                          <w:sz w:val="14"/>
                        </w:rPr>
                        <w:t>www.deloitte.com.br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44" type="#_x0000_t75" style="position:absolute;width:187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">
                <v:imagedata r:id="rId2" o:title=""/>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A02C" w14:textId="5EA892AE" w:rsidR="00BD0B9F" w:rsidRPr="0002271C" w:rsidRDefault="00981E8C" w:rsidP="0002271C">
    <w:pPr>
      <w:pStyle w:val="Cabealho"/>
    </w:pPr>
    <w:r>
      <w:rPr>
        <w:noProof/>
        <w:sz w:val="20"/>
        <w:szCs w:val="20"/>
        <w:lang w:eastAsia="pt-BR"/>
      </w:rPr>
      <w:drawing>
        <wp:anchor distT="0" distB="0" distL="114300" distR="114300" simplePos="0" relativeHeight="251668992" behindDoc="0" locked="0" layoutInCell="1" allowOverlap="1" wp14:anchorId="0410140D" wp14:editId="69F63100">
          <wp:simplePos x="0" y="0"/>
          <wp:positionH relativeFrom="margin">
            <wp:posOffset>-200025</wp:posOffset>
          </wp:positionH>
          <wp:positionV relativeFrom="paragraph">
            <wp:posOffset>-286385</wp:posOffset>
          </wp:positionV>
          <wp:extent cx="967740" cy="198755"/>
          <wp:effectExtent l="0" t="0" r="3810" b="0"/>
          <wp:wrapNone/>
          <wp:docPr id="38" name="Imagem 3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BD0B9F">
      <w:rPr>
        <w:rFonts w:asciiTheme="minorHAnsi" w:eastAsia="MS Mincho" w:hAnsiTheme="minorHAnsi"/>
        <w:noProof/>
        <w:sz w:val="20"/>
        <w:szCs w:val="20"/>
        <w:lang w:eastAsia="pt-BR"/>
      </w:rPr>
      <mc:AlternateContent>
        <mc:Choice Requires="wps">
          <w:drawing>
            <wp:anchor distT="0" distB="0" distL="114300" distR="114300" simplePos="0" relativeHeight="251667968" behindDoc="1" locked="0" layoutInCell="1" allowOverlap="1" wp14:anchorId="704CFA1E" wp14:editId="083C2AAA">
              <wp:simplePos x="0" y="0"/>
              <wp:positionH relativeFrom="page">
                <wp:posOffset>42863</wp:posOffset>
              </wp:positionH>
              <wp:positionV relativeFrom="paragraph">
                <wp:posOffset>-441008</wp:posOffset>
              </wp:positionV>
              <wp:extent cx="7553325" cy="497840"/>
              <wp:effectExtent l="0" t="0" r="9525" b="0"/>
              <wp:wrapThrough wrapText="bothSides">
                <wp:wrapPolygon edited="0">
                  <wp:start x="0" y="0"/>
                  <wp:lineTo x="0" y="20663"/>
                  <wp:lineTo x="21573" y="20663"/>
                  <wp:lineTo x="21573" y="0"/>
                  <wp:lineTo x="0" y="0"/>
                </wp:wrapPolygon>
              </wp:wrapThrough>
              <wp:docPr id="31" name="Retângulo 31"/>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38A8"/>
                      </a:solidFill>
                      <a:ln w="12700" cap="flat" cmpd="sng" algn="ctr">
                        <a:noFill/>
                        <a:prstDash val="solid"/>
                        <a:miter lim="800000"/>
                      </a:ln>
                      <a:effectLst/>
                    </wps:spPr>
                    <wps:txbx>
                      <w:txbxContent>
                        <w:p w14:paraId="3E254CAF" w14:textId="7203393B" w:rsidR="00981E8C" w:rsidRDefault="00981E8C" w:rsidP="00981E8C">
                          <w:pPr>
                            <w:ind w:left="708"/>
                            <w:jc w:val="right"/>
                          </w:pPr>
                          <w:r w:rsidRPr="00BD0B9F">
                            <w:rPr>
                              <w:noProof/>
                            </w:rPr>
                            <w:drawing>
                              <wp:inline distT="0" distB="0" distL="0" distR="0" wp14:anchorId="4F5F91D7" wp14:editId="00B784B3">
                                <wp:extent cx="4138295" cy="39370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4056" cy="3942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CFA1E" id="Retângulo 31" o:spid="_x0000_s1045" style="position:absolute;margin-left:3.4pt;margin-top:-34.75pt;width:594.75pt;height:39.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" fillcolor="#0038a8" stroked="f" strokeweight="1pt">
              <v:textbox>
                <w:txbxContent>
                  <w:p w14:paraId="3E254CAF" w14:textId="7203393B" w:rsidR="00981E8C" w:rsidRDefault="00981E8C" w:rsidP="00981E8C">
                    <w:pPr>
                      <w:ind w:left="708"/>
                      <w:jc w:val="right"/>
                    </w:pPr>
                    <w:r w:rsidRPr="00BD0B9F">
                      <w:rPr>
                        <w:noProof/>
                      </w:rPr>
                      <w:drawing>
                        <wp:inline distT="0" distB="0" distL="0" distR="0" wp14:anchorId="4F5F91D7" wp14:editId="00B784B3">
                          <wp:extent cx="4138295" cy="39370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4056" cy="394248"/>
                                  </a:xfrm>
                                  <a:prstGeom prst="rect">
                                    <a:avLst/>
                                  </a:prstGeom>
                                  <a:noFill/>
                                  <a:ln>
                                    <a:noFill/>
                                  </a:ln>
                                </pic:spPr>
                              </pic:pic>
                            </a:graphicData>
                          </a:graphic>
                        </wp:inline>
                      </w:drawing>
                    </w:r>
                  </w:p>
                </w:txbxContent>
              </v:textbox>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65920" behindDoc="0" locked="0" layoutInCell="1" allowOverlap="1" wp14:anchorId="72907CD9" wp14:editId="6B42D67C">
              <wp:simplePos x="0" y="0"/>
              <wp:positionH relativeFrom="page">
                <wp:posOffset>43815</wp:posOffset>
              </wp:positionH>
              <wp:positionV relativeFrom="paragraph">
                <wp:posOffset>52705</wp:posOffset>
              </wp:positionV>
              <wp:extent cx="9144000" cy="53340"/>
              <wp:effectExtent l="0" t="0" r="0" b="3810"/>
              <wp:wrapNone/>
              <wp:docPr id="26"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9DD16"/>
                      </a:solidFill>
                      <a:ln w="12700" cap="flat" cmpd="sng" algn="ctr">
                        <a:noFill/>
                        <a:prstDash val="solid"/>
                        <a:miter lim="800000"/>
                      </a:ln>
                      <a:effectLst/>
                    </wps:spPr>
                    <wps:bodyPr anchor="ctr"/>
                  </wps:wsp>
                </a:graphicData>
              </a:graphic>
            </wp:anchor>
          </w:drawing>
        </mc:Choice>
        <mc:Fallback>
          <w:pict>
            <v:rect w14:anchorId="16E0E674" id="Retângulo 14" o:spid="_x0000_s1026" style="position:absolute;margin-left:3.45pt;margin-top:4.15pt;width:10in;height:4.2pt;z-index:2516659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" fillcolor="#f9dd16" stroked="f" strokeweight="1pt">
              <w10:wrap anchorx="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7FC37" w14:textId="4FEBC560" w:rsidR="0002271C" w:rsidRPr="0002271C" w:rsidRDefault="00981E8C" w:rsidP="0002271C">
    <w:pPr>
      <w:pStyle w:val="Cabealho"/>
    </w:pPr>
    <w:r w:rsidRPr="005D303B">
      <w:rPr>
        <w:rFonts w:cs="Arial"/>
        <w:b/>
        <w:noProof/>
        <w:color w:val="1F4E79" w:themeColor="accent1" w:themeShade="80"/>
        <w:szCs w:val="18"/>
        <w:lang w:eastAsia="pt-BR"/>
      </w:rPr>
      <mc:AlternateContent>
        <mc:Choice Requires="wps">
          <w:drawing>
            <wp:anchor distT="0" distB="0" distL="114300" distR="114300" simplePos="0" relativeHeight="251663872" behindDoc="0" locked="0" layoutInCell="1" allowOverlap="1" wp14:anchorId="22FFCE17" wp14:editId="421DEF99">
              <wp:simplePos x="0" y="0"/>
              <wp:positionH relativeFrom="page">
                <wp:posOffset>952</wp:posOffset>
              </wp:positionH>
              <wp:positionV relativeFrom="paragraph">
                <wp:posOffset>67945</wp:posOffset>
              </wp:positionV>
              <wp:extent cx="9144000" cy="53340"/>
              <wp:effectExtent l="0" t="0" r="0" b="3810"/>
              <wp:wrapNone/>
              <wp:docPr id="25"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9DD16"/>
                      </a:solidFill>
                      <a:ln w="12700" cap="flat" cmpd="sng" algn="ctr">
                        <a:noFill/>
                        <a:prstDash val="solid"/>
                        <a:miter lim="800000"/>
                      </a:ln>
                      <a:effectLst/>
                    </wps:spPr>
                    <wps:bodyPr anchor="ctr"/>
                  </wps:wsp>
                </a:graphicData>
              </a:graphic>
            </wp:anchor>
          </w:drawing>
        </mc:Choice>
        <mc:Fallback>
          <w:pict>
            <v:rect w14:anchorId="3ACC7B03" id="Retângulo 14" o:spid="_x0000_s1026" style="position:absolute;margin-left:.05pt;margin-top:5.35pt;width:10in;height:4.2pt;z-index:2516638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" fillcolor="#f9dd16" stroked="f" strokeweight="1pt">
              <w10:wrap anchorx="page"/>
            </v:rect>
          </w:pict>
        </mc:Fallback>
      </mc:AlternateContent>
    </w:r>
    <w:r w:rsidR="00BD0B9F">
      <w:rPr>
        <w:noProof/>
        <w:sz w:val="20"/>
        <w:szCs w:val="20"/>
        <w:lang w:eastAsia="pt-BR"/>
      </w:rPr>
      <w:drawing>
        <wp:anchor distT="0" distB="0" distL="114300" distR="114300" simplePos="0" relativeHeight="251658752" behindDoc="0" locked="0" layoutInCell="1" allowOverlap="1" wp14:anchorId="6FD31F71" wp14:editId="3CA4D13E">
          <wp:simplePos x="0" y="0"/>
          <wp:positionH relativeFrom="margin">
            <wp:posOffset>-85725</wp:posOffset>
          </wp:positionH>
          <wp:positionV relativeFrom="paragraph">
            <wp:posOffset>-300673</wp:posOffset>
          </wp:positionV>
          <wp:extent cx="967740" cy="198755"/>
          <wp:effectExtent l="0" t="0" r="3810" b="0"/>
          <wp:wrapNone/>
          <wp:docPr id="18" name="Imagem 18"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00BD0B9F" w:rsidRPr="00BD0B9F">
      <w:rPr>
        <w:rFonts w:asciiTheme="minorHAnsi" w:eastAsia="MS Mincho" w:hAnsiTheme="minorHAnsi"/>
        <w:noProof/>
        <w:sz w:val="20"/>
        <w:szCs w:val="20"/>
        <w:lang w:eastAsia="pt-BR"/>
      </w:rPr>
      <mc:AlternateContent>
        <mc:Choice Requires="wps">
          <w:drawing>
            <wp:anchor distT="0" distB="0" distL="114300" distR="114300" simplePos="0" relativeHeight="251661824" behindDoc="1" locked="0" layoutInCell="1" allowOverlap="1" wp14:anchorId="43E2A143" wp14:editId="2F547BD0">
              <wp:simplePos x="0" y="0"/>
              <wp:positionH relativeFrom="page">
                <wp:posOffset>0</wp:posOffset>
              </wp:positionH>
              <wp:positionV relativeFrom="paragraph">
                <wp:posOffset>-429260</wp:posOffset>
              </wp:positionV>
              <wp:extent cx="7553325" cy="497840"/>
              <wp:effectExtent l="0" t="0" r="9525" b="0"/>
              <wp:wrapThrough wrapText="bothSides">
                <wp:wrapPolygon edited="0">
                  <wp:start x="0" y="0"/>
                  <wp:lineTo x="0" y="20663"/>
                  <wp:lineTo x="21573" y="20663"/>
                  <wp:lineTo x="21573" y="0"/>
                  <wp:lineTo x="0" y="0"/>
                </wp:wrapPolygon>
              </wp:wrapThrough>
              <wp:docPr id="19" name="Retângulo 19"/>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38A8"/>
                      </a:solidFill>
                      <a:ln w="12700" cap="flat" cmpd="sng" algn="ctr">
                        <a:noFill/>
                        <a:prstDash val="solid"/>
                        <a:miter lim="800000"/>
                      </a:ln>
                      <a:effectLst/>
                    </wps:spPr>
                    <wps:txbx>
                      <w:txbxContent>
                        <w:p w14:paraId="5EAF16F2" w14:textId="45730606" w:rsidR="00BD0B9F" w:rsidRDefault="00BD0B9F" w:rsidP="00BD0B9F">
                          <w:pPr>
                            <w:ind w:left="708"/>
                            <w:jc w:val="right"/>
                          </w:pPr>
                          <w:r w:rsidRPr="00BD0B9F">
                            <w:rPr>
                              <w:noProof/>
                            </w:rPr>
                            <w:drawing>
                              <wp:inline distT="0" distB="0" distL="0" distR="0" wp14:anchorId="2CBE9A6C" wp14:editId="68BAE0C2">
                                <wp:extent cx="4138295" cy="39370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4056" cy="3942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2A143" id="Retângulo 19" o:spid="_x0000_s1046" style="position:absolute;margin-left:0;margin-top:-33.8pt;width:594.75pt;height:39.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" fillcolor="#0038a8" stroked="f" strokeweight="1pt">
              <v:textbox>
                <w:txbxContent>
                  <w:p w14:paraId="5EAF16F2" w14:textId="45730606" w:rsidR="00BD0B9F" w:rsidRDefault="00BD0B9F" w:rsidP="00BD0B9F">
                    <w:pPr>
                      <w:ind w:left="708"/>
                      <w:jc w:val="right"/>
                    </w:pPr>
                    <w:r w:rsidRPr="00BD0B9F">
                      <w:rPr>
                        <w:noProof/>
                      </w:rPr>
                      <w:drawing>
                        <wp:inline distT="0" distB="0" distL="0" distR="0" wp14:anchorId="2CBE9A6C" wp14:editId="68BAE0C2">
                          <wp:extent cx="4138295" cy="39370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4056" cy="394248"/>
                                  </a:xfrm>
                                  <a:prstGeom prst="rect">
                                    <a:avLst/>
                                  </a:prstGeom>
                                  <a:noFill/>
                                  <a:ln>
                                    <a:noFill/>
                                  </a:ln>
                                </pic:spPr>
                              </pic:pic>
                            </a:graphicData>
                          </a:graphic>
                        </wp:inline>
                      </w:drawing>
                    </w:r>
                  </w:p>
                </w:txbxContent>
              </v:textbox>
              <w10:wrap type="through"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D28D" w14:textId="77777777" w:rsidR="00C91206" w:rsidRDefault="00C91206">
    <w:pPr>
      <w:pStyle w:val="Cabealho"/>
    </w:pPr>
    <w:r>
      <w:rPr>
        <w:noProof/>
        <w:lang w:eastAsia="pt-BR"/>
      </w:rPr>
      <mc:AlternateContent>
        <mc:Choice Requires="wps">
          <w:drawing>
            <wp:anchor distT="0" distB="0" distL="114300" distR="114300" simplePos="0" relativeHeight="251641856" behindDoc="0" locked="0" layoutInCell="0" allowOverlap="1" wp14:anchorId="7E922114" wp14:editId="470BF6A0">
              <wp:simplePos x="0" y="0"/>
              <wp:positionH relativeFrom="page">
                <wp:posOffset>0</wp:posOffset>
              </wp:positionH>
              <wp:positionV relativeFrom="page">
                <wp:posOffset>190500</wp:posOffset>
              </wp:positionV>
              <wp:extent cx="7560310" cy="266700"/>
              <wp:effectExtent l="0" t="0" r="0" b="0"/>
              <wp:wrapNone/>
              <wp:docPr id="2"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94C94" w14:textId="77777777" w:rsidR="00C91206" w:rsidRPr="00F10B26" w:rsidRDefault="00C91206" w:rsidP="00711D9A">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922114" id="_x0000_t202" coordsize="21600,21600" o:spt="202" path="m,l,21600r21600,l21600,xe">
              <v:stroke joinstyle="miter"/>
              <v:path gradientshapeok="t" o:connecttype="rect"/>
            </v:shapetype>
            <v:shape id="MSIPCMafbe480880c78337ed6cc877" o:spid="_x0000_s1028" type="#_x0000_t202" alt="{&quot;HashCode&quot;:-1487292391,&quot;Height&quot;:841.0,&quot;Width&quot;:595.0,&quot;Placement&quot;:&quot;Header&quot;,&quot;Index&quot;:&quot;OddAndEven&quot;,&quot;Section&quot;:1,&quot;Top&quot;:0.0,&quot;Left&quot;:0.0}" style="position:absolute;margin-left:0;margin-top:15pt;width:595.3pt;height:21pt;z-index:251641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" o:allowincell="f" filled="f" stroked="f" strokeweight=".5pt">
              <v:textbox inset=",0,20pt,0">
                <w:txbxContent>
                  <w:p w14:paraId="51494C94" w14:textId="77777777" w:rsidR="00C91206" w:rsidRPr="00F10B26" w:rsidRDefault="00C91206" w:rsidP="00711D9A">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646B" w14:textId="5F8DB340" w:rsidR="00C91206" w:rsidRDefault="0038404A" w:rsidP="00711D9A">
    <w:pPr>
      <w:pStyle w:val="Cabealho"/>
      <w:tabs>
        <w:tab w:val="clear" w:pos="4252"/>
        <w:tab w:val="clear" w:pos="8504"/>
        <w:tab w:val="left" w:pos="5625"/>
      </w:tabs>
    </w:pPr>
    <w:r>
      <w:rPr>
        <w:noProof/>
        <w:sz w:val="20"/>
        <w:szCs w:val="20"/>
        <w:lang w:eastAsia="pt-BR"/>
      </w:rPr>
      <mc:AlternateContent>
        <mc:Choice Requires="wps">
          <w:drawing>
            <wp:anchor distT="0" distB="0" distL="114300" distR="114300" simplePos="0" relativeHeight="251656192" behindDoc="0" locked="0" layoutInCell="1" allowOverlap="1" wp14:anchorId="3101236E" wp14:editId="36BF8D8F">
              <wp:simplePos x="0" y="0"/>
              <wp:positionH relativeFrom="column">
                <wp:posOffset>2025015</wp:posOffset>
              </wp:positionH>
              <wp:positionV relativeFrom="paragraph">
                <wp:posOffset>-457200</wp:posOffset>
              </wp:positionV>
              <wp:extent cx="4740250" cy="402742"/>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4740250" cy="402742"/>
                      </a:xfrm>
                      <a:prstGeom prst="rect">
                        <a:avLst/>
                      </a:prstGeom>
                      <a:noFill/>
                      <a:ln w="6350">
                        <a:noFill/>
                      </a:ln>
                    </wps:spPr>
                    <wps:txbx>
                      <w:txbxContent>
                        <w:p w14:paraId="4AA0E151" w14:textId="77777777" w:rsidR="00C91206" w:rsidRPr="00E16BE7" w:rsidRDefault="00C91206" w:rsidP="00C91206">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p w14:paraId="517895F9" w14:textId="77777777" w:rsidR="00C91206" w:rsidRPr="00E16BE7" w:rsidRDefault="00C912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1236E" id="_x0000_t202" coordsize="21600,21600" o:spt="202" path="m,l,21600r21600,l21600,xe">
              <v:stroke joinstyle="miter"/>
              <v:path gradientshapeok="t" o:connecttype="rect"/>
            </v:shapetype>
            <v:shape id="Caixa de Texto 10" o:spid="_x0000_s1029" type="#_x0000_t202" style="position:absolute;margin-left:159.45pt;margin-top:-36pt;width:373.25pt;height:3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" filled="f" stroked="f" strokeweight=".5pt">
              <v:textbox>
                <w:txbxContent>
                  <w:p w14:paraId="4AA0E151" w14:textId="77777777" w:rsidR="00C91206" w:rsidRPr="00E16BE7" w:rsidRDefault="00C91206" w:rsidP="00C91206">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p w14:paraId="517895F9" w14:textId="77777777" w:rsidR="00C91206" w:rsidRPr="00E16BE7" w:rsidRDefault="00C91206"/>
                </w:txbxContent>
              </v:textbox>
            </v:shape>
          </w:pict>
        </mc:Fallback>
      </mc:AlternateContent>
    </w:r>
    <w:r w:rsidR="00C91206" w:rsidRPr="005D303B">
      <w:rPr>
        <w:rFonts w:cs="Arial"/>
        <w:b/>
        <w:noProof/>
        <w:color w:val="1F4E79" w:themeColor="accent1" w:themeShade="80"/>
        <w:szCs w:val="18"/>
        <w:lang w:eastAsia="pt-BR"/>
      </w:rPr>
      <mc:AlternateContent>
        <mc:Choice Requires="wps">
          <w:drawing>
            <wp:anchor distT="0" distB="0" distL="114300" distR="114300" simplePos="0" relativeHeight="251643904" behindDoc="0" locked="0" layoutInCell="1" allowOverlap="1" wp14:anchorId="7125DB58" wp14:editId="44DE0873">
              <wp:simplePos x="0" y="0"/>
              <wp:positionH relativeFrom="page">
                <wp:posOffset>0</wp:posOffset>
              </wp:positionH>
              <wp:positionV relativeFrom="paragraph">
                <wp:posOffset>40640</wp:posOffset>
              </wp:positionV>
              <wp:extent cx="10687050" cy="45719"/>
              <wp:effectExtent l="0" t="0" r="0" b="0"/>
              <wp:wrapNone/>
              <wp:docPr id="14" name="Retângulo 14"/>
              <wp:cNvGraphicFramePr/>
              <a:graphic xmlns:a="http://schemas.openxmlformats.org/drawingml/2006/main">
                <a:graphicData uri="http://schemas.microsoft.com/office/word/2010/wordprocessingShape">
                  <wps:wsp>
                    <wps:cNvSpPr/>
                    <wps:spPr>
                      <a:xfrm>
                        <a:off x="0" y="0"/>
                        <a:ext cx="10687050"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5300C5FE" id="Retângulo 14" o:spid="_x0000_s1026" style="position:absolute;margin-left:0;margin-top:3.2pt;width:841.5pt;height:3.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" fillcolor="#f9dd16" stroked="f" strokeweight="1pt">
              <w10:wrap anchorx="page"/>
            </v:rect>
          </w:pict>
        </mc:Fallback>
      </mc:AlternateContent>
    </w:r>
    <w:r w:rsidR="00C91206" w:rsidRPr="0069353A">
      <w:rPr>
        <w:noProof/>
        <w:sz w:val="20"/>
        <w:szCs w:val="20"/>
        <w:lang w:eastAsia="pt-BR"/>
      </w:rPr>
      <mc:AlternateContent>
        <mc:Choice Requires="wps">
          <w:drawing>
            <wp:anchor distT="0" distB="0" distL="114300" distR="114300" simplePos="0" relativeHeight="251642880" behindDoc="1" locked="0" layoutInCell="1" allowOverlap="1" wp14:anchorId="05020E07" wp14:editId="280059CF">
              <wp:simplePos x="0" y="0"/>
              <wp:positionH relativeFrom="page">
                <wp:posOffset>0</wp:posOffset>
              </wp:positionH>
              <wp:positionV relativeFrom="paragraph">
                <wp:posOffset>-540385</wp:posOffset>
              </wp:positionV>
              <wp:extent cx="10677525" cy="581025"/>
              <wp:effectExtent l="0" t="0" r="9525" b="9525"/>
              <wp:wrapThrough wrapText="bothSides">
                <wp:wrapPolygon edited="0">
                  <wp:start x="0" y="0"/>
                  <wp:lineTo x="0" y="21246"/>
                  <wp:lineTo x="21581" y="21246"/>
                  <wp:lineTo x="21581" y="0"/>
                  <wp:lineTo x="0" y="0"/>
                </wp:wrapPolygon>
              </wp:wrapThrough>
              <wp:docPr id="17" name="Retângulo 17"/>
              <wp:cNvGraphicFramePr/>
              <a:graphic xmlns:a="http://schemas.openxmlformats.org/drawingml/2006/main">
                <a:graphicData uri="http://schemas.microsoft.com/office/word/2010/wordprocessingShape">
                  <wps:wsp>
                    <wps:cNvSpPr/>
                    <wps:spPr>
                      <a:xfrm>
                        <a:off x="0" y="0"/>
                        <a:ext cx="10677525" cy="581025"/>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B68C31" w14:textId="77777777" w:rsidR="00C91206" w:rsidRDefault="00C91206" w:rsidP="00711D9A">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0E07" id="Retângulo 17" o:spid="_x0000_s1030" style="position:absolute;margin-left:0;margin-top:-42.55pt;width:840.75pt;height:45.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" fillcolor="#0038a8" stroked="f" strokeweight="1pt">
              <v:textbox>
                <w:txbxContent>
                  <w:p w14:paraId="1AB68C31" w14:textId="77777777" w:rsidR="00C91206" w:rsidRDefault="00C91206" w:rsidP="00711D9A">
                    <w:pPr>
                      <w:ind w:left="708"/>
                      <w:jc w:val="right"/>
                    </w:pPr>
                  </w:p>
                </w:txbxContent>
              </v:textbox>
              <w10:wrap type="through" anchorx="page"/>
            </v:rect>
          </w:pict>
        </mc:Fallback>
      </mc:AlternateContent>
    </w:r>
    <w:r w:rsidR="00C91206">
      <w:rPr>
        <w:noProof/>
        <w:sz w:val="20"/>
        <w:szCs w:val="20"/>
        <w:lang w:eastAsia="pt-BR"/>
      </w:rPr>
      <w:drawing>
        <wp:anchor distT="0" distB="0" distL="114300" distR="114300" simplePos="0" relativeHeight="251649024" behindDoc="0" locked="0" layoutInCell="1" allowOverlap="1" wp14:anchorId="79E544C3" wp14:editId="6038D37A">
          <wp:simplePos x="0" y="0"/>
          <wp:positionH relativeFrom="margin">
            <wp:posOffset>-453606</wp:posOffset>
          </wp:positionH>
          <wp:positionV relativeFrom="paragraph">
            <wp:posOffset>-380365</wp:posOffset>
          </wp:positionV>
          <wp:extent cx="967740" cy="198755"/>
          <wp:effectExtent l="0" t="0" r="3810" b="0"/>
          <wp:wrapNone/>
          <wp:docPr id="245" name="Imagem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AF07" w14:textId="7ED50BBB" w:rsidR="00C91206" w:rsidRPr="00147488" w:rsidRDefault="0038404A" w:rsidP="00711D9A">
    <w:pPr>
      <w:pStyle w:val="Cabealho"/>
      <w:tabs>
        <w:tab w:val="clear" w:pos="4252"/>
        <w:tab w:val="clear" w:pos="8504"/>
        <w:tab w:val="left" w:pos="5625"/>
      </w:tabs>
    </w:pPr>
    <w:r w:rsidRPr="0069353A">
      <w:rPr>
        <w:noProof/>
        <w:sz w:val="20"/>
        <w:szCs w:val="20"/>
        <w:lang w:eastAsia="pt-BR"/>
      </w:rPr>
      <mc:AlternateContent>
        <mc:Choice Requires="wps">
          <w:drawing>
            <wp:anchor distT="0" distB="0" distL="114300" distR="114300" simplePos="0" relativeHeight="251644928" behindDoc="1" locked="0" layoutInCell="1" allowOverlap="1" wp14:anchorId="0694B635" wp14:editId="32FDB427">
              <wp:simplePos x="0" y="0"/>
              <wp:positionH relativeFrom="page">
                <wp:posOffset>14605</wp:posOffset>
              </wp:positionH>
              <wp:positionV relativeFrom="paragraph">
                <wp:posOffset>-540385</wp:posOffset>
              </wp:positionV>
              <wp:extent cx="10668000" cy="657860"/>
              <wp:effectExtent l="0" t="0" r="0" b="8890"/>
              <wp:wrapThrough wrapText="bothSides">
                <wp:wrapPolygon edited="0">
                  <wp:start x="0" y="0"/>
                  <wp:lineTo x="0" y="21266"/>
                  <wp:lineTo x="21561" y="21266"/>
                  <wp:lineTo x="21561" y="0"/>
                  <wp:lineTo x="0" y="0"/>
                </wp:wrapPolygon>
              </wp:wrapThrough>
              <wp:docPr id="29" name="Retângulo 29"/>
              <wp:cNvGraphicFramePr/>
              <a:graphic xmlns:a="http://schemas.openxmlformats.org/drawingml/2006/main">
                <a:graphicData uri="http://schemas.microsoft.com/office/word/2010/wordprocessingShape">
                  <wps:wsp>
                    <wps:cNvSpPr/>
                    <wps:spPr>
                      <a:xfrm>
                        <a:off x="0" y="0"/>
                        <a:ext cx="10668000"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C4788" id="Retângulo 29" o:spid="_x0000_s1026" style="position:absolute;margin-left:1.15pt;margin-top:-42.55pt;width:840pt;height:51.8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46976" behindDoc="0" locked="0" layoutInCell="1" allowOverlap="1" wp14:anchorId="4243A48B" wp14:editId="467B099B">
              <wp:simplePos x="0" y="0"/>
              <wp:positionH relativeFrom="page">
                <wp:posOffset>0</wp:posOffset>
              </wp:positionH>
              <wp:positionV relativeFrom="paragraph">
                <wp:posOffset>117475</wp:posOffset>
              </wp:positionV>
              <wp:extent cx="10648950" cy="45719"/>
              <wp:effectExtent l="0" t="0" r="0" b="0"/>
              <wp:wrapNone/>
              <wp:docPr id="30" name="Retângulo 14"/>
              <wp:cNvGraphicFramePr/>
              <a:graphic xmlns:a="http://schemas.openxmlformats.org/drawingml/2006/main">
                <a:graphicData uri="http://schemas.microsoft.com/office/word/2010/wordprocessingShape">
                  <wps:wsp>
                    <wps:cNvSpPr/>
                    <wps:spPr>
                      <a:xfrm>
                        <a:off x="0" y="0"/>
                        <a:ext cx="1064895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4C24832A" id="Retângulo 14" o:spid="_x0000_s1026" style="position:absolute;margin-left:0;margin-top:9.25pt;width:838.5pt;height:3.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" fillcolor="#f5e500" stroked="f" strokeweight="1pt">
              <w10:wrap anchorx="page"/>
            </v:rect>
          </w:pict>
        </mc:Fallback>
      </mc:AlternateContent>
    </w:r>
    <w:r>
      <w:rPr>
        <w:rFonts w:cs="Arial"/>
        <w:b/>
        <w:noProof/>
        <w:color w:val="1F4E79" w:themeColor="accent1" w:themeShade="80"/>
        <w:szCs w:val="18"/>
        <w:lang w:eastAsia="pt-BR"/>
      </w:rPr>
      <mc:AlternateContent>
        <mc:Choice Requires="wps">
          <w:drawing>
            <wp:anchor distT="0" distB="0" distL="114300" distR="114300" simplePos="0" relativeHeight="251648000" behindDoc="0" locked="0" layoutInCell="0" allowOverlap="1" wp14:anchorId="62277B0B" wp14:editId="45BCE4F1">
              <wp:simplePos x="0" y="0"/>
              <wp:positionH relativeFrom="page">
                <wp:posOffset>6327140</wp:posOffset>
              </wp:positionH>
              <wp:positionV relativeFrom="page">
                <wp:posOffset>11430</wp:posOffset>
              </wp:positionV>
              <wp:extent cx="4441730" cy="607978"/>
              <wp:effectExtent l="0" t="0" r="0" b="1905"/>
              <wp:wrapNone/>
              <wp:docPr id="27" name="MSIPCMd4874885a903e562d240bca3" descr="{&quot;HashCode&quot;:-14872923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4441730" cy="60797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2D01A6" w14:textId="77777777" w:rsidR="00C91206" w:rsidRPr="009C4F47" w:rsidRDefault="00C91206" w:rsidP="00711D9A">
                          <w:pPr>
                            <w:spacing w:after="0"/>
                            <w:jc w:val="right"/>
                            <w:rPr>
                              <w:rFonts w:ascii="Calibri" w:hAnsi="Calibri" w:cs="Calibri"/>
                              <w:color w:val="FFFFFF" w:themeColor="background1"/>
                            </w:rPr>
                          </w:pPr>
                        </w:p>
                        <w:p w14:paraId="5F4E71C1" w14:textId="77777777" w:rsidR="0038404A" w:rsidRPr="00E16BE7" w:rsidRDefault="0038404A" w:rsidP="0038404A">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p w14:paraId="59A02822" w14:textId="067C0813" w:rsidR="00C91206" w:rsidRPr="009C4F47" w:rsidRDefault="00C91206" w:rsidP="0038404A">
                          <w:pPr>
                            <w:spacing w:after="0"/>
                            <w:jc w:val="right"/>
                            <w:rPr>
                              <w:rFonts w:cs="Arial"/>
                              <w:color w:val="FFFFFF" w:themeColor="background1"/>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77B0B" id="_x0000_t202" coordsize="21600,21600" o:spt="202" path="m,l,21600r21600,l21600,xe">
              <v:stroke joinstyle="miter"/>
              <v:path gradientshapeok="t" o:connecttype="rect"/>
            </v:shapetype>
            <v:shape id="MSIPCMd4874885a903e562d240bca3" o:spid="_x0000_s1031" type="#_x0000_t202" alt="{&quot;HashCode&quot;:-1487292391,&quot;Height&quot;:841.0,&quot;Width&quot;:595.0,&quot;Placement&quot;:&quot;Header&quot;,&quot;Index&quot;:&quot;FirstPage&quot;,&quot;Section&quot;:1,&quot;Top&quot;:0.0,&quot;Left&quot;:0.0}" style="position:absolute;margin-left:498.2pt;margin-top:.9pt;width:349.75pt;height:47.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" o:allowincell="f" filled="f" stroked="f" strokeweight=".5pt">
              <v:textbox inset=",0,20pt,0">
                <w:txbxContent>
                  <w:p w14:paraId="682D01A6" w14:textId="77777777" w:rsidR="00C91206" w:rsidRPr="009C4F47" w:rsidRDefault="00C91206" w:rsidP="00711D9A">
                    <w:pPr>
                      <w:spacing w:after="0"/>
                      <w:jc w:val="right"/>
                      <w:rPr>
                        <w:rFonts w:ascii="Calibri" w:hAnsi="Calibri" w:cs="Calibri"/>
                        <w:color w:val="FFFFFF" w:themeColor="background1"/>
                      </w:rPr>
                    </w:pPr>
                  </w:p>
                  <w:p w14:paraId="5F4E71C1" w14:textId="77777777" w:rsidR="0038404A" w:rsidRPr="00E16BE7" w:rsidRDefault="0038404A" w:rsidP="0038404A">
                    <w:pPr>
                      <w:jc w:val="right"/>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p>
                  <w:p w14:paraId="59A02822" w14:textId="067C0813" w:rsidR="00C91206" w:rsidRPr="009C4F47" w:rsidRDefault="00C91206" w:rsidP="0038404A">
                    <w:pPr>
                      <w:spacing w:after="0"/>
                      <w:jc w:val="right"/>
                      <w:rPr>
                        <w:rFonts w:cs="Arial"/>
                        <w:color w:val="FFFFFF" w:themeColor="background1"/>
                      </w:rPr>
                    </w:pPr>
                  </w:p>
                </w:txbxContent>
              </v:textbox>
              <w10:wrap anchorx="page" anchory="page"/>
            </v:shape>
          </w:pict>
        </mc:Fallback>
      </mc:AlternateContent>
    </w:r>
    <w:r w:rsidR="00C91206" w:rsidRPr="005D303B">
      <w:rPr>
        <w:rFonts w:cs="Arial"/>
        <w:b/>
        <w:noProof/>
        <w:color w:val="1F4E79" w:themeColor="accent1" w:themeShade="80"/>
        <w:szCs w:val="18"/>
        <w:lang w:eastAsia="pt-BR"/>
      </w:rPr>
      <w:drawing>
        <wp:anchor distT="0" distB="0" distL="114300" distR="114300" simplePos="0" relativeHeight="251645952" behindDoc="0" locked="0" layoutInCell="1" allowOverlap="1" wp14:anchorId="13026EF1" wp14:editId="115BE4C2">
          <wp:simplePos x="0" y="0"/>
          <wp:positionH relativeFrom="margin">
            <wp:posOffset>-447675</wp:posOffset>
          </wp:positionH>
          <wp:positionV relativeFrom="paragraph">
            <wp:posOffset>-353060</wp:posOffset>
          </wp:positionV>
          <wp:extent cx="1176020" cy="259080"/>
          <wp:effectExtent l="0" t="0" r="5080" b="7620"/>
          <wp:wrapNone/>
          <wp:docPr id="24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17CB" w14:textId="77777777" w:rsidR="00C91206" w:rsidRDefault="00C91206">
    <w:pPr>
      <w:pStyle w:val="Cabealho"/>
    </w:pPr>
    <w:r>
      <w:rPr>
        <w:noProof/>
        <w:lang w:eastAsia="pt-BR"/>
      </w:rPr>
      <mc:AlternateContent>
        <mc:Choice Requires="wps">
          <w:drawing>
            <wp:anchor distT="0" distB="0" distL="114300" distR="114300" simplePos="0" relativeHeight="251657216" behindDoc="0" locked="0" layoutInCell="0" allowOverlap="1" wp14:anchorId="04FF4287" wp14:editId="7FD0CA86">
              <wp:simplePos x="0" y="0"/>
              <wp:positionH relativeFrom="page">
                <wp:posOffset>0</wp:posOffset>
              </wp:positionH>
              <wp:positionV relativeFrom="page">
                <wp:posOffset>190500</wp:posOffset>
              </wp:positionV>
              <wp:extent cx="7560310" cy="266700"/>
              <wp:effectExtent l="0" t="0" r="0" b="0"/>
              <wp:wrapNone/>
              <wp:docPr id="45"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1F433" w14:textId="77777777" w:rsidR="00C91206" w:rsidRPr="00F10B26" w:rsidRDefault="00C91206" w:rsidP="00926891">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4FF4287" id="_x0000_t202" coordsize="21600,21600" o:spt="202" path="m,l,21600r21600,l21600,xe">
              <v:stroke joinstyle="miter"/>
              <v:path gradientshapeok="t" o:connecttype="rect"/>
            </v:shapetype>
            <v:shape id="_x0000_s1032" type="#_x0000_t202" alt="{&quot;HashCode&quot;:-1487292391,&quot;Height&quot;:841.0,&quot;Width&quot;:595.0,&quot;Placement&quot;:&quot;Header&quot;,&quot;Index&quot;:&quot;OddAndEven&quot;,&quot;Section&quot;:1,&quot;Top&quot;:0.0,&quot;Left&quot;:0.0}" style="position:absolute;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" o:allowincell="f" filled="f" stroked="f" strokeweight=".5pt">
              <v:textbox inset=",0,20pt,0">
                <w:txbxContent>
                  <w:p w14:paraId="7EC1F433" w14:textId="77777777" w:rsidR="00C91206" w:rsidRPr="00F10B26" w:rsidRDefault="00C91206" w:rsidP="00926891">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C14F" w14:textId="39CE7579" w:rsidR="00C91206" w:rsidRDefault="00076CE6" w:rsidP="00926891">
    <w:pPr>
      <w:pStyle w:val="Cabealho"/>
      <w:tabs>
        <w:tab w:val="clear" w:pos="4252"/>
        <w:tab w:val="clear" w:pos="8504"/>
        <w:tab w:val="left" w:pos="5625"/>
      </w:tabs>
    </w:pPr>
    <w:r w:rsidRPr="005D303B">
      <w:rPr>
        <w:rFonts w:cs="Arial"/>
        <w:b/>
        <w:noProof/>
        <w:color w:val="1F4E79" w:themeColor="accent1" w:themeShade="80"/>
        <w:szCs w:val="18"/>
        <w:lang w:eastAsia="pt-BR"/>
      </w:rPr>
      <mc:AlternateContent>
        <mc:Choice Requires="wps">
          <w:drawing>
            <wp:anchor distT="0" distB="0" distL="114300" distR="114300" simplePos="0" relativeHeight="251638784" behindDoc="0" locked="0" layoutInCell="1" allowOverlap="1" wp14:anchorId="2B8DC03A" wp14:editId="689E655D">
              <wp:simplePos x="0" y="0"/>
              <wp:positionH relativeFrom="page">
                <wp:posOffset>0</wp:posOffset>
              </wp:positionH>
              <wp:positionV relativeFrom="paragraph">
                <wp:posOffset>11430</wp:posOffset>
              </wp:positionV>
              <wp:extent cx="9144000" cy="53340"/>
              <wp:effectExtent l="0" t="0" r="0" b="3810"/>
              <wp:wrapNone/>
              <wp:docPr id="48"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7038A4C4" id="Retângulo 14" o:spid="_x0000_s1026" style="position:absolute;margin-left:0;margin-top:.9pt;width:10in;height:4.2pt;z-index:2516387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" fillcolor="#f9dd16" stroked="f" strokeweight="1pt">
              <w10:wrap anchorx="page"/>
            </v:rect>
          </w:pict>
        </mc:Fallback>
      </mc:AlternateContent>
    </w:r>
    <w:r w:rsidR="00C91206">
      <w:rPr>
        <w:noProof/>
        <w:sz w:val="20"/>
        <w:szCs w:val="20"/>
        <w:lang w:eastAsia="pt-BR"/>
      </w:rPr>
      <mc:AlternateContent>
        <mc:Choice Requires="wps">
          <w:drawing>
            <wp:anchor distT="0" distB="0" distL="114300" distR="114300" simplePos="0" relativeHeight="251640832" behindDoc="0" locked="0" layoutInCell="1" allowOverlap="1" wp14:anchorId="56A65FA3" wp14:editId="07F66A5F">
              <wp:simplePos x="0" y="0"/>
              <wp:positionH relativeFrom="column">
                <wp:posOffset>1790700</wp:posOffset>
              </wp:positionH>
              <wp:positionV relativeFrom="paragraph">
                <wp:posOffset>-441325</wp:posOffset>
              </wp:positionV>
              <wp:extent cx="4958715" cy="402742"/>
              <wp:effectExtent l="0" t="0" r="0" b="0"/>
              <wp:wrapNone/>
              <wp:docPr id="246" name="Caixa de Texto 246"/>
              <wp:cNvGraphicFramePr/>
              <a:graphic xmlns:a="http://schemas.openxmlformats.org/drawingml/2006/main">
                <a:graphicData uri="http://schemas.microsoft.com/office/word/2010/wordprocessingShape">
                  <wps:wsp>
                    <wps:cNvSpPr txBox="1"/>
                    <wps:spPr>
                      <a:xfrm>
                        <a:off x="0" y="0"/>
                        <a:ext cx="4958715" cy="402742"/>
                      </a:xfrm>
                      <a:prstGeom prst="rect">
                        <a:avLst/>
                      </a:prstGeom>
                      <a:noFill/>
                      <a:ln w="6350">
                        <a:noFill/>
                      </a:ln>
                    </wps:spPr>
                    <wps:txbx>
                      <w:txbxContent>
                        <w:p w14:paraId="4D7EC779" w14:textId="31FE64AC" w:rsidR="00C91206" w:rsidRPr="00307AD1" w:rsidRDefault="00C91206" w:rsidP="00E751E3">
                          <w:pPr>
                            <w:jc w:val="right"/>
                            <w:rPr>
                              <w:rFonts w:cs="Arial"/>
                              <w:color w:val="FFFFFF" w:themeColor="background1"/>
                              <w:szCs w:val="18"/>
                            </w:rPr>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r w:rsidRPr="00307AD1">
                            <w:rPr>
                              <w:rFonts w:cs="Arial"/>
                              <w:color w:val="FFFFFF" w:themeColor="background1"/>
                              <w:szCs w:val="18"/>
                            </w:rPr>
                            <w:t>.</w:t>
                          </w:r>
                        </w:p>
                        <w:p w14:paraId="13B743A7" w14:textId="77777777" w:rsidR="00C91206" w:rsidRPr="00E16BE7" w:rsidRDefault="00C91206" w:rsidP="00E751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65FA3" id="_x0000_t202" coordsize="21600,21600" o:spt="202" path="m,l,21600r21600,l21600,xe">
              <v:stroke joinstyle="miter"/>
              <v:path gradientshapeok="t" o:connecttype="rect"/>
            </v:shapetype>
            <v:shape id="Caixa de Texto 246" o:spid="_x0000_s1033" type="#_x0000_t202" style="position:absolute;margin-left:141pt;margin-top:-34.75pt;width:390.45pt;height:3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" filled="f" stroked="f" strokeweight=".5pt">
              <v:textbox>
                <w:txbxContent>
                  <w:p w14:paraId="4D7EC779" w14:textId="31FE64AC" w:rsidR="00C91206" w:rsidRPr="00307AD1" w:rsidRDefault="00C91206" w:rsidP="00E751E3">
                    <w:pPr>
                      <w:jc w:val="right"/>
                      <w:rPr>
                        <w:rFonts w:cs="Arial"/>
                        <w:color w:val="FFFFFF" w:themeColor="background1"/>
                        <w:szCs w:val="18"/>
                      </w:rPr>
                    </w:pPr>
                    <w:proofErr w:type="spellStart"/>
                    <w:r>
                      <w:rPr>
                        <w:rFonts w:cs="Arial"/>
                        <w:color w:val="FFFFFF" w:themeColor="background1"/>
                        <w:szCs w:val="18"/>
                      </w:rPr>
                      <w:t>Consolidated</w:t>
                    </w:r>
                    <w:proofErr w:type="spellEnd"/>
                    <w:r>
                      <w:rPr>
                        <w:rFonts w:cs="Arial"/>
                        <w:color w:val="FFFFFF" w:themeColor="background1"/>
                        <w:szCs w:val="18"/>
                      </w:rPr>
                      <w:t xml:space="preserve"> Financial </w:t>
                    </w:r>
                    <w:proofErr w:type="spellStart"/>
                    <w:r>
                      <w:rPr>
                        <w:rFonts w:cs="Arial"/>
                        <w:color w:val="FFFFFF" w:themeColor="background1"/>
                        <w:szCs w:val="18"/>
                      </w:rPr>
                      <w:t>Statements</w:t>
                    </w:r>
                    <w:proofErr w:type="spellEnd"/>
                    <w:r w:rsidRPr="00E16BE7">
                      <w:rPr>
                        <w:rFonts w:cs="Arial"/>
                        <w:color w:val="FFFFFF" w:themeColor="background1"/>
                        <w:szCs w:val="18"/>
                      </w:rPr>
                      <w:t xml:space="preserve"> – </w:t>
                    </w:r>
                    <w:r>
                      <w:rPr>
                        <w:rFonts w:cs="Arial"/>
                        <w:color w:val="FFFFFF" w:themeColor="background1"/>
                        <w:szCs w:val="18"/>
                      </w:rPr>
                      <w:t xml:space="preserve">1st </w:t>
                    </w:r>
                    <w:proofErr w:type="spellStart"/>
                    <w:r>
                      <w:rPr>
                        <w:rFonts w:cs="Arial"/>
                        <w:color w:val="FFFFFF" w:themeColor="background1"/>
                        <w:szCs w:val="18"/>
                      </w:rPr>
                      <w:t>Quarter</w:t>
                    </w:r>
                    <w:proofErr w:type="spellEnd"/>
                    <w:r w:rsidRPr="00E16BE7">
                      <w:rPr>
                        <w:rFonts w:cs="Arial"/>
                        <w:color w:val="FFFFFF" w:themeColor="background1"/>
                        <w:szCs w:val="18"/>
                      </w:rPr>
                      <w:t xml:space="preserve"> 20</w:t>
                    </w:r>
                    <w:r>
                      <w:rPr>
                        <w:rFonts w:cs="Arial"/>
                        <w:color w:val="FFFFFF" w:themeColor="background1"/>
                        <w:szCs w:val="18"/>
                      </w:rPr>
                      <w:t>20</w:t>
                    </w:r>
                    <w:r w:rsidRPr="00E16BE7">
                      <w:rPr>
                        <w:rFonts w:cs="Arial"/>
                        <w:color w:val="FFFFFF" w:themeColor="background1"/>
                        <w:szCs w:val="18"/>
                      </w:rPr>
                      <w:br/>
                      <w:t>BB Seguridade Participações S.A</w:t>
                    </w:r>
                    <w:r w:rsidRPr="00307AD1">
                      <w:rPr>
                        <w:rFonts w:cs="Arial"/>
                        <w:color w:val="FFFFFF" w:themeColor="background1"/>
                        <w:szCs w:val="18"/>
                      </w:rPr>
                      <w:t>.</w:t>
                    </w:r>
                  </w:p>
                  <w:p w14:paraId="13B743A7" w14:textId="77777777" w:rsidR="00C91206" w:rsidRPr="00E16BE7" w:rsidRDefault="00C91206" w:rsidP="00E751E3"/>
                </w:txbxContent>
              </v:textbox>
            </v:shape>
          </w:pict>
        </mc:Fallback>
      </mc:AlternateContent>
    </w:r>
    <w:r w:rsidR="00C91206">
      <w:rPr>
        <w:noProof/>
        <w:sz w:val="20"/>
        <w:szCs w:val="20"/>
        <w:lang w:eastAsia="pt-BR"/>
      </w:rPr>
      <w:drawing>
        <wp:anchor distT="0" distB="0" distL="114300" distR="114300" simplePos="0" relativeHeight="251639808" behindDoc="0" locked="0" layoutInCell="1" allowOverlap="1" wp14:anchorId="3504AB08" wp14:editId="0A59056D">
          <wp:simplePos x="0" y="0"/>
          <wp:positionH relativeFrom="margin">
            <wp:posOffset>-453390</wp:posOffset>
          </wp:positionH>
          <wp:positionV relativeFrom="paragraph">
            <wp:posOffset>-354965</wp:posOffset>
          </wp:positionV>
          <wp:extent cx="967740" cy="200025"/>
          <wp:effectExtent l="0" t="0" r="3810" b="952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200025"/>
                  </a:xfrm>
                  <a:prstGeom prst="rect">
                    <a:avLst/>
                  </a:prstGeom>
                </pic:spPr>
              </pic:pic>
            </a:graphicData>
          </a:graphic>
          <wp14:sizeRelH relativeFrom="margin">
            <wp14:pctWidth>0</wp14:pctWidth>
          </wp14:sizeRelH>
          <wp14:sizeRelV relativeFrom="margin">
            <wp14:pctHeight>0</wp14:pctHeight>
          </wp14:sizeRelV>
        </wp:anchor>
      </w:drawing>
    </w:r>
    <w:r w:rsidR="00C91206" w:rsidRPr="0069353A">
      <w:rPr>
        <w:noProof/>
        <w:sz w:val="20"/>
        <w:szCs w:val="20"/>
        <w:lang w:eastAsia="pt-BR"/>
      </w:rPr>
      <mc:AlternateContent>
        <mc:Choice Requires="wps">
          <w:drawing>
            <wp:anchor distT="0" distB="0" distL="114300" distR="114300" simplePos="0" relativeHeight="251637760" behindDoc="1" locked="0" layoutInCell="1" allowOverlap="1" wp14:anchorId="3A2F24FC" wp14:editId="785BCC26">
              <wp:simplePos x="0" y="0"/>
              <wp:positionH relativeFrom="page">
                <wp:align>left</wp:align>
              </wp:positionH>
              <wp:positionV relativeFrom="paragraph">
                <wp:posOffset>-540385</wp:posOffset>
              </wp:positionV>
              <wp:extent cx="7553325" cy="497840"/>
              <wp:effectExtent l="0" t="0" r="9525" b="0"/>
              <wp:wrapThrough wrapText="bothSides">
                <wp:wrapPolygon edited="0">
                  <wp:start x="0" y="0"/>
                  <wp:lineTo x="0" y="20663"/>
                  <wp:lineTo x="21573" y="20663"/>
                  <wp:lineTo x="21573" y="0"/>
                  <wp:lineTo x="0" y="0"/>
                </wp:wrapPolygon>
              </wp:wrapThrough>
              <wp:docPr id="49" name="Retângulo 49"/>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6F70AE" w14:textId="77777777" w:rsidR="00C91206" w:rsidRDefault="00C91206" w:rsidP="00926891">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F24FC" id="Retângulo 49" o:spid="_x0000_s1034" style="position:absolute;margin-left:0;margin-top:-42.55pt;width:594.75pt;height:39.2pt;z-index:-2516787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" fillcolor="#0038a8" stroked="f" strokeweight="1pt">
              <v:textbox>
                <w:txbxContent>
                  <w:p w14:paraId="706F70AE" w14:textId="77777777" w:rsidR="00C91206" w:rsidRDefault="00C91206" w:rsidP="00926891">
                    <w:pPr>
                      <w:ind w:left="708"/>
                      <w:jc w:val="right"/>
                    </w:pPr>
                  </w:p>
                </w:txbxContent>
              </v:textbox>
              <w10:wrap type="through"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0983" w14:textId="77777777" w:rsidR="00C91206" w:rsidRPr="00147488" w:rsidRDefault="00C91206" w:rsidP="00926891">
    <w:pPr>
      <w:pStyle w:val="Cabealho"/>
      <w:tabs>
        <w:tab w:val="clear" w:pos="4252"/>
        <w:tab w:val="clear" w:pos="8504"/>
        <w:tab w:val="left" w:pos="5625"/>
      </w:tabs>
    </w:pPr>
    <w:r>
      <w:rPr>
        <w:rFonts w:cs="Arial"/>
        <w:b/>
        <w:noProof/>
        <w:color w:val="1F4E79" w:themeColor="accent1" w:themeShade="80"/>
        <w:szCs w:val="18"/>
        <w:lang w:eastAsia="pt-BR"/>
      </w:rPr>
      <mc:AlternateContent>
        <mc:Choice Requires="wps">
          <w:drawing>
            <wp:anchor distT="0" distB="0" distL="114300" distR="114300" simplePos="0" relativeHeight="251668480" behindDoc="0" locked="0" layoutInCell="0" allowOverlap="1" wp14:anchorId="766295E3" wp14:editId="74B3CC95">
              <wp:simplePos x="0" y="0"/>
              <wp:positionH relativeFrom="page">
                <wp:align>right</wp:align>
              </wp:positionH>
              <wp:positionV relativeFrom="page">
                <wp:posOffset>9728</wp:posOffset>
              </wp:positionV>
              <wp:extent cx="4441730" cy="607978"/>
              <wp:effectExtent l="0" t="0" r="0" b="1905"/>
              <wp:wrapNone/>
              <wp:docPr id="51" name="MSIPCMd4874885a903e562d240bca3" descr="{&quot;HashCode&quot;:-14872923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4441730" cy="60797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42B22D" w14:textId="77777777" w:rsidR="00C91206" w:rsidRPr="009C4F47" w:rsidRDefault="00C91206" w:rsidP="00926891">
                          <w:pPr>
                            <w:spacing w:after="0"/>
                            <w:jc w:val="right"/>
                            <w:rPr>
                              <w:rFonts w:ascii="Calibri" w:hAnsi="Calibri" w:cs="Calibri"/>
                              <w:color w:val="FFFFFF" w:themeColor="background1"/>
                            </w:rPr>
                          </w:pPr>
                        </w:p>
                        <w:p w14:paraId="5FBA68FF" w14:textId="77777777" w:rsidR="00C91206" w:rsidRPr="009C4F47" w:rsidRDefault="00C91206" w:rsidP="00926891">
                          <w:pPr>
                            <w:spacing w:after="0"/>
                            <w:jc w:val="right"/>
                            <w:rPr>
                              <w:rFonts w:cs="Arial"/>
                              <w:color w:val="FFFFFF" w:themeColor="background1"/>
                            </w:rPr>
                          </w:pPr>
                          <w:r w:rsidRPr="009C4F47">
                            <w:rPr>
                              <w:rFonts w:cs="Arial"/>
                              <w:color w:val="FFFFFF" w:themeColor="background1"/>
                            </w:rPr>
                            <w:t>Demonstrações Contábeis Individuais e Consolidadas – Exercício 2019</w:t>
                          </w:r>
                        </w:p>
                        <w:p w14:paraId="0D5AFA32" w14:textId="77777777" w:rsidR="00C91206" w:rsidRPr="009C4F47" w:rsidRDefault="00C91206" w:rsidP="00926891">
                          <w:pPr>
                            <w:spacing w:after="0"/>
                            <w:jc w:val="right"/>
                            <w:rPr>
                              <w:rFonts w:cs="Arial"/>
                              <w:color w:val="FFFFFF" w:themeColor="background1"/>
                            </w:rPr>
                          </w:pPr>
                          <w:r w:rsidRPr="009C4F47">
                            <w:rPr>
                              <w:rFonts w:cs="Arial"/>
                              <w:color w:val="FFFFFF" w:themeColor="background1"/>
                            </w:rPr>
                            <w:t>BB Seguridade Participações S.A.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6295E3" id="_x0000_t202" coordsize="21600,21600" o:spt="202" path="m,l,21600r21600,l21600,xe">
              <v:stroke joinstyle="miter"/>
              <v:path gradientshapeok="t" o:connecttype="rect"/>
            </v:shapetype>
            <v:shape id="_x0000_s1035" type="#_x0000_t202" alt="{&quot;HashCode&quot;:-1487292391,&quot;Height&quot;:841.0,&quot;Width&quot;:595.0,&quot;Placement&quot;:&quot;Header&quot;,&quot;Index&quot;:&quot;FirstPage&quot;,&quot;Section&quot;:1,&quot;Top&quot;:0.0,&quot;Left&quot;:0.0}" style="position:absolute;margin-left:298.55pt;margin-top:.75pt;width:349.75pt;height:47.85pt;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" o:allowincell="f" filled="f" stroked="f" strokeweight=".5pt">
              <v:textbox inset=",0,20pt,0">
                <w:txbxContent>
                  <w:p w14:paraId="7E42B22D" w14:textId="77777777" w:rsidR="00C91206" w:rsidRPr="009C4F47" w:rsidRDefault="00C91206" w:rsidP="00926891">
                    <w:pPr>
                      <w:spacing w:after="0"/>
                      <w:jc w:val="right"/>
                      <w:rPr>
                        <w:rFonts w:ascii="Calibri" w:hAnsi="Calibri" w:cs="Calibri"/>
                        <w:color w:val="FFFFFF" w:themeColor="background1"/>
                      </w:rPr>
                    </w:pPr>
                  </w:p>
                  <w:p w14:paraId="5FBA68FF" w14:textId="77777777" w:rsidR="00C91206" w:rsidRPr="009C4F47" w:rsidRDefault="00C91206" w:rsidP="00926891">
                    <w:pPr>
                      <w:spacing w:after="0"/>
                      <w:jc w:val="right"/>
                      <w:rPr>
                        <w:rFonts w:cs="Arial"/>
                        <w:color w:val="FFFFFF" w:themeColor="background1"/>
                      </w:rPr>
                    </w:pPr>
                    <w:r w:rsidRPr="009C4F47">
                      <w:rPr>
                        <w:rFonts w:cs="Arial"/>
                        <w:color w:val="FFFFFF" w:themeColor="background1"/>
                      </w:rPr>
                      <w:t>Demonstrações Contábeis Individuais e Consolidadas – Exercício 2019</w:t>
                    </w:r>
                  </w:p>
                  <w:p w14:paraId="0D5AFA32" w14:textId="77777777" w:rsidR="00C91206" w:rsidRPr="009C4F47" w:rsidRDefault="00C91206" w:rsidP="00926891">
                    <w:pPr>
                      <w:spacing w:after="0"/>
                      <w:jc w:val="right"/>
                      <w:rPr>
                        <w:rFonts w:cs="Arial"/>
                        <w:color w:val="FFFFFF" w:themeColor="background1"/>
                      </w:rPr>
                    </w:pPr>
                    <w:r w:rsidRPr="009C4F47">
                      <w:rPr>
                        <w:rFonts w:cs="Arial"/>
                        <w:color w:val="FFFFFF" w:themeColor="background1"/>
                      </w:rPr>
                      <w:t>BB Seguridade Participações S.A.</w:t>
                    </w:r>
                  </w:p>
                </w:txbxContent>
              </v:textbox>
              <w10:wrap anchorx="page" anchory="page"/>
            </v:shape>
          </w:pict>
        </mc:Fallback>
      </mc:AlternateContent>
    </w:r>
    <w:r w:rsidRPr="005D303B">
      <w:rPr>
        <w:rFonts w:cs="Arial"/>
        <w:b/>
        <w:noProof/>
        <w:color w:val="1F4E79" w:themeColor="accent1" w:themeShade="80"/>
        <w:szCs w:val="18"/>
        <w:lang w:eastAsia="pt-BR"/>
      </w:rPr>
      <w:drawing>
        <wp:anchor distT="0" distB="0" distL="114300" distR="114300" simplePos="0" relativeHeight="251660288" behindDoc="0" locked="0" layoutInCell="1" allowOverlap="1" wp14:anchorId="594F847E" wp14:editId="30BC56DB">
          <wp:simplePos x="0" y="0"/>
          <wp:positionH relativeFrom="margin">
            <wp:posOffset>-447675</wp:posOffset>
          </wp:positionH>
          <wp:positionV relativeFrom="paragraph">
            <wp:posOffset>-353060</wp:posOffset>
          </wp:positionV>
          <wp:extent cx="1176020" cy="259080"/>
          <wp:effectExtent l="0" t="0" r="5080" b="7620"/>
          <wp:wrapNone/>
          <wp:docPr id="21"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59264" behindDoc="1" locked="0" layoutInCell="1" allowOverlap="1" wp14:anchorId="7BE2851C" wp14:editId="445CEA99">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52" name="Retângulo 52"/>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DFC92" id="Retângulo 52" o:spid="_x0000_s1026" style="position:absolute;margin-left:0;margin-top:-42.75pt;width:594.75pt;height:51.8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63360" behindDoc="0" locked="0" layoutInCell="1" allowOverlap="1" wp14:anchorId="37004C02" wp14:editId="3BA0BDA8">
              <wp:simplePos x="0" y="0"/>
              <wp:positionH relativeFrom="page">
                <wp:posOffset>0</wp:posOffset>
              </wp:positionH>
              <wp:positionV relativeFrom="paragraph">
                <wp:posOffset>77252</wp:posOffset>
              </wp:positionV>
              <wp:extent cx="9144000" cy="53340"/>
              <wp:effectExtent l="0" t="0" r="0" b="3810"/>
              <wp:wrapNone/>
              <wp:docPr id="53"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47E0FBC6" id="Retângulo 14" o:spid="_x0000_s1026" style="position:absolute;margin-left:0;margin-top:6.1pt;width:10in;height:4.2pt;z-index:25166336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" fillcolor="#f5e500" stroked="f" strokeweight="1pt">
              <w10:wrap anchorx="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130B" w14:textId="77777777" w:rsidR="00C91206" w:rsidRDefault="00C91206">
    <w:pPr>
      <w:pStyle w:val="Cabealho"/>
    </w:pPr>
    <w:r>
      <w:rPr>
        <w:noProof/>
        <w:lang w:eastAsia="pt-BR"/>
      </w:rPr>
      <mc:AlternateContent>
        <mc:Choice Requires="wps">
          <w:drawing>
            <wp:anchor distT="0" distB="0" distL="114300" distR="114300" simplePos="0" relativeHeight="251658240" behindDoc="0" locked="0" layoutInCell="0" allowOverlap="1" wp14:anchorId="1A6A54F6" wp14:editId="7C4A2480">
              <wp:simplePos x="0" y="0"/>
              <wp:positionH relativeFrom="page">
                <wp:posOffset>0</wp:posOffset>
              </wp:positionH>
              <wp:positionV relativeFrom="page">
                <wp:posOffset>190500</wp:posOffset>
              </wp:positionV>
              <wp:extent cx="7560310" cy="266700"/>
              <wp:effectExtent l="0" t="0" r="0" b="0"/>
              <wp:wrapNone/>
              <wp:docPr id="3"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276419" w14:textId="77777777" w:rsidR="00C91206" w:rsidRPr="00F10B26" w:rsidRDefault="00C91206" w:rsidP="00736E78">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A6A54F6" id="_x0000_t202" coordsize="21600,21600" o:spt="202" path="m,l,21600r21600,l21600,xe">
              <v:stroke joinstyle="miter"/>
              <v:path gradientshapeok="t" o:connecttype="rect"/>
            </v:shapetype>
            <v:shape id="_x0000_s1036"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" o:allowincell="f" filled="f" stroked="f" strokeweight=".5pt">
              <v:textbox inset=",0,20pt,0">
                <w:txbxContent>
                  <w:p w14:paraId="22276419" w14:textId="77777777" w:rsidR="00C91206" w:rsidRPr="00F10B26" w:rsidRDefault="00C91206" w:rsidP="00736E78">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F697" w14:textId="3221D96A" w:rsidR="00C91206" w:rsidRDefault="002819C8" w:rsidP="00736E78">
    <w:pPr>
      <w:pStyle w:val="Cabealho"/>
      <w:tabs>
        <w:tab w:val="clear" w:pos="4252"/>
        <w:tab w:val="clear" w:pos="8504"/>
        <w:tab w:val="left" w:pos="5625"/>
      </w:tabs>
    </w:pPr>
    <w:r w:rsidRPr="005D303B">
      <w:rPr>
        <w:rFonts w:cs="Arial"/>
        <w:b/>
        <w:noProof/>
        <w:color w:val="1F4E79" w:themeColor="accent1" w:themeShade="80"/>
        <w:szCs w:val="18"/>
        <w:lang w:eastAsia="pt-BR"/>
      </w:rPr>
      <mc:AlternateContent>
        <mc:Choice Requires="wps">
          <w:drawing>
            <wp:anchor distT="0" distB="0" distL="114300" distR="114300" simplePos="0" relativeHeight="251666432" behindDoc="0" locked="0" layoutInCell="1" allowOverlap="1" wp14:anchorId="2340BE12" wp14:editId="055829BB">
              <wp:simplePos x="0" y="0"/>
              <wp:positionH relativeFrom="page">
                <wp:posOffset>0</wp:posOffset>
              </wp:positionH>
              <wp:positionV relativeFrom="paragraph">
                <wp:posOffset>-41910</wp:posOffset>
              </wp:positionV>
              <wp:extent cx="10686197" cy="53340"/>
              <wp:effectExtent l="0" t="0" r="1270" b="3810"/>
              <wp:wrapNone/>
              <wp:docPr id="15" name="Retângulo 14"/>
              <wp:cNvGraphicFramePr/>
              <a:graphic xmlns:a="http://schemas.openxmlformats.org/drawingml/2006/main">
                <a:graphicData uri="http://schemas.microsoft.com/office/word/2010/wordprocessingShape">
                  <wps:wsp>
                    <wps:cNvSpPr/>
                    <wps:spPr>
                      <a:xfrm>
                        <a:off x="0" y="0"/>
                        <a:ext cx="10686197" cy="53340"/>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anchor>
          </w:drawing>
        </mc:Choice>
        <mc:Fallback>
          <w:pict>
            <v:rect w14:anchorId="0C5D3423" id="Retângulo 14" o:spid="_x0000_s1026" style="position:absolute;margin-left:0;margin-top:-3.3pt;width:841.45pt;height:4.2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" fillcolor="#f9dd16" stroked="f" strokeweight="1pt">
              <w10:wrap anchorx="page"/>
            </v:rect>
          </w:pict>
        </mc:Fallback>
      </mc:AlternateContent>
    </w:r>
    <w:r w:rsidR="00C91206">
      <w:rPr>
        <w:noProof/>
        <w:sz w:val="20"/>
        <w:szCs w:val="20"/>
        <w:lang w:eastAsia="pt-BR"/>
      </w:rPr>
      <mc:AlternateContent>
        <mc:Choice Requires="wps">
          <w:drawing>
            <wp:anchor distT="0" distB="0" distL="114300" distR="114300" simplePos="0" relativeHeight="251673600" behindDoc="0" locked="0" layoutInCell="1" allowOverlap="1" wp14:anchorId="4367391D" wp14:editId="129B293A">
              <wp:simplePos x="0" y="0"/>
              <wp:positionH relativeFrom="page">
                <wp:posOffset>5875655</wp:posOffset>
              </wp:positionH>
              <wp:positionV relativeFrom="paragraph">
                <wp:posOffset>-505460</wp:posOffset>
              </wp:positionV>
              <wp:extent cx="4740250" cy="402742"/>
              <wp:effectExtent l="0" t="0" r="0" b="0"/>
              <wp:wrapNone/>
              <wp:docPr id="249" name="Caixa de Texto 249"/>
              <wp:cNvGraphicFramePr/>
              <a:graphic xmlns:a="http://schemas.openxmlformats.org/drawingml/2006/main">
                <a:graphicData uri="http://schemas.microsoft.com/office/word/2010/wordprocessingShape">
                  <wps:wsp>
                    <wps:cNvSpPr txBox="1"/>
                    <wps:spPr>
                      <a:xfrm>
                        <a:off x="0" y="0"/>
                        <a:ext cx="4740250" cy="402742"/>
                      </a:xfrm>
                      <a:prstGeom prst="rect">
                        <a:avLst/>
                      </a:prstGeom>
                      <a:noFill/>
                      <a:ln w="6350">
                        <a:noFill/>
                      </a:ln>
                    </wps:spPr>
                    <wps:txbx>
                      <w:txbxContent>
                        <w:p w14:paraId="5C37E128" w14:textId="77777777" w:rsidR="00C91206" w:rsidRPr="00E16BE7" w:rsidRDefault="00C91206" w:rsidP="00736E78">
                          <w:pPr>
                            <w:jc w:val="right"/>
                          </w:pPr>
                          <w:proofErr w:type="spellStart"/>
                          <w:r w:rsidRPr="001E0AFC">
                            <w:rPr>
                              <w:rFonts w:cs="Arial"/>
                              <w:color w:val="FFFFFF" w:themeColor="background1"/>
                              <w:szCs w:val="18"/>
                            </w:rPr>
                            <w:t>Consolidated</w:t>
                          </w:r>
                          <w:proofErr w:type="spellEnd"/>
                          <w:r w:rsidRPr="001E0AFC">
                            <w:rPr>
                              <w:rFonts w:cs="Arial"/>
                              <w:color w:val="FFFFFF" w:themeColor="background1"/>
                              <w:szCs w:val="18"/>
                            </w:rPr>
                            <w:t xml:space="preserve"> Financial </w:t>
                          </w:r>
                          <w:proofErr w:type="spellStart"/>
                          <w:r w:rsidRPr="001E0AFC">
                            <w:rPr>
                              <w:rFonts w:cs="Arial"/>
                              <w:color w:val="FFFFFF" w:themeColor="background1"/>
                              <w:szCs w:val="18"/>
                            </w:rPr>
                            <w:t>Statements</w:t>
                          </w:r>
                          <w:proofErr w:type="spellEnd"/>
                          <w:r w:rsidRPr="001E0AFC">
                            <w:rPr>
                              <w:rFonts w:cs="Arial"/>
                              <w:color w:val="FFFFFF" w:themeColor="background1"/>
                              <w:szCs w:val="18"/>
                            </w:rPr>
                            <w:t xml:space="preserve"> – 1st </w:t>
                          </w:r>
                          <w:proofErr w:type="spellStart"/>
                          <w:r w:rsidRPr="001E0AFC">
                            <w:rPr>
                              <w:rFonts w:cs="Arial"/>
                              <w:color w:val="FFFFFF" w:themeColor="background1"/>
                              <w:szCs w:val="18"/>
                            </w:rPr>
                            <w:t>Quarter</w:t>
                          </w:r>
                          <w:proofErr w:type="spellEnd"/>
                          <w:r w:rsidRPr="001E0AFC">
                            <w:rPr>
                              <w:rFonts w:cs="Arial"/>
                              <w:color w:val="FFFFFF" w:themeColor="background1"/>
                              <w:szCs w:val="18"/>
                            </w:rPr>
                            <w:t xml:space="preserve"> 20</w:t>
                          </w:r>
                          <w:r>
                            <w:rPr>
                              <w:rFonts w:cs="Arial"/>
                              <w:color w:val="FFFFFF" w:themeColor="background1"/>
                              <w:szCs w:val="18"/>
                            </w:rPr>
                            <w:t>20</w:t>
                          </w:r>
                          <w:r w:rsidRPr="001E0AFC">
                            <w:rPr>
                              <w:rFonts w:cs="Arial"/>
                              <w:color w:val="FFFFFF" w:themeColor="background1"/>
                              <w:szCs w:val="18"/>
                            </w:rPr>
                            <w:br/>
                            <w:t>BB Seguridade Participações S.</w:t>
                          </w:r>
                          <w:r w:rsidRPr="00E16BE7">
                            <w:rPr>
                              <w:rFonts w:cs="Arial"/>
                              <w:color w:val="FFFFFF" w:themeColor="background1"/>
                              <w:szCs w:val="18"/>
                            </w:rPr>
                            <w:t>A</w:t>
                          </w:r>
                        </w:p>
                        <w:p w14:paraId="66C59FB5" w14:textId="77777777" w:rsidR="00C91206" w:rsidRPr="00E16BE7" w:rsidRDefault="00C912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7391D" id="_x0000_t202" coordsize="21600,21600" o:spt="202" path="m,l,21600r21600,l21600,xe">
              <v:stroke joinstyle="miter"/>
              <v:path gradientshapeok="t" o:connecttype="rect"/>
            </v:shapetype>
            <v:shape id="Caixa de Texto 249" o:spid="_x0000_s1037" type="#_x0000_t202" style="position:absolute;margin-left:462.65pt;margin-top:-39.8pt;width:373.25pt;height:31.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" filled="f" stroked="f" strokeweight=".5pt">
              <v:textbox>
                <w:txbxContent>
                  <w:p w14:paraId="5C37E128" w14:textId="77777777" w:rsidR="00C91206" w:rsidRPr="00E16BE7" w:rsidRDefault="00C91206" w:rsidP="00736E78">
                    <w:pPr>
                      <w:jc w:val="right"/>
                    </w:pPr>
                    <w:proofErr w:type="spellStart"/>
                    <w:r w:rsidRPr="001E0AFC">
                      <w:rPr>
                        <w:rFonts w:cs="Arial"/>
                        <w:color w:val="FFFFFF" w:themeColor="background1"/>
                        <w:szCs w:val="18"/>
                      </w:rPr>
                      <w:t>Consolidated</w:t>
                    </w:r>
                    <w:proofErr w:type="spellEnd"/>
                    <w:r w:rsidRPr="001E0AFC">
                      <w:rPr>
                        <w:rFonts w:cs="Arial"/>
                        <w:color w:val="FFFFFF" w:themeColor="background1"/>
                        <w:szCs w:val="18"/>
                      </w:rPr>
                      <w:t xml:space="preserve"> Financial </w:t>
                    </w:r>
                    <w:proofErr w:type="spellStart"/>
                    <w:r w:rsidRPr="001E0AFC">
                      <w:rPr>
                        <w:rFonts w:cs="Arial"/>
                        <w:color w:val="FFFFFF" w:themeColor="background1"/>
                        <w:szCs w:val="18"/>
                      </w:rPr>
                      <w:t>Statements</w:t>
                    </w:r>
                    <w:proofErr w:type="spellEnd"/>
                    <w:r w:rsidRPr="001E0AFC">
                      <w:rPr>
                        <w:rFonts w:cs="Arial"/>
                        <w:color w:val="FFFFFF" w:themeColor="background1"/>
                        <w:szCs w:val="18"/>
                      </w:rPr>
                      <w:t xml:space="preserve"> – 1st </w:t>
                    </w:r>
                    <w:proofErr w:type="spellStart"/>
                    <w:r w:rsidRPr="001E0AFC">
                      <w:rPr>
                        <w:rFonts w:cs="Arial"/>
                        <w:color w:val="FFFFFF" w:themeColor="background1"/>
                        <w:szCs w:val="18"/>
                      </w:rPr>
                      <w:t>Quarter</w:t>
                    </w:r>
                    <w:proofErr w:type="spellEnd"/>
                    <w:r w:rsidRPr="001E0AFC">
                      <w:rPr>
                        <w:rFonts w:cs="Arial"/>
                        <w:color w:val="FFFFFF" w:themeColor="background1"/>
                        <w:szCs w:val="18"/>
                      </w:rPr>
                      <w:t xml:space="preserve"> 20</w:t>
                    </w:r>
                    <w:r>
                      <w:rPr>
                        <w:rFonts w:cs="Arial"/>
                        <w:color w:val="FFFFFF" w:themeColor="background1"/>
                        <w:szCs w:val="18"/>
                      </w:rPr>
                      <w:t>20</w:t>
                    </w:r>
                    <w:r w:rsidRPr="001E0AFC">
                      <w:rPr>
                        <w:rFonts w:cs="Arial"/>
                        <w:color w:val="FFFFFF" w:themeColor="background1"/>
                        <w:szCs w:val="18"/>
                      </w:rPr>
                      <w:br/>
                      <w:t>BB Seguridade Participações S.</w:t>
                    </w:r>
                    <w:r w:rsidRPr="00E16BE7">
                      <w:rPr>
                        <w:rFonts w:cs="Arial"/>
                        <w:color w:val="FFFFFF" w:themeColor="background1"/>
                        <w:szCs w:val="18"/>
                      </w:rPr>
                      <w:t>A</w:t>
                    </w:r>
                  </w:p>
                  <w:p w14:paraId="66C59FB5" w14:textId="77777777" w:rsidR="00C91206" w:rsidRPr="00E16BE7" w:rsidRDefault="00C91206"/>
                </w:txbxContent>
              </v:textbox>
              <w10:wrap anchorx="page"/>
            </v:shape>
          </w:pict>
        </mc:Fallback>
      </mc:AlternateContent>
    </w:r>
    <w:r w:rsidR="00C91206" w:rsidRPr="0069353A">
      <w:rPr>
        <w:noProof/>
        <w:sz w:val="20"/>
        <w:szCs w:val="20"/>
        <w:lang w:eastAsia="pt-BR"/>
      </w:rPr>
      <mc:AlternateContent>
        <mc:Choice Requires="wps">
          <w:drawing>
            <wp:anchor distT="0" distB="0" distL="114300" distR="114300" simplePos="0" relativeHeight="251661312" behindDoc="1" locked="0" layoutInCell="1" allowOverlap="1" wp14:anchorId="76D8D09F" wp14:editId="76C848FD">
              <wp:simplePos x="0" y="0"/>
              <wp:positionH relativeFrom="page">
                <wp:align>left</wp:align>
              </wp:positionH>
              <wp:positionV relativeFrom="paragraph">
                <wp:posOffset>-540385</wp:posOffset>
              </wp:positionV>
              <wp:extent cx="10754360" cy="497840"/>
              <wp:effectExtent l="0" t="0" r="8890" b="0"/>
              <wp:wrapThrough wrapText="bothSides">
                <wp:wrapPolygon edited="0">
                  <wp:start x="0" y="0"/>
                  <wp:lineTo x="0" y="20663"/>
                  <wp:lineTo x="21580" y="20663"/>
                  <wp:lineTo x="21580" y="0"/>
                  <wp:lineTo x="0" y="0"/>
                </wp:wrapPolygon>
              </wp:wrapThrough>
              <wp:docPr id="5" name="Retângulo 5"/>
              <wp:cNvGraphicFramePr/>
              <a:graphic xmlns:a="http://schemas.openxmlformats.org/drawingml/2006/main">
                <a:graphicData uri="http://schemas.microsoft.com/office/word/2010/wordprocessingShape">
                  <wps:wsp>
                    <wps:cNvSpPr/>
                    <wps:spPr>
                      <a:xfrm>
                        <a:off x="0" y="0"/>
                        <a:ext cx="10754360" cy="49784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8CDD56" w14:textId="77777777" w:rsidR="00C91206" w:rsidRDefault="00C91206" w:rsidP="00736E78">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8D09F" id="Retângulo 5" o:spid="_x0000_s1038" style="position:absolute;margin-left:0;margin-top:-42.55pt;width:846.8pt;height:39.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" fillcolor="#0038a8" stroked="f" strokeweight="1pt">
              <v:textbox>
                <w:txbxContent>
                  <w:p w14:paraId="468CDD56" w14:textId="77777777" w:rsidR="00C91206" w:rsidRDefault="00C91206" w:rsidP="00736E78">
                    <w:pPr>
                      <w:ind w:left="708"/>
                      <w:jc w:val="right"/>
                    </w:pPr>
                  </w:p>
                </w:txbxContent>
              </v:textbox>
              <w10:wrap type="through" anchorx="page"/>
            </v:rect>
          </w:pict>
        </mc:Fallback>
      </mc:AlternateContent>
    </w:r>
    <w:r w:rsidR="00C91206">
      <w:rPr>
        <w:noProof/>
        <w:sz w:val="20"/>
        <w:szCs w:val="20"/>
        <w:lang w:eastAsia="pt-BR"/>
      </w:rPr>
      <w:drawing>
        <wp:anchor distT="0" distB="0" distL="114300" distR="114300" simplePos="0" relativeHeight="251670528" behindDoc="0" locked="0" layoutInCell="1" allowOverlap="1" wp14:anchorId="7CA4FB08" wp14:editId="603F5C1D">
          <wp:simplePos x="0" y="0"/>
          <wp:positionH relativeFrom="margin">
            <wp:posOffset>-453606</wp:posOffset>
          </wp:positionH>
          <wp:positionV relativeFrom="paragraph">
            <wp:posOffset>-380365</wp:posOffset>
          </wp:positionV>
          <wp:extent cx="967740" cy="198755"/>
          <wp:effectExtent l="0" t="0" r="3810" b="0"/>
          <wp:wrapNone/>
          <wp:docPr id="254" name="Imagem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533"/>
    <w:multiLevelType w:val="hybridMultilevel"/>
    <w:tmpl w:val="21E834CA"/>
    <w:lvl w:ilvl="0" w:tplc="206897D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643962"/>
    <w:multiLevelType w:val="hybridMultilevel"/>
    <w:tmpl w:val="104C7BDA"/>
    <w:lvl w:ilvl="0" w:tplc="32F2BA8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6BC11A0"/>
    <w:multiLevelType w:val="hybridMultilevel"/>
    <w:tmpl w:val="B220138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D9688B"/>
    <w:multiLevelType w:val="hybridMultilevel"/>
    <w:tmpl w:val="D2268F3A"/>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CC2CDB"/>
    <w:multiLevelType w:val="hybridMultilevel"/>
    <w:tmpl w:val="41302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A533C0"/>
    <w:multiLevelType w:val="hybridMultilevel"/>
    <w:tmpl w:val="F5B60490"/>
    <w:lvl w:ilvl="0" w:tplc="AC769DF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0C176DEC"/>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D64052"/>
    <w:multiLevelType w:val="hybridMultilevel"/>
    <w:tmpl w:val="05AAC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097B75"/>
    <w:multiLevelType w:val="hybridMultilevel"/>
    <w:tmpl w:val="82600E1E"/>
    <w:lvl w:ilvl="0" w:tplc="64B86ACC">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9" w15:restartNumberingAfterBreak="0">
    <w:nsid w:val="16131D13"/>
    <w:multiLevelType w:val="hybridMultilevel"/>
    <w:tmpl w:val="3A985BFA"/>
    <w:lvl w:ilvl="0" w:tplc="8C2A96B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67F2FF9"/>
    <w:multiLevelType w:val="hybridMultilevel"/>
    <w:tmpl w:val="62A00296"/>
    <w:lvl w:ilvl="0" w:tplc="F144455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0B02F61"/>
    <w:multiLevelType w:val="hybridMultilevel"/>
    <w:tmpl w:val="42CC2042"/>
    <w:lvl w:ilvl="0" w:tplc="D4A8EEC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0DC4086"/>
    <w:multiLevelType w:val="multilevel"/>
    <w:tmpl w:val="225A1DD4"/>
    <w:lvl w:ilvl="0">
      <w:start w:val="1"/>
      <w:numFmt w:val="lowerLetter"/>
      <w:lvlText w:val="%1)"/>
      <w:lvlJc w:val="left"/>
      <w:pPr>
        <w:ind w:left="142" w:firstLine="0"/>
      </w:pPr>
      <w:rPr>
        <w:rFonts w:cs="Times New Roman"/>
        <w:b/>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26" w:firstLine="0"/>
      </w:pPr>
      <w:rPr>
        <w:rFonts w:cs="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13E74C3"/>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675057F"/>
    <w:multiLevelType w:val="hybridMultilevel"/>
    <w:tmpl w:val="CF0CB4BC"/>
    <w:lvl w:ilvl="0" w:tplc="EF7C0846">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5" w15:restartNumberingAfterBreak="0">
    <w:nsid w:val="284F18E1"/>
    <w:multiLevelType w:val="hybridMultilevel"/>
    <w:tmpl w:val="66FAE1EA"/>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AB5A8C"/>
    <w:multiLevelType w:val="hybridMultilevel"/>
    <w:tmpl w:val="17463E28"/>
    <w:lvl w:ilvl="0" w:tplc="40205F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DA60757"/>
    <w:multiLevelType w:val="hybridMultilevel"/>
    <w:tmpl w:val="3476EA26"/>
    <w:lvl w:ilvl="0" w:tplc="7D8A72E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FC0DBB"/>
    <w:multiLevelType w:val="hybridMultilevel"/>
    <w:tmpl w:val="2AD0D5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30184E65"/>
    <w:multiLevelType w:val="hybridMultilevel"/>
    <w:tmpl w:val="104C7BDA"/>
    <w:lvl w:ilvl="0" w:tplc="32F2BA8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30503B6F"/>
    <w:multiLevelType w:val="hybridMultilevel"/>
    <w:tmpl w:val="B980EFF6"/>
    <w:lvl w:ilvl="0" w:tplc="63AE92F2">
      <w:start w:val="1"/>
      <w:numFmt w:val="decimal"/>
      <w:pStyle w:val="Parecer"/>
      <w:lvlText w:val="%1."/>
      <w:lvlJc w:val="left"/>
      <w:pPr>
        <w:tabs>
          <w:tab w:val="num" w:pos="454"/>
        </w:tabs>
        <w:ind w:left="454" w:hanging="454"/>
      </w:pPr>
      <w:rPr>
        <w:rFonts w:ascii="Times New Roman" w:hAnsi="Times New Roman"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3ED4E33"/>
    <w:multiLevelType w:val="hybridMultilevel"/>
    <w:tmpl w:val="2AD0D5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3A0C301B"/>
    <w:multiLevelType w:val="hybridMultilevel"/>
    <w:tmpl w:val="AE70868E"/>
    <w:lvl w:ilvl="0" w:tplc="F30E029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910899"/>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6F61522"/>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336E55"/>
    <w:multiLevelType w:val="hybridMultilevel"/>
    <w:tmpl w:val="32CC437A"/>
    <w:lvl w:ilvl="0" w:tplc="A85A1C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55E73"/>
    <w:multiLevelType w:val="hybridMultilevel"/>
    <w:tmpl w:val="83FCC4A2"/>
    <w:lvl w:ilvl="0" w:tplc="5F8C04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03372C7"/>
    <w:multiLevelType w:val="hybridMultilevel"/>
    <w:tmpl w:val="759C84A6"/>
    <w:lvl w:ilvl="0" w:tplc="B6264DE4">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8" w15:restartNumberingAfterBreak="0">
    <w:nsid w:val="506566DC"/>
    <w:multiLevelType w:val="hybridMultilevel"/>
    <w:tmpl w:val="9A705DB6"/>
    <w:lvl w:ilvl="0" w:tplc="2E920D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18F2FEC"/>
    <w:multiLevelType w:val="multilevel"/>
    <w:tmpl w:val="7C08A85A"/>
    <w:lvl w:ilvl="0">
      <w:start w:val="2"/>
      <w:numFmt w:val="decimal"/>
      <w:lvlText w:val="%1"/>
      <w:lvlJc w:val="left"/>
      <w:pPr>
        <w:ind w:left="615" w:hanging="615"/>
      </w:pPr>
    </w:lvl>
    <w:lvl w:ilvl="1">
      <w:start w:val="28"/>
      <w:numFmt w:val="decimalZero"/>
      <w:lvlText w:val="%1.%2"/>
      <w:lvlJc w:val="left"/>
      <w:pPr>
        <w:ind w:left="967" w:hanging="615"/>
      </w:pPr>
    </w:lvl>
    <w:lvl w:ilvl="2">
      <w:start w:val="605"/>
      <w:numFmt w:val="decimal"/>
      <w:lvlText w:val="%1.%2.%3"/>
      <w:lvlJc w:val="left"/>
      <w:pPr>
        <w:ind w:left="1319" w:hanging="615"/>
      </w:pPr>
    </w:lvl>
    <w:lvl w:ilvl="3">
      <w:start w:val="1"/>
      <w:numFmt w:val="decimal"/>
      <w:lvlText w:val="%1.%2.%3.%4"/>
      <w:lvlJc w:val="left"/>
      <w:pPr>
        <w:ind w:left="1776" w:hanging="720"/>
      </w:pPr>
    </w:lvl>
    <w:lvl w:ilvl="4">
      <w:start w:val="1"/>
      <w:numFmt w:val="decimal"/>
      <w:lvlText w:val="%1.%2.%3.%4.%5"/>
      <w:lvlJc w:val="left"/>
      <w:pPr>
        <w:ind w:left="2128" w:hanging="720"/>
      </w:pPr>
    </w:lvl>
    <w:lvl w:ilvl="5">
      <w:start w:val="1"/>
      <w:numFmt w:val="decimal"/>
      <w:lvlText w:val="%1.%2.%3.%4.%5.%6"/>
      <w:lvlJc w:val="left"/>
      <w:pPr>
        <w:ind w:left="2480" w:hanging="720"/>
      </w:pPr>
    </w:lvl>
    <w:lvl w:ilvl="6">
      <w:start w:val="1"/>
      <w:numFmt w:val="decimal"/>
      <w:lvlText w:val="%1.%2.%3.%4.%5.%6.%7"/>
      <w:lvlJc w:val="left"/>
      <w:pPr>
        <w:ind w:left="3192" w:hanging="1080"/>
      </w:pPr>
    </w:lvl>
    <w:lvl w:ilvl="7">
      <w:start w:val="1"/>
      <w:numFmt w:val="decimal"/>
      <w:lvlText w:val="%1.%2.%3.%4.%5.%6.%7.%8"/>
      <w:lvlJc w:val="left"/>
      <w:pPr>
        <w:ind w:left="3544" w:hanging="1080"/>
      </w:pPr>
    </w:lvl>
    <w:lvl w:ilvl="8">
      <w:start w:val="1"/>
      <w:numFmt w:val="decimal"/>
      <w:lvlText w:val="%1.%2.%3.%4.%5.%6.%7.%8.%9"/>
      <w:lvlJc w:val="left"/>
      <w:pPr>
        <w:ind w:left="3896" w:hanging="1080"/>
      </w:pPr>
    </w:lvl>
  </w:abstractNum>
  <w:abstractNum w:abstractNumId="30" w15:restartNumberingAfterBreak="0">
    <w:nsid w:val="538446EA"/>
    <w:multiLevelType w:val="hybridMultilevel"/>
    <w:tmpl w:val="45F080EC"/>
    <w:lvl w:ilvl="0" w:tplc="F4563E9C">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C94160"/>
    <w:multiLevelType w:val="hybridMultilevel"/>
    <w:tmpl w:val="7FF20A50"/>
    <w:lvl w:ilvl="0" w:tplc="992810D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E45E41"/>
    <w:multiLevelType w:val="hybridMultilevel"/>
    <w:tmpl w:val="B220138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74449B4"/>
    <w:multiLevelType w:val="hybridMultilevel"/>
    <w:tmpl w:val="DE0863AE"/>
    <w:lvl w:ilvl="0" w:tplc="907A3738">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5" w15:restartNumberingAfterBreak="0">
    <w:nsid w:val="795222EF"/>
    <w:multiLevelType w:val="hybridMultilevel"/>
    <w:tmpl w:val="DB4C7CA0"/>
    <w:lvl w:ilvl="0" w:tplc="815666F2">
      <w:start w:val="1"/>
      <w:numFmt w:val="decimal"/>
      <w:lvlText w:val="(%1)"/>
      <w:lvlJc w:val="left"/>
      <w:pPr>
        <w:ind w:left="360" w:hanging="360"/>
      </w:pPr>
      <w:rPr>
        <w:rFonts w:cs="Times New Roman"/>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num w:numId="1">
    <w:abstractNumId w:val="2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6"/>
  </w:num>
  <w:num w:numId="10">
    <w:abstractNumId w:val="7"/>
  </w:num>
  <w:num w:numId="11">
    <w:abstractNumId w:val="6"/>
  </w:num>
  <w:num w:numId="12">
    <w:abstractNumId w:val="24"/>
  </w:num>
  <w:num w:numId="13">
    <w:abstractNumId w:val="14"/>
  </w:num>
  <w:num w:numId="14">
    <w:abstractNumId w:val="5"/>
  </w:num>
  <w:num w:numId="15">
    <w:abstractNumId w:val="26"/>
  </w:num>
  <w:num w:numId="16">
    <w:abstractNumId w:val="17"/>
  </w:num>
  <w:num w:numId="17">
    <w:abstractNumId w:val="22"/>
  </w:num>
  <w:num w:numId="18">
    <w:abstractNumId w:val="9"/>
  </w:num>
  <w:num w:numId="19">
    <w:abstractNumId w:val="15"/>
  </w:num>
  <w:num w:numId="20">
    <w:abstractNumId w:val="0"/>
  </w:num>
  <w:num w:numId="21">
    <w:abstractNumId w:val="4"/>
  </w:num>
  <w:num w:numId="22">
    <w:abstractNumId w:val="12"/>
  </w:num>
  <w:num w:numId="23">
    <w:abstractNumId w:val="31"/>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9"/>
    <w:lvlOverride w:ilvl="0">
      <w:startOverride w:val="2"/>
    </w:lvlOverride>
    <w:lvlOverride w:ilvl="1">
      <w:startOverride w:val="28"/>
    </w:lvlOverride>
    <w:lvlOverride w:ilvl="2">
      <w:startOverride w:val="60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4"/>
  </w:num>
  <w:num w:numId="32">
    <w:abstractNumId w:val="35"/>
  </w:num>
  <w:num w:numId="33">
    <w:abstractNumId w:val="13"/>
  </w:num>
  <w:num w:numId="34">
    <w:abstractNumId w:val="3"/>
  </w:num>
  <w:num w:numId="35">
    <w:abstractNumId w:val="19"/>
  </w:num>
  <w:num w:numId="36">
    <w:abstractNumId w:val="1"/>
  </w:num>
  <w:num w:numId="37">
    <w:abstractNumId w:val="2"/>
  </w:num>
  <w:num w:numId="38">
    <w:abstractNumId w:val="33"/>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5"/>
  </w:num>
  <w:num w:numId="42">
    <w:abstractNumId w:val="21"/>
  </w:num>
  <w:num w:numId="4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993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02A"/>
    <w:rsid w:val="0000601B"/>
    <w:rsid w:val="00013BC0"/>
    <w:rsid w:val="0002271C"/>
    <w:rsid w:val="00022E32"/>
    <w:rsid w:val="00023D8F"/>
    <w:rsid w:val="0002562E"/>
    <w:rsid w:val="00030E5D"/>
    <w:rsid w:val="00036121"/>
    <w:rsid w:val="000426AD"/>
    <w:rsid w:val="00054414"/>
    <w:rsid w:val="000767B3"/>
    <w:rsid w:val="00076CE6"/>
    <w:rsid w:val="00080A12"/>
    <w:rsid w:val="00081370"/>
    <w:rsid w:val="00083A9B"/>
    <w:rsid w:val="000A3AB8"/>
    <w:rsid w:val="000B3796"/>
    <w:rsid w:val="000B60F3"/>
    <w:rsid w:val="000D0507"/>
    <w:rsid w:val="000D74AD"/>
    <w:rsid w:val="000E2D7E"/>
    <w:rsid w:val="000E4573"/>
    <w:rsid w:val="000F2546"/>
    <w:rsid w:val="00114D47"/>
    <w:rsid w:val="00116243"/>
    <w:rsid w:val="001170F1"/>
    <w:rsid w:val="001278B9"/>
    <w:rsid w:val="00127C78"/>
    <w:rsid w:val="001340D2"/>
    <w:rsid w:val="001521B5"/>
    <w:rsid w:val="0015348F"/>
    <w:rsid w:val="00167252"/>
    <w:rsid w:val="00172111"/>
    <w:rsid w:val="001A7DD3"/>
    <w:rsid w:val="001B14AB"/>
    <w:rsid w:val="001B4499"/>
    <w:rsid w:val="001B50A9"/>
    <w:rsid w:val="001D2FA3"/>
    <w:rsid w:val="001D5AF7"/>
    <w:rsid w:val="001F00D5"/>
    <w:rsid w:val="0020171B"/>
    <w:rsid w:val="00230B22"/>
    <w:rsid w:val="00231AF4"/>
    <w:rsid w:val="00237ECE"/>
    <w:rsid w:val="00247891"/>
    <w:rsid w:val="00260B51"/>
    <w:rsid w:val="00280F70"/>
    <w:rsid w:val="002819C8"/>
    <w:rsid w:val="002A0BF8"/>
    <w:rsid w:val="002B0076"/>
    <w:rsid w:val="002B59B6"/>
    <w:rsid w:val="002C4924"/>
    <w:rsid w:val="002C562D"/>
    <w:rsid w:val="002D143C"/>
    <w:rsid w:val="002D5A83"/>
    <w:rsid w:val="002D65D2"/>
    <w:rsid w:val="002D68C2"/>
    <w:rsid w:val="002D7D9E"/>
    <w:rsid w:val="002E5479"/>
    <w:rsid w:val="002E561F"/>
    <w:rsid w:val="002E756A"/>
    <w:rsid w:val="002F0B11"/>
    <w:rsid w:val="00300419"/>
    <w:rsid w:val="00301938"/>
    <w:rsid w:val="00305772"/>
    <w:rsid w:val="00307AD1"/>
    <w:rsid w:val="00311A34"/>
    <w:rsid w:val="00312B45"/>
    <w:rsid w:val="0032286E"/>
    <w:rsid w:val="0032296E"/>
    <w:rsid w:val="00330BF1"/>
    <w:rsid w:val="00336EA5"/>
    <w:rsid w:val="003406D4"/>
    <w:rsid w:val="0034629D"/>
    <w:rsid w:val="00356AB8"/>
    <w:rsid w:val="00364937"/>
    <w:rsid w:val="0038404A"/>
    <w:rsid w:val="00397AA6"/>
    <w:rsid w:val="003A237E"/>
    <w:rsid w:val="003A46E3"/>
    <w:rsid w:val="003B6C01"/>
    <w:rsid w:val="003C2712"/>
    <w:rsid w:val="003C43EB"/>
    <w:rsid w:val="003D04B4"/>
    <w:rsid w:val="003D7C55"/>
    <w:rsid w:val="003E752D"/>
    <w:rsid w:val="003E7547"/>
    <w:rsid w:val="004009F1"/>
    <w:rsid w:val="00412829"/>
    <w:rsid w:val="004140F2"/>
    <w:rsid w:val="00435ED1"/>
    <w:rsid w:val="004405C7"/>
    <w:rsid w:val="00450E29"/>
    <w:rsid w:val="00451174"/>
    <w:rsid w:val="004618D3"/>
    <w:rsid w:val="004640C8"/>
    <w:rsid w:val="00464F97"/>
    <w:rsid w:val="00467245"/>
    <w:rsid w:val="004678AB"/>
    <w:rsid w:val="004878A8"/>
    <w:rsid w:val="004913BA"/>
    <w:rsid w:val="0049511F"/>
    <w:rsid w:val="00497D57"/>
    <w:rsid w:val="004B1EE7"/>
    <w:rsid w:val="004B3BAB"/>
    <w:rsid w:val="004B42E8"/>
    <w:rsid w:val="004C461F"/>
    <w:rsid w:val="004C4B52"/>
    <w:rsid w:val="004E0822"/>
    <w:rsid w:val="004E230D"/>
    <w:rsid w:val="005061D2"/>
    <w:rsid w:val="0051329F"/>
    <w:rsid w:val="005174EE"/>
    <w:rsid w:val="00560E22"/>
    <w:rsid w:val="005614B4"/>
    <w:rsid w:val="00567DAB"/>
    <w:rsid w:val="00583EE6"/>
    <w:rsid w:val="00590D4B"/>
    <w:rsid w:val="00592EB1"/>
    <w:rsid w:val="005A5FEC"/>
    <w:rsid w:val="005B47AA"/>
    <w:rsid w:val="005C5DF2"/>
    <w:rsid w:val="005D1684"/>
    <w:rsid w:val="005D3551"/>
    <w:rsid w:val="005D5136"/>
    <w:rsid w:val="005D5A74"/>
    <w:rsid w:val="006103DA"/>
    <w:rsid w:val="0061154C"/>
    <w:rsid w:val="00634343"/>
    <w:rsid w:val="00644F94"/>
    <w:rsid w:val="00646930"/>
    <w:rsid w:val="00666CC4"/>
    <w:rsid w:val="0066770E"/>
    <w:rsid w:val="00683A5C"/>
    <w:rsid w:val="006855C8"/>
    <w:rsid w:val="00685C30"/>
    <w:rsid w:val="006921D0"/>
    <w:rsid w:val="00694E37"/>
    <w:rsid w:val="00695DEF"/>
    <w:rsid w:val="006A6932"/>
    <w:rsid w:val="006A6DDB"/>
    <w:rsid w:val="006B2578"/>
    <w:rsid w:val="006B35E3"/>
    <w:rsid w:val="006B46BB"/>
    <w:rsid w:val="006B7102"/>
    <w:rsid w:val="006F7590"/>
    <w:rsid w:val="00704FEB"/>
    <w:rsid w:val="007071A6"/>
    <w:rsid w:val="00711D9A"/>
    <w:rsid w:val="00720F68"/>
    <w:rsid w:val="0073051B"/>
    <w:rsid w:val="00732B7F"/>
    <w:rsid w:val="00736E78"/>
    <w:rsid w:val="007375D5"/>
    <w:rsid w:val="00741A94"/>
    <w:rsid w:val="00756E16"/>
    <w:rsid w:val="00763042"/>
    <w:rsid w:val="00763418"/>
    <w:rsid w:val="00780592"/>
    <w:rsid w:val="00783C3E"/>
    <w:rsid w:val="00797F86"/>
    <w:rsid w:val="007B1EB3"/>
    <w:rsid w:val="007B6C64"/>
    <w:rsid w:val="007C667C"/>
    <w:rsid w:val="007D450B"/>
    <w:rsid w:val="007E0D51"/>
    <w:rsid w:val="007E6073"/>
    <w:rsid w:val="007F0B8B"/>
    <w:rsid w:val="00801648"/>
    <w:rsid w:val="00807154"/>
    <w:rsid w:val="00811B42"/>
    <w:rsid w:val="008210FE"/>
    <w:rsid w:val="00824879"/>
    <w:rsid w:val="0082704A"/>
    <w:rsid w:val="008274CD"/>
    <w:rsid w:val="00831EB8"/>
    <w:rsid w:val="00835C1A"/>
    <w:rsid w:val="00837E42"/>
    <w:rsid w:val="00851CCD"/>
    <w:rsid w:val="0086595F"/>
    <w:rsid w:val="008701A5"/>
    <w:rsid w:val="00870BB8"/>
    <w:rsid w:val="00893601"/>
    <w:rsid w:val="008A79BA"/>
    <w:rsid w:val="008B17D2"/>
    <w:rsid w:val="008B3917"/>
    <w:rsid w:val="008B5546"/>
    <w:rsid w:val="008B6B6B"/>
    <w:rsid w:val="008C2DEA"/>
    <w:rsid w:val="008D1A61"/>
    <w:rsid w:val="008D69F9"/>
    <w:rsid w:val="008E3797"/>
    <w:rsid w:val="008E6A2D"/>
    <w:rsid w:val="008F2106"/>
    <w:rsid w:val="0090246C"/>
    <w:rsid w:val="00904B54"/>
    <w:rsid w:val="009203BB"/>
    <w:rsid w:val="00926891"/>
    <w:rsid w:val="00947F83"/>
    <w:rsid w:val="009522A3"/>
    <w:rsid w:val="00953527"/>
    <w:rsid w:val="00965828"/>
    <w:rsid w:val="00965B07"/>
    <w:rsid w:val="00975391"/>
    <w:rsid w:val="00981E8C"/>
    <w:rsid w:val="00985EA9"/>
    <w:rsid w:val="0099705B"/>
    <w:rsid w:val="009A099C"/>
    <w:rsid w:val="009A37BF"/>
    <w:rsid w:val="009C5236"/>
    <w:rsid w:val="009C72AA"/>
    <w:rsid w:val="009C79F4"/>
    <w:rsid w:val="009C7F10"/>
    <w:rsid w:val="009D2F1B"/>
    <w:rsid w:val="009E34E7"/>
    <w:rsid w:val="009F41F0"/>
    <w:rsid w:val="00A05AB5"/>
    <w:rsid w:val="00A157D0"/>
    <w:rsid w:val="00A526E0"/>
    <w:rsid w:val="00A52ED7"/>
    <w:rsid w:val="00A66C10"/>
    <w:rsid w:val="00A86A67"/>
    <w:rsid w:val="00A90900"/>
    <w:rsid w:val="00A9577C"/>
    <w:rsid w:val="00A96DFB"/>
    <w:rsid w:val="00AA4EEA"/>
    <w:rsid w:val="00AA50EF"/>
    <w:rsid w:val="00AB539B"/>
    <w:rsid w:val="00AB5F4A"/>
    <w:rsid w:val="00AC067E"/>
    <w:rsid w:val="00AC5680"/>
    <w:rsid w:val="00AD5A3F"/>
    <w:rsid w:val="00AE57E0"/>
    <w:rsid w:val="00AF488C"/>
    <w:rsid w:val="00B070A9"/>
    <w:rsid w:val="00B13AC4"/>
    <w:rsid w:val="00B1568A"/>
    <w:rsid w:val="00B20D14"/>
    <w:rsid w:val="00B21E2A"/>
    <w:rsid w:val="00B23CF6"/>
    <w:rsid w:val="00B2459F"/>
    <w:rsid w:val="00B25BB0"/>
    <w:rsid w:val="00B32FB6"/>
    <w:rsid w:val="00B46591"/>
    <w:rsid w:val="00B52ECC"/>
    <w:rsid w:val="00B61AAF"/>
    <w:rsid w:val="00B65A85"/>
    <w:rsid w:val="00B761A3"/>
    <w:rsid w:val="00B84B0C"/>
    <w:rsid w:val="00B877BA"/>
    <w:rsid w:val="00BA0F9D"/>
    <w:rsid w:val="00BA4FFE"/>
    <w:rsid w:val="00BA5AE7"/>
    <w:rsid w:val="00BA7A5C"/>
    <w:rsid w:val="00BB405E"/>
    <w:rsid w:val="00BB6C9B"/>
    <w:rsid w:val="00BD0B9F"/>
    <w:rsid w:val="00BE3C4B"/>
    <w:rsid w:val="00C032C2"/>
    <w:rsid w:val="00C12147"/>
    <w:rsid w:val="00C255CD"/>
    <w:rsid w:val="00C31422"/>
    <w:rsid w:val="00C34075"/>
    <w:rsid w:val="00C34A32"/>
    <w:rsid w:val="00C538E5"/>
    <w:rsid w:val="00C635EC"/>
    <w:rsid w:val="00C7401B"/>
    <w:rsid w:val="00C82368"/>
    <w:rsid w:val="00C86AB1"/>
    <w:rsid w:val="00C91206"/>
    <w:rsid w:val="00C9751B"/>
    <w:rsid w:val="00C97E22"/>
    <w:rsid w:val="00CA0446"/>
    <w:rsid w:val="00CA37DF"/>
    <w:rsid w:val="00CB1114"/>
    <w:rsid w:val="00CC0E70"/>
    <w:rsid w:val="00CD09AB"/>
    <w:rsid w:val="00CD43F9"/>
    <w:rsid w:val="00CD6175"/>
    <w:rsid w:val="00CD68E5"/>
    <w:rsid w:val="00CD74C4"/>
    <w:rsid w:val="00CF0D90"/>
    <w:rsid w:val="00CF569B"/>
    <w:rsid w:val="00D01F17"/>
    <w:rsid w:val="00D02561"/>
    <w:rsid w:val="00D04834"/>
    <w:rsid w:val="00D20A6B"/>
    <w:rsid w:val="00D40A47"/>
    <w:rsid w:val="00D42EE5"/>
    <w:rsid w:val="00D4516A"/>
    <w:rsid w:val="00D52475"/>
    <w:rsid w:val="00D611E5"/>
    <w:rsid w:val="00D63764"/>
    <w:rsid w:val="00D67854"/>
    <w:rsid w:val="00D73085"/>
    <w:rsid w:val="00DA0CEE"/>
    <w:rsid w:val="00DB24D0"/>
    <w:rsid w:val="00DC312D"/>
    <w:rsid w:val="00DD7095"/>
    <w:rsid w:val="00DE1E42"/>
    <w:rsid w:val="00DF77DE"/>
    <w:rsid w:val="00E07CC0"/>
    <w:rsid w:val="00E12532"/>
    <w:rsid w:val="00E1402A"/>
    <w:rsid w:val="00E201B8"/>
    <w:rsid w:val="00E3253A"/>
    <w:rsid w:val="00E41D45"/>
    <w:rsid w:val="00E43437"/>
    <w:rsid w:val="00E54DA8"/>
    <w:rsid w:val="00E66AED"/>
    <w:rsid w:val="00E67722"/>
    <w:rsid w:val="00E679F9"/>
    <w:rsid w:val="00E714B0"/>
    <w:rsid w:val="00E72E05"/>
    <w:rsid w:val="00E751E3"/>
    <w:rsid w:val="00E832B7"/>
    <w:rsid w:val="00E95971"/>
    <w:rsid w:val="00EA021F"/>
    <w:rsid w:val="00EB245F"/>
    <w:rsid w:val="00EC7C14"/>
    <w:rsid w:val="00ED1DCB"/>
    <w:rsid w:val="00ED5CBA"/>
    <w:rsid w:val="00EE62B0"/>
    <w:rsid w:val="00F011EC"/>
    <w:rsid w:val="00F03AE3"/>
    <w:rsid w:val="00F07307"/>
    <w:rsid w:val="00F074F3"/>
    <w:rsid w:val="00F20290"/>
    <w:rsid w:val="00F32FAC"/>
    <w:rsid w:val="00F33197"/>
    <w:rsid w:val="00F54F6C"/>
    <w:rsid w:val="00F60070"/>
    <w:rsid w:val="00F712F5"/>
    <w:rsid w:val="00F72513"/>
    <w:rsid w:val="00F743D9"/>
    <w:rsid w:val="00F9533D"/>
    <w:rsid w:val="00F97024"/>
    <w:rsid w:val="00FA56FC"/>
    <w:rsid w:val="00FE54EC"/>
    <w:rsid w:val="00FE58C1"/>
    <w:rsid w:val="00FE603A"/>
    <w:rsid w:val="00FF092C"/>
    <w:rsid w:val="00FF5FA3"/>
    <w:rsid w:val="00FF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14:docId w14:val="04D1F0A3"/>
  <w15:docId w15:val="{7D61016D-A34D-414A-97FF-FFD0CF62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EA"/>
    <w:rPr>
      <w:rFonts w:ascii="Arial" w:hAnsi="Arial"/>
      <w:sz w:val="18"/>
    </w:rPr>
  </w:style>
  <w:style w:type="paragraph" w:styleId="Ttulo1">
    <w:name w:val="heading 1"/>
    <w:basedOn w:val="Normal"/>
    <w:next w:val="Normal"/>
    <w:link w:val="Ttulo1Char"/>
    <w:autoRedefine/>
    <w:uiPriority w:val="9"/>
    <w:qFormat/>
    <w:rsid w:val="00EE62B0"/>
    <w:pPr>
      <w:keepNext/>
      <w:keepLines/>
      <w:spacing w:before="240" w:after="0"/>
      <w:jc w:val="both"/>
      <w:outlineLvl w:val="0"/>
    </w:pPr>
    <w:rPr>
      <w:rFonts w:eastAsia="Times New Roman" w:cs="Arial"/>
      <w:bCs/>
      <w:szCs w:val="20"/>
      <w:lang w:eastAsia="pt-BR"/>
    </w:rPr>
  </w:style>
  <w:style w:type="paragraph" w:styleId="Ttulo2">
    <w:name w:val="heading 2"/>
    <w:basedOn w:val="Normal"/>
    <w:next w:val="Normal"/>
    <w:link w:val="Ttulo2Char"/>
    <w:uiPriority w:val="9"/>
    <w:unhideWhenUsed/>
    <w:qFormat/>
    <w:rsid w:val="007E6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BBSEGURIDADE">
    <w:name w:val="BB SEGURIDADE"/>
    <w:basedOn w:val="Tabelanormal"/>
    <w:uiPriority w:val="99"/>
    <w:rsid w:val="00B25BB0"/>
    <w:pPr>
      <w:spacing w:after="0" w:line="240" w:lineRule="auto"/>
    </w:pPr>
    <w:rPr>
      <w:rFonts w:ascii="Arial" w:eastAsia="MS Mincho" w:hAnsi="Arial"/>
      <w:color w:val="000000" w:themeColor="text1"/>
      <w:sz w:val="14"/>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character" w:customStyle="1" w:styleId="Ttulo1Char">
    <w:name w:val="Título 1 Char"/>
    <w:basedOn w:val="Fontepargpadro"/>
    <w:link w:val="Ttulo1"/>
    <w:uiPriority w:val="9"/>
    <w:rsid w:val="00EE62B0"/>
    <w:rPr>
      <w:rFonts w:ascii="Arial" w:eastAsia="Times New Roman" w:hAnsi="Arial" w:cs="Arial"/>
      <w:bCs/>
      <w:sz w:val="18"/>
      <w:szCs w:val="20"/>
      <w:lang w:eastAsia="pt-BR"/>
    </w:rPr>
  </w:style>
  <w:style w:type="paragraph" w:customStyle="1" w:styleId="05-Textonormal">
    <w:name w:val="05-Texto normal"/>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1-TtulodeNota">
    <w:name w:val="01-Título de Nota"/>
    <w:basedOn w:val="05-Textonormal"/>
    <w:next w:val="Normal"/>
    <w:uiPriority w:val="99"/>
    <w:qFormat/>
    <w:rsid w:val="0086595F"/>
    <w:pPr>
      <w:spacing w:line="240" w:lineRule="auto"/>
    </w:pPr>
    <w:rPr>
      <w:b/>
      <w:sz w:val="20"/>
      <w:szCs w:val="20"/>
    </w:rPr>
  </w:style>
  <w:style w:type="paragraph" w:customStyle="1" w:styleId="05-Textonormal2">
    <w:name w:val="05-Texto normal2"/>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8-Tabelageral">
    <w:name w:val="08-Tabela geral"/>
    <w:basedOn w:val="Normal"/>
    <w:qFormat/>
    <w:rsid w:val="0086595F"/>
    <w:pPr>
      <w:keepNext/>
      <w:keepLines/>
      <w:spacing w:before="40" w:after="40" w:line="240" w:lineRule="auto"/>
      <w:jc w:val="right"/>
    </w:pPr>
    <w:rPr>
      <w:rFonts w:eastAsia="Times New Roman" w:cs="Times New Roman"/>
      <w:spacing w:val="-2"/>
      <w:sz w:val="14"/>
      <w:szCs w:val="18"/>
      <w:lang w:eastAsia="pt-BR"/>
    </w:rPr>
  </w:style>
  <w:style w:type="table" w:customStyle="1" w:styleId="TabeladeLista6Colorida-nfase51">
    <w:name w:val="Tabela de Lista 6 Colorida - Ênfase 51"/>
    <w:basedOn w:val="Tabelanormal"/>
    <w:uiPriority w:val="51"/>
    <w:rsid w:val="00B25BB0"/>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07-Legenda">
    <w:name w:val="07-Legenda"/>
    <w:basedOn w:val="Normal"/>
    <w:qFormat/>
    <w:rsid w:val="0086595F"/>
    <w:pPr>
      <w:keepLines/>
      <w:tabs>
        <w:tab w:val="left" w:pos="284"/>
      </w:tabs>
      <w:spacing w:before="40" w:after="0" w:line="240" w:lineRule="auto"/>
      <w:ind w:left="284" w:hanging="284"/>
      <w:jc w:val="both"/>
    </w:pPr>
    <w:rPr>
      <w:rFonts w:eastAsia="Times New Roman" w:cs="Times New Roman"/>
      <w:spacing w:val="-2"/>
      <w:sz w:val="14"/>
      <w:szCs w:val="18"/>
      <w:lang w:eastAsia="pt-BR"/>
    </w:rPr>
  </w:style>
  <w:style w:type="table" w:customStyle="1" w:styleId="TabeladeLista6Colorida-nfase510">
    <w:name w:val="Tabela de Lista 6 Colorida - Ênfase 51"/>
    <w:basedOn w:val="Tabelanormal"/>
    <w:uiPriority w:val="51"/>
    <w:rsid w:val="004E230D"/>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top w:val="single" w:sz="4" w:space="0" w:color="8EAADB" w:themeColor="accent5" w:themeTint="99"/>
          <w:left w:val="nil"/>
          <w:bottom w:val="single" w:sz="4" w:space="0" w:color="8EAADB" w:themeColor="accent5" w:themeTint="99"/>
          <w:right w:val="nil"/>
          <w:insideH w:val="nil"/>
          <w:insideV w:val="nil"/>
          <w:tl2br w:val="nil"/>
          <w:tr2bl w:val="nil"/>
        </w:tcBorders>
        <w:shd w:val="clear" w:color="auto" w:fill="D9E2F3" w:themeFill="accent5" w:themeFillTint="3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paragraph" w:styleId="Cabealho">
    <w:name w:val="header"/>
    <w:aliases w:val="Heading 1a,encabezado,Header Char,Appendix,Heading 1a Char Char Char Char,Draft,Table header,Draft1,Draft2,Guideline,encabezado Char Char Char Char Char,Car4,Header Char Char Char,even"/>
    <w:basedOn w:val="Normal"/>
    <w:link w:val="CabealhoChar"/>
    <w:unhideWhenUsed/>
    <w:rsid w:val="001170F1"/>
    <w:pPr>
      <w:tabs>
        <w:tab w:val="center" w:pos="4252"/>
        <w:tab w:val="right" w:pos="8504"/>
      </w:tabs>
      <w:spacing w:after="0" w:line="240" w:lineRule="auto"/>
    </w:pPr>
  </w:style>
  <w:style w:type="character" w:customStyle="1" w:styleId="CabealhoChar">
    <w:name w:val="Cabeçalho Char"/>
    <w:aliases w:val="Heading 1a Char,encabezado Char,Header Char Char,Appendix Char,Heading 1a Char Char Char Char Char,Draft Char,Table header Char,Draft1 Char,Draft2 Char,Guideline Char,encabezado Char Char Char Char Char Char,Car4 Char,even Char"/>
    <w:basedOn w:val="Fontepargpadro"/>
    <w:link w:val="Cabealho"/>
    <w:rsid w:val="001170F1"/>
    <w:rPr>
      <w:rFonts w:ascii="Arial" w:hAnsi="Arial"/>
      <w:sz w:val="18"/>
    </w:rPr>
  </w:style>
  <w:style w:type="paragraph" w:styleId="Rodap">
    <w:name w:val="footer"/>
    <w:basedOn w:val="Normal"/>
    <w:link w:val="RodapChar"/>
    <w:uiPriority w:val="99"/>
    <w:unhideWhenUsed/>
    <w:rsid w:val="001170F1"/>
    <w:pPr>
      <w:tabs>
        <w:tab w:val="center" w:pos="4252"/>
        <w:tab w:val="right" w:pos="8504"/>
      </w:tabs>
      <w:spacing w:after="0" w:line="240" w:lineRule="auto"/>
    </w:pPr>
  </w:style>
  <w:style w:type="character" w:customStyle="1" w:styleId="RodapChar">
    <w:name w:val="Rodapé Char"/>
    <w:basedOn w:val="Fontepargpadro"/>
    <w:link w:val="Rodap"/>
    <w:uiPriority w:val="99"/>
    <w:rsid w:val="001170F1"/>
    <w:rPr>
      <w:rFonts w:ascii="Arial" w:hAnsi="Arial"/>
      <w:sz w:val="18"/>
    </w:rPr>
  </w:style>
  <w:style w:type="table" w:customStyle="1" w:styleId="TabeladeLista6Colorida-nfase512">
    <w:name w:val="Tabela de Lista 6 Colorida - Ênfase 512"/>
    <w:basedOn w:val="Tabelanormal"/>
    <w:uiPriority w:val="51"/>
    <w:rsid w:val="00C82368"/>
    <w:pPr>
      <w:spacing w:after="0" w:line="240" w:lineRule="auto"/>
    </w:pPr>
    <w:rPr>
      <w:color w:val="000000" w:themeColor="text1"/>
    </w:rPr>
    <w:tblPr>
      <w:tblStyleRowBandSize w:val="1"/>
      <w:tblStyleColBandSize w:val="1"/>
      <w:tblInd w:w="0" w:type="nil"/>
      <w:tblBorders>
        <w:top w:val="single" w:sz="4" w:space="0" w:color="8EAADB" w:themeColor="accent5" w:themeTint="99"/>
        <w:bottom w:val="single" w:sz="4" w:space="0" w:color="8EAADB" w:themeColor="accent5" w:themeTint="99"/>
      </w:tblBorders>
    </w:tblPr>
    <w:tblStylePr w:type="firstRow">
      <w:rPr>
        <w:b/>
        <w:bCs/>
      </w:rPr>
      <w:tblPr/>
      <w:tcPr>
        <w:shd w:val="clear" w:color="auto" w:fill="D9E2F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band2Horz">
      <w:tblPr/>
      <w:tcPr>
        <w:shd w:val="clear" w:color="auto" w:fill="FFFFFF" w:themeFill="background1"/>
      </w:tcPr>
    </w:tblStylePr>
  </w:style>
  <w:style w:type="paragraph" w:customStyle="1" w:styleId="04-TtuloNegrito">
    <w:name w:val="04-Título Negrito"/>
    <w:basedOn w:val="Normal"/>
    <w:next w:val="Normal"/>
    <w:qFormat/>
    <w:rsid w:val="00FE58C1"/>
    <w:pPr>
      <w:spacing w:before="120" w:after="120" w:line="240" w:lineRule="auto"/>
      <w:jc w:val="both"/>
      <w:outlineLvl w:val="1"/>
    </w:pPr>
    <w:rPr>
      <w:rFonts w:eastAsia="Times New Roman" w:cs="Times New Roman"/>
      <w:b/>
      <w:spacing w:val="-2"/>
      <w:sz w:val="20"/>
      <w:szCs w:val="20"/>
      <w:lang w:eastAsia="pt-BR"/>
    </w:rPr>
  </w:style>
  <w:style w:type="character" w:customStyle="1" w:styleId="01-TextonormalChar1">
    <w:name w:val="01-Texto normal Char1"/>
    <w:basedOn w:val="Fontepargpadro"/>
    <w:link w:val="01-Textonormal"/>
    <w:locked/>
    <w:rsid w:val="00FE58C1"/>
    <w:rPr>
      <w:rFonts w:ascii="Arial" w:eastAsia="Times New Roman" w:hAnsi="Arial" w:cs="Times New Roman"/>
      <w:spacing w:val="-2"/>
      <w:sz w:val="18"/>
      <w:szCs w:val="18"/>
      <w:lang w:eastAsia="pt-BR"/>
    </w:rPr>
  </w:style>
  <w:style w:type="paragraph" w:customStyle="1" w:styleId="01-Textonormal">
    <w:name w:val="01-Texto normal"/>
    <w:basedOn w:val="05-Textonormal"/>
    <w:link w:val="01-TextonormalChar1"/>
    <w:qFormat/>
    <w:rsid w:val="00FE58C1"/>
  </w:style>
  <w:style w:type="character" w:customStyle="1" w:styleId="06-RmilChar">
    <w:name w:val="06-R$ mil Char"/>
    <w:link w:val="06-Rmil"/>
    <w:locked/>
    <w:rsid w:val="00FE58C1"/>
    <w:rPr>
      <w:rFonts w:ascii="Arial" w:eastAsia="Times New Roman" w:hAnsi="Arial" w:cs="Times New Roman"/>
      <w:b/>
      <w:spacing w:val="-2"/>
      <w:sz w:val="14"/>
      <w:szCs w:val="18"/>
      <w:lang w:eastAsia="pt-BR"/>
    </w:rPr>
  </w:style>
  <w:style w:type="paragraph" w:customStyle="1" w:styleId="06-Rmil">
    <w:name w:val="06-R$ mil"/>
    <w:basedOn w:val="Normal"/>
    <w:next w:val="Normal"/>
    <w:link w:val="06-RmilChar"/>
    <w:qFormat/>
    <w:rsid w:val="00FE58C1"/>
    <w:pPr>
      <w:keepNext/>
      <w:keepLines/>
      <w:spacing w:after="0" w:line="240" w:lineRule="auto"/>
      <w:jc w:val="right"/>
    </w:pPr>
    <w:rPr>
      <w:rFonts w:eastAsia="Times New Roman" w:cs="Times New Roman"/>
      <w:b/>
      <w:spacing w:val="-2"/>
      <w:sz w:val="14"/>
      <w:szCs w:val="18"/>
      <w:lang w:eastAsia="pt-BR"/>
    </w:rPr>
  </w:style>
  <w:style w:type="paragraph" w:styleId="PargrafodaLista">
    <w:name w:val="List Paragraph"/>
    <w:basedOn w:val="Normal"/>
    <w:uiPriority w:val="34"/>
    <w:qFormat/>
    <w:rsid w:val="00B070A9"/>
    <w:pPr>
      <w:spacing w:after="200" w:line="276" w:lineRule="auto"/>
      <w:ind w:left="720"/>
      <w:contextualSpacing/>
    </w:pPr>
    <w:rPr>
      <w:rFonts w:asciiTheme="minorHAnsi" w:eastAsia="MS Mincho" w:hAnsiTheme="minorHAnsi"/>
      <w:sz w:val="22"/>
    </w:rPr>
  </w:style>
  <w:style w:type="paragraph" w:styleId="CabealhodoSumrio">
    <w:name w:val="TOC Heading"/>
    <w:basedOn w:val="Ttulo1"/>
    <w:next w:val="Normal"/>
    <w:uiPriority w:val="39"/>
    <w:unhideWhenUsed/>
    <w:qFormat/>
    <w:rsid w:val="001521B5"/>
    <w:pPr>
      <w:outlineLvl w:val="9"/>
    </w:pPr>
    <w:rPr>
      <w:rFonts w:asciiTheme="majorHAnsi" w:hAnsiTheme="majorHAnsi"/>
      <w:b/>
      <w:sz w:val="32"/>
    </w:rPr>
  </w:style>
  <w:style w:type="paragraph" w:styleId="Sumrio2">
    <w:name w:val="toc 2"/>
    <w:basedOn w:val="Normal"/>
    <w:next w:val="Normal"/>
    <w:autoRedefine/>
    <w:uiPriority w:val="39"/>
    <w:unhideWhenUsed/>
    <w:rsid w:val="001521B5"/>
    <w:pPr>
      <w:spacing w:after="100"/>
      <w:ind w:left="180"/>
    </w:pPr>
  </w:style>
  <w:style w:type="paragraph" w:styleId="Sumrio1">
    <w:name w:val="toc 1"/>
    <w:basedOn w:val="Normal"/>
    <w:next w:val="Normal"/>
    <w:autoRedefine/>
    <w:uiPriority w:val="39"/>
    <w:unhideWhenUsed/>
    <w:rsid w:val="00336EA5"/>
    <w:pPr>
      <w:tabs>
        <w:tab w:val="right" w:leader="dot" w:pos="9628"/>
      </w:tabs>
      <w:spacing w:after="100"/>
    </w:pPr>
    <w:rPr>
      <w:rFonts w:cs="Arial"/>
      <w:b/>
      <w:bCs/>
      <w:noProof/>
      <w:color w:val="1F4E79"/>
      <w:szCs w:val="18"/>
      <w:u w:val="single"/>
    </w:rPr>
  </w:style>
  <w:style w:type="character" w:styleId="Hyperlink">
    <w:name w:val="Hyperlink"/>
    <w:basedOn w:val="Fontepargpadro"/>
    <w:uiPriority w:val="99"/>
    <w:unhideWhenUsed/>
    <w:rsid w:val="001521B5"/>
    <w:rPr>
      <w:color w:val="0563C1" w:themeColor="hyperlink"/>
      <w:u w:val="single"/>
    </w:rPr>
  </w:style>
  <w:style w:type="paragraph" w:customStyle="1" w:styleId="03-SubttulodeNota">
    <w:name w:val="03-Subtítulo de Nota"/>
    <w:basedOn w:val="05-Textonormal"/>
    <w:next w:val="01-Textonormal"/>
    <w:qFormat/>
    <w:rsid w:val="00E832B7"/>
    <w:pPr>
      <w:spacing w:line="240" w:lineRule="auto"/>
      <w:outlineLvl w:val="1"/>
    </w:pPr>
    <w:rPr>
      <w:b/>
      <w:sz w:val="20"/>
      <w:szCs w:val="20"/>
    </w:rPr>
  </w:style>
  <w:style w:type="character" w:customStyle="1" w:styleId="Ttulo2Char">
    <w:name w:val="Título 2 Char"/>
    <w:basedOn w:val="Fontepargpadro"/>
    <w:link w:val="Ttulo2"/>
    <w:uiPriority w:val="9"/>
    <w:rsid w:val="007E6073"/>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39"/>
    <w:rsid w:val="005D16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tulodeNota">
    <w:name w:val="02-Título de Nota"/>
    <w:basedOn w:val="05-Textonormal"/>
    <w:next w:val="Normal"/>
    <w:qFormat/>
    <w:rsid w:val="0015348F"/>
    <w:pPr>
      <w:spacing w:line="240" w:lineRule="auto"/>
      <w:outlineLvl w:val="0"/>
    </w:pPr>
    <w:rPr>
      <w:b/>
      <w:sz w:val="20"/>
      <w:szCs w:val="20"/>
    </w:rPr>
  </w:style>
  <w:style w:type="paragraph" w:styleId="Textodebalo">
    <w:name w:val="Balloon Text"/>
    <w:basedOn w:val="Normal"/>
    <w:link w:val="TextodebaloChar"/>
    <w:uiPriority w:val="99"/>
    <w:semiHidden/>
    <w:unhideWhenUsed/>
    <w:rsid w:val="000F2546"/>
    <w:pPr>
      <w:spacing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0F2546"/>
    <w:rPr>
      <w:rFonts w:ascii="Segoe UI" w:hAnsi="Segoe UI" w:cs="Segoe UI"/>
      <w:sz w:val="18"/>
      <w:szCs w:val="18"/>
    </w:rPr>
  </w:style>
  <w:style w:type="paragraph" w:customStyle="1" w:styleId="08-Tabelageral1">
    <w:name w:val="08-Tabela geral1"/>
    <w:basedOn w:val="Normal"/>
    <w:qFormat/>
    <w:rsid w:val="00BA0F9D"/>
    <w:pPr>
      <w:keepNext/>
      <w:keepLines/>
      <w:suppressAutoHyphens/>
      <w:spacing w:before="40" w:after="40" w:line="276" w:lineRule="auto"/>
      <w:jc w:val="right"/>
    </w:pPr>
    <w:rPr>
      <w:rFonts w:eastAsia="Times New Roman" w:cs="Times New Roman"/>
      <w:kern w:val="20"/>
      <w:sz w:val="14"/>
      <w:szCs w:val="20"/>
      <w:lang w:eastAsia="pt-BR"/>
    </w:rPr>
  </w:style>
  <w:style w:type="table" w:customStyle="1" w:styleId="TabeladeLista6Colorida-nfase52">
    <w:name w:val="Tabela de Lista 6 Colorida - Ênfase 52"/>
    <w:basedOn w:val="Tabelanormal"/>
    <w:next w:val="TabeladeLista6Colorida-nfase51"/>
    <w:uiPriority w:val="51"/>
    <w:rsid w:val="005061D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1Clara-nfase11">
    <w:name w:val="Tabela de Grade 1 Clara - Ênfase 11"/>
    <w:basedOn w:val="Tabelanormal"/>
    <w:uiPriority w:val="46"/>
    <w:rsid w:val="009F41F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9F41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
    <w:name w:val="Tabela de Lista 7 Colorida - Ênfase 11"/>
    <w:basedOn w:val="Tabelanormal"/>
    <w:uiPriority w:val="52"/>
    <w:rsid w:val="009F41F0"/>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9F41F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
    <w:name w:val="Tabela de Grade 2 - Ênfase 51"/>
    <w:basedOn w:val="Tabelanormal"/>
    <w:uiPriority w:val="47"/>
    <w:rsid w:val="009F41F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
    <w:name w:val="Tabela de Grade 6 Colorida - Ênfase 51"/>
    <w:basedOn w:val="Tabelanormal"/>
    <w:uiPriority w:val="51"/>
    <w:rsid w:val="009F41F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
    <w:name w:val="Tabela de Lista 2 - Ênfase 51"/>
    <w:basedOn w:val="Tabelanormal"/>
    <w:uiPriority w:val="47"/>
    <w:rsid w:val="009F41F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
    <w:name w:val="Tabela de Lista 4 - Ênfase 51"/>
    <w:basedOn w:val="Tabelanormal"/>
    <w:uiPriority w:val="49"/>
    <w:rsid w:val="009F41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
    <w:name w:val="Tabela de Lista 2 - Ênfase 11"/>
    <w:basedOn w:val="Tabelanormal"/>
    <w:uiPriority w:val="47"/>
    <w:rsid w:val="009F41F0"/>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5-Textonormal1">
    <w:name w:val="05-Texto normal1"/>
    <w:basedOn w:val="Normal"/>
    <w:qFormat/>
    <w:rsid w:val="00300419"/>
    <w:pPr>
      <w:spacing w:before="120" w:after="120" w:line="276" w:lineRule="auto"/>
      <w:jc w:val="both"/>
    </w:pPr>
    <w:rPr>
      <w:rFonts w:eastAsia="Times New Roman" w:cs="Times New Roman"/>
      <w:spacing w:val="-2"/>
      <w:szCs w:val="18"/>
      <w:lang w:eastAsia="pt-BR"/>
    </w:rPr>
  </w:style>
  <w:style w:type="paragraph" w:customStyle="1" w:styleId="01-Textonormal2">
    <w:name w:val="01-Texto normal2"/>
    <w:basedOn w:val="Normal"/>
    <w:uiPriority w:val="99"/>
    <w:qFormat/>
    <w:rsid w:val="00300419"/>
    <w:pPr>
      <w:suppressAutoHyphens/>
      <w:spacing w:before="120" w:after="120" w:line="276" w:lineRule="auto"/>
      <w:jc w:val="both"/>
    </w:pPr>
    <w:rPr>
      <w:rFonts w:eastAsia="Times New Roman" w:cs="Times New Roman"/>
      <w:kern w:val="20"/>
      <w:szCs w:val="20"/>
      <w:lang w:eastAsia="pt-BR"/>
    </w:rPr>
  </w:style>
  <w:style w:type="table" w:customStyle="1" w:styleId="TabeladeGrade1Clara-nfase110">
    <w:name w:val="Tabela de Grade 1 Clara - Ênfase 11"/>
    <w:basedOn w:val="Tabelanormal"/>
    <w:uiPriority w:val="46"/>
    <w:rsid w:val="007630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0">
    <w:name w:val="Tabela de Lista 4 - Ênfase 11"/>
    <w:basedOn w:val="Tabelanormal"/>
    <w:uiPriority w:val="49"/>
    <w:rsid w:val="007630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0">
    <w:name w:val="Tabela de Lista 7 Colorida - Ênfase 11"/>
    <w:basedOn w:val="Tabelanormal"/>
    <w:uiPriority w:val="52"/>
    <w:rsid w:val="007630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0">
    <w:name w:val="Tabela de Grade 2 - Ênfase 11"/>
    <w:basedOn w:val="Tabelanormal"/>
    <w:uiPriority w:val="47"/>
    <w:rsid w:val="007630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0">
    <w:name w:val="Tabela de Grade 2 - Ênfase 51"/>
    <w:basedOn w:val="Tabelanormal"/>
    <w:uiPriority w:val="47"/>
    <w:rsid w:val="007630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0">
    <w:name w:val="Tabela de Grade 6 Colorida - Ênfase 51"/>
    <w:basedOn w:val="Tabelanormal"/>
    <w:uiPriority w:val="51"/>
    <w:rsid w:val="007630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0">
    <w:name w:val="Tabela de Lista 2 - Ênfase 51"/>
    <w:basedOn w:val="Tabelanormal"/>
    <w:uiPriority w:val="47"/>
    <w:rsid w:val="007630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0">
    <w:name w:val="Tabela de Lista 4 - Ênfase 51"/>
    <w:basedOn w:val="Tabelanormal"/>
    <w:uiPriority w:val="49"/>
    <w:rsid w:val="007630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0">
    <w:name w:val="Tabela de Lista 2 - Ênfase 11"/>
    <w:basedOn w:val="Tabelanormal"/>
    <w:uiPriority w:val="47"/>
    <w:rsid w:val="007630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emlista1">
    <w:name w:val="Sem lista1"/>
    <w:next w:val="Semlista"/>
    <w:uiPriority w:val="99"/>
    <w:semiHidden/>
    <w:unhideWhenUsed/>
    <w:rsid w:val="00763042"/>
  </w:style>
  <w:style w:type="character" w:styleId="HiperlinkVisitado">
    <w:name w:val="FollowedHyperlink"/>
    <w:basedOn w:val="Fontepargpadro"/>
    <w:uiPriority w:val="99"/>
    <w:semiHidden/>
    <w:unhideWhenUsed/>
    <w:rsid w:val="00763042"/>
    <w:rPr>
      <w:color w:val="954F72" w:themeColor="followedHyperlink"/>
      <w:u w:val="single"/>
    </w:rPr>
  </w:style>
  <w:style w:type="paragraph" w:customStyle="1" w:styleId="msonormal0">
    <w:name w:val="msonormal"/>
    <w:basedOn w:val="Normal"/>
    <w:rsid w:val="007630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7630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0-TabelaPadro">
    <w:name w:val="070 - Tabela Padrão"/>
    <w:basedOn w:val="Normal"/>
    <w:link w:val="070-TabelaPadroChar"/>
    <w:qFormat/>
    <w:rsid w:val="006B46BB"/>
    <w:pPr>
      <w:keepNext/>
      <w:keepLines/>
      <w:spacing w:before="40" w:after="40" w:line="240" w:lineRule="auto"/>
      <w:jc w:val="right"/>
    </w:pPr>
    <w:rPr>
      <w:rFonts w:eastAsia="Times New Roman" w:cs="Times New Roman"/>
      <w:sz w:val="14"/>
      <w:szCs w:val="18"/>
      <w:lang w:eastAsia="pt-BR"/>
    </w:rPr>
  </w:style>
  <w:style w:type="character" w:customStyle="1" w:styleId="070-TabelaPadroChar">
    <w:name w:val="070 - Tabela Padrão Char"/>
    <w:basedOn w:val="Fontepargpadro"/>
    <w:link w:val="070-TabelaPadro"/>
    <w:rsid w:val="006B46BB"/>
    <w:rPr>
      <w:rFonts w:ascii="Arial" w:eastAsia="Times New Roman" w:hAnsi="Arial" w:cs="Times New Roman"/>
      <w:sz w:val="14"/>
      <w:szCs w:val="18"/>
      <w:lang w:eastAsia="pt-BR"/>
    </w:rPr>
  </w:style>
  <w:style w:type="table" w:customStyle="1" w:styleId="TabeladeLista6Colorida-nfase531">
    <w:name w:val="Tabela de Lista 6 Colorida - Ênfase 531"/>
    <w:basedOn w:val="Tabelanormal"/>
    <w:next w:val="TabeladeLista6Colorida-nfase51"/>
    <w:uiPriority w:val="51"/>
    <w:rsid w:val="00E66AED"/>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oPendente1">
    <w:name w:val="Menção Pendente1"/>
    <w:basedOn w:val="Fontepargpadro"/>
    <w:uiPriority w:val="99"/>
    <w:semiHidden/>
    <w:unhideWhenUsed/>
    <w:rsid w:val="00870BB8"/>
    <w:rPr>
      <w:color w:val="605E5C"/>
      <w:shd w:val="clear" w:color="auto" w:fill="E1DFDD"/>
    </w:rPr>
  </w:style>
  <w:style w:type="paragraph" w:customStyle="1" w:styleId="05-TtuloSublinhado">
    <w:name w:val="05-Título Sublinhado"/>
    <w:basedOn w:val="03-SubttulodeNota"/>
    <w:next w:val="01-Textonormal"/>
    <w:qFormat/>
    <w:rsid w:val="00EE62B0"/>
    <w:pPr>
      <w:keepNext/>
    </w:pPr>
    <w:rPr>
      <w:rFonts w:cs="Arial"/>
      <w:sz w:val="18"/>
    </w:rPr>
  </w:style>
  <w:style w:type="paragraph" w:customStyle="1" w:styleId="07-Legenda1">
    <w:name w:val="07-Legenda1"/>
    <w:basedOn w:val="01-Textonormal"/>
    <w:qFormat/>
    <w:rsid w:val="00EE62B0"/>
    <w:pPr>
      <w:keepLines/>
      <w:tabs>
        <w:tab w:val="left" w:pos="284"/>
      </w:tabs>
      <w:suppressAutoHyphens/>
      <w:spacing w:before="40" w:after="0"/>
      <w:ind w:left="284" w:hanging="284"/>
    </w:pPr>
    <w:rPr>
      <w:rFonts w:ascii="Arial (W1)" w:hAnsi="Arial (W1)"/>
      <w:spacing w:val="0"/>
      <w:kern w:val="20"/>
      <w:sz w:val="14"/>
      <w:szCs w:val="20"/>
    </w:rPr>
  </w:style>
  <w:style w:type="character" w:styleId="Refdecomentrio">
    <w:name w:val="annotation reference"/>
    <w:basedOn w:val="Fontepargpadro"/>
    <w:uiPriority w:val="99"/>
    <w:semiHidden/>
    <w:unhideWhenUsed/>
    <w:rsid w:val="00EE62B0"/>
    <w:rPr>
      <w:sz w:val="16"/>
      <w:szCs w:val="16"/>
    </w:rPr>
  </w:style>
  <w:style w:type="paragraph" w:styleId="Textodecomentrio">
    <w:name w:val="annotation text"/>
    <w:basedOn w:val="Normal"/>
    <w:link w:val="TextodecomentrioChar"/>
    <w:uiPriority w:val="99"/>
    <w:semiHidden/>
    <w:unhideWhenUsed/>
    <w:rsid w:val="00EE62B0"/>
    <w:pPr>
      <w:spacing w:after="200" w:line="240" w:lineRule="auto"/>
    </w:pPr>
    <w:rPr>
      <w:rFonts w:asciiTheme="minorHAnsi" w:eastAsia="MS Mincho" w:hAnsiTheme="minorHAnsi"/>
      <w:sz w:val="20"/>
      <w:szCs w:val="20"/>
    </w:rPr>
  </w:style>
  <w:style w:type="character" w:customStyle="1" w:styleId="TextodecomentrioChar">
    <w:name w:val="Texto de comentário Char"/>
    <w:basedOn w:val="Fontepargpadro"/>
    <w:link w:val="Textodecomentrio"/>
    <w:uiPriority w:val="99"/>
    <w:semiHidden/>
    <w:rsid w:val="00EE62B0"/>
    <w:rPr>
      <w:rFonts w:eastAsia="MS Mincho"/>
      <w:sz w:val="20"/>
      <w:szCs w:val="20"/>
    </w:rPr>
  </w:style>
  <w:style w:type="paragraph" w:styleId="Assuntodocomentrio">
    <w:name w:val="annotation subject"/>
    <w:basedOn w:val="Textodecomentrio"/>
    <w:next w:val="Textodecomentrio"/>
    <w:link w:val="AssuntodocomentrioChar"/>
    <w:uiPriority w:val="99"/>
    <w:semiHidden/>
    <w:unhideWhenUsed/>
    <w:rsid w:val="00EE62B0"/>
    <w:rPr>
      <w:b/>
      <w:bCs/>
    </w:rPr>
  </w:style>
  <w:style w:type="character" w:customStyle="1" w:styleId="AssuntodocomentrioChar">
    <w:name w:val="Assunto do comentário Char"/>
    <w:basedOn w:val="TextodecomentrioChar"/>
    <w:link w:val="Assuntodocomentrio"/>
    <w:uiPriority w:val="99"/>
    <w:semiHidden/>
    <w:rsid w:val="00EE62B0"/>
    <w:rPr>
      <w:rFonts w:eastAsia="MS Mincho"/>
      <w:b/>
      <w:bCs/>
      <w:sz w:val="20"/>
      <w:szCs w:val="20"/>
    </w:rPr>
  </w:style>
  <w:style w:type="paragraph" w:styleId="Reviso">
    <w:name w:val="Revision"/>
    <w:hidden/>
    <w:uiPriority w:val="99"/>
    <w:semiHidden/>
    <w:rsid w:val="00EE62B0"/>
    <w:pPr>
      <w:spacing w:after="0" w:line="240" w:lineRule="auto"/>
    </w:pPr>
    <w:rPr>
      <w:rFonts w:eastAsia="MS Mincho"/>
    </w:rPr>
  </w:style>
  <w:style w:type="character" w:customStyle="1" w:styleId="tlid-translation">
    <w:name w:val="tlid-translation"/>
    <w:basedOn w:val="Fontepargpadro"/>
    <w:rsid w:val="0090246C"/>
  </w:style>
  <w:style w:type="character" w:customStyle="1" w:styleId="shorttext">
    <w:name w:val="short_text"/>
    <w:basedOn w:val="Fontepargpadro"/>
    <w:rsid w:val="0090246C"/>
  </w:style>
  <w:style w:type="character" w:customStyle="1" w:styleId="Ttulo6Char">
    <w:name w:val="Título 6 Char"/>
    <w:uiPriority w:val="99"/>
    <w:rsid w:val="00893601"/>
    <w:rPr>
      <w:rFonts w:ascii="Cambria" w:hAnsi="Cambria"/>
      <w:b/>
      <w:bCs/>
      <w:color w:val="595959"/>
      <w:spacing w:val="5"/>
      <w:shd w:val="clear" w:color="auto" w:fill="FFFFFF"/>
    </w:rPr>
  </w:style>
  <w:style w:type="character" w:customStyle="1" w:styleId="hps">
    <w:name w:val="hps"/>
    <w:basedOn w:val="Fontepargpadro"/>
    <w:rsid w:val="00893601"/>
  </w:style>
  <w:style w:type="paragraph" w:styleId="Pr-formataoHTML">
    <w:name w:val="HTML Preformatted"/>
    <w:basedOn w:val="Normal"/>
    <w:link w:val="Pr-formataoHTMLChar"/>
    <w:uiPriority w:val="99"/>
    <w:unhideWhenUsed/>
    <w:rsid w:val="00B23CF6"/>
    <w:pPr>
      <w:spacing w:after="0" w:line="240" w:lineRule="auto"/>
    </w:pPr>
    <w:rPr>
      <w:rFonts w:ascii="Consolas" w:eastAsia="MS Mincho" w:hAnsi="Consolas"/>
      <w:sz w:val="20"/>
      <w:szCs w:val="20"/>
    </w:rPr>
  </w:style>
  <w:style w:type="character" w:customStyle="1" w:styleId="Pr-formataoHTMLChar">
    <w:name w:val="Pré-formatação HTML Char"/>
    <w:basedOn w:val="Fontepargpadro"/>
    <w:link w:val="Pr-formataoHTML"/>
    <w:uiPriority w:val="99"/>
    <w:rsid w:val="00B23CF6"/>
    <w:rPr>
      <w:rFonts w:ascii="Consolas" w:eastAsia="MS Mincho" w:hAnsi="Consolas"/>
      <w:sz w:val="20"/>
      <w:szCs w:val="20"/>
    </w:rPr>
  </w:style>
  <w:style w:type="table" w:customStyle="1" w:styleId="TabeladeGrade1Clara-nfase12">
    <w:name w:val="Tabela de Grade 1 Clara - Ênfase 12"/>
    <w:basedOn w:val="Tabelanormal"/>
    <w:uiPriority w:val="46"/>
    <w:rsid w:val="00720F6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720F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3">
    <w:name w:val="Tabela de Lista 6 Colorida - Ênfase 53"/>
    <w:basedOn w:val="Tabelanormal"/>
    <w:uiPriority w:val="51"/>
    <w:rsid w:val="00720F68"/>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7Colorida-nfase12">
    <w:name w:val="Tabela de Lista 7 Colorida - Ênfase 12"/>
    <w:basedOn w:val="Tabelanormal"/>
    <w:uiPriority w:val="52"/>
    <w:rsid w:val="00720F6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720F6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2">
    <w:name w:val="Tabela de Grade 2 - Ênfase 52"/>
    <w:basedOn w:val="Tabelanormal"/>
    <w:uiPriority w:val="47"/>
    <w:rsid w:val="00720F6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2">
    <w:name w:val="Tabela de Grade 6 Colorida - Ênfase 52"/>
    <w:basedOn w:val="Tabelanormal"/>
    <w:uiPriority w:val="51"/>
    <w:rsid w:val="00720F6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2">
    <w:name w:val="Tabela de Lista 2 - Ênfase 52"/>
    <w:basedOn w:val="Tabelanormal"/>
    <w:uiPriority w:val="47"/>
    <w:rsid w:val="00720F6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2">
    <w:name w:val="Tabela de Lista 4 - Ênfase 52"/>
    <w:basedOn w:val="Tabelanormal"/>
    <w:uiPriority w:val="49"/>
    <w:rsid w:val="00720F6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2">
    <w:name w:val="Tabela de Lista 2 - Ênfase 12"/>
    <w:basedOn w:val="Tabelanormal"/>
    <w:uiPriority w:val="47"/>
    <w:rsid w:val="00720F6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ody">
    <w:name w:val="Body"/>
    <w:basedOn w:val="Normal"/>
    <w:rsid w:val="008E3797"/>
    <w:pPr>
      <w:spacing w:after="140" w:line="288" w:lineRule="auto"/>
      <w:jc w:val="both"/>
    </w:pPr>
    <w:rPr>
      <w:rFonts w:eastAsia="Times New Roman" w:cs="Times New Roman"/>
      <w:kern w:val="20"/>
      <w:sz w:val="20"/>
      <w:szCs w:val="24"/>
      <w:lang w:eastAsia="en-GB"/>
    </w:rPr>
  </w:style>
  <w:style w:type="paragraph" w:customStyle="1" w:styleId="17TEXTOcorpojustificado">
    <w:name w:val="17. «TEXTO» corpo justificado"/>
    <w:basedOn w:val="Normal"/>
    <w:rsid w:val="0002271C"/>
    <w:pPr>
      <w:spacing w:after="0" w:line="260" w:lineRule="atLeast"/>
      <w:jc w:val="both"/>
    </w:pPr>
    <w:rPr>
      <w:rFonts w:ascii="Times" w:eastAsia="SimSun" w:hAnsi="Times" w:cs="Times New Roman"/>
      <w:sz w:val="22"/>
      <w:szCs w:val="20"/>
      <w:lang w:val="en-US" w:eastAsia="ja-JP"/>
    </w:rPr>
  </w:style>
  <w:style w:type="paragraph" w:customStyle="1" w:styleId="Normal1">
    <w:name w:val="Normal 1"/>
    <w:basedOn w:val="Normal"/>
    <w:rsid w:val="0002271C"/>
    <w:pPr>
      <w:spacing w:after="240" w:line="280" w:lineRule="atLeast"/>
      <w:ind w:left="454"/>
      <w:jc w:val="both"/>
    </w:pPr>
    <w:rPr>
      <w:rFonts w:ascii="Times New Roman" w:eastAsia="SimSun" w:hAnsi="Times New Roman" w:cs="Times New Roman"/>
      <w:sz w:val="24"/>
      <w:szCs w:val="24"/>
      <w:lang w:val="en-US"/>
    </w:rPr>
  </w:style>
  <w:style w:type="paragraph" w:customStyle="1" w:styleId="Parecer">
    <w:name w:val="Parecer"/>
    <w:basedOn w:val="Normal"/>
    <w:rsid w:val="0002271C"/>
    <w:pPr>
      <w:numPr>
        <w:numId w:val="43"/>
      </w:numPr>
      <w:spacing w:after="240" w:line="280" w:lineRule="atLeast"/>
    </w:pPr>
    <w:rPr>
      <w:rFonts w:ascii="Times New Roman" w:eastAsia="SimSun" w:hAnsi="Times New Roman" w:cs="Times New Roman"/>
      <w:sz w:val="24"/>
      <w:szCs w:val="24"/>
      <w:lang w:val="en-US"/>
    </w:rPr>
  </w:style>
  <w:style w:type="paragraph" w:customStyle="1" w:styleId="DTT">
    <w:name w:val="DTT"/>
    <w:basedOn w:val="Descriodotrabalho"/>
    <w:rsid w:val="0002271C"/>
    <w:pPr>
      <w:spacing w:line="240" w:lineRule="auto"/>
    </w:pPr>
    <w:rPr>
      <w:i w:val="0"/>
      <w:sz w:val="18"/>
    </w:rPr>
  </w:style>
  <w:style w:type="paragraph" w:customStyle="1" w:styleId="Descriodotrabalho">
    <w:name w:val="Descrição do trabalho"/>
    <w:basedOn w:val="Normal"/>
    <w:rsid w:val="0002271C"/>
    <w:pPr>
      <w:spacing w:after="0" w:line="280" w:lineRule="atLeast"/>
    </w:pPr>
    <w:rPr>
      <w:rFonts w:ascii="Univers" w:eastAsia="SimSun" w:hAnsi="Univers" w:cs="Times New Roman"/>
      <w:i/>
      <w:sz w:val="24"/>
      <w:szCs w:val="20"/>
      <w:lang w:val="en-US"/>
    </w:rPr>
  </w:style>
  <w:style w:type="paragraph" w:customStyle="1" w:styleId="filename">
    <w:name w:val="filename"/>
    <w:basedOn w:val="Cabealho"/>
    <w:link w:val="filenameChar"/>
    <w:autoRedefine/>
    <w:qFormat/>
    <w:rsid w:val="0002271C"/>
    <w:pPr>
      <w:tabs>
        <w:tab w:val="clear" w:pos="4252"/>
        <w:tab w:val="clear" w:pos="8504"/>
        <w:tab w:val="center" w:pos="4320"/>
        <w:tab w:val="right" w:pos="8640"/>
      </w:tabs>
      <w:jc w:val="both"/>
    </w:pPr>
    <w:rPr>
      <w:rFonts w:ascii="Verdana" w:eastAsia="Times New Roman" w:hAnsi="Verdana" w:cs="Times New Roman"/>
      <w:sz w:val="10"/>
      <w:szCs w:val="10"/>
      <w:lang w:val="en-US"/>
    </w:rPr>
  </w:style>
  <w:style w:type="character" w:customStyle="1" w:styleId="filenameChar">
    <w:name w:val="filename Char"/>
    <w:link w:val="filename"/>
    <w:rsid w:val="0002271C"/>
    <w:rPr>
      <w:rFonts w:ascii="Verdana" w:eastAsia="Times New Roman" w:hAnsi="Verdana" w:cs="Times New Roman"/>
      <w:sz w:val="10"/>
      <w:szCs w:val="1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277">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56056646">
      <w:bodyDiv w:val="1"/>
      <w:marLeft w:val="0"/>
      <w:marRight w:val="0"/>
      <w:marTop w:val="0"/>
      <w:marBottom w:val="0"/>
      <w:divBdr>
        <w:top w:val="none" w:sz="0" w:space="0" w:color="auto"/>
        <w:left w:val="none" w:sz="0" w:space="0" w:color="auto"/>
        <w:bottom w:val="none" w:sz="0" w:space="0" w:color="auto"/>
        <w:right w:val="none" w:sz="0" w:space="0" w:color="auto"/>
      </w:divBdr>
    </w:div>
    <w:div w:id="56168122">
      <w:bodyDiv w:val="1"/>
      <w:marLeft w:val="0"/>
      <w:marRight w:val="0"/>
      <w:marTop w:val="0"/>
      <w:marBottom w:val="0"/>
      <w:divBdr>
        <w:top w:val="none" w:sz="0" w:space="0" w:color="auto"/>
        <w:left w:val="none" w:sz="0" w:space="0" w:color="auto"/>
        <w:bottom w:val="none" w:sz="0" w:space="0" w:color="auto"/>
        <w:right w:val="none" w:sz="0" w:space="0" w:color="auto"/>
      </w:divBdr>
    </w:div>
    <w:div w:id="78596724">
      <w:bodyDiv w:val="1"/>
      <w:marLeft w:val="0"/>
      <w:marRight w:val="0"/>
      <w:marTop w:val="0"/>
      <w:marBottom w:val="0"/>
      <w:divBdr>
        <w:top w:val="none" w:sz="0" w:space="0" w:color="auto"/>
        <w:left w:val="none" w:sz="0" w:space="0" w:color="auto"/>
        <w:bottom w:val="none" w:sz="0" w:space="0" w:color="auto"/>
        <w:right w:val="none" w:sz="0" w:space="0" w:color="auto"/>
      </w:divBdr>
    </w:div>
    <w:div w:id="135418256">
      <w:bodyDiv w:val="1"/>
      <w:marLeft w:val="0"/>
      <w:marRight w:val="0"/>
      <w:marTop w:val="0"/>
      <w:marBottom w:val="0"/>
      <w:divBdr>
        <w:top w:val="none" w:sz="0" w:space="0" w:color="auto"/>
        <w:left w:val="none" w:sz="0" w:space="0" w:color="auto"/>
        <w:bottom w:val="none" w:sz="0" w:space="0" w:color="auto"/>
        <w:right w:val="none" w:sz="0" w:space="0" w:color="auto"/>
      </w:divBdr>
    </w:div>
    <w:div w:id="164781450">
      <w:bodyDiv w:val="1"/>
      <w:marLeft w:val="0"/>
      <w:marRight w:val="0"/>
      <w:marTop w:val="0"/>
      <w:marBottom w:val="0"/>
      <w:divBdr>
        <w:top w:val="none" w:sz="0" w:space="0" w:color="auto"/>
        <w:left w:val="none" w:sz="0" w:space="0" w:color="auto"/>
        <w:bottom w:val="none" w:sz="0" w:space="0" w:color="auto"/>
        <w:right w:val="none" w:sz="0" w:space="0" w:color="auto"/>
      </w:divBdr>
    </w:div>
    <w:div w:id="166485564">
      <w:bodyDiv w:val="1"/>
      <w:marLeft w:val="0"/>
      <w:marRight w:val="0"/>
      <w:marTop w:val="0"/>
      <w:marBottom w:val="0"/>
      <w:divBdr>
        <w:top w:val="none" w:sz="0" w:space="0" w:color="auto"/>
        <w:left w:val="none" w:sz="0" w:space="0" w:color="auto"/>
        <w:bottom w:val="none" w:sz="0" w:space="0" w:color="auto"/>
        <w:right w:val="none" w:sz="0" w:space="0" w:color="auto"/>
      </w:divBdr>
    </w:div>
    <w:div w:id="192152394">
      <w:bodyDiv w:val="1"/>
      <w:marLeft w:val="0"/>
      <w:marRight w:val="0"/>
      <w:marTop w:val="0"/>
      <w:marBottom w:val="0"/>
      <w:divBdr>
        <w:top w:val="none" w:sz="0" w:space="0" w:color="auto"/>
        <w:left w:val="none" w:sz="0" w:space="0" w:color="auto"/>
        <w:bottom w:val="none" w:sz="0" w:space="0" w:color="auto"/>
        <w:right w:val="none" w:sz="0" w:space="0" w:color="auto"/>
      </w:divBdr>
    </w:div>
    <w:div w:id="195706235">
      <w:bodyDiv w:val="1"/>
      <w:marLeft w:val="0"/>
      <w:marRight w:val="0"/>
      <w:marTop w:val="0"/>
      <w:marBottom w:val="0"/>
      <w:divBdr>
        <w:top w:val="none" w:sz="0" w:space="0" w:color="auto"/>
        <w:left w:val="none" w:sz="0" w:space="0" w:color="auto"/>
        <w:bottom w:val="none" w:sz="0" w:space="0" w:color="auto"/>
        <w:right w:val="none" w:sz="0" w:space="0" w:color="auto"/>
      </w:divBdr>
    </w:div>
    <w:div w:id="198588868">
      <w:bodyDiv w:val="1"/>
      <w:marLeft w:val="0"/>
      <w:marRight w:val="0"/>
      <w:marTop w:val="0"/>
      <w:marBottom w:val="0"/>
      <w:divBdr>
        <w:top w:val="none" w:sz="0" w:space="0" w:color="auto"/>
        <w:left w:val="none" w:sz="0" w:space="0" w:color="auto"/>
        <w:bottom w:val="none" w:sz="0" w:space="0" w:color="auto"/>
        <w:right w:val="none" w:sz="0" w:space="0" w:color="auto"/>
      </w:divBdr>
    </w:div>
    <w:div w:id="224338530">
      <w:bodyDiv w:val="1"/>
      <w:marLeft w:val="0"/>
      <w:marRight w:val="0"/>
      <w:marTop w:val="0"/>
      <w:marBottom w:val="0"/>
      <w:divBdr>
        <w:top w:val="none" w:sz="0" w:space="0" w:color="auto"/>
        <w:left w:val="none" w:sz="0" w:space="0" w:color="auto"/>
        <w:bottom w:val="none" w:sz="0" w:space="0" w:color="auto"/>
        <w:right w:val="none" w:sz="0" w:space="0" w:color="auto"/>
      </w:divBdr>
    </w:div>
    <w:div w:id="236595576">
      <w:bodyDiv w:val="1"/>
      <w:marLeft w:val="0"/>
      <w:marRight w:val="0"/>
      <w:marTop w:val="0"/>
      <w:marBottom w:val="0"/>
      <w:divBdr>
        <w:top w:val="none" w:sz="0" w:space="0" w:color="auto"/>
        <w:left w:val="none" w:sz="0" w:space="0" w:color="auto"/>
        <w:bottom w:val="none" w:sz="0" w:space="0" w:color="auto"/>
        <w:right w:val="none" w:sz="0" w:space="0" w:color="auto"/>
      </w:divBdr>
    </w:div>
    <w:div w:id="300422930">
      <w:bodyDiv w:val="1"/>
      <w:marLeft w:val="0"/>
      <w:marRight w:val="0"/>
      <w:marTop w:val="0"/>
      <w:marBottom w:val="0"/>
      <w:divBdr>
        <w:top w:val="none" w:sz="0" w:space="0" w:color="auto"/>
        <w:left w:val="none" w:sz="0" w:space="0" w:color="auto"/>
        <w:bottom w:val="none" w:sz="0" w:space="0" w:color="auto"/>
        <w:right w:val="none" w:sz="0" w:space="0" w:color="auto"/>
      </w:divBdr>
    </w:div>
    <w:div w:id="311106687">
      <w:bodyDiv w:val="1"/>
      <w:marLeft w:val="0"/>
      <w:marRight w:val="0"/>
      <w:marTop w:val="0"/>
      <w:marBottom w:val="0"/>
      <w:divBdr>
        <w:top w:val="none" w:sz="0" w:space="0" w:color="auto"/>
        <w:left w:val="none" w:sz="0" w:space="0" w:color="auto"/>
        <w:bottom w:val="none" w:sz="0" w:space="0" w:color="auto"/>
        <w:right w:val="none" w:sz="0" w:space="0" w:color="auto"/>
      </w:divBdr>
    </w:div>
    <w:div w:id="320500591">
      <w:bodyDiv w:val="1"/>
      <w:marLeft w:val="0"/>
      <w:marRight w:val="0"/>
      <w:marTop w:val="0"/>
      <w:marBottom w:val="0"/>
      <w:divBdr>
        <w:top w:val="none" w:sz="0" w:space="0" w:color="auto"/>
        <w:left w:val="none" w:sz="0" w:space="0" w:color="auto"/>
        <w:bottom w:val="none" w:sz="0" w:space="0" w:color="auto"/>
        <w:right w:val="none" w:sz="0" w:space="0" w:color="auto"/>
      </w:divBdr>
    </w:div>
    <w:div w:id="328026110">
      <w:bodyDiv w:val="1"/>
      <w:marLeft w:val="0"/>
      <w:marRight w:val="0"/>
      <w:marTop w:val="0"/>
      <w:marBottom w:val="0"/>
      <w:divBdr>
        <w:top w:val="none" w:sz="0" w:space="0" w:color="auto"/>
        <w:left w:val="none" w:sz="0" w:space="0" w:color="auto"/>
        <w:bottom w:val="none" w:sz="0" w:space="0" w:color="auto"/>
        <w:right w:val="none" w:sz="0" w:space="0" w:color="auto"/>
      </w:divBdr>
    </w:div>
    <w:div w:id="344094830">
      <w:bodyDiv w:val="1"/>
      <w:marLeft w:val="0"/>
      <w:marRight w:val="0"/>
      <w:marTop w:val="0"/>
      <w:marBottom w:val="0"/>
      <w:divBdr>
        <w:top w:val="none" w:sz="0" w:space="0" w:color="auto"/>
        <w:left w:val="none" w:sz="0" w:space="0" w:color="auto"/>
        <w:bottom w:val="none" w:sz="0" w:space="0" w:color="auto"/>
        <w:right w:val="none" w:sz="0" w:space="0" w:color="auto"/>
      </w:divBdr>
    </w:div>
    <w:div w:id="363292900">
      <w:bodyDiv w:val="1"/>
      <w:marLeft w:val="0"/>
      <w:marRight w:val="0"/>
      <w:marTop w:val="0"/>
      <w:marBottom w:val="0"/>
      <w:divBdr>
        <w:top w:val="none" w:sz="0" w:space="0" w:color="auto"/>
        <w:left w:val="none" w:sz="0" w:space="0" w:color="auto"/>
        <w:bottom w:val="none" w:sz="0" w:space="0" w:color="auto"/>
        <w:right w:val="none" w:sz="0" w:space="0" w:color="auto"/>
      </w:divBdr>
    </w:div>
    <w:div w:id="370228240">
      <w:bodyDiv w:val="1"/>
      <w:marLeft w:val="0"/>
      <w:marRight w:val="0"/>
      <w:marTop w:val="0"/>
      <w:marBottom w:val="0"/>
      <w:divBdr>
        <w:top w:val="none" w:sz="0" w:space="0" w:color="auto"/>
        <w:left w:val="none" w:sz="0" w:space="0" w:color="auto"/>
        <w:bottom w:val="none" w:sz="0" w:space="0" w:color="auto"/>
        <w:right w:val="none" w:sz="0" w:space="0" w:color="auto"/>
      </w:divBdr>
    </w:div>
    <w:div w:id="414134153">
      <w:bodyDiv w:val="1"/>
      <w:marLeft w:val="0"/>
      <w:marRight w:val="0"/>
      <w:marTop w:val="0"/>
      <w:marBottom w:val="0"/>
      <w:divBdr>
        <w:top w:val="none" w:sz="0" w:space="0" w:color="auto"/>
        <w:left w:val="none" w:sz="0" w:space="0" w:color="auto"/>
        <w:bottom w:val="none" w:sz="0" w:space="0" w:color="auto"/>
        <w:right w:val="none" w:sz="0" w:space="0" w:color="auto"/>
      </w:divBdr>
    </w:div>
    <w:div w:id="417144106">
      <w:bodyDiv w:val="1"/>
      <w:marLeft w:val="0"/>
      <w:marRight w:val="0"/>
      <w:marTop w:val="0"/>
      <w:marBottom w:val="0"/>
      <w:divBdr>
        <w:top w:val="none" w:sz="0" w:space="0" w:color="auto"/>
        <w:left w:val="none" w:sz="0" w:space="0" w:color="auto"/>
        <w:bottom w:val="none" w:sz="0" w:space="0" w:color="auto"/>
        <w:right w:val="none" w:sz="0" w:space="0" w:color="auto"/>
      </w:divBdr>
    </w:div>
    <w:div w:id="432631920">
      <w:bodyDiv w:val="1"/>
      <w:marLeft w:val="0"/>
      <w:marRight w:val="0"/>
      <w:marTop w:val="0"/>
      <w:marBottom w:val="0"/>
      <w:divBdr>
        <w:top w:val="none" w:sz="0" w:space="0" w:color="auto"/>
        <w:left w:val="none" w:sz="0" w:space="0" w:color="auto"/>
        <w:bottom w:val="none" w:sz="0" w:space="0" w:color="auto"/>
        <w:right w:val="none" w:sz="0" w:space="0" w:color="auto"/>
      </w:divBdr>
    </w:div>
    <w:div w:id="552812293">
      <w:bodyDiv w:val="1"/>
      <w:marLeft w:val="0"/>
      <w:marRight w:val="0"/>
      <w:marTop w:val="0"/>
      <w:marBottom w:val="0"/>
      <w:divBdr>
        <w:top w:val="none" w:sz="0" w:space="0" w:color="auto"/>
        <w:left w:val="none" w:sz="0" w:space="0" w:color="auto"/>
        <w:bottom w:val="none" w:sz="0" w:space="0" w:color="auto"/>
        <w:right w:val="none" w:sz="0" w:space="0" w:color="auto"/>
      </w:divBdr>
    </w:div>
    <w:div w:id="553738169">
      <w:bodyDiv w:val="1"/>
      <w:marLeft w:val="0"/>
      <w:marRight w:val="0"/>
      <w:marTop w:val="0"/>
      <w:marBottom w:val="0"/>
      <w:divBdr>
        <w:top w:val="none" w:sz="0" w:space="0" w:color="auto"/>
        <w:left w:val="none" w:sz="0" w:space="0" w:color="auto"/>
        <w:bottom w:val="none" w:sz="0" w:space="0" w:color="auto"/>
        <w:right w:val="none" w:sz="0" w:space="0" w:color="auto"/>
      </w:divBdr>
    </w:div>
    <w:div w:id="591814021">
      <w:bodyDiv w:val="1"/>
      <w:marLeft w:val="0"/>
      <w:marRight w:val="0"/>
      <w:marTop w:val="0"/>
      <w:marBottom w:val="0"/>
      <w:divBdr>
        <w:top w:val="none" w:sz="0" w:space="0" w:color="auto"/>
        <w:left w:val="none" w:sz="0" w:space="0" w:color="auto"/>
        <w:bottom w:val="none" w:sz="0" w:space="0" w:color="auto"/>
        <w:right w:val="none" w:sz="0" w:space="0" w:color="auto"/>
      </w:divBdr>
    </w:div>
    <w:div w:id="625356608">
      <w:bodyDiv w:val="1"/>
      <w:marLeft w:val="0"/>
      <w:marRight w:val="0"/>
      <w:marTop w:val="0"/>
      <w:marBottom w:val="0"/>
      <w:divBdr>
        <w:top w:val="none" w:sz="0" w:space="0" w:color="auto"/>
        <w:left w:val="none" w:sz="0" w:space="0" w:color="auto"/>
        <w:bottom w:val="none" w:sz="0" w:space="0" w:color="auto"/>
        <w:right w:val="none" w:sz="0" w:space="0" w:color="auto"/>
      </w:divBdr>
    </w:div>
    <w:div w:id="639923000">
      <w:bodyDiv w:val="1"/>
      <w:marLeft w:val="0"/>
      <w:marRight w:val="0"/>
      <w:marTop w:val="0"/>
      <w:marBottom w:val="0"/>
      <w:divBdr>
        <w:top w:val="none" w:sz="0" w:space="0" w:color="auto"/>
        <w:left w:val="none" w:sz="0" w:space="0" w:color="auto"/>
        <w:bottom w:val="none" w:sz="0" w:space="0" w:color="auto"/>
        <w:right w:val="none" w:sz="0" w:space="0" w:color="auto"/>
      </w:divBdr>
    </w:div>
    <w:div w:id="703139999">
      <w:bodyDiv w:val="1"/>
      <w:marLeft w:val="0"/>
      <w:marRight w:val="0"/>
      <w:marTop w:val="0"/>
      <w:marBottom w:val="0"/>
      <w:divBdr>
        <w:top w:val="none" w:sz="0" w:space="0" w:color="auto"/>
        <w:left w:val="none" w:sz="0" w:space="0" w:color="auto"/>
        <w:bottom w:val="none" w:sz="0" w:space="0" w:color="auto"/>
        <w:right w:val="none" w:sz="0" w:space="0" w:color="auto"/>
      </w:divBdr>
    </w:div>
    <w:div w:id="722026678">
      <w:bodyDiv w:val="1"/>
      <w:marLeft w:val="0"/>
      <w:marRight w:val="0"/>
      <w:marTop w:val="0"/>
      <w:marBottom w:val="0"/>
      <w:divBdr>
        <w:top w:val="none" w:sz="0" w:space="0" w:color="auto"/>
        <w:left w:val="none" w:sz="0" w:space="0" w:color="auto"/>
        <w:bottom w:val="none" w:sz="0" w:space="0" w:color="auto"/>
        <w:right w:val="none" w:sz="0" w:space="0" w:color="auto"/>
      </w:divBdr>
    </w:div>
    <w:div w:id="733314457">
      <w:bodyDiv w:val="1"/>
      <w:marLeft w:val="0"/>
      <w:marRight w:val="0"/>
      <w:marTop w:val="0"/>
      <w:marBottom w:val="0"/>
      <w:divBdr>
        <w:top w:val="none" w:sz="0" w:space="0" w:color="auto"/>
        <w:left w:val="none" w:sz="0" w:space="0" w:color="auto"/>
        <w:bottom w:val="none" w:sz="0" w:space="0" w:color="auto"/>
        <w:right w:val="none" w:sz="0" w:space="0" w:color="auto"/>
      </w:divBdr>
    </w:div>
    <w:div w:id="735978079">
      <w:bodyDiv w:val="1"/>
      <w:marLeft w:val="0"/>
      <w:marRight w:val="0"/>
      <w:marTop w:val="0"/>
      <w:marBottom w:val="0"/>
      <w:divBdr>
        <w:top w:val="none" w:sz="0" w:space="0" w:color="auto"/>
        <w:left w:val="none" w:sz="0" w:space="0" w:color="auto"/>
        <w:bottom w:val="none" w:sz="0" w:space="0" w:color="auto"/>
        <w:right w:val="none" w:sz="0" w:space="0" w:color="auto"/>
      </w:divBdr>
    </w:div>
    <w:div w:id="807669948">
      <w:bodyDiv w:val="1"/>
      <w:marLeft w:val="0"/>
      <w:marRight w:val="0"/>
      <w:marTop w:val="0"/>
      <w:marBottom w:val="0"/>
      <w:divBdr>
        <w:top w:val="none" w:sz="0" w:space="0" w:color="auto"/>
        <w:left w:val="none" w:sz="0" w:space="0" w:color="auto"/>
        <w:bottom w:val="none" w:sz="0" w:space="0" w:color="auto"/>
        <w:right w:val="none" w:sz="0" w:space="0" w:color="auto"/>
      </w:divBdr>
    </w:div>
    <w:div w:id="824246391">
      <w:bodyDiv w:val="1"/>
      <w:marLeft w:val="0"/>
      <w:marRight w:val="0"/>
      <w:marTop w:val="0"/>
      <w:marBottom w:val="0"/>
      <w:divBdr>
        <w:top w:val="none" w:sz="0" w:space="0" w:color="auto"/>
        <w:left w:val="none" w:sz="0" w:space="0" w:color="auto"/>
        <w:bottom w:val="none" w:sz="0" w:space="0" w:color="auto"/>
        <w:right w:val="none" w:sz="0" w:space="0" w:color="auto"/>
      </w:divBdr>
    </w:div>
    <w:div w:id="852570265">
      <w:bodyDiv w:val="1"/>
      <w:marLeft w:val="0"/>
      <w:marRight w:val="0"/>
      <w:marTop w:val="0"/>
      <w:marBottom w:val="0"/>
      <w:divBdr>
        <w:top w:val="none" w:sz="0" w:space="0" w:color="auto"/>
        <w:left w:val="none" w:sz="0" w:space="0" w:color="auto"/>
        <w:bottom w:val="none" w:sz="0" w:space="0" w:color="auto"/>
        <w:right w:val="none" w:sz="0" w:space="0" w:color="auto"/>
      </w:divBdr>
    </w:div>
    <w:div w:id="949043777">
      <w:bodyDiv w:val="1"/>
      <w:marLeft w:val="0"/>
      <w:marRight w:val="0"/>
      <w:marTop w:val="0"/>
      <w:marBottom w:val="0"/>
      <w:divBdr>
        <w:top w:val="none" w:sz="0" w:space="0" w:color="auto"/>
        <w:left w:val="none" w:sz="0" w:space="0" w:color="auto"/>
        <w:bottom w:val="none" w:sz="0" w:space="0" w:color="auto"/>
        <w:right w:val="none" w:sz="0" w:space="0" w:color="auto"/>
      </w:divBdr>
    </w:div>
    <w:div w:id="949238061">
      <w:bodyDiv w:val="1"/>
      <w:marLeft w:val="0"/>
      <w:marRight w:val="0"/>
      <w:marTop w:val="0"/>
      <w:marBottom w:val="0"/>
      <w:divBdr>
        <w:top w:val="none" w:sz="0" w:space="0" w:color="auto"/>
        <w:left w:val="none" w:sz="0" w:space="0" w:color="auto"/>
        <w:bottom w:val="none" w:sz="0" w:space="0" w:color="auto"/>
        <w:right w:val="none" w:sz="0" w:space="0" w:color="auto"/>
      </w:divBdr>
    </w:div>
    <w:div w:id="964501543">
      <w:bodyDiv w:val="1"/>
      <w:marLeft w:val="0"/>
      <w:marRight w:val="0"/>
      <w:marTop w:val="0"/>
      <w:marBottom w:val="0"/>
      <w:divBdr>
        <w:top w:val="none" w:sz="0" w:space="0" w:color="auto"/>
        <w:left w:val="none" w:sz="0" w:space="0" w:color="auto"/>
        <w:bottom w:val="none" w:sz="0" w:space="0" w:color="auto"/>
        <w:right w:val="none" w:sz="0" w:space="0" w:color="auto"/>
      </w:divBdr>
    </w:div>
    <w:div w:id="988824817">
      <w:bodyDiv w:val="1"/>
      <w:marLeft w:val="0"/>
      <w:marRight w:val="0"/>
      <w:marTop w:val="0"/>
      <w:marBottom w:val="0"/>
      <w:divBdr>
        <w:top w:val="none" w:sz="0" w:space="0" w:color="auto"/>
        <w:left w:val="none" w:sz="0" w:space="0" w:color="auto"/>
        <w:bottom w:val="none" w:sz="0" w:space="0" w:color="auto"/>
        <w:right w:val="none" w:sz="0" w:space="0" w:color="auto"/>
      </w:divBdr>
    </w:div>
    <w:div w:id="1046100163">
      <w:bodyDiv w:val="1"/>
      <w:marLeft w:val="0"/>
      <w:marRight w:val="0"/>
      <w:marTop w:val="0"/>
      <w:marBottom w:val="0"/>
      <w:divBdr>
        <w:top w:val="none" w:sz="0" w:space="0" w:color="auto"/>
        <w:left w:val="none" w:sz="0" w:space="0" w:color="auto"/>
        <w:bottom w:val="none" w:sz="0" w:space="0" w:color="auto"/>
        <w:right w:val="none" w:sz="0" w:space="0" w:color="auto"/>
      </w:divBdr>
    </w:div>
    <w:div w:id="1086340091">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
    <w:div w:id="1113670580">
      <w:bodyDiv w:val="1"/>
      <w:marLeft w:val="0"/>
      <w:marRight w:val="0"/>
      <w:marTop w:val="0"/>
      <w:marBottom w:val="0"/>
      <w:divBdr>
        <w:top w:val="none" w:sz="0" w:space="0" w:color="auto"/>
        <w:left w:val="none" w:sz="0" w:space="0" w:color="auto"/>
        <w:bottom w:val="none" w:sz="0" w:space="0" w:color="auto"/>
        <w:right w:val="none" w:sz="0" w:space="0" w:color="auto"/>
      </w:divBdr>
    </w:div>
    <w:div w:id="1119759685">
      <w:bodyDiv w:val="1"/>
      <w:marLeft w:val="0"/>
      <w:marRight w:val="0"/>
      <w:marTop w:val="0"/>
      <w:marBottom w:val="0"/>
      <w:divBdr>
        <w:top w:val="none" w:sz="0" w:space="0" w:color="auto"/>
        <w:left w:val="none" w:sz="0" w:space="0" w:color="auto"/>
        <w:bottom w:val="none" w:sz="0" w:space="0" w:color="auto"/>
        <w:right w:val="none" w:sz="0" w:space="0" w:color="auto"/>
      </w:divBdr>
    </w:div>
    <w:div w:id="1159881903">
      <w:bodyDiv w:val="1"/>
      <w:marLeft w:val="0"/>
      <w:marRight w:val="0"/>
      <w:marTop w:val="0"/>
      <w:marBottom w:val="0"/>
      <w:divBdr>
        <w:top w:val="none" w:sz="0" w:space="0" w:color="auto"/>
        <w:left w:val="none" w:sz="0" w:space="0" w:color="auto"/>
        <w:bottom w:val="none" w:sz="0" w:space="0" w:color="auto"/>
        <w:right w:val="none" w:sz="0" w:space="0" w:color="auto"/>
      </w:divBdr>
    </w:div>
    <w:div w:id="1166557607">
      <w:bodyDiv w:val="1"/>
      <w:marLeft w:val="0"/>
      <w:marRight w:val="0"/>
      <w:marTop w:val="0"/>
      <w:marBottom w:val="0"/>
      <w:divBdr>
        <w:top w:val="none" w:sz="0" w:space="0" w:color="auto"/>
        <w:left w:val="none" w:sz="0" w:space="0" w:color="auto"/>
        <w:bottom w:val="none" w:sz="0" w:space="0" w:color="auto"/>
        <w:right w:val="none" w:sz="0" w:space="0" w:color="auto"/>
      </w:divBdr>
    </w:div>
    <w:div w:id="1225525350">
      <w:bodyDiv w:val="1"/>
      <w:marLeft w:val="0"/>
      <w:marRight w:val="0"/>
      <w:marTop w:val="0"/>
      <w:marBottom w:val="0"/>
      <w:divBdr>
        <w:top w:val="none" w:sz="0" w:space="0" w:color="auto"/>
        <w:left w:val="none" w:sz="0" w:space="0" w:color="auto"/>
        <w:bottom w:val="none" w:sz="0" w:space="0" w:color="auto"/>
        <w:right w:val="none" w:sz="0" w:space="0" w:color="auto"/>
      </w:divBdr>
    </w:div>
    <w:div w:id="1232231173">
      <w:bodyDiv w:val="1"/>
      <w:marLeft w:val="0"/>
      <w:marRight w:val="0"/>
      <w:marTop w:val="0"/>
      <w:marBottom w:val="0"/>
      <w:divBdr>
        <w:top w:val="none" w:sz="0" w:space="0" w:color="auto"/>
        <w:left w:val="none" w:sz="0" w:space="0" w:color="auto"/>
        <w:bottom w:val="none" w:sz="0" w:space="0" w:color="auto"/>
        <w:right w:val="none" w:sz="0" w:space="0" w:color="auto"/>
      </w:divBdr>
    </w:div>
    <w:div w:id="1244487361">
      <w:bodyDiv w:val="1"/>
      <w:marLeft w:val="0"/>
      <w:marRight w:val="0"/>
      <w:marTop w:val="0"/>
      <w:marBottom w:val="0"/>
      <w:divBdr>
        <w:top w:val="none" w:sz="0" w:space="0" w:color="auto"/>
        <w:left w:val="none" w:sz="0" w:space="0" w:color="auto"/>
        <w:bottom w:val="none" w:sz="0" w:space="0" w:color="auto"/>
        <w:right w:val="none" w:sz="0" w:space="0" w:color="auto"/>
      </w:divBdr>
    </w:div>
    <w:div w:id="1256590194">
      <w:bodyDiv w:val="1"/>
      <w:marLeft w:val="0"/>
      <w:marRight w:val="0"/>
      <w:marTop w:val="0"/>
      <w:marBottom w:val="0"/>
      <w:divBdr>
        <w:top w:val="none" w:sz="0" w:space="0" w:color="auto"/>
        <w:left w:val="none" w:sz="0" w:space="0" w:color="auto"/>
        <w:bottom w:val="none" w:sz="0" w:space="0" w:color="auto"/>
        <w:right w:val="none" w:sz="0" w:space="0" w:color="auto"/>
      </w:divBdr>
    </w:div>
    <w:div w:id="1270160859">
      <w:bodyDiv w:val="1"/>
      <w:marLeft w:val="0"/>
      <w:marRight w:val="0"/>
      <w:marTop w:val="0"/>
      <w:marBottom w:val="0"/>
      <w:divBdr>
        <w:top w:val="none" w:sz="0" w:space="0" w:color="auto"/>
        <w:left w:val="none" w:sz="0" w:space="0" w:color="auto"/>
        <w:bottom w:val="none" w:sz="0" w:space="0" w:color="auto"/>
        <w:right w:val="none" w:sz="0" w:space="0" w:color="auto"/>
      </w:divBdr>
    </w:div>
    <w:div w:id="1332760392">
      <w:bodyDiv w:val="1"/>
      <w:marLeft w:val="0"/>
      <w:marRight w:val="0"/>
      <w:marTop w:val="0"/>
      <w:marBottom w:val="0"/>
      <w:divBdr>
        <w:top w:val="none" w:sz="0" w:space="0" w:color="auto"/>
        <w:left w:val="none" w:sz="0" w:space="0" w:color="auto"/>
        <w:bottom w:val="none" w:sz="0" w:space="0" w:color="auto"/>
        <w:right w:val="none" w:sz="0" w:space="0" w:color="auto"/>
      </w:divBdr>
    </w:div>
    <w:div w:id="1381515689">
      <w:bodyDiv w:val="1"/>
      <w:marLeft w:val="0"/>
      <w:marRight w:val="0"/>
      <w:marTop w:val="0"/>
      <w:marBottom w:val="0"/>
      <w:divBdr>
        <w:top w:val="none" w:sz="0" w:space="0" w:color="auto"/>
        <w:left w:val="none" w:sz="0" w:space="0" w:color="auto"/>
        <w:bottom w:val="none" w:sz="0" w:space="0" w:color="auto"/>
        <w:right w:val="none" w:sz="0" w:space="0" w:color="auto"/>
      </w:divBdr>
    </w:div>
    <w:div w:id="1468744146">
      <w:bodyDiv w:val="1"/>
      <w:marLeft w:val="0"/>
      <w:marRight w:val="0"/>
      <w:marTop w:val="0"/>
      <w:marBottom w:val="0"/>
      <w:divBdr>
        <w:top w:val="none" w:sz="0" w:space="0" w:color="auto"/>
        <w:left w:val="none" w:sz="0" w:space="0" w:color="auto"/>
        <w:bottom w:val="none" w:sz="0" w:space="0" w:color="auto"/>
        <w:right w:val="none" w:sz="0" w:space="0" w:color="auto"/>
      </w:divBdr>
    </w:div>
    <w:div w:id="1470853747">
      <w:bodyDiv w:val="1"/>
      <w:marLeft w:val="0"/>
      <w:marRight w:val="0"/>
      <w:marTop w:val="0"/>
      <w:marBottom w:val="0"/>
      <w:divBdr>
        <w:top w:val="none" w:sz="0" w:space="0" w:color="auto"/>
        <w:left w:val="none" w:sz="0" w:space="0" w:color="auto"/>
        <w:bottom w:val="none" w:sz="0" w:space="0" w:color="auto"/>
        <w:right w:val="none" w:sz="0" w:space="0" w:color="auto"/>
      </w:divBdr>
    </w:div>
    <w:div w:id="1474568408">
      <w:bodyDiv w:val="1"/>
      <w:marLeft w:val="0"/>
      <w:marRight w:val="0"/>
      <w:marTop w:val="0"/>
      <w:marBottom w:val="0"/>
      <w:divBdr>
        <w:top w:val="none" w:sz="0" w:space="0" w:color="auto"/>
        <w:left w:val="none" w:sz="0" w:space="0" w:color="auto"/>
        <w:bottom w:val="none" w:sz="0" w:space="0" w:color="auto"/>
        <w:right w:val="none" w:sz="0" w:space="0" w:color="auto"/>
      </w:divBdr>
    </w:div>
    <w:div w:id="1518347052">
      <w:bodyDiv w:val="1"/>
      <w:marLeft w:val="0"/>
      <w:marRight w:val="0"/>
      <w:marTop w:val="0"/>
      <w:marBottom w:val="0"/>
      <w:divBdr>
        <w:top w:val="none" w:sz="0" w:space="0" w:color="auto"/>
        <w:left w:val="none" w:sz="0" w:space="0" w:color="auto"/>
        <w:bottom w:val="none" w:sz="0" w:space="0" w:color="auto"/>
        <w:right w:val="none" w:sz="0" w:space="0" w:color="auto"/>
      </w:divBdr>
    </w:div>
    <w:div w:id="1549608479">
      <w:bodyDiv w:val="1"/>
      <w:marLeft w:val="0"/>
      <w:marRight w:val="0"/>
      <w:marTop w:val="0"/>
      <w:marBottom w:val="0"/>
      <w:divBdr>
        <w:top w:val="none" w:sz="0" w:space="0" w:color="auto"/>
        <w:left w:val="none" w:sz="0" w:space="0" w:color="auto"/>
        <w:bottom w:val="none" w:sz="0" w:space="0" w:color="auto"/>
        <w:right w:val="none" w:sz="0" w:space="0" w:color="auto"/>
      </w:divBdr>
    </w:div>
    <w:div w:id="1551914497">
      <w:bodyDiv w:val="1"/>
      <w:marLeft w:val="0"/>
      <w:marRight w:val="0"/>
      <w:marTop w:val="0"/>
      <w:marBottom w:val="0"/>
      <w:divBdr>
        <w:top w:val="none" w:sz="0" w:space="0" w:color="auto"/>
        <w:left w:val="none" w:sz="0" w:space="0" w:color="auto"/>
        <w:bottom w:val="none" w:sz="0" w:space="0" w:color="auto"/>
        <w:right w:val="none" w:sz="0" w:space="0" w:color="auto"/>
      </w:divBdr>
    </w:div>
    <w:div w:id="1602571662">
      <w:bodyDiv w:val="1"/>
      <w:marLeft w:val="0"/>
      <w:marRight w:val="0"/>
      <w:marTop w:val="0"/>
      <w:marBottom w:val="0"/>
      <w:divBdr>
        <w:top w:val="none" w:sz="0" w:space="0" w:color="auto"/>
        <w:left w:val="none" w:sz="0" w:space="0" w:color="auto"/>
        <w:bottom w:val="none" w:sz="0" w:space="0" w:color="auto"/>
        <w:right w:val="none" w:sz="0" w:space="0" w:color="auto"/>
      </w:divBdr>
    </w:div>
    <w:div w:id="1605385879">
      <w:bodyDiv w:val="1"/>
      <w:marLeft w:val="0"/>
      <w:marRight w:val="0"/>
      <w:marTop w:val="0"/>
      <w:marBottom w:val="0"/>
      <w:divBdr>
        <w:top w:val="none" w:sz="0" w:space="0" w:color="auto"/>
        <w:left w:val="none" w:sz="0" w:space="0" w:color="auto"/>
        <w:bottom w:val="none" w:sz="0" w:space="0" w:color="auto"/>
        <w:right w:val="none" w:sz="0" w:space="0" w:color="auto"/>
      </w:divBdr>
    </w:div>
    <w:div w:id="1620065215">
      <w:bodyDiv w:val="1"/>
      <w:marLeft w:val="0"/>
      <w:marRight w:val="0"/>
      <w:marTop w:val="0"/>
      <w:marBottom w:val="0"/>
      <w:divBdr>
        <w:top w:val="none" w:sz="0" w:space="0" w:color="auto"/>
        <w:left w:val="none" w:sz="0" w:space="0" w:color="auto"/>
        <w:bottom w:val="none" w:sz="0" w:space="0" w:color="auto"/>
        <w:right w:val="none" w:sz="0" w:space="0" w:color="auto"/>
      </w:divBdr>
    </w:div>
    <w:div w:id="1631395521">
      <w:bodyDiv w:val="1"/>
      <w:marLeft w:val="0"/>
      <w:marRight w:val="0"/>
      <w:marTop w:val="0"/>
      <w:marBottom w:val="0"/>
      <w:divBdr>
        <w:top w:val="none" w:sz="0" w:space="0" w:color="auto"/>
        <w:left w:val="none" w:sz="0" w:space="0" w:color="auto"/>
        <w:bottom w:val="none" w:sz="0" w:space="0" w:color="auto"/>
        <w:right w:val="none" w:sz="0" w:space="0" w:color="auto"/>
      </w:divBdr>
    </w:div>
    <w:div w:id="1634171665">
      <w:bodyDiv w:val="1"/>
      <w:marLeft w:val="0"/>
      <w:marRight w:val="0"/>
      <w:marTop w:val="0"/>
      <w:marBottom w:val="0"/>
      <w:divBdr>
        <w:top w:val="none" w:sz="0" w:space="0" w:color="auto"/>
        <w:left w:val="none" w:sz="0" w:space="0" w:color="auto"/>
        <w:bottom w:val="none" w:sz="0" w:space="0" w:color="auto"/>
        <w:right w:val="none" w:sz="0" w:space="0" w:color="auto"/>
      </w:divBdr>
    </w:div>
    <w:div w:id="1647971835">
      <w:bodyDiv w:val="1"/>
      <w:marLeft w:val="0"/>
      <w:marRight w:val="0"/>
      <w:marTop w:val="0"/>
      <w:marBottom w:val="0"/>
      <w:divBdr>
        <w:top w:val="none" w:sz="0" w:space="0" w:color="auto"/>
        <w:left w:val="none" w:sz="0" w:space="0" w:color="auto"/>
        <w:bottom w:val="none" w:sz="0" w:space="0" w:color="auto"/>
        <w:right w:val="none" w:sz="0" w:space="0" w:color="auto"/>
      </w:divBdr>
    </w:div>
    <w:div w:id="1657997449">
      <w:bodyDiv w:val="1"/>
      <w:marLeft w:val="0"/>
      <w:marRight w:val="0"/>
      <w:marTop w:val="0"/>
      <w:marBottom w:val="0"/>
      <w:divBdr>
        <w:top w:val="none" w:sz="0" w:space="0" w:color="auto"/>
        <w:left w:val="none" w:sz="0" w:space="0" w:color="auto"/>
        <w:bottom w:val="none" w:sz="0" w:space="0" w:color="auto"/>
        <w:right w:val="none" w:sz="0" w:space="0" w:color="auto"/>
      </w:divBdr>
    </w:div>
    <w:div w:id="1674994675">
      <w:bodyDiv w:val="1"/>
      <w:marLeft w:val="0"/>
      <w:marRight w:val="0"/>
      <w:marTop w:val="0"/>
      <w:marBottom w:val="0"/>
      <w:divBdr>
        <w:top w:val="none" w:sz="0" w:space="0" w:color="auto"/>
        <w:left w:val="none" w:sz="0" w:space="0" w:color="auto"/>
        <w:bottom w:val="none" w:sz="0" w:space="0" w:color="auto"/>
        <w:right w:val="none" w:sz="0" w:space="0" w:color="auto"/>
      </w:divBdr>
    </w:div>
    <w:div w:id="1679120634">
      <w:bodyDiv w:val="1"/>
      <w:marLeft w:val="0"/>
      <w:marRight w:val="0"/>
      <w:marTop w:val="0"/>
      <w:marBottom w:val="0"/>
      <w:divBdr>
        <w:top w:val="none" w:sz="0" w:space="0" w:color="auto"/>
        <w:left w:val="none" w:sz="0" w:space="0" w:color="auto"/>
        <w:bottom w:val="none" w:sz="0" w:space="0" w:color="auto"/>
        <w:right w:val="none" w:sz="0" w:space="0" w:color="auto"/>
      </w:divBdr>
    </w:div>
    <w:div w:id="1840732513">
      <w:bodyDiv w:val="1"/>
      <w:marLeft w:val="0"/>
      <w:marRight w:val="0"/>
      <w:marTop w:val="0"/>
      <w:marBottom w:val="0"/>
      <w:divBdr>
        <w:top w:val="none" w:sz="0" w:space="0" w:color="auto"/>
        <w:left w:val="none" w:sz="0" w:space="0" w:color="auto"/>
        <w:bottom w:val="none" w:sz="0" w:space="0" w:color="auto"/>
        <w:right w:val="none" w:sz="0" w:space="0" w:color="auto"/>
      </w:divBdr>
    </w:div>
    <w:div w:id="1841970638">
      <w:bodyDiv w:val="1"/>
      <w:marLeft w:val="0"/>
      <w:marRight w:val="0"/>
      <w:marTop w:val="0"/>
      <w:marBottom w:val="0"/>
      <w:divBdr>
        <w:top w:val="none" w:sz="0" w:space="0" w:color="auto"/>
        <w:left w:val="none" w:sz="0" w:space="0" w:color="auto"/>
        <w:bottom w:val="none" w:sz="0" w:space="0" w:color="auto"/>
        <w:right w:val="none" w:sz="0" w:space="0" w:color="auto"/>
      </w:divBdr>
    </w:div>
    <w:div w:id="1881479800">
      <w:bodyDiv w:val="1"/>
      <w:marLeft w:val="0"/>
      <w:marRight w:val="0"/>
      <w:marTop w:val="0"/>
      <w:marBottom w:val="0"/>
      <w:divBdr>
        <w:top w:val="none" w:sz="0" w:space="0" w:color="auto"/>
        <w:left w:val="none" w:sz="0" w:space="0" w:color="auto"/>
        <w:bottom w:val="none" w:sz="0" w:space="0" w:color="auto"/>
        <w:right w:val="none" w:sz="0" w:space="0" w:color="auto"/>
      </w:divBdr>
    </w:div>
    <w:div w:id="1968000034">
      <w:bodyDiv w:val="1"/>
      <w:marLeft w:val="0"/>
      <w:marRight w:val="0"/>
      <w:marTop w:val="0"/>
      <w:marBottom w:val="0"/>
      <w:divBdr>
        <w:top w:val="none" w:sz="0" w:space="0" w:color="auto"/>
        <w:left w:val="none" w:sz="0" w:space="0" w:color="auto"/>
        <w:bottom w:val="none" w:sz="0" w:space="0" w:color="auto"/>
        <w:right w:val="none" w:sz="0" w:space="0" w:color="auto"/>
      </w:divBdr>
    </w:div>
    <w:div w:id="1998262709">
      <w:bodyDiv w:val="1"/>
      <w:marLeft w:val="0"/>
      <w:marRight w:val="0"/>
      <w:marTop w:val="0"/>
      <w:marBottom w:val="0"/>
      <w:divBdr>
        <w:top w:val="none" w:sz="0" w:space="0" w:color="auto"/>
        <w:left w:val="none" w:sz="0" w:space="0" w:color="auto"/>
        <w:bottom w:val="none" w:sz="0" w:space="0" w:color="auto"/>
        <w:right w:val="none" w:sz="0" w:space="0" w:color="auto"/>
      </w:divBdr>
    </w:div>
    <w:div w:id="2026788595">
      <w:bodyDiv w:val="1"/>
      <w:marLeft w:val="0"/>
      <w:marRight w:val="0"/>
      <w:marTop w:val="0"/>
      <w:marBottom w:val="0"/>
      <w:divBdr>
        <w:top w:val="none" w:sz="0" w:space="0" w:color="auto"/>
        <w:left w:val="none" w:sz="0" w:space="0" w:color="auto"/>
        <w:bottom w:val="none" w:sz="0" w:space="0" w:color="auto"/>
        <w:right w:val="none" w:sz="0" w:space="0" w:color="auto"/>
      </w:divBdr>
    </w:div>
    <w:div w:id="2031301021">
      <w:bodyDiv w:val="1"/>
      <w:marLeft w:val="0"/>
      <w:marRight w:val="0"/>
      <w:marTop w:val="0"/>
      <w:marBottom w:val="0"/>
      <w:divBdr>
        <w:top w:val="none" w:sz="0" w:space="0" w:color="auto"/>
        <w:left w:val="none" w:sz="0" w:space="0" w:color="auto"/>
        <w:bottom w:val="none" w:sz="0" w:space="0" w:color="auto"/>
        <w:right w:val="none" w:sz="0" w:space="0" w:color="auto"/>
      </w:divBdr>
    </w:div>
    <w:div w:id="2054697550">
      <w:bodyDiv w:val="1"/>
      <w:marLeft w:val="0"/>
      <w:marRight w:val="0"/>
      <w:marTop w:val="0"/>
      <w:marBottom w:val="0"/>
      <w:divBdr>
        <w:top w:val="none" w:sz="0" w:space="0" w:color="auto"/>
        <w:left w:val="none" w:sz="0" w:space="0" w:color="auto"/>
        <w:bottom w:val="none" w:sz="0" w:space="0" w:color="auto"/>
        <w:right w:val="none" w:sz="0" w:space="0" w:color="auto"/>
      </w:divBdr>
    </w:div>
    <w:div w:id="2091196506">
      <w:bodyDiv w:val="1"/>
      <w:marLeft w:val="0"/>
      <w:marRight w:val="0"/>
      <w:marTop w:val="0"/>
      <w:marBottom w:val="0"/>
      <w:divBdr>
        <w:top w:val="none" w:sz="0" w:space="0" w:color="auto"/>
        <w:left w:val="none" w:sz="0" w:space="0" w:color="auto"/>
        <w:bottom w:val="none" w:sz="0" w:space="0" w:color="auto"/>
        <w:right w:val="none" w:sz="0" w:space="0" w:color="auto"/>
      </w:divBdr>
    </w:div>
    <w:div w:id="2099978784">
      <w:bodyDiv w:val="1"/>
      <w:marLeft w:val="0"/>
      <w:marRight w:val="0"/>
      <w:marTop w:val="0"/>
      <w:marBottom w:val="0"/>
      <w:divBdr>
        <w:top w:val="none" w:sz="0" w:space="0" w:color="auto"/>
        <w:left w:val="none" w:sz="0" w:space="0" w:color="auto"/>
        <w:bottom w:val="none" w:sz="0" w:space="0" w:color="auto"/>
        <w:right w:val="none" w:sz="0" w:space="0" w:color="auto"/>
      </w:divBdr>
    </w:div>
    <w:div w:id="21009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4.xml.rels><?xml version="1.0" encoding="UTF-8" standalone="yes"?>
<Relationships xmlns="http://schemas.openxmlformats.org/package/2006/relationships"><Relationship Id="rId2" Type="http://schemas.openxmlformats.org/officeDocument/2006/relationships/image" Target="media/image7.gif"/><Relationship Id="rId1" Type="http://schemas.openxmlformats.org/officeDocument/2006/relationships/image" Target="media/image6.gif"/></Relationships>
</file>

<file path=word/_rels/header15.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FAD2D-ECE3-4C8F-82AB-175168DB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60</Pages>
  <Words>25782</Words>
  <Characters>139226</Characters>
  <Application>Microsoft Office Word</Application>
  <DocSecurity>0</DocSecurity>
  <Lines>1160</Lines>
  <Paragraphs>329</Paragraphs>
  <ScaleCrop>false</ScaleCrop>
  <HeadingPairs>
    <vt:vector size="2" baseType="variant">
      <vt:variant>
        <vt:lpstr>Título</vt:lpstr>
      </vt:variant>
      <vt:variant>
        <vt:i4>1</vt:i4>
      </vt:variant>
    </vt:vector>
  </HeadingPairs>
  <TitlesOfParts>
    <vt:vector size="1" baseType="lpstr">
      <vt:lpstr/>
    </vt:vector>
  </TitlesOfParts>
  <Company>BANCO DO BRASIL S.A.</Company>
  <LinksUpToDate>false</LinksUpToDate>
  <CharactersWithSpaces>164679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Nogueira Dias</dc:creator>
  <cp:keywords/>
  <dc:description/>
  <cp:lastModifiedBy>Edmar de Alencar Silva Silva</cp:lastModifiedBy>
  <cp:revision>221</cp:revision>
  <cp:lastPrinted>2020-04-30T18:21:00Z</cp:lastPrinted>
  <dcterms:created xsi:type="dcterms:W3CDTF">2020-02-06T19:06:00Z</dcterms:created>
  <dcterms:modified xsi:type="dcterms:W3CDTF">2021-06-25T19:30:00Z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Enabled">
    <vt:lpwstr>True</vt:lpwstr>
  </property>
  <property fmtid="{D5CDD505-2E9C-101B-9397-08002B2CF9AE}" pid="3" name="MSIP_Label_40881dc9-f7f2-41de-a334-ceff3dc15b31_SiteId">
    <vt:lpwstr>ea0c2907-38d2-4181-8750-b0b190b60443</vt:lpwstr>
  </property>
  <property fmtid="{D5CDD505-2E9C-101B-9397-08002B2CF9AE}" pid="4" name="MSIP_Label_40881dc9-f7f2-41de-a334-ceff3dc15b31_Owner">
    <vt:lpwstr>edson7@bbseg.com.br</vt:lpwstr>
  </property>
  <property fmtid="{D5CDD505-2E9C-101B-9397-08002B2CF9AE}" pid="5" name="MSIP_Label_40881dc9-f7f2-41de-a334-ceff3dc15b31_SetDate">
    <vt:lpwstr>2020-02-06T13:25:17.4397139Z</vt:lpwstr>
  </property>
  <property fmtid="{D5CDD505-2E9C-101B-9397-08002B2CF9AE}" pid="6" name="MSIP_Label_40881dc9-f7f2-41de-a334-ceff3dc15b31_Name">
    <vt:lpwstr>#Interna</vt:lpwstr>
  </property>
  <property fmtid="{D5CDD505-2E9C-101B-9397-08002B2CF9AE}" pid="7" name="MSIP_Label_40881dc9-f7f2-41de-a334-ceff3dc15b31_Application">
    <vt:lpwstr>Microsoft Azure Information Protection</vt:lpwstr>
  </property>
  <property fmtid="{D5CDD505-2E9C-101B-9397-08002B2CF9AE}" pid="8" name="MSIP_Label_40881dc9-f7f2-41de-a334-ceff3dc15b31_ActionId">
    <vt:lpwstr>6c9402d3-4322-4926-9d38-6bc7a7811b1f</vt:lpwstr>
  </property>
  <property fmtid="{D5CDD505-2E9C-101B-9397-08002B2CF9AE}" pid="9" name="MSIP_Label_40881dc9-f7f2-41de-a334-ceff3dc15b31_Extended_MSFT_Method">
    <vt:lpwstr>Automatic</vt:lpwstr>
  </property>
  <property fmtid="{D5CDD505-2E9C-101B-9397-08002B2CF9AE}" pid="10" name="Sensitivity">
    <vt:lpwstr>#Interna</vt:lpwstr>
  </property>
</Properties>
</file>